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C5FDB" w:rsidRPr="00E07116" w14:paraId="12238305" w14:textId="77777777">
        <w:tblPrEx>
          <w:tblCellMar>
            <w:top w:w="0" w:type="dxa"/>
            <w:bottom w:w="0" w:type="dxa"/>
          </w:tblCellMar>
        </w:tblPrEx>
        <w:tc>
          <w:tcPr>
            <w:tcW w:w="9160" w:type="dxa"/>
            <w:shd w:val="clear" w:color="auto" w:fill="E9E6CE"/>
          </w:tcPr>
          <w:p w14:paraId="1D99FF11" w14:textId="77777777" w:rsidR="006C5FDB" w:rsidRPr="00E07116" w:rsidRDefault="006C5FDB" w:rsidP="006C5FDB">
            <w:pPr>
              <w:pStyle w:val="En-tte"/>
              <w:tabs>
                <w:tab w:val="clear" w:pos="4320"/>
                <w:tab w:val="clear" w:pos="8640"/>
              </w:tabs>
              <w:rPr>
                <w:rFonts w:ascii="Times New Roman" w:hAnsi="Times New Roman"/>
                <w:sz w:val="28"/>
                <w:lang w:val="en-CA" w:bidi="ar-SA"/>
              </w:rPr>
            </w:pPr>
          </w:p>
          <w:p w14:paraId="37DAEB32" w14:textId="77777777" w:rsidR="006C5FDB" w:rsidRPr="00E07116" w:rsidRDefault="006C5FDB">
            <w:pPr>
              <w:ind w:firstLine="0"/>
              <w:jc w:val="center"/>
              <w:rPr>
                <w:b/>
                <w:lang w:bidi="ar-SA"/>
              </w:rPr>
            </w:pPr>
          </w:p>
          <w:p w14:paraId="647DA398" w14:textId="77777777" w:rsidR="006C5FDB" w:rsidRPr="00E07116" w:rsidRDefault="006C5FDB">
            <w:pPr>
              <w:ind w:firstLine="0"/>
              <w:jc w:val="center"/>
              <w:rPr>
                <w:b/>
                <w:lang w:bidi="ar-SA"/>
              </w:rPr>
            </w:pPr>
          </w:p>
          <w:p w14:paraId="42F9F488" w14:textId="77777777" w:rsidR="006C5FDB" w:rsidRDefault="006C5FDB" w:rsidP="006C5FDB">
            <w:pPr>
              <w:ind w:firstLine="0"/>
              <w:jc w:val="center"/>
              <w:rPr>
                <w:b/>
                <w:sz w:val="20"/>
                <w:lang w:bidi="ar-SA"/>
              </w:rPr>
            </w:pPr>
          </w:p>
          <w:p w14:paraId="0A26D7FB" w14:textId="77777777" w:rsidR="006C5FDB" w:rsidRDefault="006C5FDB" w:rsidP="006C5FDB">
            <w:pPr>
              <w:ind w:firstLine="0"/>
              <w:jc w:val="center"/>
              <w:rPr>
                <w:sz w:val="36"/>
              </w:rPr>
            </w:pPr>
            <w:r>
              <w:rPr>
                <w:sz w:val="36"/>
              </w:rPr>
              <w:t>François CHAZEL</w:t>
            </w:r>
          </w:p>
          <w:p w14:paraId="0F38721B" w14:textId="77777777" w:rsidR="006C5FDB" w:rsidRDefault="006C5FDB" w:rsidP="006C5FDB">
            <w:pPr>
              <w:ind w:firstLine="0"/>
              <w:jc w:val="center"/>
              <w:rPr>
                <w:sz w:val="24"/>
              </w:rPr>
            </w:pPr>
            <w:r w:rsidRPr="00E036D4">
              <w:rPr>
                <w:sz w:val="24"/>
              </w:rPr>
              <w:t xml:space="preserve">directeur du département de </w:t>
            </w:r>
            <w:r>
              <w:rPr>
                <w:sz w:val="24"/>
              </w:rPr>
              <w:t>s</w:t>
            </w:r>
            <w:r w:rsidRPr="00E036D4">
              <w:rPr>
                <w:sz w:val="24"/>
              </w:rPr>
              <w:t>ociol</w:t>
            </w:r>
            <w:r w:rsidRPr="00E036D4">
              <w:rPr>
                <w:sz w:val="24"/>
              </w:rPr>
              <w:t>o</w:t>
            </w:r>
            <w:r w:rsidRPr="00E036D4">
              <w:rPr>
                <w:sz w:val="24"/>
              </w:rPr>
              <w:t>gie de l’Université de</w:t>
            </w:r>
            <w:r>
              <w:rPr>
                <w:sz w:val="24"/>
              </w:rPr>
              <w:t xml:space="preserve"> </w:t>
            </w:r>
            <w:r w:rsidRPr="00E036D4">
              <w:rPr>
                <w:sz w:val="24"/>
              </w:rPr>
              <w:t>Bordeaux I</w:t>
            </w:r>
          </w:p>
          <w:p w14:paraId="037E38F3" w14:textId="77777777" w:rsidR="006C5FDB" w:rsidRPr="00966262" w:rsidRDefault="006C5FDB" w:rsidP="006C5FDB">
            <w:pPr>
              <w:ind w:firstLine="0"/>
              <w:jc w:val="center"/>
              <w:rPr>
                <w:sz w:val="36"/>
                <w:lang w:bidi="ar-SA"/>
              </w:rPr>
            </w:pPr>
          </w:p>
          <w:p w14:paraId="1C5B6C2A" w14:textId="77777777" w:rsidR="006C5FDB" w:rsidRPr="00AA0F60" w:rsidRDefault="006C5FDB" w:rsidP="006C5FDB">
            <w:pPr>
              <w:pStyle w:val="Corpsdetexte"/>
              <w:widowControl w:val="0"/>
              <w:spacing w:before="0" w:after="0"/>
              <w:rPr>
                <w:sz w:val="44"/>
                <w:lang w:bidi="ar-SA"/>
              </w:rPr>
            </w:pPr>
            <w:r w:rsidRPr="00AA0F60">
              <w:rPr>
                <w:sz w:val="44"/>
                <w:lang w:bidi="ar-SA"/>
              </w:rPr>
              <w:t>(</w:t>
            </w:r>
            <w:r>
              <w:rPr>
                <w:sz w:val="44"/>
                <w:lang w:bidi="ar-SA"/>
              </w:rPr>
              <w:t>1985</w:t>
            </w:r>
            <w:r w:rsidRPr="00AA0F60">
              <w:rPr>
                <w:sz w:val="44"/>
                <w:lang w:bidi="ar-SA"/>
              </w:rPr>
              <w:t>)</w:t>
            </w:r>
          </w:p>
          <w:p w14:paraId="7A514F56" w14:textId="77777777" w:rsidR="006C5FDB" w:rsidRDefault="006C5FDB" w:rsidP="006C5FDB">
            <w:pPr>
              <w:pStyle w:val="Corpsdetexte"/>
              <w:widowControl w:val="0"/>
              <w:spacing w:before="0" w:after="0"/>
              <w:rPr>
                <w:color w:val="FF0000"/>
                <w:sz w:val="24"/>
                <w:lang w:bidi="ar-SA"/>
              </w:rPr>
            </w:pPr>
          </w:p>
          <w:p w14:paraId="1C5D8C68" w14:textId="77777777" w:rsidR="006C5FDB" w:rsidRDefault="006C5FDB" w:rsidP="006C5FDB">
            <w:pPr>
              <w:pStyle w:val="Corpsdetexte"/>
              <w:widowControl w:val="0"/>
              <w:spacing w:before="0" w:after="0"/>
              <w:rPr>
                <w:color w:val="FF0000"/>
                <w:sz w:val="24"/>
                <w:lang w:bidi="ar-SA"/>
              </w:rPr>
            </w:pPr>
          </w:p>
          <w:p w14:paraId="4BE0367D" w14:textId="77777777" w:rsidR="006C5FDB" w:rsidRPr="00966262" w:rsidRDefault="006C5FDB" w:rsidP="006C5FDB">
            <w:pPr>
              <w:ind w:firstLine="0"/>
              <w:jc w:val="center"/>
              <w:rPr>
                <w:color w:val="000090"/>
                <w:sz w:val="72"/>
              </w:rPr>
            </w:pPr>
            <w:r>
              <w:rPr>
                <w:color w:val="000090"/>
                <w:sz w:val="72"/>
              </w:rPr>
              <w:t>“Les ruptures</w:t>
            </w:r>
            <w:r>
              <w:rPr>
                <w:color w:val="000090"/>
                <w:sz w:val="72"/>
              </w:rPr>
              <w:br/>
              <w:t>révolutionnaires.”</w:t>
            </w:r>
          </w:p>
          <w:p w14:paraId="739748E7" w14:textId="77777777" w:rsidR="006C5FDB" w:rsidRDefault="006C5FDB" w:rsidP="006C5FDB">
            <w:pPr>
              <w:widowControl w:val="0"/>
              <w:ind w:firstLine="0"/>
              <w:jc w:val="center"/>
              <w:rPr>
                <w:lang w:bidi="ar-SA"/>
              </w:rPr>
            </w:pPr>
          </w:p>
          <w:p w14:paraId="0DD4AA8D" w14:textId="77777777" w:rsidR="006C5FDB" w:rsidRDefault="006C5FDB" w:rsidP="006C5FDB">
            <w:pPr>
              <w:widowControl w:val="0"/>
              <w:ind w:firstLine="0"/>
              <w:jc w:val="center"/>
              <w:rPr>
                <w:lang w:bidi="ar-SA"/>
              </w:rPr>
            </w:pPr>
          </w:p>
          <w:p w14:paraId="329F949A" w14:textId="77777777" w:rsidR="006C5FDB" w:rsidRDefault="006C5FDB" w:rsidP="006C5FDB">
            <w:pPr>
              <w:widowControl w:val="0"/>
              <w:ind w:firstLine="0"/>
              <w:jc w:val="center"/>
              <w:rPr>
                <w:lang w:bidi="ar-SA"/>
              </w:rPr>
            </w:pPr>
            <w:r>
              <w:rPr>
                <w:lang w:bidi="ar-SA"/>
              </w:rPr>
              <w:t>In Traité de science politique,</w:t>
            </w:r>
            <w:r>
              <w:rPr>
                <w:lang w:bidi="ar-SA"/>
              </w:rPr>
              <w:br/>
              <w:t>Tome II : les régimes politiques contemporains</w:t>
            </w:r>
          </w:p>
          <w:p w14:paraId="2F14A652" w14:textId="77777777" w:rsidR="006C5FDB" w:rsidRDefault="006C5FDB" w:rsidP="006C5FDB">
            <w:pPr>
              <w:widowControl w:val="0"/>
              <w:ind w:firstLine="0"/>
              <w:jc w:val="center"/>
              <w:rPr>
                <w:lang w:bidi="ar-SA"/>
              </w:rPr>
            </w:pPr>
          </w:p>
          <w:p w14:paraId="463D717A" w14:textId="77777777" w:rsidR="006C5FDB" w:rsidRDefault="006C5FDB" w:rsidP="006C5FDB">
            <w:pPr>
              <w:widowControl w:val="0"/>
              <w:ind w:firstLine="0"/>
              <w:jc w:val="center"/>
              <w:rPr>
                <w:sz w:val="20"/>
                <w:lang w:bidi="ar-SA"/>
              </w:rPr>
            </w:pPr>
          </w:p>
          <w:p w14:paraId="3E373F6B" w14:textId="77777777" w:rsidR="006C5FDB" w:rsidRDefault="006C5FDB" w:rsidP="006C5FDB">
            <w:pPr>
              <w:widowControl w:val="0"/>
              <w:ind w:firstLine="0"/>
              <w:jc w:val="center"/>
              <w:rPr>
                <w:sz w:val="20"/>
                <w:lang w:bidi="ar-SA"/>
              </w:rPr>
            </w:pPr>
          </w:p>
          <w:p w14:paraId="6888CD80" w14:textId="77777777" w:rsidR="006C5FDB" w:rsidRDefault="006C5FDB" w:rsidP="006C5FDB">
            <w:pPr>
              <w:widowControl w:val="0"/>
              <w:ind w:firstLine="0"/>
              <w:jc w:val="center"/>
              <w:rPr>
                <w:sz w:val="20"/>
                <w:lang w:bidi="ar-SA"/>
              </w:rPr>
            </w:pPr>
          </w:p>
          <w:p w14:paraId="63409B56" w14:textId="77777777" w:rsidR="006C5FDB" w:rsidRPr="00384B20" w:rsidRDefault="006C5FDB">
            <w:pPr>
              <w:widowControl w:val="0"/>
              <w:ind w:firstLine="0"/>
              <w:jc w:val="center"/>
              <w:rPr>
                <w:sz w:val="20"/>
                <w:lang w:bidi="ar-SA"/>
              </w:rPr>
            </w:pPr>
          </w:p>
          <w:p w14:paraId="40942B67" w14:textId="77777777" w:rsidR="006C5FDB" w:rsidRPr="00384B20" w:rsidRDefault="006C5FD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F51DD3F" w14:textId="77777777" w:rsidR="006C5FDB" w:rsidRPr="00E07116" w:rsidRDefault="006C5FDB">
            <w:pPr>
              <w:widowControl w:val="0"/>
              <w:ind w:firstLine="0"/>
              <w:jc w:val="both"/>
              <w:rPr>
                <w:lang w:bidi="ar-SA"/>
              </w:rPr>
            </w:pPr>
          </w:p>
          <w:p w14:paraId="52A170A9" w14:textId="77777777" w:rsidR="006C5FDB" w:rsidRDefault="006C5FDB">
            <w:pPr>
              <w:widowControl w:val="0"/>
              <w:ind w:firstLine="0"/>
              <w:jc w:val="both"/>
              <w:rPr>
                <w:lang w:bidi="ar-SA"/>
              </w:rPr>
            </w:pPr>
          </w:p>
          <w:p w14:paraId="166BD4C5" w14:textId="77777777" w:rsidR="006C5FDB" w:rsidRDefault="006C5FDB">
            <w:pPr>
              <w:widowControl w:val="0"/>
              <w:ind w:firstLine="0"/>
              <w:jc w:val="both"/>
              <w:rPr>
                <w:lang w:bidi="ar-SA"/>
              </w:rPr>
            </w:pPr>
          </w:p>
          <w:p w14:paraId="41CE4715" w14:textId="77777777" w:rsidR="006C5FDB" w:rsidRPr="00E07116" w:rsidRDefault="006C5FDB">
            <w:pPr>
              <w:widowControl w:val="0"/>
              <w:ind w:firstLine="0"/>
              <w:jc w:val="both"/>
              <w:rPr>
                <w:lang w:bidi="ar-SA"/>
              </w:rPr>
            </w:pPr>
          </w:p>
          <w:p w14:paraId="2189CF57" w14:textId="77777777" w:rsidR="006C5FDB" w:rsidRPr="00E07116" w:rsidRDefault="006C5FDB">
            <w:pPr>
              <w:widowControl w:val="0"/>
              <w:ind w:firstLine="0"/>
              <w:jc w:val="both"/>
              <w:rPr>
                <w:lang w:bidi="ar-SA"/>
              </w:rPr>
            </w:pPr>
          </w:p>
          <w:p w14:paraId="3EE406DC" w14:textId="77777777" w:rsidR="006C5FDB" w:rsidRPr="00E07116" w:rsidRDefault="006C5FDB">
            <w:pPr>
              <w:widowControl w:val="0"/>
              <w:ind w:firstLine="0"/>
              <w:jc w:val="both"/>
              <w:rPr>
                <w:lang w:bidi="ar-SA"/>
              </w:rPr>
            </w:pPr>
          </w:p>
          <w:p w14:paraId="4CE7FFFC" w14:textId="77777777" w:rsidR="006C5FDB" w:rsidRDefault="006C5FDB">
            <w:pPr>
              <w:widowControl w:val="0"/>
              <w:ind w:firstLine="0"/>
              <w:jc w:val="both"/>
              <w:rPr>
                <w:lang w:bidi="ar-SA"/>
              </w:rPr>
            </w:pPr>
          </w:p>
          <w:p w14:paraId="7B544D1F" w14:textId="77777777" w:rsidR="006C5FDB" w:rsidRPr="00E07116" w:rsidRDefault="006C5FDB">
            <w:pPr>
              <w:widowControl w:val="0"/>
              <w:ind w:firstLine="0"/>
              <w:jc w:val="both"/>
              <w:rPr>
                <w:lang w:bidi="ar-SA"/>
              </w:rPr>
            </w:pPr>
          </w:p>
          <w:p w14:paraId="6C1F91A6" w14:textId="77777777" w:rsidR="006C5FDB" w:rsidRPr="00E07116" w:rsidRDefault="006C5FDB">
            <w:pPr>
              <w:ind w:firstLine="0"/>
              <w:jc w:val="both"/>
              <w:rPr>
                <w:lang w:bidi="ar-SA"/>
              </w:rPr>
            </w:pPr>
          </w:p>
        </w:tc>
      </w:tr>
    </w:tbl>
    <w:p w14:paraId="77661813" w14:textId="77777777" w:rsidR="006C5FDB" w:rsidRDefault="006C5FDB" w:rsidP="006C5FDB">
      <w:pPr>
        <w:ind w:firstLine="0"/>
        <w:jc w:val="both"/>
      </w:pPr>
      <w:r w:rsidRPr="00E07116">
        <w:br w:type="page"/>
      </w:r>
    </w:p>
    <w:p w14:paraId="22B69920" w14:textId="77777777" w:rsidR="006C5FDB" w:rsidRDefault="006C5FDB" w:rsidP="006C5FDB">
      <w:pPr>
        <w:ind w:firstLine="0"/>
        <w:jc w:val="both"/>
      </w:pPr>
    </w:p>
    <w:p w14:paraId="521D1CCB" w14:textId="77777777" w:rsidR="006C5FDB" w:rsidRDefault="006C5FDB" w:rsidP="006C5FDB">
      <w:pPr>
        <w:ind w:firstLine="0"/>
        <w:jc w:val="both"/>
      </w:pPr>
    </w:p>
    <w:p w14:paraId="41E66C1E" w14:textId="77777777" w:rsidR="006C5FDB" w:rsidRDefault="00AE7AAD" w:rsidP="006C5FDB">
      <w:pPr>
        <w:ind w:firstLine="0"/>
        <w:jc w:val="right"/>
      </w:pPr>
      <w:r>
        <w:rPr>
          <w:noProof/>
        </w:rPr>
        <w:drawing>
          <wp:inline distT="0" distB="0" distL="0" distR="0" wp14:anchorId="54DA0436" wp14:editId="4AE07F88">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3FCE829B" w14:textId="77777777" w:rsidR="006C5FDB" w:rsidRDefault="006C5FDB" w:rsidP="006C5FDB">
      <w:pPr>
        <w:ind w:firstLine="0"/>
        <w:jc w:val="right"/>
      </w:pPr>
      <w:hyperlink r:id="rId9" w:history="1">
        <w:r w:rsidRPr="00302466">
          <w:rPr>
            <w:rStyle w:val="Hyperlien"/>
          </w:rPr>
          <w:t>http://classiques.uqac.ca/</w:t>
        </w:r>
      </w:hyperlink>
      <w:r>
        <w:t xml:space="preserve"> </w:t>
      </w:r>
    </w:p>
    <w:p w14:paraId="707547A0" w14:textId="77777777" w:rsidR="006C5FDB" w:rsidRDefault="006C5FDB" w:rsidP="006C5FDB">
      <w:pPr>
        <w:ind w:firstLine="0"/>
        <w:jc w:val="both"/>
      </w:pPr>
    </w:p>
    <w:p w14:paraId="5E49C4BA" w14:textId="77777777" w:rsidR="006C5FDB" w:rsidRDefault="006C5FDB" w:rsidP="006C5FDB">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4F0CFA4C" w14:textId="77777777" w:rsidR="006C5FDB" w:rsidRDefault="006C5FDB" w:rsidP="006C5FDB">
      <w:pPr>
        <w:ind w:firstLine="0"/>
        <w:jc w:val="both"/>
      </w:pPr>
    </w:p>
    <w:p w14:paraId="3FEB1093" w14:textId="77777777" w:rsidR="006C5FDB" w:rsidRDefault="00AE7AAD" w:rsidP="006C5FDB">
      <w:pPr>
        <w:ind w:firstLine="0"/>
        <w:jc w:val="both"/>
      </w:pPr>
      <w:r>
        <w:rPr>
          <w:noProof/>
        </w:rPr>
        <w:drawing>
          <wp:inline distT="0" distB="0" distL="0" distR="0" wp14:anchorId="21895E2C" wp14:editId="2DEE88B0">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37E79E83" w14:textId="77777777" w:rsidR="006C5FDB" w:rsidRDefault="006C5FDB" w:rsidP="006C5FDB">
      <w:pPr>
        <w:ind w:firstLine="0"/>
        <w:jc w:val="both"/>
      </w:pPr>
      <w:hyperlink r:id="rId11" w:history="1">
        <w:r w:rsidRPr="00302466">
          <w:rPr>
            <w:rStyle w:val="Hyperlien"/>
          </w:rPr>
          <w:t>http://bibliotheque.uqac.ca/</w:t>
        </w:r>
      </w:hyperlink>
      <w:r>
        <w:t xml:space="preserve"> </w:t>
      </w:r>
    </w:p>
    <w:p w14:paraId="4BB8C987" w14:textId="77777777" w:rsidR="006C5FDB" w:rsidRDefault="006C5FDB" w:rsidP="006C5FDB">
      <w:pPr>
        <w:ind w:firstLine="0"/>
        <w:jc w:val="both"/>
      </w:pPr>
    </w:p>
    <w:p w14:paraId="0B1813E4" w14:textId="77777777" w:rsidR="006C5FDB" w:rsidRDefault="006C5FDB" w:rsidP="006C5FDB">
      <w:pPr>
        <w:ind w:firstLine="0"/>
        <w:jc w:val="both"/>
      </w:pPr>
    </w:p>
    <w:p w14:paraId="35BFCF1F" w14:textId="77777777" w:rsidR="006C5FDB" w:rsidRDefault="006C5FDB" w:rsidP="006C5FD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A79A212" w14:textId="77777777" w:rsidR="006C5FDB" w:rsidRPr="00E07116" w:rsidRDefault="006C5FDB" w:rsidP="006C5FDB">
      <w:pPr>
        <w:widowControl w:val="0"/>
        <w:autoSpaceDE w:val="0"/>
        <w:autoSpaceDN w:val="0"/>
        <w:adjustRightInd w:val="0"/>
        <w:rPr>
          <w:szCs w:val="32"/>
        </w:rPr>
      </w:pPr>
      <w:r w:rsidRPr="00E07116">
        <w:br w:type="page"/>
      </w:r>
    </w:p>
    <w:p w14:paraId="474B3CCB" w14:textId="77777777" w:rsidR="006C5FDB" w:rsidRPr="00721734" w:rsidRDefault="006C5FDB">
      <w:pPr>
        <w:widowControl w:val="0"/>
        <w:autoSpaceDE w:val="0"/>
        <w:autoSpaceDN w:val="0"/>
        <w:adjustRightInd w:val="0"/>
        <w:jc w:val="center"/>
        <w:rPr>
          <w:b/>
          <w:color w:val="008B00"/>
          <w:sz w:val="36"/>
          <w:szCs w:val="36"/>
        </w:rPr>
      </w:pPr>
      <w:r w:rsidRPr="00721734">
        <w:rPr>
          <w:b/>
          <w:color w:val="008B00"/>
          <w:sz w:val="36"/>
          <w:szCs w:val="36"/>
        </w:rPr>
        <w:t>Politique d'utilisation</w:t>
      </w:r>
      <w:r w:rsidRPr="00721734">
        <w:rPr>
          <w:b/>
          <w:color w:val="008B00"/>
          <w:sz w:val="36"/>
          <w:szCs w:val="36"/>
        </w:rPr>
        <w:br/>
        <w:t>de la bibliothèque des Classiques</w:t>
      </w:r>
    </w:p>
    <w:p w14:paraId="2C6810B0" w14:textId="77777777" w:rsidR="006C5FDB" w:rsidRPr="00E07116" w:rsidRDefault="006C5FDB">
      <w:pPr>
        <w:widowControl w:val="0"/>
        <w:autoSpaceDE w:val="0"/>
        <w:autoSpaceDN w:val="0"/>
        <w:adjustRightInd w:val="0"/>
        <w:rPr>
          <w:szCs w:val="32"/>
        </w:rPr>
      </w:pPr>
    </w:p>
    <w:p w14:paraId="2F54FAB8" w14:textId="77777777" w:rsidR="006C5FDB" w:rsidRPr="00E07116" w:rsidRDefault="006C5FDB">
      <w:pPr>
        <w:widowControl w:val="0"/>
        <w:autoSpaceDE w:val="0"/>
        <w:autoSpaceDN w:val="0"/>
        <w:adjustRightInd w:val="0"/>
        <w:jc w:val="both"/>
        <w:rPr>
          <w:color w:val="1C1C1C"/>
          <w:szCs w:val="26"/>
        </w:rPr>
      </w:pPr>
    </w:p>
    <w:p w14:paraId="6A2322F5" w14:textId="77777777" w:rsidR="006C5FDB" w:rsidRPr="00E07116" w:rsidRDefault="006C5FD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1010118" w14:textId="77777777" w:rsidR="006C5FDB" w:rsidRPr="00E07116" w:rsidRDefault="006C5FDB">
      <w:pPr>
        <w:widowControl w:val="0"/>
        <w:autoSpaceDE w:val="0"/>
        <w:autoSpaceDN w:val="0"/>
        <w:adjustRightInd w:val="0"/>
        <w:jc w:val="both"/>
        <w:rPr>
          <w:color w:val="1C1C1C"/>
          <w:szCs w:val="26"/>
        </w:rPr>
      </w:pPr>
    </w:p>
    <w:p w14:paraId="7E93EBBA" w14:textId="77777777" w:rsidR="006C5FDB" w:rsidRPr="00E07116" w:rsidRDefault="006C5FDB" w:rsidP="006C5FD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BC74200" w14:textId="77777777" w:rsidR="006C5FDB" w:rsidRPr="00E07116" w:rsidRDefault="006C5FDB" w:rsidP="006C5FDB">
      <w:pPr>
        <w:widowControl w:val="0"/>
        <w:autoSpaceDE w:val="0"/>
        <w:autoSpaceDN w:val="0"/>
        <w:adjustRightInd w:val="0"/>
        <w:jc w:val="both"/>
        <w:rPr>
          <w:color w:val="1C1C1C"/>
          <w:szCs w:val="26"/>
        </w:rPr>
      </w:pPr>
    </w:p>
    <w:p w14:paraId="763B9E30" w14:textId="77777777" w:rsidR="006C5FDB" w:rsidRPr="00E07116" w:rsidRDefault="006C5FDB" w:rsidP="006C5FD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8308D5F" w14:textId="77777777" w:rsidR="006C5FDB" w:rsidRPr="00E07116" w:rsidRDefault="006C5FDB" w:rsidP="006C5FD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9AC721F" w14:textId="77777777" w:rsidR="006C5FDB" w:rsidRPr="00E07116" w:rsidRDefault="006C5FDB" w:rsidP="006C5FDB">
      <w:pPr>
        <w:widowControl w:val="0"/>
        <w:autoSpaceDE w:val="0"/>
        <w:autoSpaceDN w:val="0"/>
        <w:adjustRightInd w:val="0"/>
        <w:jc w:val="both"/>
        <w:rPr>
          <w:color w:val="1C1C1C"/>
          <w:szCs w:val="26"/>
        </w:rPr>
      </w:pPr>
    </w:p>
    <w:p w14:paraId="57A2C55C" w14:textId="77777777" w:rsidR="006C5FDB" w:rsidRPr="00E07116" w:rsidRDefault="006C5FD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A7A39CF" w14:textId="77777777" w:rsidR="006C5FDB" w:rsidRPr="00E07116" w:rsidRDefault="006C5FDB">
      <w:pPr>
        <w:widowControl w:val="0"/>
        <w:autoSpaceDE w:val="0"/>
        <w:autoSpaceDN w:val="0"/>
        <w:adjustRightInd w:val="0"/>
        <w:jc w:val="both"/>
        <w:rPr>
          <w:color w:val="1C1C1C"/>
          <w:szCs w:val="26"/>
        </w:rPr>
      </w:pPr>
    </w:p>
    <w:p w14:paraId="5E087671" w14:textId="77777777" w:rsidR="006C5FDB" w:rsidRPr="00E07116" w:rsidRDefault="006C5FD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5B4A864" w14:textId="77777777" w:rsidR="006C5FDB" w:rsidRPr="00E07116" w:rsidRDefault="006C5FDB">
      <w:pPr>
        <w:rPr>
          <w:b/>
          <w:color w:val="1C1C1C"/>
          <w:szCs w:val="26"/>
        </w:rPr>
      </w:pPr>
    </w:p>
    <w:p w14:paraId="7EACC7E9" w14:textId="77777777" w:rsidR="006C5FDB" w:rsidRPr="00E07116" w:rsidRDefault="006C5FD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57E2FB4" w14:textId="77777777" w:rsidR="006C5FDB" w:rsidRPr="00E07116" w:rsidRDefault="006C5FDB">
      <w:pPr>
        <w:rPr>
          <w:b/>
          <w:color w:val="1C1C1C"/>
          <w:szCs w:val="26"/>
        </w:rPr>
      </w:pPr>
    </w:p>
    <w:p w14:paraId="14F8E230" w14:textId="77777777" w:rsidR="006C5FDB" w:rsidRPr="00E07116" w:rsidRDefault="006C5FDB">
      <w:pPr>
        <w:rPr>
          <w:color w:val="1C1C1C"/>
          <w:szCs w:val="26"/>
        </w:rPr>
      </w:pPr>
      <w:r w:rsidRPr="00E07116">
        <w:rPr>
          <w:color w:val="1C1C1C"/>
          <w:szCs w:val="26"/>
        </w:rPr>
        <w:t>Jean-Marie Tremblay, sociologue</w:t>
      </w:r>
    </w:p>
    <w:p w14:paraId="2B09FE17" w14:textId="77777777" w:rsidR="006C5FDB" w:rsidRPr="00E07116" w:rsidRDefault="006C5FDB">
      <w:pPr>
        <w:rPr>
          <w:color w:val="1C1C1C"/>
          <w:szCs w:val="26"/>
        </w:rPr>
      </w:pPr>
      <w:r w:rsidRPr="00E07116">
        <w:rPr>
          <w:color w:val="1C1C1C"/>
          <w:szCs w:val="26"/>
        </w:rPr>
        <w:t>Fondateur et Président-directeur général,</w:t>
      </w:r>
    </w:p>
    <w:p w14:paraId="39658A1A" w14:textId="77777777" w:rsidR="006C5FDB" w:rsidRPr="00E07116" w:rsidRDefault="006C5FDB">
      <w:pPr>
        <w:rPr>
          <w:color w:val="000080"/>
        </w:rPr>
      </w:pPr>
      <w:r w:rsidRPr="00E07116">
        <w:rPr>
          <w:color w:val="000080"/>
          <w:szCs w:val="26"/>
        </w:rPr>
        <w:t>LES CLASSIQUES DES SCIENCES SOCIALES.</w:t>
      </w:r>
    </w:p>
    <w:p w14:paraId="076FE7CF" w14:textId="77777777" w:rsidR="006C5FDB" w:rsidRPr="00FA6717" w:rsidRDefault="006C5FDB" w:rsidP="006C5FDB">
      <w:pPr>
        <w:ind w:firstLine="0"/>
        <w:rPr>
          <w:sz w:val="24"/>
          <w:lang w:bidi="ar-SA"/>
        </w:rPr>
      </w:pPr>
      <w:r>
        <w:br w:type="page"/>
      </w:r>
      <w:r w:rsidRPr="00FA6717">
        <w:rPr>
          <w:sz w:val="24"/>
          <w:lang w:bidi="ar-SA"/>
        </w:rPr>
        <w:lastRenderedPageBreak/>
        <w:t>Un document produit en version numérique par Roger Gravel, bén</w:t>
      </w:r>
      <w:r w:rsidRPr="00FA6717">
        <w:rPr>
          <w:sz w:val="24"/>
          <w:lang w:bidi="ar-SA"/>
        </w:rPr>
        <w:t>é</w:t>
      </w:r>
      <w:r w:rsidRPr="00FA6717">
        <w:rPr>
          <w:sz w:val="24"/>
          <w:lang w:bidi="ar-SA"/>
        </w:rPr>
        <w:t>vole,</w:t>
      </w:r>
    </w:p>
    <w:p w14:paraId="6B1C93F0" w14:textId="77777777" w:rsidR="006C5FDB" w:rsidRPr="00AE7AAD" w:rsidRDefault="006C5FDB" w:rsidP="006C5FDB">
      <w:pPr>
        <w:ind w:firstLine="0"/>
        <w:rPr>
          <w:color w:val="000000"/>
          <w:sz w:val="20"/>
          <w:lang w:val="en-US"/>
        </w:rPr>
      </w:pPr>
      <w:r w:rsidRPr="00AE7AAD">
        <w:rPr>
          <w:sz w:val="24"/>
          <w:lang w:val="en-US" w:bidi="ar-SA"/>
        </w:rPr>
        <w:t xml:space="preserve">Page web : </w:t>
      </w:r>
      <w:hyperlink r:id="rId12" w:history="1">
        <w:r w:rsidRPr="00AE7AAD">
          <w:rPr>
            <w:rStyle w:val="Hyperlien"/>
            <w:sz w:val="20"/>
            <w:lang w:val="en-US"/>
          </w:rPr>
          <w:t>http://classiques.uqac.ca/inter/benevoles_equipe/liste_gravel_roger.html</w:t>
        </w:r>
      </w:hyperlink>
      <w:r w:rsidRPr="00AE7AAD">
        <w:rPr>
          <w:color w:val="000000"/>
          <w:sz w:val="20"/>
          <w:lang w:val="en-US"/>
        </w:rPr>
        <w:t xml:space="preserve"> </w:t>
      </w:r>
    </w:p>
    <w:p w14:paraId="426450AE" w14:textId="77777777" w:rsidR="006C5FDB" w:rsidRPr="00AE7AAD" w:rsidRDefault="006C5FDB" w:rsidP="006C5FDB">
      <w:pPr>
        <w:ind w:firstLine="0"/>
        <w:rPr>
          <w:sz w:val="24"/>
          <w:lang w:val="en-US"/>
        </w:rPr>
      </w:pPr>
    </w:p>
    <w:p w14:paraId="1D77EBAB" w14:textId="77777777" w:rsidR="006C5FDB" w:rsidRPr="00CF4C8E" w:rsidRDefault="006C5FDB" w:rsidP="006C5FDB">
      <w:pPr>
        <w:ind w:left="20" w:hanging="20"/>
        <w:jc w:val="both"/>
        <w:rPr>
          <w:sz w:val="24"/>
        </w:rPr>
      </w:pPr>
      <w:r w:rsidRPr="00CF4C8E">
        <w:rPr>
          <w:sz w:val="24"/>
        </w:rPr>
        <w:t>à partir du texte de :</w:t>
      </w:r>
    </w:p>
    <w:p w14:paraId="1C98CB67" w14:textId="77777777" w:rsidR="006C5FDB" w:rsidRDefault="006C5FDB" w:rsidP="006C5FDB">
      <w:pPr>
        <w:ind w:firstLine="0"/>
        <w:jc w:val="both"/>
        <w:rPr>
          <w:sz w:val="24"/>
        </w:rPr>
      </w:pPr>
    </w:p>
    <w:p w14:paraId="2CBFDE73" w14:textId="77777777" w:rsidR="006C5FDB" w:rsidRPr="003D212B" w:rsidRDefault="006C5FDB" w:rsidP="006C5FDB">
      <w:pPr>
        <w:ind w:firstLine="0"/>
        <w:jc w:val="both"/>
      </w:pPr>
      <w:r>
        <w:t>Fraçois CHAZEL</w:t>
      </w:r>
    </w:p>
    <w:p w14:paraId="57C5A5D0" w14:textId="77777777" w:rsidR="006C5FDB" w:rsidRPr="003D212B" w:rsidRDefault="006C5FDB" w:rsidP="006C5FDB">
      <w:pPr>
        <w:ind w:firstLine="0"/>
        <w:jc w:val="both"/>
      </w:pPr>
    </w:p>
    <w:p w14:paraId="5476F3B4" w14:textId="77777777" w:rsidR="006C5FDB" w:rsidRPr="003D212B" w:rsidRDefault="006C5FDB" w:rsidP="006C5FDB">
      <w:pPr>
        <w:ind w:firstLine="0"/>
        <w:jc w:val="both"/>
      </w:pPr>
      <w:r w:rsidRPr="003D212B">
        <w:t>“</w:t>
      </w:r>
      <w:r>
        <w:rPr>
          <w:b/>
          <w:i/>
          <w:color w:val="FF0000"/>
        </w:rPr>
        <w:t>Les ruptures révolutionnaires</w:t>
      </w:r>
      <w:r w:rsidRPr="003D212B">
        <w:t>.”</w:t>
      </w:r>
    </w:p>
    <w:p w14:paraId="727023BE" w14:textId="77777777" w:rsidR="006C5FDB" w:rsidRDefault="006C5FDB" w:rsidP="006C5FDB">
      <w:pPr>
        <w:ind w:firstLine="0"/>
        <w:jc w:val="both"/>
        <w:rPr>
          <w:sz w:val="24"/>
        </w:rPr>
      </w:pPr>
    </w:p>
    <w:p w14:paraId="53182AAE" w14:textId="77777777" w:rsidR="006C5FDB" w:rsidRPr="00C20444" w:rsidRDefault="006C5FDB" w:rsidP="006C5FDB">
      <w:pPr>
        <w:ind w:firstLine="0"/>
        <w:jc w:val="both"/>
      </w:pPr>
      <w:r w:rsidRPr="003D212B">
        <w:t xml:space="preserve">In ouvrage sous la direction de Madeleine Grawitz et Jean LECA, </w:t>
      </w:r>
      <w:r w:rsidRPr="003D212B">
        <w:rPr>
          <w:b/>
          <w:color w:val="000080"/>
        </w:rPr>
        <w:t>TRAITÉ DE SCIENCE POLITIQUE. Tome 2. Les régimes pol</w:t>
      </w:r>
      <w:r w:rsidRPr="003D212B">
        <w:rPr>
          <w:b/>
          <w:color w:val="000080"/>
        </w:rPr>
        <w:t>i</w:t>
      </w:r>
      <w:r w:rsidRPr="003D212B">
        <w:rPr>
          <w:b/>
          <w:color w:val="000080"/>
        </w:rPr>
        <w:t>tiques</w:t>
      </w:r>
      <w:r>
        <w:rPr>
          <w:b/>
          <w:color w:val="000080"/>
        </w:rPr>
        <w:t xml:space="preserve"> contemporains. </w:t>
      </w:r>
      <w:r>
        <w:t xml:space="preserve">Chapitre 7, pp. 635-686. </w:t>
      </w:r>
      <w:r w:rsidRPr="00C20444">
        <w:t>Paris: Les Presses univers</w:t>
      </w:r>
      <w:r w:rsidRPr="00C20444">
        <w:t>i</w:t>
      </w:r>
      <w:r w:rsidRPr="00C20444">
        <w:t>taires d</w:t>
      </w:r>
      <w:r>
        <w:t>e France, 1re édition, 1985, 714</w:t>
      </w:r>
      <w:r w:rsidRPr="00C20444">
        <w:t xml:space="preserve"> pp.</w:t>
      </w:r>
    </w:p>
    <w:p w14:paraId="612A3C63" w14:textId="77777777" w:rsidR="006C5FDB" w:rsidRPr="00384B20" w:rsidRDefault="006C5FDB" w:rsidP="006C5FDB">
      <w:pPr>
        <w:jc w:val="both"/>
        <w:rPr>
          <w:sz w:val="24"/>
        </w:rPr>
      </w:pPr>
    </w:p>
    <w:p w14:paraId="2C5B8060" w14:textId="77777777" w:rsidR="006C5FDB" w:rsidRPr="00384B20" w:rsidRDefault="006C5FDB" w:rsidP="006C5FDB">
      <w:pPr>
        <w:jc w:val="both"/>
        <w:rPr>
          <w:sz w:val="24"/>
        </w:rPr>
      </w:pPr>
    </w:p>
    <w:p w14:paraId="4D58B79E" w14:textId="77777777" w:rsidR="006C5FDB" w:rsidRPr="00384B20" w:rsidRDefault="006C5FDB" w:rsidP="006C5FDB">
      <w:pPr>
        <w:ind w:left="20"/>
        <w:jc w:val="both"/>
        <w:rPr>
          <w:sz w:val="24"/>
        </w:rPr>
      </w:pPr>
      <w:r>
        <w:rPr>
          <w:sz w:val="24"/>
        </w:rPr>
        <w:t>Jean Leca</w:t>
      </w:r>
      <w:r w:rsidRPr="00384B20">
        <w:rPr>
          <w:sz w:val="24"/>
        </w:rPr>
        <w:t xml:space="preserve"> nous a accordé le </w:t>
      </w:r>
      <w:r>
        <w:rPr>
          <w:sz w:val="24"/>
        </w:rPr>
        <w:t xml:space="preserve">4 avril 2018 son </w:t>
      </w:r>
      <w:r w:rsidRPr="00384B20">
        <w:rPr>
          <w:sz w:val="24"/>
        </w:rPr>
        <w:t>autoris</w:t>
      </w:r>
      <w:r w:rsidRPr="00384B20">
        <w:rPr>
          <w:sz w:val="24"/>
        </w:rPr>
        <w:t>a</w:t>
      </w:r>
      <w:r w:rsidRPr="00384B20">
        <w:rPr>
          <w:sz w:val="24"/>
        </w:rPr>
        <w:t xml:space="preserve">tion de diffuser en accès libre à tous </w:t>
      </w:r>
      <w:r>
        <w:rPr>
          <w:sz w:val="24"/>
        </w:rPr>
        <w:t>ce texte</w:t>
      </w:r>
      <w:r w:rsidRPr="00384B20">
        <w:rPr>
          <w:sz w:val="24"/>
        </w:rPr>
        <w:t xml:space="preserve"> dans Les Class</w:t>
      </w:r>
      <w:r w:rsidRPr="00384B20">
        <w:rPr>
          <w:sz w:val="24"/>
        </w:rPr>
        <w:t>i</w:t>
      </w:r>
      <w:r w:rsidRPr="00384B20">
        <w:rPr>
          <w:sz w:val="24"/>
        </w:rPr>
        <w:t>ques des sciences sociales.</w:t>
      </w:r>
    </w:p>
    <w:p w14:paraId="5F8912F2" w14:textId="77777777" w:rsidR="006C5FDB" w:rsidRPr="00384B20" w:rsidRDefault="006C5FDB" w:rsidP="006C5FDB">
      <w:pPr>
        <w:jc w:val="both"/>
        <w:rPr>
          <w:sz w:val="24"/>
        </w:rPr>
      </w:pPr>
    </w:p>
    <w:p w14:paraId="28A8B2FE" w14:textId="77777777" w:rsidR="006C5FDB" w:rsidRPr="00384B20" w:rsidRDefault="00AE7AAD" w:rsidP="006C5FDB">
      <w:pPr>
        <w:tabs>
          <w:tab w:val="left" w:pos="3150"/>
        </w:tabs>
        <w:ind w:firstLine="0"/>
        <w:rPr>
          <w:sz w:val="24"/>
        </w:rPr>
      </w:pPr>
      <w:r w:rsidRPr="00384B20">
        <w:rPr>
          <w:noProof/>
          <w:sz w:val="24"/>
        </w:rPr>
        <w:drawing>
          <wp:inline distT="0" distB="0" distL="0" distR="0" wp14:anchorId="32FEA573" wp14:editId="6E1DFAA0">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6C5FDB">
        <w:rPr>
          <w:sz w:val="24"/>
        </w:rPr>
        <w:t xml:space="preserve"> Courriel</w:t>
      </w:r>
      <w:r w:rsidR="006C5FDB" w:rsidRPr="00384B20">
        <w:rPr>
          <w:sz w:val="24"/>
        </w:rPr>
        <w:t> :</w:t>
      </w:r>
      <w:r w:rsidR="006C5FDB">
        <w:rPr>
          <w:sz w:val="24"/>
        </w:rPr>
        <w:t xml:space="preserve"> Jean LECA : </w:t>
      </w:r>
      <w:r w:rsidR="006C5FDB" w:rsidRPr="00384B20">
        <w:rPr>
          <w:sz w:val="24"/>
        </w:rPr>
        <w:t xml:space="preserve"> </w:t>
      </w:r>
      <w:hyperlink r:id="rId14" w:history="1">
        <w:r w:rsidR="006C5FDB" w:rsidRPr="00B77A05">
          <w:rPr>
            <w:rStyle w:val="Hyperlien"/>
            <w:sz w:val="24"/>
          </w:rPr>
          <w:t>jean.leca@gmail.com</w:t>
        </w:r>
      </w:hyperlink>
      <w:r w:rsidR="006C5FDB">
        <w:rPr>
          <w:sz w:val="24"/>
        </w:rPr>
        <w:t xml:space="preserve"> </w:t>
      </w:r>
    </w:p>
    <w:p w14:paraId="6AE79562" w14:textId="77777777" w:rsidR="006C5FDB" w:rsidRDefault="006C5FDB" w:rsidP="006C5FDB">
      <w:pPr>
        <w:ind w:left="20"/>
        <w:jc w:val="both"/>
        <w:rPr>
          <w:sz w:val="24"/>
        </w:rPr>
      </w:pPr>
    </w:p>
    <w:p w14:paraId="515ACC02" w14:textId="77777777" w:rsidR="006C5FDB" w:rsidRPr="00384B20" w:rsidRDefault="006C5FDB" w:rsidP="006C5FDB">
      <w:pPr>
        <w:ind w:left="20"/>
        <w:jc w:val="both"/>
        <w:rPr>
          <w:sz w:val="24"/>
        </w:rPr>
      </w:pPr>
    </w:p>
    <w:p w14:paraId="235148DD" w14:textId="77777777" w:rsidR="006C5FDB" w:rsidRPr="00384B20" w:rsidRDefault="006C5FDB">
      <w:pPr>
        <w:ind w:right="1800" w:firstLine="0"/>
        <w:jc w:val="both"/>
        <w:rPr>
          <w:sz w:val="24"/>
        </w:rPr>
      </w:pPr>
      <w:r>
        <w:rPr>
          <w:sz w:val="24"/>
        </w:rPr>
        <w:t>Police</w:t>
      </w:r>
      <w:r w:rsidRPr="00384B20">
        <w:rPr>
          <w:sz w:val="24"/>
        </w:rPr>
        <w:t xml:space="preserve"> de caractères utilisée</w:t>
      </w:r>
      <w:r>
        <w:rPr>
          <w:sz w:val="24"/>
        </w:rPr>
        <w:t>s</w:t>
      </w:r>
      <w:r w:rsidRPr="00384B20">
        <w:rPr>
          <w:sz w:val="24"/>
        </w:rPr>
        <w:t> :</w:t>
      </w:r>
    </w:p>
    <w:p w14:paraId="0064FB7D" w14:textId="77777777" w:rsidR="006C5FDB" w:rsidRPr="00384B20" w:rsidRDefault="006C5FDB">
      <w:pPr>
        <w:ind w:right="1800" w:firstLine="0"/>
        <w:jc w:val="both"/>
        <w:rPr>
          <w:sz w:val="24"/>
        </w:rPr>
      </w:pPr>
    </w:p>
    <w:p w14:paraId="3D109C8A" w14:textId="77777777" w:rsidR="006C5FDB" w:rsidRPr="00384B20" w:rsidRDefault="006C5FDB" w:rsidP="006C5FDB">
      <w:pPr>
        <w:ind w:left="360" w:right="360" w:firstLine="0"/>
        <w:jc w:val="both"/>
        <w:rPr>
          <w:sz w:val="24"/>
        </w:rPr>
      </w:pPr>
      <w:r w:rsidRPr="00384B20">
        <w:rPr>
          <w:sz w:val="24"/>
        </w:rPr>
        <w:t>Pour le texte: Times New Roman, 14 points.</w:t>
      </w:r>
    </w:p>
    <w:p w14:paraId="41522177" w14:textId="77777777" w:rsidR="006C5FDB" w:rsidRPr="00384B20" w:rsidRDefault="006C5FDB" w:rsidP="006C5FDB">
      <w:pPr>
        <w:ind w:left="360" w:right="360" w:firstLine="0"/>
        <w:jc w:val="both"/>
        <w:rPr>
          <w:sz w:val="24"/>
        </w:rPr>
      </w:pPr>
      <w:r w:rsidRPr="00384B20">
        <w:rPr>
          <w:sz w:val="24"/>
        </w:rPr>
        <w:t>Pour les notes de bas de page : Times New Roman, 12 points.</w:t>
      </w:r>
    </w:p>
    <w:p w14:paraId="06DAB776" w14:textId="77777777" w:rsidR="006C5FDB" w:rsidRPr="00384B20" w:rsidRDefault="006C5FDB">
      <w:pPr>
        <w:ind w:left="360" w:right="1800" w:firstLine="0"/>
        <w:jc w:val="both"/>
        <w:rPr>
          <w:sz w:val="24"/>
        </w:rPr>
      </w:pPr>
    </w:p>
    <w:p w14:paraId="0FBCEC8F" w14:textId="77777777" w:rsidR="006C5FDB" w:rsidRPr="00384B20" w:rsidRDefault="006C5FDB">
      <w:pPr>
        <w:ind w:right="360" w:firstLine="0"/>
        <w:jc w:val="both"/>
        <w:rPr>
          <w:sz w:val="24"/>
        </w:rPr>
      </w:pPr>
      <w:r w:rsidRPr="00384B20">
        <w:rPr>
          <w:sz w:val="24"/>
        </w:rPr>
        <w:t>Édition électronique réalisée avec le traitement de textes Microsoft Word 2008 pour Macintosh.</w:t>
      </w:r>
    </w:p>
    <w:p w14:paraId="5DCBD063" w14:textId="77777777" w:rsidR="006C5FDB" w:rsidRPr="00384B20" w:rsidRDefault="006C5FDB">
      <w:pPr>
        <w:ind w:right="1800" w:firstLine="0"/>
        <w:jc w:val="both"/>
        <w:rPr>
          <w:sz w:val="24"/>
        </w:rPr>
      </w:pPr>
    </w:p>
    <w:p w14:paraId="6F0646C5" w14:textId="77777777" w:rsidR="006C5FDB" w:rsidRPr="00384B20" w:rsidRDefault="006C5FDB" w:rsidP="006C5FDB">
      <w:pPr>
        <w:ind w:right="540" w:firstLine="0"/>
        <w:jc w:val="both"/>
        <w:rPr>
          <w:sz w:val="24"/>
        </w:rPr>
      </w:pPr>
      <w:r w:rsidRPr="00384B20">
        <w:rPr>
          <w:sz w:val="24"/>
        </w:rPr>
        <w:t>Mise en page sur papier format : LETTRE US, 8.5’’ x 11’’.</w:t>
      </w:r>
    </w:p>
    <w:p w14:paraId="5ED5E77B" w14:textId="77777777" w:rsidR="006C5FDB" w:rsidRPr="00384B20" w:rsidRDefault="006C5FDB">
      <w:pPr>
        <w:ind w:right="1800" w:firstLine="0"/>
        <w:jc w:val="both"/>
        <w:rPr>
          <w:sz w:val="24"/>
        </w:rPr>
      </w:pPr>
    </w:p>
    <w:p w14:paraId="4F1E3386" w14:textId="77777777" w:rsidR="006C5FDB" w:rsidRPr="00384B20" w:rsidRDefault="006C5FDB" w:rsidP="006C5FDB">
      <w:pPr>
        <w:ind w:firstLine="0"/>
        <w:jc w:val="both"/>
        <w:rPr>
          <w:sz w:val="24"/>
        </w:rPr>
      </w:pPr>
      <w:r w:rsidRPr="00384B20">
        <w:rPr>
          <w:sz w:val="24"/>
        </w:rPr>
        <w:t xml:space="preserve">Édition numérique réalisée le </w:t>
      </w:r>
      <w:r>
        <w:rPr>
          <w:sz w:val="24"/>
        </w:rPr>
        <w:t>13 avril 2022 à Chicoutimi</w:t>
      </w:r>
      <w:r w:rsidRPr="00384B20">
        <w:rPr>
          <w:sz w:val="24"/>
        </w:rPr>
        <w:t>, Qu</w:t>
      </w:r>
      <w:r w:rsidRPr="00384B20">
        <w:rPr>
          <w:sz w:val="24"/>
        </w:rPr>
        <w:t>é</w:t>
      </w:r>
      <w:r w:rsidRPr="00384B20">
        <w:rPr>
          <w:sz w:val="24"/>
        </w:rPr>
        <w:t>bec.</w:t>
      </w:r>
    </w:p>
    <w:p w14:paraId="54AB6D5A" w14:textId="77777777" w:rsidR="006C5FDB" w:rsidRPr="00384B20" w:rsidRDefault="006C5FDB">
      <w:pPr>
        <w:ind w:right="1800" w:firstLine="0"/>
        <w:jc w:val="both"/>
        <w:rPr>
          <w:sz w:val="24"/>
        </w:rPr>
      </w:pPr>
    </w:p>
    <w:p w14:paraId="4F8EEF16" w14:textId="77777777" w:rsidR="006C5FDB" w:rsidRPr="00E07116" w:rsidRDefault="00AE7AAD">
      <w:pPr>
        <w:ind w:right="1800" w:firstLine="0"/>
        <w:jc w:val="both"/>
      </w:pPr>
      <w:r w:rsidRPr="00E07116">
        <w:rPr>
          <w:noProof/>
        </w:rPr>
        <w:drawing>
          <wp:inline distT="0" distB="0" distL="0" distR="0" wp14:anchorId="0F24C1C4" wp14:editId="102A3693">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976ED38" w14:textId="77777777" w:rsidR="006C5FDB" w:rsidRPr="00E07116" w:rsidRDefault="006C5FDB" w:rsidP="006C5FDB">
      <w:pPr>
        <w:ind w:left="20"/>
        <w:jc w:val="both"/>
      </w:pPr>
      <w:r w:rsidRPr="00E07116">
        <w:br w:type="page"/>
      </w:r>
    </w:p>
    <w:p w14:paraId="22774919" w14:textId="77777777" w:rsidR="006C5FDB" w:rsidRPr="0095405B" w:rsidRDefault="006C5FDB" w:rsidP="006C5FDB">
      <w:pPr>
        <w:ind w:firstLine="0"/>
        <w:jc w:val="center"/>
        <w:rPr>
          <w:sz w:val="36"/>
        </w:rPr>
      </w:pPr>
      <w:r>
        <w:rPr>
          <w:sz w:val="36"/>
        </w:rPr>
        <w:t>François CHAZEL</w:t>
      </w:r>
    </w:p>
    <w:p w14:paraId="553C100F" w14:textId="77777777" w:rsidR="006C5FDB" w:rsidRDefault="006C5FDB" w:rsidP="006C5FDB">
      <w:pPr>
        <w:ind w:firstLine="0"/>
        <w:jc w:val="center"/>
        <w:rPr>
          <w:sz w:val="24"/>
        </w:rPr>
      </w:pPr>
      <w:r w:rsidRPr="00E036D4">
        <w:rPr>
          <w:sz w:val="24"/>
        </w:rPr>
        <w:t xml:space="preserve">directeur du département de </w:t>
      </w:r>
      <w:r>
        <w:rPr>
          <w:sz w:val="24"/>
        </w:rPr>
        <w:t>s</w:t>
      </w:r>
      <w:r w:rsidRPr="00E036D4">
        <w:rPr>
          <w:sz w:val="24"/>
        </w:rPr>
        <w:t>ociol</w:t>
      </w:r>
      <w:r w:rsidRPr="00E036D4">
        <w:rPr>
          <w:sz w:val="24"/>
        </w:rPr>
        <w:t>o</w:t>
      </w:r>
      <w:r w:rsidRPr="00E036D4">
        <w:rPr>
          <w:sz w:val="24"/>
        </w:rPr>
        <w:t>gie de l’Université de</w:t>
      </w:r>
      <w:r>
        <w:rPr>
          <w:sz w:val="24"/>
        </w:rPr>
        <w:t xml:space="preserve"> </w:t>
      </w:r>
      <w:r w:rsidRPr="00E036D4">
        <w:rPr>
          <w:sz w:val="24"/>
        </w:rPr>
        <w:t>Bordeaux I</w:t>
      </w:r>
    </w:p>
    <w:p w14:paraId="7C40F054" w14:textId="77777777" w:rsidR="006C5FDB" w:rsidRPr="0095405B" w:rsidRDefault="006C5FDB" w:rsidP="006C5FDB">
      <w:pPr>
        <w:ind w:firstLine="0"/>
        <w:jc w:val="center"/>
        <w:rPr>
          <w:sz w:val="24"/>
        </w:rPr>
      </w:pPr>
    </w:p>
    <w:p w14:paraId="6250C165" w14:textId="77777777" w:rsidR="006C5FDB" w:rsidRDefault="006C5FDB" w:rsidP="006C5FDB">
      <w:pPr>
        <w:ind w:firstLine="0"/>
        <w:jc w:val="center"/>
        <w:rPr>
          <w:color w:val="000080"/>
          <w:sz w:val="36"/>
        </w:rPr>
      </w:pPr>
      <w:r>
        <w:rPr>
          <w:color w:val="000080"/>
          <w:sz w:val="36"/>
        </w:rPr>
        <w:t>“Les ruptures révolutionnaires.”</w:t>
      </w:r>
    </w:p>
    <w:p w14:paraId="4F183BB2" w14:textId="77777777" w:rsidR="006C5FDB" w:rsidRPr="00E07116" w:rsidRDefault="006C5FDB" w:rsidP="006C5FDB">
      <w:pPr>
        <w:ind w:firstLine="0"/>
        <w:jc w:val="center"/>
      </w:pPr>
    </w:p>
    <w:p w14:paraId="6FB70D1A" w14:textId="77777777" w:rsidR="006C5FDB" w:rsidRPr="00E07116" w:rsidRDefault="00AE7AAD" w:rsidP="006C5FDB">
      <w:pPr>
        <w:ind w:firstLine="0"/>
        <w:jc w:val="center"/>
      </w:pPr>
      <w:r>
        <w:rPr>
          <w:noProof/>
        </w:rPr>
        <w:drawing>
          <wp:inline distT="0" distB="0" distL="0" distR="0" wp14:anchorId="3E7C6BFC" wp14:editId="4647806F">
            <wp:extent cx="3561715" cy="4880610"/>
            <wp:effectExtent l="25400" t="25400" r="6985" b="889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1715" cy="4880610"/>
                    </a:xfrm>
                    <a:prstGeom prst="rect">
                      <a:avLst/>
                    </a:prstGeom>
                    <a:noFill/>
                    <a:ln w="19050" cmpd="sng">
                      <a:solidFill>
                        <a:srgbClr val="000000"/>
                      </a:solidFill>
                      <a:miter lim="800000"/>
                      <a:headEnd/>
                      <a:tailEnd/>
                    </a:ln>
                    <a:effectLst/>
                  </pic:spPr>
                </pic:pic>
              </a:graphicData>
            </a:graphic>
          </wp:inline>
        </w:drawing>
      </w:r>
    </w:p>
    <w:p w14:paraId="5C7E9ECC" w14:textId="77777777" w:rsidR="006C5FDB" w:rsidRPr="00E07116" w:rsidRDefault="006C5FDB" w:rsidP="006C5FDB">
      <w:pPr>
        <w:jc w:val="both"/>
      </w:pPr>
    </w:p>
    <w:p w14:paraId="009ED7CC" w14:textId="77777777" w:rsidR="006C5FDB" w:rsidRPr="00C20444" w:rsidRDefault="006C5FDB" w:rsidP="006C5FDB">
      <w:pPr>
        <w:ind w:firstLine="0"/>
        <w:jc w:val="both"/>
      </w:pPr>
      <w:r w:rsidRPr="003D212B">
        <w:t xml:space="preserve">In ouvrage sous la direction de Madeleine Grawitz et Jean LECA, </w:t>
      </w:r>
      <w:r w:rsidRPr="003D212B">
        <w:rPr>
          <w:b/>
          <w:color w:val="000080"/>
        </w:rPr>
        <w:t>TRAITÉ DE SCIENCE POLITIQUE. Tome 2. Les régimes pol</w:t>
      </w:r>
      <w:r w:rsidRPr="003D212B">
        <w:rPr>
          <w:b/>
          <w:color w:val="000080"/>
        </w:rPr>
        <w:t>i</w:t>
      </w:r>
      <w:r w:rsidRPr="003D212B">
        <w:rPr>
          <w:b/>
          <w:color w:val="000080"/>
        </w:rPr>
        <w:t>tiques</w:t>
      </w:r>
      <w:r>
        <w:rPr>
          <w:b/>
          <w:color w:val="000080"/>
        </w:rPr>
        <w:t xml:space="preserve"> contemporains. </w:t>
      </w:r>
      <w:r>
        <w:t xml:space="preserve">Chapitre 7, pp. 635-686. </w:t>
      </w:r>
      <w:r w:rsidRPr="00C20444">
        <w:t>Paris: Les Presses univers</w:t>
      </w:r>
      <w:r w:rsidRPr="00C20444">
        <w:t>i</w:t>
      </w:r>
      <w:r w:rsidRPr="00C20444">
        <w:t>taires d</w:t>
      </w:r>
      <w:r>
        <w:t>e France, 1re édition, 1985, 714</w:t>
      </w:r>
      <w:r w:rsidRPr="00C20444">
        <w:t xml:space="preserve"> pp.</w:t>
      </w:r>
    </w:p>
    <w:p w14:paraId="68C95EDC" w14:textId="77777777" w:rsidR="006C5FDB" w:rsidRPr="00E07116" w:rsidRDefault="006C5FDB" w:rsidP="006C5FDB">
      <w:pPr>
        <w:spacing w:before="120" w:after="120"/>
        <w:ind w:firstLine="0"/>
      </w:pPr>
      <w:r w:rsidRPr="00E07116">
        <w:br w:type="page"/>
      </w:r>
    </w:p>
    <w:p w14:paraId="10490F25" w14:textId="77777777" w:rsidR="006C5FDB" w:rsidRPr="00E07116" w:rsidRDefault="006C5FDB">
      <w:pPr>
        <w:jc w:val="both"/>
      </w:pPr>
    </w:p>
    <w:p w14:paraId="5DD6A8A0" w14:textId="77777777" w:rsidR="006C5FDB" w:rsidRPr="00E07116" w:rsidRDefault="006C5FDB">
      <w:pPr>
        <w:jc w:val="both"/>
      </w:pPr>
    </w:p>
    <w:p w14:paraId="0F0FE615" w14:textId="77777777" w:rsidR="006C5FDB" w:rsidRPr="00E07116" w:rsidRDefault="006C5FDB" w:rsidP="006C5FD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FFA72F1" w14:textId="77777777" w:rsidR="006C5FDB" w:rsidRPr="00E07116" w:rsidRDefault="006C5FDB" w:rsidP="006C5FDB">
      <w:pPr>
        <w:pStyle w:val="NormalWeb"/>
        <w:spacing w:before="2" w:after="2"/>
        <w:jc w:val="both"/>
        <w:rPr>
          <w:rFonts w:ascii="Times New Roman" w:hAnsi="Times New Roman"/>
          <w:sz w:val="28"/>
        </w:rPr>
      </w:pPr>
    </w:p>
    <w:p w14:paraId="7618740B" w14:textId="77777777" w:rsidR="006C5FDB" w:rsidRPr="00E07116" w:rsidRDefault="006C5FDB" w:rsidP="006C5FD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328CACD" w14:textId="77777777" w:rsidR="006C5FDB" w:rsidRPr="00E07116" w:rsidRDefault="006C5FDB" w:rsidP="006C5FDB">
      <w:pPr>
        <w:jc w:val="both"/>
        <w:rPr>
          <w:szCs w:val="19"/>
        </w:rPr>
      </w:pPr>
    </w:p>
    <w:p w14:paraId="6EF8D73D" w14:textId="77777777" w:rsidR="006C5FDB" w:rsidRPr="00E07116" w:rsidRDefault="006C5FDB">
      <w:pPr>
        <w:jc w:val="both"/>
        <w:rPr>
          <w:szCs w:val="19"/>
        </w:rPr>
      </w:pPr>
    </w:p>
    <w:p w14:paraId="5B6624E9" w14:textId="77777777" w:rsidR="006C5FDB" w:rsidRDefault="006C5FDB" w:rsidP="006C5FDB">
      <w:pPr>
        <w:spacing w:before="120" w:after="120"/>
        <w:ind w:left="360" w:hanging="360"/>
        <w:jc w:val="both"/>
      </w:pPr>
      <w:r>
        <w:br w:type="page"/>
      </w:r>
      <w:r>
        <w:lastRenderedPageBreak/>
        <w:t>[714]</w:t>
      </w:r>
    </w:p>
    <w:p w14:paraId="78A2F241" w14:textId="77777777" w:rsidR="006C5FDB" w:rsidRDefault="006C5FDB" w:rsidP="006C5FDB">
      <w:pPr>
        <w:jc w:val="both"/>
      </w:pPr>
    </w:p>
    <w:p w14:paraId="1E34B23C" w14:textId="77777777" w:rsidR="006C5FDB" w:rsidRDefault="006C5FDB" w:rsidP="006C5FDB">
      <w:pPr>
        <w:jc w:val="both"/>
      </w:pPr>
    </w:p>
    <w:p w14:paraId="66A65CC5" w14:textId="77777777" w:rsidR="006C5FDB" w:rsidRPr="00AA38D6" w:rsidRDefault="006C5FDB" w:rsidP="006C5FDB">
      <w:pPr>
        <w:ind w:hanging="20"/>
        <w:jc w:val="center"/>
        <w:rPr>
          <w:b/>
          <w:sz w:val="24"/>
        </w:rPr>
      </w:pPr>
      <w:bookmarkStart w:id="0" w:name="sommaire"/>
      <w:r w:rsidRPr="00AA38D6">
        <w:rPr>
          <w:b/>
          <w:sz w:val="24"/>
        </w:rPr>
        <w:t>TRAITÉ DE SCIENCE POLITIQUE.</w:t>
      </w:r>
    </w:p>
    <w:p w14:paraId="1741DB85" w14:textId="77777777" w:rsidR="006C5FDB" w:rsidRPr="00AA38D6" w:rsidRDefault="006C5FDB" w:rsidP="006C5FDB">
      <w:pPr>
        <w:ind w:firstLine="0"/>
        <w:jc w:val="center"/>
        <w:rPr>
          <w:sz w:val="24"/>
        </w:rPr>
      </w:pPr>
      <w:r w:rsidRPr="00AA38D6">
        <w:rPr>
          <w:sz w:val="24"/>
        </w:rPr>
        <w:t xml:space="preserve">Tome </w:t>
      </w:r>
      <w:r>
        <w:rPr>
          <w:sz w:val="24"/>
        </w:rPr>
        <w:t>2</w:t>
      </w:r>
      <w:r w:rsidRPr="00AA38D6">
        <w:rPr>
          <w:sz w:val="24"/>
        </w:rPr>
        <w:t xml:space="preserve">. </w:t>
      </w:r>
      <w:r>
        <w:rPr>
          <w:sz w:val="24"/>
        </w:rPr>
        <w:t>Les régimes politiques contemporains</w:t>
      </w:r>
    </w:p>
    <w:p w14:paraId="548F2AA6" w14:textId="77777777" w:rsidR="006C5FDB" w:rsidRPr="00384B20" w:rsidRDefault="006C5FDB" w:rsidP="006C5FDB">
      <w:pPr>
        <w:pStyle w:val="planchest"/>
      </w:pPr>
      <w:r>
        <w:t>Table des matières</w:t>
      </w:r>
    </w:p>
    <w:bookmarkEnd w:id="0"/>
    <w:p w14:paraId="1363F807" w14:textId="77777777" w:rsidR="006C5FDB" w:rsidRPr="00E07116" w:rsidRDefault="006C5FDB" w:rsidP="006C5FDB">
      <w:pPr>
        <w:ind w:firstLine="0"/>
      </w:pPr>
    </w:p>
    <w:p w14:paraId="7D2ED039" w14:textId="77777777" w:rsidR="006C5FDB" w:rsidRPr="004A25B0" w:rsidRDefault="006C5FDB" w:rsidP="006C5FDB">
      <w:pPr>
        <w:spacing w:before="120" w:after="120"/>
        <w:ind w:left="360" w:hanging="360"/>
        <w:jc w:val="both"/>
        <w:rPr>
          <w:sz w:val="24"/>
          <w:szCs w:val="16"/>
        </w:rPr>
      </w:pPr>
    </w:p>
    <w:p w14:paraId="07F716F1" w14:textId="77777777" w:rsidR="006C5FDB" w:rsidRPr="004A25B0" w:rsidRDefault="006C5FDB" w:rsidP="006C5FDB">
      <w:pPr>
        <w:spacing w:before="120" w:after="120"/>
        <w:ind w:left="1440" w:hanging="1440"/>
        <w:jc w:val="center"/>
        <w:rPr>
          <w:sz w:val="24"/>
        </w:rPr>
      </w:pPr>
      <w:r>
        <w:rPr>
          <w:sz w:val="24"/>
          <w:szCs w:val="16"/>
        </w:rPr>
        <w:t xml:space="preserve">Chapitre VII. </w:t>
      </w:r>
      <w:hyperlink w:anchor="Traite_t2_pt_2_chap_VII" w:history="1">
        <w:r w:rsidRPr="00457D56">
          <w:rPr>
            <w:rStyle w:val="Hyperlien"/>
            <w:sz w:val="24"/>
            <w:szCs w:val="16"/>
          </w:rPr>
          <w:t>L</w:t>
        </w:r>
        <w:r w:rsidRPr="00457D56">
          <w:rPr>
            <w:rStyle w:val="Hyperlien"/>
            <w:bCs/>
            <w:sz w:val="24"/>
            <w:szCs w:val="16"/>
          </w:rPr>
          <w:t>es r</w:t>
        </w:r>
        <w:r w:rsidRPr="00457D56">
          <w:rPr>
            <w:rStyle w:val="Hyperlien"/>
            <w:bCs/>
            <w:sz w:val="24"/>
            <w:szCs w:val="16"/>
          </w:rPr>
          <w:t>u</w:t>
        </w:r>
        <w:r w:rsidRPr="00457D56">
          <w:rPr>
            <w:rStyle w:val="Hyperlien"/>
            <w:bCs/>
            <w:sz w:val="24"/>
            <w:szCs w:val="16"/>
          </w:rPr>
          <w:t>ptures révolutionnaires</w:t>
        </w:r>
      </w:hyperlink>
      <w:r w:rsidRPr="004A25B0">
        <w:rPr>
          <w:bCs/>
          <w:sz w:val="24"/>
          <w:szCs w:val="16"/>
        </w:rPr>
        <w:t>,</w:t>
      </w:r>
      <w:r>
        <w:rPr>
          <w:bCs/>
          <w:sz w:val="24"/>
          <w:szCs w:val="16"/>
        </w:rPr>
        <w:br/>
      </w:r>
      <w:r w:rsidRPr="004A25B0">
        <w:rPr>
          <w:i/>
          <w:iCs/>
          <w:sz w:val="24"/>
          <w:szCs w:val="16"/>
        </w:rPr>
        <w:t>par F. Chazel</w:t>
      </w:r>
      <w:r w:rsidRPr="004A25B0">
        <w:rPr>
          <w:sz w:val="24"/>
        </w:rPr>
        <w:t xml:space="preserve"> [</w:t>
      </w:r>
      <w:r w:rsidRPr="004A25B0">
        <w:rPr>
          <w:sz w:val="24"/>
          <w:szCs w:val="16"/>
        </w:rPr>
        <w:t>635]</w:t>
      </w:r>
    </w:p>
    <w:p w14:paraId="2D37D552" w14:textId="77777777" w:rsidR="006C5FDB" w:rsidRPr="004A25B0" w:rsidRDefault="006C5FDB" w:rsidP="006C5FDB">
      <w:pPr>
        <w:spacing w:before="120" w:after="120"/>
        <w:ind w:left="360" w:hanging="360"/>
        <w:jc w:val="both"/>
        <w:rPr>
          <w:sz w:val="24"/>
          <w:szCs w:val="16"/>
        </w:rPr>
      </w:pPr>
    </w:p>
    <w:p w14:paraId="51FF865A" w14:textId="77777777" w:rsidR="006C5FDB" w:rsidRPr="004A25B0" w:rsidRDefault="006C5FDB" w:rsidP="006C5FDB">
      <w:pPr>
        <w:spacing w:before="120" w:after="120"/>
        <w:ind w:left="360" w:hanging="360"/>
        <w:jc w:val="both"/>
        <w:rPr>
          <w:sz w:val="24"/>
        </w:rPr>
      </w:pPr>
      <w:r w:rsidRPr="004A25B0">
        <w:rPr>
          <w:i/>
          <w:iCs/>
          <w:sz w:val="24"/>
          <w:szCs w:val="16"/>
        </w:rPr>
        <w:t xml:space="preserve">Section </w:t>
      </w:r>
      <w:r>
        <w:rPr>
          <w:bCs/>
          <w:i/>
          <w:iCs/>
          <w:sz w:val="24"/>
          <w:szCs w:val="16"/>
        </w:rPr>
        <w:t xml:space="preserve">1. </w:t>
      </w:r>
      <w:hyperlink w:anchor="Traite_t2_pt_2_chap_VII_Sec_1" w:history="1">
        <w:r w:rsidRPr="004B5FD9">
          <w:rPr>
            <w:rStyle w:val="Hyperlien"/>
            <w:bCs/>
            <w:i/>
            <w:iCs/>
            <w:sz w:val="24"/>
            <w:szCs w:val="16"/>
          </w:rPr>
          <w:t>Le phénomène révolutionnaire. Problèmes de définition</w:t>
        </w:r>
      </w:hyperlink>
      <w:r w:rsidRPr="004A25B0">
        <w:rPr>
          <w:sz w:val="24"/>
        </w:rPr>
        <w:t xml:space="preserve"> [</w:t>
      </w:r>
      <w:r w:rsidRPr="004A25B0">
        <w:rPr>
          <w:sz w:val="24"/>
          <w:szCs w:val="16"/>
        </w:rPr>
        <w:t>635]</w:t>
      </w:r>
    </w:p>
    <w:p w14:paraId="52D2032F" w14:textId="77777777" w:rsidR="006C5FDB" w:rsidRPr="004A25B0" w:rsidRDefault="006C5FDB" w:rsidP="006C5FDB">
      <w:pPr>
        <w:spacing w:before="120" w:after="120"/>
        <w:ind w:left="360" w:hanging="360"/>
        <w:jc w:val="both"/>
        <w:rPr>
          <w:sz w:val="24"/>
        </w:rPr>
      </w:pPr>
      <w:r w:rsidRPr="004A25B0">
        <w:rPr>
          <w:i/>
          <w:iCs/>
          <w:sz w:val="24"/>
          <w:szCs w:val="16"/>
        </w:rPr>
        <w:t>Section 2</w:t>
      </w:r>
      <w:r>
        <w:rPr>
          <w:i/>
          <w:iCs/>
          <w:sz w:val="24"/>
          <w:szCs w:val="16"/>
        </w:rPr>
        <w:t xml:space="preserve">. </w:t>
      </w:r>
      <w:hyperlink w:anchor="Traite_t2_pt_2_chap_VII_Sec_2" w:history="1">
        <w:r w:rsidRPr="004B5FD9">
          <w:rPr>
            <w:rStyle w:val="Hyperlien"/>
            <w:bCs/>
            <w:i/>
            <w:iCs/>
            <w:sz w:val="24"/>
            <w:szCs w:val="16"/>
          </w:rPr>
          <w:t>Théories</w:t>
        </w:r>
      </w:hyperlink>
      <w:r w:rsidRPr="004A25B0">
        <w:rPr>
          <w:sz w:val="24"/>
        </w:rPr>
        <w:t xml:space="preserve"> [</w:t>
      </w:r>
      <w:r w:rsidRPr="004A25B0">
        <w:rPr>
          <w:sz w:val="24"/>
          <w:szCs w:val="16"/>
        </w:rPr>
        <w:t>646]</w:t>
      </w:r>
    </w:p>
    <w:p w14:paraId="5DD10FC5" w14:textId="77777777" w:rsidR="006C5FDB" w:rsidRPr="004A25B0" w:rsidRDefault="006C5FDB" w:rsidP="006C5FDB">
      <w:pPr>
        <w:spacing w:before="60" w:after="60"/>
        <w:ind w:left="720" w:hanging="360"/>
        <w:jc w:val="both"/>
        <w:rPr>
          <w:sz w:val="24"/>
        </w:rPr>
      </w:pPr>
      <w:r w:rsidRPr="004A25B0">
        <w:rPr>
          <w:sz w:val="24"/>
          <w:szCs w:val="16"/>
        </w:rPr>
        <w:t>1.</w:t>
      </w:r>
      <w:r w:rsidRPr="004A25B0">
        <w:rPr>
          <w:sz w:val="24"/>
          <w:szCs w:val="16"/>
        </w:rPr>
        <w:tab/>
      </w:r>
      <w:hyperlink w:anchor="Traite_t2_pt_2_chap_VII_Sec_2_1" w:history="1">
        <w:r w:rsidRPr="004B5FD9">
          <w:rPr>
            <w:rStyle w:val="Hyperlien"/>
            <w:sz w:val="24"/>
            <w:szCs w:val="16"/>
          </w:rPr>
          <w:t>Trois explications classiques</w:t>
        </w:r>
      </w:hyperlink>
      <w:r w:rsidRPr="004A25B0">
        <w:rPr>
          <w:sz w:val="24"/>
        </w:rPr>
        <w:t xml:space="preserve"> [</w:t>
      </w:r>
      <w:r w:rsidRPr="004A25B0">
        <w:rPr>
          <w:sz w:val="24"/>
          <w:szCs w:val="16"/>
        </w:rPr>
        <w:t>646]</w:t>
      </w:r>
    </w:p>
    <w:p w14:paraId="3856CF69" w14:textId="77777777" w:rsidR="006C5FDB" w:rsidRPr="004A25B0" w:rsidRDefault="006C5FDB" w:rsidP="006C5FDB">
      <w:pPr>
        <w:spacing w:before="60" w:after="60"/>
        <w:ind w:left="720" w:hanging="360"/>
        <w:jc w:val="both"/>
        <w:rPr>
          <w:sz w:val="24"/>
        </w:rPr>
      </w:pPr>
      <w:r w:rsidRPr="004A25B0">
        <w:rPr>
          <w:sz w:val="24"/>
          <w:szCs w:val="16"/>
        </w:rPr>
        <w:t>2.</w:t>
      </w:r>
      <w:r w:rsidRPr="004A25B0">
        <w:rPr>
          <w:sz w:val="24"/>
          <w:szCs w:val="16"/>
        </w:rPr>
        <w:tab/>
      </w:r>
      <w:hyperlink w:anchor="Traite_t2_pt_2_chap_VII_Sec_2_2" w:history="1">
        <w:r w:rsidRPr="004B5FD9">
          <w:rPr>
            <w:rStyle w:val="Hyperlien"/>
            <w:sz w:val="24"/>
            <w:szCs w:val="16"/>
          </w:rPr>
          <w:t>Recherches récentes</w:t>
        </w:r>
      </w:hyperlink>
      <w:r w:rsidRPr="004A25B0">
        <w:rPr>
          <w:sz w:val="24"/>
        </w:rPr>
        <w:t xml:space="preserve"> [</w:t>
      </w:r>
      <w:r w:rsidRPr="004A25B0">
        <w:rPr>
          <w:sz w:val="24"/>
          <w:szCs w:val="16"/>
        </w:rPr>
        <w:t>653]</w:t>
      </w:r>
    </w:p>
    <w:p w14:paraId="755FB6A0" w14:textId="77777777" w:rsidR="006C5FDB" w:rsidRPr="004A25B0" w:rsidRDefault="006C5FDB" w:rsidP="006C5FDB">
      <w:pPr>
        <w:spacing w:before="60" w:after="60"/>
        <w:ind w:left="1080" w:hanging="360"/>
        <w:jc w:val="both"/>
        <w:rPr>
          <w:sz w:val="24"/>
        </w:rPr>
      </w:pPr>
      <w:r w:rsidRPr="004A25B0">
        <w:rPr>
          <w:i/>
          <w:iCs/>
          <w:sz w:val="24"/>
          <w:szCs w:val="16"/>
        </w:rPr>
        <w:t>A.</w:t>
      </w:r>
      <w:r w:rsidRPr="004A25B0">
        <w:rPr>
          <w:i/>
          <w:iCs/>
          <w:sz w:val="24"/>
          <w:szCs w:val="16"/>
        </w:rPr>
        <w:tab/>
        <w:t>L’histoire naturelle des révolutions</w:t>
      </w:r>
      <w:r w:rsidRPr="004A25B0">
        <w:rPr>
          <w:sz w:val="24"/>
        </w:rPr>
        <w:t xml:space="preserve"> [</w:t>
      </w:r>
      <w:r w:rsidRPr="004A25B0">
        <w:rPr>
          <w:sz w:val="24"/>
          <w:szCs w:val="16"/>
        </w:rPr>
        <w:t>655]</w:t>
      </w:r>
    </w:p>
    <w:p w14:paraId="73EDFCE7" w14:textId="77777777" w:rsidR="006C5FDB" w:rsidRPr="004A25B0" w:rsidRDefault="006C5FDB" w:rsidP="006C5FDB">
      <w:pPr>
        <w:spacing w:before="60" w:after="60"/>
        <w:ind w:left="1080" w:hanging="360"/>
        <w:jc w:val="both"/>
        <w:rPr>
          <w:sz w:val="24"/>
        </w:rPr>
      </w:pPr>
      <w:r w:rsidRPr="004A25B0">
        <w:rPr>
          <w:i/>
          <w:iCs/>
          <w:sz w:val="24"/>
          <w:szCs w:val="16"/>
        </w:rPr>
        <w:t>B.</w:t>
      </w:r>
      <w:r w:rsidRPr="004A25B0">
        <w:rPr>
          <w:i/>
          <w:iCs/>
          <w:sz w:val="24"/>
          <w:szCs w:val="16"/>
        </w:rPr>
        <w:tab/>
        <w:t>Les modèles volcaniques</w:t>
      </w:r>
      <w:r w:rsidRPr="004A25B0">
        <w:rPr>
          <w:sz w:val="24"/>
        </w:rPr>
        <w:t xml:space="preserve"> [</w:t>
      </w:r>
      <w:r w:rsidRPr="004A25B0">
        <w:rPr>
          <w:sz w:val="24"/>
          <w:szCs w:val="16"/>
        </w:rPr>
        <w:t>658]</w:t>
      </w:r>
    </w:p>
    <w:p w14:paraId="0C0C0F99" w14:textId="77777777" w:rsidR="006C5FDB" w:rsidRPr="004A25B0" w:rsidRDefault="006C5FDB" w:rsidP="006C5FDB">
      <w:pPr>
        <w:spacing w:before="60" w:after="60"/>
        <w:ind w:left="1080" w:hanging="360"/>
        <w:jc w:val="both"/>
        <w:rPr>
          <w:sz w:val="24"/>
        </w:rPr>
      </w:pPr>
      <w:r w:rsidRPr="004A25B0">
        <w:rPr>
          <w:i/>
          <w:iCs/>
          <w:sz w:val="24"/>
          <w:szCs w:val="16"/>
        </w:rPr>
        <w:t>C.</w:t>
      </w:r>
      <w:r w:rsidRPr="004A25B0">
        <w:rPr>
          <w:i/>
          <w:iCs/>
          <w:sz w:val="24"/>
          <w:szCs w:val="16"/>
        </w:rPr>
        <w:tab/>
        <w:t>Les études comparatives socio-historiques</w:t>
      </w:r>
      <w:r w:rsidRPr="004A25B0">
        <w:rPr>
          <w:sz w:val="24"/>
        </w:rPr>
        <w:t xml:space="preserve"> [</w:t>
      </w:r>
      <w:r w:rsidRPr="004A25B0">
        <w:rPr>
          <w:sz w:val="24"/>
          <w:szCs w:val="16"/>
        </w:rPr>
        <w:t>669]</w:t>
      </w:r>
    </w:p>
    <w:p w14:paraId="45BF26CA" w14:textId="77777777" w:rsidR="006C5FDB" w:rsidRPr="004A25B0" w:rsidRDefault="006C5FDB" w:rsidP="006C5FDB">
      <w:pPr>
        <w:spacing w:before="60" w:after="60"/>
        <w:ind w:left="1080" w:hanging="360"/>
        <w:jc w:val="both"/>
        <w:rPr>
          <w:sz w:val="24"/>
        </w:rPr>
      </w:pPr>
      <w:r w:rsidRPr="004A25B0">
        <w:rPr>
          <w:i/>
          <w:iCs/>
          <w:sz w:val="24"/>
          <w:szCs w:val="16"/>
        </w:rPr>
        <w:t>D.</w:t>
      </w:r>
      <w:r w:rsidRPr="004A25B0">
        <w:rPr>
          <w:i/>
          <w:iCs/>
          <w:sz w:val="24"/>
          <w:szCs w:val="16"/>
        </w:rPr>
        <w:tab/>
        <w:t>La mobilisation politique</w:t>
      </w:r>
      <w:r w:rsidRPr="004A25B0">
        <w:rPr>
          <w:sz w:val="24"/>
        </w:rPr>
        <w:t xml:space="preserve"> [</w:t>
      </w:r>
      <w:r w:rsidRPr="004A25B0">
        <w:rPr>
          <w:sz w:val="24"/>
          <w:szCs w:val="16"/>
        </w:rPr>
        <w:t>677]</w:t>
      </w:r>
    </w:p>
    <w:p w14:paraId="513FF4CA" w14:textId="77777777" w:rsidR="006C5FDB" w:rsidRPr="004A25B0" w:rsidRDefault="006C5FDB" w:rsidP="006C5FDB">
      <w:pPr>
        <w:spacing w:before="120" w:after="120"/>
        <w:ind w:left="360" w:hanging="360"/>
        <w:jc w:val="both"/>
        <w:rPr>
          <w:sz w:val="24"/>
        </w:rPr>
      </w:pPr>
      <w:hyperlink w:anchor="Traite_t2_pt_2_chap_VII_biblio" w:history="1">
        <w:r w:rsidRPr="004B5FD9">
          <w:rPr>
            <w:rStyle w:val="Hyperlien"/>
            <w:i/>
            <w:iCs/>
            <w:sz w:val="24"/>
            <w:szCs w:val="16"/>
          </w:rPr>
          <w:t>Bibliographie</w:t>
        </w:r>
      </w:hyperlink>
      <w:r w:rsidRPr="004A25B0">
        <w:rPr>
          <w:sz w:val="24"/>
        </w:rPr>
        <w:t xml:space="preserve"> [</w:t>
      </w:r>
      <w:r w:rsidRPr="004A25B0">
        <w:rPr>
          <w:sz w:val="24"/>
          <w:szCs w:val="16"/>
        </w:rPr>
        <w:t>681]</w:t>
      </w:r>
    </w:p>
    <w:p w14:paraId="1D9EC852" w14:textId="77777777" w:rsidR="006C5FDB" w:rsidRDefault="006C5FDB" w:rsidP="006C5FDB">
      <w:pPr>
        <w:spacing w:before="120" w:after="120"/>
        <w:ind w:left="360" w:hanging="360"/>
        <w:jc w:val="both"/>
        <w:rPr>
          <w:bCs/>
          <w:sz w:val="24"/>
          <w:szCs w:val="16"/>
        </w:rPr>
      </w:pPr>
    </w:p>
    <w:p w14:paraId="6F77AA95" w14:textId="77777777" w:rsidR="006C5FDB" w:rsidRPr="00031E0E" w:rsidRDefault="006C5FDB" w:rsidP="006C5FDB">
      <w:pPr>
        <w:pStyle w:val="p"/>
      </w:pPr>
      <w:r>
        <w:br w:type="page"/>
      </w:r>
      <w:r w:rsidRPr="00031E0E">
        <w:lastRenderedPageBreak/>
        <w:t>[635]</w:t>
      </w:r>
    </w:p>
    <w:p w14:paraId="5CD80A31" w14:textId="77777777" w:rsidR="006C5FDB" w:rsidRPr="00E07116" w:rsidRDefault="006C5FDB" w:rsidP="006C5FDB">
      <w:pPr>
        <w:jc w:val="both"/>
      </w:pPr>
    </w:p>
    <w:p w14:paraId="670BE193" w14:textId="77777777" w:rsidR="006C5FDB" w:rsidRPr="00E07116" w:rsidRDefault="006C5FDB" w:rsidP="006C5FDB">
      <w:pPr>
        <w:jc w:val="both"/>
      </w:pPr>
    </w:p>
    <w:p w14:paraId="4DD9B432" w14:textId="77777777" w:rsidR="006C5FDB" w:rsidRPr="00AA38D6" w:rsidRDefault="006C5FDB" w:rsidP="006C5FDB">
      <w:pPr>
        <w:ind w:hanging="20"/>
        <w:jc w:val="center"/>
        <w:rPr>
          <w:b/>
          <w:sz w:val="24"/>
        </w:rPr>
      </w:pPr>
      <w:bookmarkStart w:id="1" w:name="Traite_t2_pt_2_chap_VII"/>
      <w:r w:rsidRPr="00AA38D6">
        <w:rPr>
          <w:b/>
          <w:sz w:val="24"/>
        </w:rPr>
        <w:t>TRAITÉ DE SCIE</w:t>
      </w:r>
      <w:r w:rsidRPr="00AA38D6">
        <w:rPr>
          <w:b/>
          <w:sz w:val="24"/>
        </w:rPr>
        <w:t>N</w:t>
      </w:r>
      <w:r w:rsidRPr="00AA38D6">
        <w:rPr>
          <w:b/>
          <w:sz w:val="24"/>
        </w:rPr>
        <w:t>CE POLITIQUE.</w:t>
      </w:r>
    </w:p>
    <w:p w14:paraId="33E2BC4E" w14:textId="77777777" w:rsidR="006C5FDB" w:rsidRPr="00AA38D6" w:rsidRDefault="006C5FDB" w:rsidP="006C5FDB">
      <w:pPr>
        <w:jc w:val="center"/>
        <w:rPr>
          <w:sz w:val="24"/>
        </w:rPr>
      </w:pPr>
      <w:r w:rsidRPr="00AA38D6">
        <w:rPr>
          <w:sz w:val="24"/>
        </w:rPr>
        <w:t xml:space="preserve">Tome </w:t>
      </w:r>
      <w:r>
        <w:rPr>
          <w:sz w:val="24"/>
        </w:rPr>
        <w:t>2</w:t>
      </w:r>
      <w:r w:rsidRPr="00AA38D6">
        <w:rPr>
          <w:sz w:val="24"/>
        </w:rPr>
        <w:t xml:space="preserve">. </w:t>
      </w:r>
      <w:r>
        <w:rPr>
          <w:sz w:val="24"/>
        </w:rPr>
        <w:t>Les régimes politiques contemp</w:t>
      </w:r>
      <w:r>
        <w:rPr>
          <w:sz w:val="24"/>
        </w:rPr>
        <w:t>o</w:t>
      </w:r>
      <w:r>
        <w:rPr>
          <w:sz w:val="24"/>
        </w:rPr>
        <w:t>rains</w:t>
      </w:r>
    </w:p>
    <w:p w14:paraId="1C5EC385" w14:textId="77777777" w:rsidR="006C5FDB" w:rsidRPr="00384B20" w:rsidRDefault="006C5FDB" w:rsidP="006C5FDB">
      <w:pPr>
        <w:spacing w:after="120"/>
        <w:ind w:firstLine="0"/>
        <w:jc w:val="center"/>
        <w:rPr>
          <w:color w:val="000080"/>
          <w:sz w:val="24"/>
        </w:rPr>
      </w:pPr>
      <w:r>
        <w:rPr>
          <w:color w:val="000080"/>
          <w:sz w:val="24"/>
        </w:rPr>
        <w:t>DEUXIÈME PARTIE</w:t>
      </w:r>
    </w:p>
    <w:p w14:paraId="7A7F8E38" w14:textId="77777777" w:rsidR="006C5FDB" w:rsidRPr="00384B20" w:rsidRDefault="006C5FDB" w:rsidP="006C5FDB">
      <w:pPr>
        <w:pStyle w:val="Titreniveau1"/>
      </w:pPr>
      <w:r w:rsidRPr="00384B20">
        <w:t xml:space="preserve">Chapitre </w:t>
      </w:r>
      <w:r>
        <w:t>VII</w:t>
      </w:r>
    </w:p>
    <w:p w14:paraId="0A7FF06F" w14:textId="77777777" w:rsidR="006C5FDB" w:rsidRPr="00E07116" w:rsidRDefault="006C5FDB" w:rsidP="006C5FDB">
      <w:pPr>
        <w:jc w:val="both"/>
        <w:rPr>
          <w:szCs w:val="36"/>
        </w:rPr>
      </w:pPr>
    </w:p>
    <w:p w14:paraId="69378FFD" w14:textId="77777777" w:rsidR="006C5FDB" w:rsidRPr="00E07116" w:rsidRDefault="006C5FDB" w:rsidP="006C5FDB">
      <w:pPr>
        <w:pStyle w:val="Titreniveau2"/>
      </w:pPr>
      <w:r>
        <w:t>“LES RUPT</w:t>
      </w:r>
      <w:r>
        <w:t>U</w:t>
      </w:r>
      <w:r>
        <w:t>RES</w:t>
      </w:r>
      <w:r>
        <w:br/>
        <w:t>RÉVOLUTIONNA</w:t>
      </w:r>
      <w:r>
        <w:t>I</w:t>
      </w:r>
      <w:r>
        <w:t>RES.”</w:t>
      </w:r>
    </w:p>
    <w:bookmarkEnd w:id="1"/>
    <w:p w14:paraId="139BC98F" w14:textId="77777777" w:rsidR="006C5FDB" w:rsidRPr="00E07116" w:rsidRDefault="006C5FDB" w:rsidP="006C5FDB">
      <w:pPr>
        <w:jc w:val="both"/>
        <w:rPr>
          <w:szCs w:val="36"/>
        </w:rPr>
      </w:pPr>
    </w:p>
    <w:p w14:paraId="5A9034F6" w14:textId="77777777" w:rsidR="006C5FDB" w:rsidRPr="00E07116" w:rsidRDefault="006C5FDB" w:rsidP="006C5FDB">
      <w:pPr>
        <w:pStyle w:val="suite"/>
      </w:pPr>
      <w:r w:rsidRPr="0049087E">
        <w:t xml:space="preserve">par </w:t>
      </w:r>
      <w:r>
        <w:t>François CHAZEL</w:t>
      </w:r>
    </w:p>
    <w:p w14:paraId="694C9C2E" w14:textId="77777777" w:rsidR="006C5FDB" w:rsidRPr="007A4D21" w:rsidRDefault="006C5FDB" w:rsidP="006C5FDB">
      <w:pPr>
        <w:spacing w:before="120" w:after="120"/>
        <w:jc w:val="both"/>
        <w:rPr>
          <w:szCs w:val="18"/>
        </w:rPr>
      </w:pPr>
    </w:p>
    <w:p w14:paraId="3B10703F" w14:textId="77777777" w:rsidR="006C5FDB" w:rsidRPr="00031E0E" w:rsidRDefault="006C5FDB" w:rsidP="006C5FDB">
      <w:pPr>
        <w:pStyle w:val="planchest"/>
      </w:pPr>
      <w:bookmarkStart w:id="2" w:name="Traite_t2_pt_2_chap_VII_Sec_1"/>
      <w:r w:rsidRPr="00031E0E">
        <w:t>Section 1</w:t>
      </w:r>
    </w:p>
    <w:p w14:paraId="00AEEB12" w14:textId="77777777" w:rsidR="006C5FDB" w:rsidRPr="00031E0E" w:rsidRDefault="006C5FDB" w:rsidP="006C5FDB">
      <w:pPr>
        <w:pStyle w:val="planchest0"/>
      </w:pPr>
      <w:r w:rsidRPr="00031E0E">
        <w:t>Le phénomène révolutionnaire.</w:t>
      </w:r>
      <w:r>
        <w:br/>
      </w:r>
      <w:r w:rsidRPr="00031E0E">
        <w:t>Problèmes de défin</w:t>
      </w:r>
      <w:r w:rsidRPr="00031E0E">
        <w:t>i</w:t>
      </w:r>
      <w:r w:rsidRPr="00031E0E">
        <w:t>tion</w:t>
      </w:r>
    </w:p>
    <w:bookmarkEnd w:id="2"/>
    <w:p w14:paraId="517CBE45" w14:textId="77777777" w:rsidR="006C5FDB" w:rsidRPr="00031E0E" w:rsidRDefault="006C5FDB" w:rsidP="006C5FDB">
      <w:pPr>
        <w:spacing w:before="120" w:after="120"/>
        <w:jc w:val="both"/>
        <w:rPr>
          <w:szCs w:val="18"/>
        </w:rPr>
      </w:pPr>
    </w:p>
    <w:p w14:paraId="399C47C4" w14:textId="77777777" w:rsidR="006C5FDB" w:rsidRPr="00384B20" w:rsidRDefault="006C5FDB" w:rsidP="006C5FDB">
      <w:pPr>
        <w:ind w:right="90" w:firstLine="0"/>
        <w:jc w:val="both"/>
        <w:rPr>
          <w:sz w:val="20"/>
        </w:rPr>
      </w:pPr>
      <w:hyperlink w:anchor="sommaire" w:history="1">
        <w:r w:rsidRPr="00721734">
          <w:rPr>
            <w:rStyle w:val="Hyperlien"/>
            <w:sz w:val="20"/>
          </w:rPr>
          <w:t>Retour au sommaire</w:t>
        </w:r>
      </w:hyperlink>
    </w:p>
    <w:p w14:paraId="3B7A0252" w14:textId="77777777" w:rsidR="006C5FDB" w:rsidRPr="00031E0E" w:rsidRDefault="006C5FDB" w:rsidP="006C5FDB">
      <w:pPr>
        <w:spacing w:before="120" w:after="120"/>
        <w:jc w:val="both"/>
      </w:pPr>
      <w:r w:rsidRPr="00031E0E">
        <w:rPr>
          <w:szCs w:val="18"/>
        </w:rPr>
        <w:t>L’idée même de révolution est fondamentalement m</w:t>
      </w:r>
      <w:r w:rsidRPr="00031E0E">
        <w:rPr>
          <w:szCs w:val="18"/>
        </w:rPr>
        <w:t>o</w:t>
      </w:r>
      <w:r w:rsidRPr="00031E0E">
        <w:rPr>
          <w:szCs w:val="18"/>
        </w:rPr>
        <w:t>derne. Certes les grands philosophes de l’Antiquité se sont vivement int</w:t>
      </w:r>
      <w:r w:rsidRPr="00031E0E">
        <w:rPr>
          <w:szCs w:val="18"/>
        </w:rPr>
        <w:t>é</w:t>
      </w:r>
      <w:r w:rsidRPr="00031E0E">
        <w:rPr>
          <w:szCs w:val="18"/>
        </w:rPr>
        <w:t>ressés aux transfo</w:t>
      </w:r>
      <w:r w:rsidRPr="00031E0E">
        <w:rPr>
          <w:szCs w:val="18"/>
        </w:rPr>
        <w:t>r</w:t>
      </w:r>
      <w:r w:rsidRPr="00031E0E">
        <w:rPr>
          <w:szCs w:val="18"/>
        </w:rPr>
        <w:t xml:space="preserve">mations des formes de gouvernement : Platon en a défini un modèle de succession dans la </w:t>
      </w:r>
      <w:r w:rsidRPr="00031E0E">
        <w:rPr>
          <w:i/>
          <w:iCs/>
          <w:szCs w:val="18"/>
        </w:rPr>
        <w:t>Rép</w:t>
      </w:r>
      <w:r w:rsidRPr="00031E0E">
        <w:rPr>
          <w:i/>
          <w:iCs/>
          <w:szCs w:val="18"/>
        </w:rPr>
        <w:t>u</w:t>
      </w:r>
      <w:r w:rsidRPr="00031E0E">
        <w:rPr>
          <w:i/>
          <w:iCs/>
          <w:szCs w:val="18"/>
        </w:rPr>
        <w:t xml:space="preserve">blique, </w:t>
      </w:r>
      <w:r w:rsidRPr="00031E0E">
        <w:rPr>
          <w:szCs w:val="18"/>
        </w:rPr>
        <w:t xml:space="preserve">qu’Aristote soumet à une incisive critique dans le livre V de sa </w:t>
      </w:r>
      <w:r w:rsidRPr="00031E0E">
        <w:rPr>
          <w:i/>
          <w:iCs/>
          <w:szCs w:val="18"/>
        </w:rPr>
        <w:t>Polit</w:t>
      </w:r>
      <w:r w:rsidRPr="00031E0E">
        <w:rPr>
          <w:i/>
          <w:iCs/>
          <w:szCs w:val="18"/>
        </w:rPr>
        <w:t>i</w:t>
      </w:r>
      <w:r w:rsidRPr="00031E0E">
        <w:rPr>
          <w:i/>
          <w:iCs/>
          <w:szCs w:val="18"/>
        </w:rPr>
        <w:t xml:space="preserve">que ; </w:t>
      </w:r>
      <w:r w:rsidRPr="00031E0E">
        <w:rPr>
          <w:szCs w:val="18"/>
        </w:rPr>
        <w:t>ils n’ont pas non plus négligé le thème de la violence, auquel Aristote n</w:t>
      </w:r>
      <w:r w:rsidRPr="00031E0E">
        <w:rPr>
          <w:szCs w:val="18"/>
        </w:rPr>
        <w:t>o</w:t>
      </w:r>
      <w:r w:rsidRPr="00031E0E">
        <w:rPr>
          <w:szCs w:val="18"/>
        </w:rPr>
        <w:t>tamment accorde une place importante, en insistant sur la στάσις, la sédition, sinon la guerre civ</w:t>
      </w:r>
      <w:r w:rsidRPr="00031E0E">
        <w:rPr>
          <w:szCs w:val="18"/>
        </w:rPr>
        <w:t>i</w:t>
      </w:r>
      <w:r w:rsidRPr="00031E0E">
        <w:rPr>
          <w:szCs w:val="18"/>
        </w:rPr>
        <w:t>le, qui peut ou non accompagner le changement (μεταδολή) ; mais la conception grecque se fonde sur le pri</w:t>
      </w:r>
      <w:r w:rsidRPr="00031E0E">
        <w:rPr>
          <w:szCs w:val="18"/>
        </w:rPr>
        <w:t>n</w:t>
      </w:r>
      <w:r w:rsidRPr="00031E0E">
        <w:rPr>
          <w:szCs w:val="18"/>
        </w:rPr>
        <w:t>cipe d’un cours o</w:t>
      </w:r>
      <w:r w:rsidRPr="00031E0E">
        <w:rPr>
          <w:szCs w:val="18"/>
        </w:rPr>
        <w:t>r</w:t>
      </w:r>
      <w:r w:rsidRPr="00031E0E">
        <w:rPr>
          <w:szCs w:val="18"/>
        </w:rPr>
        <w:t>donné des affaires humaines, qui prend même chez Polybe la forme achevée d’une rotation (ἀνακύκλωσις), d’un cycle politique. L’image est significative ; et c’est en tout cas à elle que se réfère Cic</w:t>
      </w:r>
      <w:r w:rsidRPr="00031E0E">
        <w:rPr>
          <w:szCs w:val="18"/>
        </w:rPr>
        <w:t>é</w:t>
      </w:r>
      <w:r w:rsidRPr="00031E0E">
        <w:rPr>
          <w:szCs w:val="18"/>
        </w:rPr>
        <w:t xml:space="preserve">ron pour analyser les changements désignés sous les termes de </w:t>
      </w:r>
      <w:r w:rsidRPr="00031E0E">
        <w:rPr>
          <w:i/>
          <w:iCs/>
          <w:szCs w:val="18"/>
        </w:rPr>
        <w:t>mut</w:t>
      </w:r>
      <w:r w:rsidRPr="00031E0E">
        <w:rPr>
          <w:i/>
          <w:iCs/>
          <w:szCs w:val="18"/>
        </w:rPr>
        <w:t>a</w:t>
      </w:r>
      <w:r w:rsidRPr="00031E0E">
        <w:rPr>
          <w:i/>
          <w:iCs/>
          <w:szCs w:val="18"/>
        </w:rPr>
        <w:t xml:space="preserve">tio rerum </w:t>
      </w:r>
      <w:r w:rsidRPr="00031E0E">
        <w:rPr>
          <w:szCs w:val="18"/>
        </w:rPr>
        <w:t xml:space="preserve">et de </w:t>
      </w:r>
      <w:r w:rsidRPr="00031E0E">
        <w:rPr>
          <w:i/>
          <w:iCs/>
          <w:szCs w:val="18"/>
        </w:rPr>
        <w:t xml:space="preserve">commutatio rei publicae. </w:t>
      </w:r>
      <w:r w:rsidRPr="00031E0E">
        <w:rPr>
          <w:szCs w:val="18"/>
        </w:rPr>
        <w:t>C’est encore dans des acce</w:t>
      </w:r>
      <w:r w:rsidRPr="00031E0E">
        <w:rPr>
          <w:szCs w:val="18"/>
        </w:rPr>
        <w:t>p</w:t>
      </w:r>
      <w:r w:rsidRPr="00031E0E">
        <w:rPr>
          <w:szCs w:val="18"/>
        </w:rPr>
        <w:t>tions conformes à cette vision cyclique que le terme de révol</w:t>
      </w:r>
      <w:r w:rsidRPr="00031E0E">
        <w:rPr>
          <w:szCs w:val="18"/>
        </w:rPr>
        <w:t>u</w:t>
      </w:r>
      <w:r w:rsidRPr="00031E0E">
        <w:rPr>
          <w:szCs w:val="18"/>
        </w:rPr>
        <w:t xml:space="preserve">tion a d’abord été utilisé et appliqué au contexte politique : les travaux </w:t>
      </w:r>
      <w:r w:rsidRPr="00031E0E">
        <w:rPr>
          <w:szCs w:val="18"/>
        </w:rPr>
        <w:lastRenderedPageBreak/>
        <w:t>d’Hatto (1949), qui fait r</w:t>
      </w:r>
      <w:r w:rsidRPr="00031E0E">
        <w:rPr>
          <w:szCs w:val="18"/>
        </w:rPr>
        <w:t>e</w:t>
      </w:r>
      <w:r w:rsidRPr="00031E0E">
        <w:rPr>
          <w:szCs w:val="18"/>
        </w:rPr>
        <w:t xml:space="preserve">monter cet usage à des auteurs italiens du </w:t>
      </w:r>
      <w:r w:rsidRPr="00031E0E">
        <w:rPr>
          <w:smallCaps/>
          <w:szCs w:val="18"/>
        </w:rPr>
        <w:t>xiv</w:t>
      </w:r>
      <w:r w:rsidRPr="00031E0E">
        <w:rPr>
          <w:szCs w:val="18"/>
          <w:vertAlign w:val="superscript"/>
        </w:rPr>
        <w:t>e</w:t>
      </w:r>
      <w:r w:rsidRPr="00031E0E">
        <w:rPr>
          <w:szCs w:val="18"/>
        </w:rPr>
        <w:t xml:space="preserve"> siècle et ceux de Karl Gri</w:t>
      </w:r>
      <w:r w:rsidRPr="00031E0E">
        <w:rPr>
          <w:szCs w:val="18"/>
        </w:rPr>
        <w:t>e</w:t>
      </w:r>
      <w:r w:rsidRPr="00031E0E">
        <w:rPr>
          <w:szCs w:val="18"/>
        </w:rPr>
        <w:t xml:space="preserve">wank (1955), qui signale son emploi à partir du </w:t>
      </w:r>
      <w:r w:rsidRPr="00031E0E">
        <w:rPr>
          <w:smallCaps/>
          <w:szCs w:val="18"/>
        </w:rPr>
        <w:t>xvi</w:t>
      </w:r>
      <w:r w:rsidRPr="00031E0E">
        <w:rPr>
          <w:szCs w:val="18"/>
          <w:vertAlign w:val="superscript"/>
        </w:rPr>
        <w:t>e</w:t>
      </w:r>
      <w:r w:rsidRPr="00031E0E">
        <w:rPr>
          <w:szCs w:val="18"/>
        </w:rPr>
        <w:t xml:space="preserve"> siècle, par simple transposition d’une représentation a</w:t>
      </w:r>
      <w:r w:rsidRPr="00031E0E">
        <w:rPr>
          <w:szCs w:val="18"/>
        </w:rPr>
        <w:t>s</w:t>
      </w:r>
      <w:r w:rsidRPr="00031E0E">
        <w:rPr>
          <w:szCs w:val="18"/>
        </w:rPr>
        <w:t>tronomique, sinon astrologique, l’établissent sans conteste ; ainsi il est piquant de relever que, pour certains de leurs contemporains, et en particulier pour Clarendon, ce ne sont pas les années révolutionnaires de la « Grande Rébellion » mais le rétablissement, la resta</w:t>
      </w:r>
      <w:r w:rsidRPr="00031E0E">
        <w:rPr>
          <w:szCs w:val="18"/>
        </w:rPr>
        <w:t>u</w:t>
      </w:r>
      <w:r w:rsidRPr="00031E0E">
        <w:rPr>
          <w:szCs w:val="18"/>
        </w:rPr>
        <w:t>ration même de la monarchie en 1660 qui méritent le qualificatif de révol</w:t>
      </w:r>
      <w:r w:rsidRPr="00031E0E">
        <w:rPr>
          <w:szCs w:val="18"/>
        </w:rPr>
        <w:t>u</w:t>
      </w:r>
      <w:r w:rsidRPr="00031E0E">
        <w:rPr>
          <w:szCs w:val="18"/>
        </w:rPr>
        <w:t>tion. La « Glorieuse R</w:t>
      </w:r>
      <w:r w:rsidRPr="00031E0E">
        <w:rPr>
          <w:szCs w:val="18"/>
        </w:rPr>
        <w:t>é</w:t>
      </w:r>
      <w:r w:rsidRPr="00031E0E">
        <w:rPr>
          <w:szCs w:val="18"/>
        </w:rPr>
        <w:t>volution » de 1688 – dont le titre nous paraît particulièrement usurpé – sert, pour une part, à d</w:t>
      </w:r>
      <w:r w:rsidRPr="00031E0E">
        <w:rPr>
          <w:szCs w:val="18"/>
        </w:rPr>
        <w:t>é</w:t>
      </w:r>
      <w:r w:rsidRPr="00031E0E">
        <w:rPr>
          <w:szCs w:val="18"/>
        </w:rPr>
        <w:t>signer dans le même esprit le</w:t>
      </w:r>
      <w:r>
        <w:rPr>
          <w:szCs w:val="18"/>
        </w:rPr>
        <w:t xml:space="preserve"> </w:t>
      </w:r>
      <w:r w:rsidRPr="00031E0E">
        <w:rPr>
          <w:szCs w:val="16"/>
        </w:rPr>
        <w:t>[636]</w:t>
      </w:r>
      <w:r>
        <w:rPr>
          <w:szCs w:val="16"/>
        </w:rPr>
        <w:t xml:space="preserve"> </w:t>
      </w:r>
      <w:r w:rsidRPr="00031E0E">
        <w:rPr>
          <w:szCs w:val="18"/>
        </w:rPr>
        <w:t>retour à des conditions mona</w:t>
      </w:r>
      <w:r w:rsidRPr="00031E0E">
        <w:rPr>
          <w:szCs w:val="18"/>
        </w:rPr>
        <w:t>r</w:t>
      </w:r>
      <w:r w:rsidRPr="00031E0E">
        <w:rPr>
          <w:szCs w:val="18"/>
        </w:rPr>
        <w:t>chiques stables ; mais elle indique aussi un changement qui se marque à la fois dans l’apparition d’une dyna</w:t>
      </w:r>
      <w:r w:rsidRPr="00031E0E">
        <w:rPr>
          <w:szCs w:val="18"/>
        </w:rPr>
        <w:t>s</w:t>
      </w:r>
      <w:r w:rsidRPr="00031E0E">
        <w:rPr>
          <w:szCs w:val="18"/>
        </w:rPr>
        <w:t>tie et dans les conditions nouvelles d’exercice du pouvoir. C’est ce dernier sens de transformation objective qui s’impose pr</w:t>
      </w:r>
      <w:r w:rsidRPr="00031E0E">
        <w:rPr>
          <w:szCs w:val="18"/>
        </w:rPr>
        <w:t>o</w:t>
      </w:r>
      <w:r w:rsidRPr="00031E0E">
        <w:rPr>
          <w:szCs w:val="18"/>
        </w:rPr>
        <w:t xml:space="preserve">gressivement au cours du </w:t>
      </w:r>
      <w:r w:rsidRPr="00031E0E">
        <w:rPr>
          <w:smallCaps/>
          <w:szCs w:val="18"/>
        </w:rPr>
        <w:t>xviii</w:t>
      </w:r>
      <w:r w:rsidRPr="00031E0E">
        <w:rPr>
          <w:szCs w:val="18"/>
          <w:vertAlign w:val="superscript"/>
        </w:rPr>
        <w:t>e</w:t>
      </w:r>
      <w:r w:rsidRPr="00031E0E">
        <w:rPr>
          <w:szCs w:val="18"/>
        </w:rPr>
        <w:t xml:space="preserve"> si</w:t>
      </w:r>
      <w:r w:rsidRPr="00031E0E">
        <w:rPr>
          <w:szCs w:val="18"/>
        </w:rPr>
        <w:t>è</w:t>
      </w:r>
      <w:r w:rsidRPr="00031E0E">
        <w:rPr>
          <w:szCs w:val="18"/>
        </w:rPr>
        <w:t>cle ; et, si l’on peut à la rigueur admettre avec Rosenstock-Huessy (1931), qu’il s’agit, à titre de pr</w:t>
      </w:r>
      <w:r w:rsidRPr="00031E0E">
        <w:rPr>
          <w:szCs w:val="18"/>
        </w:rPr>
        <w:t>e</w:t>
      </w:r>
      <w:r w:rsidRPr="00031E0E">
        <w:rPr>
          <w:szCs w:val="18"/>
        </w:rPr>
        <w:t>mière étape dans une évolution dialectique, d’un ingrédient indispe</w:t>
      </w:r>
      <w:r w:rsidRPr="00031E0E">
        <w:rPr>
          <w:szCs w:val="18"/>
        </w:rPr>
        <w:t>n</w:t>
      </w:r>
      <w:r w:rsidRPr="00031E0E">
        <w:rPr>
          <w:szCs w:val="18"/>
        </w:rPr>
        <w:t>sable à la formation de la conception moderne de la révolution, il paraît encore plus essentiel de souligner ce qui l’en sépare. Il y ma</w:t>
      </w:r>
      <w:r w:rsidRPr="00031E0E">
        <w:rPr>
          <w:szCs w:val="18"/>
        </w:rPr>
        <w:t>n</w:t>
      </w:r>
      <w:r w:rsidRPr="00031E0E">
        <w:rPr>
          <w:szCs w:val="18"/>
        </w:rPr>
        <w:t>que les idées du commencement radical, ouvrant une ère nouvelle, de la rupture complète avec le monde ancien et de la fondation d’un o</w:t>
      </w:r>
      <w:r w:rsidRPr="00031E0E">
        <w:rPr>
          <w:szCs w:val="18"/>
        </w:rPr>
        <w:t>r</w:t>
      </w:r>
      <w:r w:rsidRPr="00031E0E">
        <w:rPr>
          <w:szCs w:val="18"/>
        </w:rPr>
        <w:t>dre nouveau ; en est absente aussi la composante volontariste qui est si int</w:t>
      </w:r>
      <w:r w:rsidRPr="00031E0E">
        <w:rPr>
          <w:szCs w:val="18"/>
        </w:rPr>
        <w:t>i</w:t>
      </w:r>
      <w:r w:rsidRPr="00031E0E">
        <w:rPr>
          <w:szCs w:val="18"/>
        </w:rPr>
        <w:t>mement liée à notre représentation de la révolution et qui met en relief le rôle des hommes comme agents de ce processus, comme a</w:t>
      </w:r>
      <w:r w:rsidRPr="00031E0E">
        <w:rPr>
          <w:szCs w:val="18"/>
        </w:rPr>
        <w:t>c</w:t>
      </w:r>
      <w:r w:rsidRPr="00031E0E">
        <w:rPr>
          <w:szCs w:val="18"/>
        </w:rPr>
        <w:t>teurs de cet Av</w:t>
      </w:r>
      <w:r w:rsidRPr="00031E0E">
        <w:rPr>
          <w:szCs w:val="18"/>
        </w:rPr>
        <w:t>è</w:t>
      </w:r>
      <w:r w:rsidRPr="00031E0E">
        <w:rPr>
          <w:szCs w:val="18"/>
        </w:rPr>
        <w:t>nement. Comme Hannah Arendt (1967, pp. 25-81) le démontre avec brio, la conce</w:t>
      </w:r>
      <w:r w:rsidRPr="00031E0E">
        <w:rPr>
          <w:szCs w:val="18"/>
        </w:rPr>
        <w:t>p</w:t>
      </w:r>
      <w:r w:rsidRPr="00031E0E">
        <w:rPr>
          <w:szCs w:val="18"/>
        </w:rPr>
        <w:t xml:space="preserve">tion moderne du phénomène n’émerge qu’à la fin du </w:t>
      </w:r>
      <w:r w:rsidRPr="00031E0E">
        <w:rPr>
          <w:smallCaps/>
          <w:szCs w:val="18"/>
        </w:rPr>
        <w:t>xviii</w:t>
      </w:r>
      <w:r w:rsidRPr="00031E0E">
        <w:rPr>
          <w:szCs w:val="18"/>
          <w:vertAlign w:val="superscript"/>
        </w:rPr>
        <w:t>e</w:t>
      </w:r>
      <w:r w:rsidRPr="00031E0E">
        <w:rPr>
          <w:szCs w:val="18"/>
        </w:rPr>
        <w:t xml:space="preserve"> siècle, à travers les révolutions américaine et fra</w:t>
      </w:r>
      <w:r w:rsidRPr="00031E0E">
        <w:rPr>
          <w:szCs w:val="18"/>
        </w:rPr>
        <w:t>n</w:t>
      </w:r>
      <w:r w:rsidRPr="00031E0E">
        <w:rPr>
          <w:szCs w:val="18"/>
        </w:rPr>
        <w:t>çaise. Elle se cristallise autour des thèmes de bouleve</w:t>
      </w:r>
      <w:r w:rsidRPr="00031E0E">
        <w:rPr>
          <w:szCs w:val="18"/>
        </w:rPr>
        <w:t>r</w:t>
      </w:r>
      <w:r w:rsidRPr="00031E0E">
        <w:rPr>
          <w:szCs w:val="18"/>
        </w:rPr>
        <w:t>sement radical, de nouveauté absolue et de violence et y ajo</w:t>
      </w:r>
      <w:r w:rsidRPr="00031E0E">
        <w:rPr>
          <w:szCs w:val="18"/>
        </w:rPr>
        <w:t>u</w:t>
      </w:r>
      <w:r w:rsidRPr="00031E0E">
        <w:rPr>
          <w:szCs w:val="18"/>
        </w:rPr>
        <w:t>te un élément emprunté, selon Hannah Arendt, à l’ancienne vision astronomique, celui d’irréversibilité ; c’est pourquoi il est peut-être permis de parler, avec Rosen</w:t>
      </w:r>
      <w:r w:rsidRPr="00031E0E">
        <w:rPr>
          <w:szCs w:val="18"/>
        </w:rPr>
        <w:t>s</w:t>
      </w:r>
      <w:r w:rsidRPr="00031E0E">
        <w:rPr>
          <w:szCs w:val="18"/>
        </w:rPr>
        <w:t xml:space="preserve">tock-Huessy, de synthèse, même si, pour lui, cette synthèse se fait plus tard entre la vision « naturaliste » du </w:t>
      </w:r>
      <w:r w:rsidRPr="00031E0E">
        <w:rPr>
          <w:smallCaps/>
          <w:szCs w:val="18"/>
        </w:rPr>
        <w:t>xvii</w:t>
      </w:r>
      <w:r w:rsidRPr="00031E0E">
        <w:rPr>
          <w:szCs w:val="18"/>
          <w:vertAlign w:val="superscript"/>
        </w:rPr>
        <w:t>e</w:t>
      </w:r>
      <w:r w:rsidRPr="00031E0E">
        <w:rPr>
          <w:szCs w:val="18"/>
        </w:rPr>
        <w:t xml:space="preserve"> siècle et la conce</w:t>
      </w:r>
      <w:r w:rsidRPr="00031E0E">
        <w:rPr>
          <w:szCs w:val="18"/>
        </w:rPr>
        <w:t>p</w:t>
      </w:r>
      <w:r w:rsidRPr="00031E0E">
        <w:rPr>
          <w:szCs w:val="18"/>
        </w:rPr>
        <w:t>tion « romantique » des révolutionnaires.</w:t>
      </w:r>
    </w:p>
    <w:p w14:paraId="52B7CEA4" w14:textId="77777777" w:rsidR="006C5FDB" w:rsidRPr="00031E0E" w:rsidRDefault="006C5FDB" w:rsidP="006C5FDB">
      <w:pPr>
        <w:spacing w:before="120" w:after="120"/>
        <w:jc w:val="both"/>
      </w:pPr>
      <w:r w:rsidRPr="00031E0E">
        <w:rPr>
          <w:szCs w:val="18"/>
        </w:rPr>
        <w:t>Toujours est-il qu’on est ici en présence d’une idée fo</w:t>
      </w:r>
      <w:r w:rsidRPr="00031E0E">
        <w:rPr>
          <w:szCs w:val="18"/>
        </w:rPr>
        <w:t>r</w:t>
      </w:r>
      <w:r w:rsidRPr="00031E0E">
        <w:rPr>
          <w:szCs w:val="18"/>
        </w:rPr>
        <w:t>te à laquelle la Révolution française va donner un incomp</w:t>
      </w:r>
      <w:r w:rsidRPr="00031E0E">
        <w:rPr>
          <w:szCs w:val="18"/>
        </w:rPr>
        <w:t>a</w:t>
      </w:r>
      <w:r w:rsidRPr="00031E0E">
        <w:rPr>
          <w:szCs w:val="18"/>
        </w:rPr>
        <w:t>rable retentissement ; et cette image de la révolution est dev</w:t>
      </w:r>
      <w:r w:rsidRPr="00031E0E">
        <w:rPr>
          <w:szCs w:val="18"/>
        </w:rPr>
        <w:t>e</w:t>
      </w:r>
      <w:r w:rsidRPr="00031E0E">
        <w:rPr>
          <w:szCs w:val="18"/>
        </w:rPr>
        <w:t>nue si prégnante qu’elle fait, dans une certaine mesure, pa</w:t>
      </w:r>
      <w:r w:rsidRPr="00031E0E">
        <w:rPr>
          <w:szCs w:val="18"/>
        </w:rPr>
        <w:t>r</w:t>
      </w:r>
      <w:r w:rsidRPr="00031E0E">
        <w:rPr>
          <w:szCs w:val="18"/>
        </w:rPr>
        <w:t xml:space="preserve">tie intégrante du phénomène. On ne saurait </w:t>
      </w:r>
      <w:r w:rsidRPr="00031E0E">
        <w:rPr>
          <w:szCs w:val="18"/>
        </w:rPr>
        <w:lastRenderedPageBreak/>
        <w:t>donc l’en dissocier totalement ; mais ni le cours effectif des évén</w:t>
      </w:r>
      <w:r w:rsidRPr="00031E0E">
        <w:rPr>
          <w:szCs w:val="18"/>
        </w:rPr>
        <w:t>e</w:t>
      </w:r>
      <w:r w:rsidRPr="00031E0E">
        <w:rPr>
          <w:szCs w:val="18"/>
        </w:rPr>
        <w:t>ments, ni l’enchaînement des causes et des cons</w:t>
      </w:r>
      <w:r w:rsidRPr="00031E0E">
        <w:rPr>
          <w:szCs w:val="18"/>
        </w:rPr>
        <w:t>é</w:t>
      </w:r>
      <w:r w:rsidRPr="00031E0E">
        <w:rPr>
          <w:szCs w:val="18"/>
        </w:rPr>
        <w:t>quences ne doivent être envisagés et jaugés sous ce seul éclairage.</w:t>
      </w:r>
    </w:p>
    <w:p w14:paraId="707F5506" w14:textId="77777777" w:rsidR="006C5FDB" w:rsidRPr="00031E0E" w:rsidRDefault="006C5FDB" w:rsidP="006C5FDB">
      <w:pPr>
        <w:spacing w:before="120" w:after="120"/>
        <w:jc w:val="both"/>
      </w:pPr>
      <w:r w:rsidRPr="00031E0E">
        <w:rPr>
          <w:szCs w:val="18"/>
        </w:rPr>
        <w:t>Cette image con</w:t>
      </w:r>
      <w:r w:rsidRPr="00031E0E">
        <w:rPr>
          <w:szCs w:val="18"/>
        </w:rPr>
        <w:t>s</w:t>
      </w:r>
      <w:r w:rsidRPr="00031E0E">
        <w:rPr>
          <w:szCs w:val="18"/>
        </w:rPr>
        <w:t>titue en tout cas une référence à laquelle on ne saurait se soustraire, sinon un i</w:t>
      </w:r>
      <w:r w:rsidRPr="00031E0E">
        <w:rPr>
          <w:szCs w:val="18"/>
        </w:rPr>
        <w:t>n</w:t>
      </w:r>
      <w:r w:rsidRPr="00031E0E">
        <w:rPr>
          <w:szCs w:val="18"/>
        </w:rPr>
        <w:t>dispensable point de départ, quand on s’efforce de cerner avec précision les contours de la rév</w:t>
      </w:r>
      <w:r w:rsidRPr="00031E0E">
        <w:rPr>
          <w:szCs w:val="18"/>
        </w:rPr>
        <w:t>o</w:t>
      </w:r>
      <w:r w:rsidRPr="00031E0E">
        <w:rPr>
          <w:szCs w:val="18"/>
        </w:rPr>
        <w:t>lution et de parvenir ainsi à une définition. Le chemin</w:t>
      </w:r>
      <w:r w:rsidRPr="00031E0E">
        <w:rPr>
          <w:szCs w:val="18"/>
        </w:rPr>
        <w:t>e</w:t>
      </w:r>
      <w:r w:rsidRPr="00031E0E">
        <w:rPr>
          <w:szCs w:val="18"/>
        </w:rPr>
        <w:t>ment ici suggéré conduirait de l’image – voire de l’idée-force – au concept. Notre objectif n’est pourtant pas de pr</w:t>
      </w:r>
      <w:r w:rsidRPr="00031E0E">
        <w:rPr>
          <w:szCs w:val="18"/>
        </w:rPr>
        <w:t>o</w:t>
      </w:r>
      <w:r w:rsidRPr="00031E0E">
        <w:rPr>
          <w:szCs w:val="18"/>
        </w:rPr>
        <w:t>poser, dans le cadre de cet article, une définition de plus qui viendrait s’ajouter à une liste déjà bien longue. Nous vo</w:t>
      </w:r>
      <w:r w:rsidRPr="00031E0E">
        <w:rPr>
          <w:szCs w:val="18"/>
        </w:rPr>
        <w:t>u</w:t>
      </w:r>
      <w:r w:rsidRPr="00031E0E">
        <w:rPr>
          <w:szCs w:val="18"/>
        </w:rPr>
        <w:t>drions plutôt, dans l’esprit des consid</w:t>
      </w:r>
      <w:r w:rsidRPr="00031E0E">
        <w:rPr>
          <w:szCs w:val="18"/>
        </w:rPr>
        <w:t>é</w:t>
      </w:r>
      <w:r w:rsidRPr="00031E0E">
        <w:rPr>
          <w:szCs w:val="18"/>
        </w:rPr>
        <w:t>rations précédentes, procéder à une clarification préalable de ce problème en insistant, selon la form</w:t>
      </w:r>
      <w:r w:rsidRPr="00031E0E">
        <w:rPr>
          <w:szCs w:val="18"/>
        </w:rPr>
        <w:t>u</w:t>
      </w:r>
      <w:r w:rsidRPr="00031E0E">
        <w:rPr>
          <w:szCs w:val="18"/>
        </w:rPr>
        <w:t>le d’Hagopian (1975, titre du chap. I, p. 1), sur « ce que la rév</w:t>
      </w:r>
      <w:r w:rsidRPr="00031E0E">
        <w:rPr>
          <w:szCs w:val="18"/>
        </w:rPr>
        <w:t>o</w:t>
      </w:r>
      <w:r w:rsidRPr="00031E0E">
        <w:rPr>
          <w:szCs w:val="18"/>
        </w:rPr>
        <w:t>lution n’est pas ».</w:t>
      </w:r>
    </w:p>
    <w:p w14:paraId="5FEDB326" w14:textId="77777777" w:rsidR="006C5FDB" w:rsidRPr="00031E0E" w:rsidRDefault="006C5FDB" w:rsidP="006C5FDB">
      <w:pPr>
        <w:spacing w:before="120" w:after="120"/>
        <w:jc w:val="both"/>
      </w:pPr>
      <w:r w:rsidRPr="00031E0E">
        <w:rPr>
          <w:szCs w:val="18"/>
        </w:rPr>
        <w:t>Il convient tout d’abord, dans une première étape, d’écarter les d</w:t>
      </w:r>
      <w:r w:rsidRPr="00031E0E">
        <w:rPr>
          <w:szCs w:val="18"/>
        </w:rPr>
        <w:t>é</w:t>
      </w:r>
      <w:r w:rsidRPr="00031E0E">
        <w:rPr>
          <w:szCs w:val="18"/>
        </w:rPr>
        <w:t>fin</w:t>
      </w:r>
      <w:r w:rsidRPr="00031E0E">
        <w:rPr>
          <w:szCs w:val="18"/>
        </w:rPr>
        <w:t>i</w:t>
      </w:r>
      <w:r w:rsidRPr="00031E0E">
        <w:rPr>
          <w:szCs w:val="18"/>
        </w:rPr>
        <w:t>tions manifestement réductrices : ainsi, il paraît inacceptable de ramener, selon les canons du formalisme juridique, la r</w:t>
      </w:r>
      <w:r w:rsidRPr="00031E0E">
        <w:rPr>
          <w:szCs w:val="18"/>
        </w:rPr>
        <w:t>é</w:t>
      </w:r>
      <w:r w:rsidRPr="00031E0E">
        <w:rPr>
          <w:szCs w:val="18"/>
        </w:rPr>
        <w:t>volution à « un changement illégal de la constitution ou des conditions de la l</w:t>
      </w:r>
      <w:r w:rsidRPr="00031E0E">
        <w:rPr>
          <w:szCs w:val="18"/>
        </w:rPr>
        <w:t>é</w:t>
      </w:r>
      <w:r w:rsidRPr="00031E0E">
        <w:rPr>
          <w:szCs w:val="18"/>
        </w:rPr>
        <w:t>galité », comme le propose Schrecker (1966, p. 38) ; plus général</w:t>
      </w:r>
      <w:r w:rsidRPr="00031E0E">
        <w:rPr>
          <w:szCs w:val="18"/>
        </w:rPr>
        <w:t>e</w:t>
      </w:r>
      <w:r w:rsidRPr="00031E0E">
        <w:rPr>
          <w:szCs w:val="18"/>
        </w:rPr>
        <w:t>ment, il ne suffit pas de faire de la révolution le prototype du chang</w:t>
      </w:r>
      <w:r w:rsidRPr="00031E0E">
        <w:rPr>
          <w:szCs w:val="18"/>
        </w:rPr>
        <w:t>e</w:t>
      </w:r>
      <w:r w:rsidRPr="00031E0E">
        <w:rPr>
          <w:szCs w:val="18"/>
        </w:rPr>
        <w:t>ment non institutionnel, par opposition au changement inst</w:t>
      </w:r>
      <w:r w:rsidRPr="00031E0E">
        <w:rPr>
          <w:szCs w:val="18"/>
        </w:rPr>
        <w:t>i</w:t>
      </w:r>
      <w:r w:rsidRPr="00031E0E">
        <w:rPr>
          <w:szCs w:val="18"/>
        </w:rPr>
        <w:t>tutionnel, quel que puisse être l’intérêt de cette distinction sociologique ; et l’insistance sur la violence, tenue pour une expression priv</w:t>
      </w:r>
      <w:r w:rsidRPr="00031E0E">
        <w:rPr>
          <w:szCs w:val="18"/>
        </w:rPr>
        <w:t>i</w:t>
      </w:r>
      <w:r w:rsidRPr="00031E0E">
        <w:rPr>
          <w:szCs w:val="18"/>
        </w:rPr>
        <w:t>légiée de ce mode de changement, est ég</w:t>
      </w:r>
      <w:r w:rsidRPr="00031E0E">
        <w:rPr>
          <w:szCs w:val="18"/>
        </w:rPr>
        <w:t>a</w:t>
      </w:r>
      <w:r w:rsidRPr="00031E0E">
        <w:rPr>
          <w:szCs w:val="18"/>
        </w:rPr>
        <w:t>lement trompeuse, dans la mesure où la violence est bien loin d’être toujours associée à un mouvement r</w:t>
      </w:r>
      <w:r w:rsidRPr="00031E0E">
        <w:rPr>
          <w:szCs w:val="18"/>
        </w:rPr>
        <w:t>é</w:t>
      </w:r>
      <w:r w:rsidRPr="00031E0E">
        <w:rPr>
          <w:szCs w:val="18"/>
        </w:rPr>
        <w:t>volutionnaire. Pris par lui-même, ch</w:t>
      </w:r>
      <w:r w:rsidRPr="00031E0E">
        <w:rPr>
          <w:szCs w:val="18"/>
        </w:rPr>
        <w:t>a</w:t>
      </w:r>
      <w:r w:rsidRPr="00031E0E">
        <w:rPr>
          <w:szCs w:val="18"/>
        </w:rPr>
        <w:t>cun</w:t>
      </w:r>
      <w:r>
        <w:rPr>
          <w:szCs w:val="18"/>
        </w:rPr>
        <w:t xml:space="preserve"> </w:t>
      </w:r>
      <w:r w:rsidRPr="00031E0E">
        <w:t>[637]</w:t>
      </w:r>
      <w:r>
        <w:t xml:space="preserve"> </w:t>
      </w:r>
      <w:r w:rsidRPr="00031E0E">
        <w:rPr>
          <w:szCs w:val="18"/>
        </w:rPr>
        <w:t>de ces éléments est tout à fait inadéquat à une saisie du phénom</w:t>
      </w:r>
      <w:r w:rsidRPr="00031E0E">
        <w:rPr>
          <w:szCs w:val="18"/>
        </w:rPr>
        <w:t>è</w:t>
      </w:r>
      <w:r w:rsidRPr="00031E0E">
        <w:rPr>
          <w:szCs w:val="18"/>
        </w:rPr>
        <w:t>ne ; et même conjoints, par exemple sous la forme d’une caractérisation qui ferait de la rév</w:t>
      </w:r>
      <w:r w:rsidRPr="00031E0E">
        <w:rPr>
          <w:szCs w:val="18"/>
        </w:rPr>
        <w:t>o</w:t>
      </w:r>
      <w:r w:rsidRPr="00031E0E">
        <w:rPr>
          <w:szCs w:val="18"/>
        </w:rPr>
        <w:t>lution un changement de type non institutio</w:t>
      </w:r>
      <w:r w:rsidRPr="00031E0E">
        <w:rPr>
          <w:szCs w:val="18"/>
        </w:rPr>
        <w:t>n</w:t>
      </w:r>
      <w:r w:rsidRPr="00031E0E">
        <w:rPr>
          <w:szCs w:val="18"/>
        </w:rPr>
        <w:t>nel, illégal et violent, ils ne permettent guère d’en faire ressortir la spécif</w:t>
      </w:r>
      <w:r w:rsidRPr="00031E0E">
        <w:rPr>
          <w:szCs w:val="18"/>
        </w:rPr>
        <w:t>i</w:t>
      </w:r>
      <w:r w:rsidRPr="00031E0E">
        <w:rPr>
          <w:szCs w:val="18"/>
        </w:rPr>
        <w:t>cité.</w:t>
      </w:r>
    </w:p>
    <w:p w14:paraId="3CFEAF44" w14:textId="77777777" w:rsidR="006C5FDB" w:rsidRPr="00031E0E" w:rsidRDefault="006C5FDB" w:rsidP="006C5FDB">
      <w:pPr>
        <w:spacing w:before="120" w:after="120"/>
        <w:jc w:val="both"/>
      </w:pPr>
      <w:r w:rsidRPr="00031E0E">
        <w:rPr>
          <w:szCs w:val="18"/>
        </w:rPr>
        <w:t>C’est précisément le souci de cette sp</w:t>
      </w:r>
      <w:r w:rsidRPr="00031E0E">
        <w:rPr>
          <w:szCs w:val="18"/>
        </w:rPr>
        <w:t>é</w:t>
      </w:r>
      <w:r w:rsidRPr="00031E0E">
        <w:rPr>
          <w:szCs w:val="18"/>
        </w:rPr>
        <w:t>cificité qu’il convient de garder à l’esprit pour éviter des confusions courantes. L’une des ass</w:t>
      </w:r>
      <w:r w:rsidRPr="00031E0E">
        <w:rPr>
          <w:szCs w:val="18"/>
        </w:rPr>
        <w:t>i</w:t>
      </w:r>
      <w:r w:rsidRPr="00031E0E">
        <w:rPr>
          <w:szCs w:val="18"/>
        </w:rPr>
        <w:t>milations les plus abusives consiste à faire rentrer dans la même cat</w:t>
      </w:r>
      <w:r w:rsidRPr="00031E0E">
        <w:rPr>
          <w:szCs w:val="18"/>
        </w:rPr>
        <w:t>é</w:t>
      </w:r>
      <w:r w:rsidRPr="00031E0E">
        <w:rPr>
          <w:szCs w:val="18"/>
        </w:rPr>
        <w:t>gorie le simple coup d’État et la révolution. Dans ses manifestations les plus classiques, le coup d’État implique la substitution aux autor</w:t>
      </w:r>
      <w:r w:rsidRPr="00031E0E">
        <w:rPr>
          <w:szCs w:val="18"/>
        </w:rPr>
        <w:t>i</w:t>
      </w:r>
      <w:r w:rsidRPr="00031E0E">
        <w:rPr>
          <w:szCs w:val="18"/>
        </w:rPr>
        <w:t>tés anciennes de nouveaux dirigeants, qui fr</w:t>
      </w:r>
      <w:r w:rsidRPr="00031E0E">
        <w:rPr>
          <w:szCs w:val="18"/>
        </w:rPr>
        <w:t>é</w:t>
      </w:r>
      <w:r w:rsidRPr="00031E0E">
        <w:rPr>
          <w:szCs w:val="18"/>
        </w:rPr>
        <w:t>quemment – mais pas toujours – fa</w:t>
      </w:r>
      <w:r w:rsidRPr="00031E0E">
        <w:rPr>
          <w:szCs w:val="18"/>
        </w:rPr>
        <w:t>i</w:t>
      </w:r>
      <w:r w:rsidRPr="00031E0E">
        <w:rPr>
          <w:szCs w:val="18"/>
        </w:rPr>
        <w:t>saient déjà partie de l’élite politique ou parapolitique en place, sans que cette substitution ait gén</w:t>
      </w:r>
      <w:r w:rsidRPr="00031E0E">
        <w:rPr>
          <w:szCs w:val="18"/>
        </w:rPr>
        <w:t>é</w:t>
      </w:r>
      <w:r w:rsidRPr="00031E0E">
        <w:rPr>
          <w:szCs w:val="18"/>
        </w:rPr>
        <w:t xml:space="preserve">ralement, même au niveau du </w:t>
      </w:r>
      <w:r w:rsidRPr="00031E0E">
        <w:rPr>
          <w:szCs w:val="18"/>
        </w:rPr>
        <w:lastRenderedPageBreak/>
        <w:t>politique, des conséquences d’une importance décisive : ce renouve</w:t>
      </w:r>
      <w:r w:rsidRPr="00031E0E">
        <w:rPr>
          <w:szCs w:val="18"/>
        </w:rPr>
        <w:t>l</w:t>
      </w:r>
      <w:r w:rsidRPr="00031E0E">
        <w:rPr>
          <w:szCs w:val="18"/>
        </w:rPr>
        <w:t>lement – plus ou moins partiel – de l’élite dirigeante ne change pas les conditions d’accès et de participation au système politique, en partic</w:t>
      </w:r>
      <w:r w:rsidRPr="00031E0E">
        <w:rPr>
          <w:szCs w:val="18"/>
        </w:rPr>
        <w:t>u</w:t>
      </w:r>
      <w:r w:rsidRPr="00031E0E">
        <w:rPr>
          <w:szCs w:val="18"/>
        </w:rPr>
        <w:t>lier dans le sens d’un élargissement, et peut n’entraîner que des mod</w:t>
      </w:r>
      <w:r w:rsidRPr="00031E0E">
        <w:rPr>
          <w:szCs w:val="18"/>
        </w:rPr>
        <w:t>i</w:t>
      </w:r>
      <w:r w:rsidRPr="00031E0E">
        <w:rPr>
          <w:szCs w:val="18"/>
        </w:rPr>
        <w:t>fications inst</w:t>
      </w:r>
      <w:r w:rsidRPr="00031E0E">
        <w:rPr>
          <w:szCs w:val="18"/>
        </w:rPr>
        <w:t>i</w:t>
      </w:r>
      <w:r w:rsidRPr="00031E0E">
        <w:rPr>
          <w:szCs w:val="18"/>
        </w:rPr>
        <w:t>tutionnelles limitées. Le coup d’État ne provoque donc pas des transformations profondes du syst</w:t>
      </w:r>
      <w:r w:rsidRPr="00031E0E">
        <w:rPr>
          <w:szCs w:val="18"/>
        </w:rPr>
        <w:t>è</w:t>
      </w:r>
      <w:r w:rsidRPr="00031E0E">
        <w:rPr>
          <w:szCs w:val="18"/>
        </w:rPr>
        <w:t>me politique et, comme il est le plus souvent exécuté par un petit nombre pour un petit nombre, il n’a guère de retentissement dans la société. En définitive il ne sa</w:t>
      </w:r>
      <w:r w:rsidRPr="00031E0E">
        <w:rPr>
          <w:szCs w:val="18"/>
        </w:rPr>
        <w:t>u</w:t>
      </w:r>
      <w:r w:rsidRPr="00031E0E">
        <w:rPr>
          <w:szCs w:val="18"/>
        </w:rPr>
        <w:t>rait, ni quant à l’ampleur ni quant à l’intensité – bien moindres –, se comparer à une révolution, en dépit de l’expression tro</w:t>
      </w:r>
      <w:r w:rsidRPr="00031E0E">
        <w:rPr>
          <w:szCs w:val="18"/>
        </w:rPr>
        <w:t>m</w:t>
      </w:r>
      <w:r w:rsidRPr="00031E0E">
        <w:rPr>
          <w:szCs w:val="18"/>
        </w:rPr>
        <w:t>peuse de « révolution de palais ». Au plan analytique, la distinction paraît fe</w:t>
      </w:r>
      <w:r w:rsidRPr="00031E0E">
        <w:rPr>
          <w:szCs w:val="18"/>
        </w:rPr>
        <w:t>r</w:t>
      </w:r>
      <w:r w:rsidRPr="00031E0E">
        <w:rPr>
          <w:szCs w:val="18"/>
        </w:rPr>
        <w:t>mement établie ; mais elle n’exclut pas pour autant une éventuelle i</w:t>
      </w:r>
      <w:r w:rsidRPr="00031E0E">
        <w:rPr>
          <w:szCs w:val="18"/>
        </w:rPr>
        <w:t>n</w:t>
      </w:r>
      <w:r w:rsidRPr="00031E0E">
        <w:rPr>
          <w:szCs w:val="18"/>
        </w:rPr>
        <w:t>terdépendance empirique des phén</w:t>
      </w:r>
      <w:r w:rsidRPr="00031E0E">
        <w:rPr>
          <w:szCs w:val="18"/>
        </w:rPr>
        <w:t>o</w:t>
      </w:r>
      <w:r w:rsidRPr="00031E0E">
        <w:rPr>
          <w:szCs w:val="18"/>
        </w:rPr>
        <w:t>mènes et il n’est pas impossible que su</w:t>
      </w:r>
      <w:r w:rsidRPr="00031E0E">
        <w:rPr>
          <w:szCs w:val="18"/>
        </w:rPr>
        <w:t>r</w:t>
      </w:r>
      <w:r w:rsidRPr="00031E0E">
        <w:rPr>
          <w:szCs w:val="18"/>
        </w:rPr>
        <w:t>viennent des « coups » au début d’une révolution ou au cours même de son déroulement, associés dans ce de</w:t>
      </w:r>
      <w:r w:rsidRPr="00031E0E">
        <w:rPr>
          <w:szCs w:val="18"/>
        </w:rPr>
        <w:t>r</w:t>
      </w:r>
      <w:r w:rsidRPr="00031E0E">
        <w:rPr>
          <w:szCs w:val="18"/>
        </w:rPr>
        <w:t>nier cas à l’ascension d’une faction. Mais les chutes de régimes et les renversements brutaux de tendances se produisent souvent au cours de « journées révolutio</w:t>
      </w:r>
      <w:r w:rsidRPr="00031E0E">
        <w:rPr>
          <w:szCs w:val="18"/>
        </w:rPr>
        <w:t>n</w:t>
      </w:r>
      <w:r w:rsidRPr="00031E0E">
        <w:rPr>
          <w:szCs w:val="18"/>
        </w:rPr>
        <w:t>naires » – dénomination par elle-même significative – qui se disti</w:t>
      </w:r>
      <w:r w:rsidRPr="00031E0E">
        <w:rPr>
          <w:szCs w:val="18"/>
        </w:rPr>
        <w:t>n</w:t>
      </w:r>
      <w:r w:rsidRPr="00031E0E">
        <w:rPr>
          <w:szCs w:val="18"/>
        </w:rPr>
        <w:t>guent radicalement des « coups » à la fois par l’étendue et la portée de la partic</w:t>
      </w:r>
      <w:r w:rsidRPr="00031E0E">
        <w:rPr>
          <w:szCs w:val="18"/>
        </w:rPr>
        <w:t>i</w:t>
      </w:r>
      <w:r w:rsidRPr="00031E0E">
        <w:rPr>
          <w:szCs w:val="18"/>
        </w:rPr>
        <w:t>pation populaire ; et de plus, même dans les situations où on est, semble-t-il, en présence de simples « coups », ceux-ci sont indi</w:t>
      </w:r>
      <w:r w:rsidRPr="00031E0E">
        <w:rPr>
          <w:szCs w:val="18"/>
        </w:rPr>
        <w:t>s</w:t>
      </w:r>
      <w:r w:rsidRPr="00031E0E">
        <w:rPr>
          <w:szCs w:val="18"/>
        </w:rPr>
        <w:t>sociables du développement des processus révolutionnaires et à ce t</w:t>
      </w:r>
      <w:r w:rsidRPr="00031E0E">
        <w:rPr>
          <w:szCs w:val="18"/>
        </w:rPr>
        <w:t>i</w:t>
      </w:r>
      <w:r w:rsidRPr="00031E0E">
        <w:rPr>
          <w:szCs w:val="18"/>
        </w:rPr>
        <w:t>tre comportent des enjeux d’une autre importance que les coups d’État ordina</w:t>
      </w:r>
      <w:r w:rsidRPr="00031E0E">
        <w:rPr>
          <w:szCs w:val="18"/>
        </w:rPr>
        <w:t>i</w:t>
      </w:r>
      <w:r w:rsidRPr="00031E0E">
        <w:rPr>
          <w:szCs w:val="18"/>
        </w:rPr>
        <w:t>res : ils ne peuvent donc être classés sur ce modèle.</w:t>
      </w:r>
    </w:p>
    <w:p w14:paraId="1196A437" w14:textId="77777777" w:rsidR="006C5FDB" w:rsidRPr="00031E0E" w:rsidRDefault="006C5FDB" w:rsidP="006C5FDB">
      <w:pPr>
        <w:spacing w:before="120" w:after="120"/>
        <w:jc w:val="both"/>
      </w:pPr>
      <w:r w:rsidRPr="00031E0E">
        <w:rPr>
          <w:szCs w:val="18"/>
        </w:rPr>
        <w:t>Il est une autre confusion, apparemment plus subtile mais tout au</w:t>
      </w:r>
      <w:r w:rsidRPr="00031E0E">
        <w:rPr>
          <w:szCs w:val="18"/>
        </w:rPr>
        <w:t>s</w:t>
      </w:r>
      <w:r w:rsidRPr="00031E0E">
        <w:rPr>
          <w:szCs w:val="18"/>
        </w:rPr>
        <w:t>si lou</w:t>
      </w:r>
      <w:r w:rsidRPr="00031E0E">
        <w:rPr>
          <w:szCs w:val="18"/>
        </w:rPr>
        <w:t>r</w:t>
      </w:r>
      <w:r w:rsidRPr="00031E0E">
        <w:rPr>
          <w:szCs w:val="18"/>
        </w:rPr>
        <w:t>de de conséquences, dont il convient de se garder : cette fois c’est la révolte, a</w:t>
      </w:r>
      <w:r w:rsidRPr="00031E0E">
        <w:rPr>
          <w:szCs w:val="18"/>
        </w:rPr>
        <w:t>p</w:t>
      </w:r>
      <w:r w:rsidRPr="00031E0E">
        <w:rPr>
          <w:szCs w:val="18"/>
        </w:rPr>
        <w:t>pliquée non pas au niveau individuel, mais entendue dans le sens de rébellion collective contre l’ordre établi, qui est posée comme équivalente, et donc assimilable, à la rév</w:t>
      </w:r>
      <w:r w:rsidRPr="00031E0E">
        <w:rPr>
          <w:szCs w:val="18"/>
        </w:rPr>
        <w:t>o</w:t>
      </w:r>
      <w:r w:rsidRPr="00031E0E">
        <w:rPr>
          <w:szCs w:val="18"/>
        </w:rPr>
        <w:t>lution. Certes on est, dans l’un et l’autre cas, en présence de phénomènes dont la signific</w:t>
      </w:r>
      <w:r w:rsidRPr="00031E0E">
        <w:rPr>
          <w:szCs w:val="18"/>
        </w:rPr>
        <w:t>a</w:t>
      </w:r>
      <w:r w:rsidRPr="00031E0E">
        <w:rPr>
          <w:szCs w:val="18"/>
        </w:rPr>
        <w:t>tion polit</w:t>
      </w:r>
      <w:r w:rsidRPr="00031E0E">
        <w:rPr>
          <w:szCs w:val="18"/>
        </w:rPr>
        <w:t>i</w:t>
      </w:r>
      <w:r w:rsidRPr="00031E0E">
        <w:rPr>
          <w:szCs w:val="18"/>
        </w:rPr>
        <w:t>que ne saurait être sous-estimée ; et il vaut sans doute la peine de signaler dès maintenant, avant d’y revenir ultérie</w:t>
      </w:r>
      <w:r w:rsidRPr="00031E0E">
        <w:rPr>
          <w:szCs w:val="18"/>
        </w:rPr>
        <w:t>u</w:t>
      </w:r>
      <w:r w:rsidRPr="00031E0E">
        <w:rPr>
          <w:szCs w:val="18"/>
        </w:rPr>
        <w:t>rement, que la révolte (ou la rébellion) collective constitue un indispensable ingrédient de ce que l’on appelle les « grandes révolutions » et en r</w:t>
      </w:r>
      <w:r w:rsidRPr="00031E0E">
        <w:rPr>
          <w:szCs w:val="18"/>
        </w:rPr>
        <w:t>e</w:t>
      </w:r>
      <w:r w:rsidRPr="00031E0E">
        <w:rPr>
          <w:szCs w:val="18"/>
        </w:rPr>
        <w:t>présente même une dimension particuli</w:t>
      </w:r>
      <w:r w:rsidRPr="00031E0E">
        <w:rPr>
          <w:szCs w:val="18"/>
        </w:rPr>
        <w:t>è</w:t>
      </w:r>
      <w:r w:rsidRPr="00031E0E">
        <w:rPr>
          <w:szCs w:val="18"/>
        </w:rPr>
        <w:t>rement significative. Mais, pour bien marquer la différence entre révolte et révolution, il faut ég</w:t>
      </w:r>
      <w:r w:rsidRPr="00031E0E">
        <w:rPr>
          <w:szCs w:val="18"/>
        </w:rPr>
        <w:t>a</w:t>
      </w:r>
      <w:r w:rsidRPr="00031E0E">
        <w:rPr>
          <w:szCs w:val="18"/>
        </w:rPr>
        <w:t>lement souligner que les révoltes, e</w:t>
      </w:r>
      <w:r w:rsidRPr="00031E0E">
        <w:rPr>
          <w:szCs w:val="18"/>
        </w:rPr>
        <w:t>n</w:t>
      </w:r>
      <w:r w:rsidRPr="00031E0E">
        <w:rPr>
          <w:szCs w:val="18"/>
        </w:rPr>
        <w:t>visagées d’un point de vue socio-historique, ne sont généralement pas révolutionnaires et qu’elles</w:t>
      </w:r>
      <w:r>
        <w:rPr>
          <w:szCs w:val="18"/>
        </w:rPr>
        <w:t xml:space="preserve"> </w:t>
      </w:r>
      <w:r w:rsidRPr="00031E0E">
        <w:rPr>
          <w:szCs w:val="18"/>
        </w:rPr>
        <w:t>[638]</w:t>
      </w:r>
      <w:r>
        <w:rPr>
          <w:szCs w:val="18"/>
        </w:rPr>
        <w:t xml:space="preserve"> </w:t>
      </w:r>
      <w:r w:rsidRPr="00031E0E">
        <w:rPr>
          <w:szCs w:val="18"/>
        </w:rPr>
        <w:t>prennent un sens nouveau, pour ne pas dire une autre nature, quand elles se développent dans le cadre de processus révolutionna</w:t>
      </w:r>
      <w:r w:rsidRPr="00031E0E">
        <w:rPr>
          <w:szCs w:val="18"/>
        </w:rPr>
        <w:t>i</w:t>
      </w:r>
      <w:r w:rsidRPr="00031E0E">
        <w:rPr>
          <w:szCs w:val="18"/>
        </w:rPr>
        <w:t>res.</w:t>
      </w:r>
    </w:p>
    <w:p w14:paraId="5B2683A8" w14:textId="77777777" w:rsidR="006C5FDB" w:rsidRPr="00031E0E" w:rsidRDefault="006C5FDB" w:rsidP="006C5FDB">
      <w:pPr>
        <w:spacing w:before="120" w:after="120"/>
        <w:jc w:val="both"/>
      </w:pPr>
      <w:r w:rsidRPr="00031E0E">
        <w:rPr>
          <w:szCs w:val="18"/>
        </w:rPr>
        <w:t>Dans sa forme traditionnelle, la r</w:t>
      </w:r>
      <w:r w:rsidRPr="00031E0E">
        <w:rPr>
          <w:szCs w:val="18"/>
        </w:rPr>
        <w:t>é</w:t>
      </w:r>
      <w:r w:rsidRPr="00031E0E">
        <w:rPr>
          <w:szCs w:val="18"/>
        </w:rPr>
        <w:t>volte a des objectifs spécifiques et concrets : la suppre</w:t>
      </w:r>
      <w:r w:rsidRPr="00031E0E">
        <w:rPr>
          <w:szCs w:val="18"/>
        </w:rPr>
        <w:t>s</w:t>
      </w:r>
      <w:r w:rsidRPr="00031E0E">
        <w:rPr>
          <w:szCs w:val="18"/>
        </w:rPr>
        <w:t>sion d’un impôt, le retour du prix du pain à un niveau tolérable pour la pop</w:t>
      </w:r>
      <w:r w:rsidRPr="00031E0E">
        <w:rPr>
          <w:szCs w:val="18"/>
        </w:rPr>
        <w:t>u</w:t>
      </w:r>
      <w:r w:rsidRPr="00031E0E">
        <w:rPr>
          <w:szCs w:val="18"/>
        </w:rPr>
        <w:t>lation, l’amélioration de la distribution des produits de première nécessité. Dans les rébellions paysannes comme dans les émeutes urbaines de l’ère préindustrielle, l’ordre s</w:t>
      </w:r>
      <w:r w:rsidRPr="00031E0E">
        <w:rPr>
          <w:szCs w:val="18"/>
        </w:rPr>
        <w:t>o</w:t>
      </w:r>
      <w:r w:rsidRPr="00031E0E">
        <w:rPr>
          <w:szCs w:val="18"/>
        </w:rPr>
        <w:t>cial existant n’est pas vra</w:t>
      </w:r>
      <w:r w:rsidRPr="00031E0E">
        <w:rPr>
          <w:szCs w:val="18"/>
        </w:rPr>
        <w:t>i</w:t>
      </w:r>
      <w:r w:rsidRPr="00031E0E">
        <w:rPr>
          <w:szCs w:val="18"/>
        </w:rPr>
        <w:t>ment mis en cause : ce qui est recherché par les acteurs c’est un simple retour à l’équilibre antérieur, réel ou su</w:t>
      </w:r>
      <w:r w:rsidRPr="00031E0E">
        <w:rPr>
          <w:szCs w:val="18"/>
        </w:rPr>
        <w:t>p</w:t>
      </w:r>
      <w:r w:rsidRPr="00031E0E">
        <w:rPr>
          <w:szCs w:val="18"/>
        </w:rPr>
        <w:t>posé ; la loyauté à l’égard du souverain reste le plus souvent intacte, il s’agit – tout au plus – de chasser les « mauvais consei</w:t>
      </w:r>
      <w:r w:rsidRPr="00031E0E">
        <w:rPr>
          <w:szCs w:val="18"/>
        </w:rPr>
        <w:t>l</w:t>
      </w:r>
      <w:r w:rsidRPr="00031E0E">
        <w:rPr>
          <w:szCs w:val="18"/>
        </w:rPr>
        <w:t>lers ». Ainsi que le note Hagopian en des termes voisins, les révoltes restent e</w:t>
      </w:r>
      <w:r w:rsidRPr="00031E0E">
        <w:rPr>
          <w:szCs w:val="18"/>
        </w:rPr>
        <w:t>n</w:t>
      </w:r>
      <w:r w:rsidRPr="00031E0E">
        <w:rPr>
          <w:szCs w:val="18"/>
        </w:rPr>
        <w:t>fermées dans l’univers existant des valeurs sociales d</w:t>
      </w:r>
      <w:r w:rsidRPr="00031E0E">
        <w:rPr>
          <w:szCs w:val="18"/>
        </w:rPr>
        <w:t>o</w:t>
      </w:r>
      <w:r w:rsidRPr="00031E0E">
        <w:rPr>
          <w:szCs w:val="18"/>
        </w:rPr>
        <w:t>minantes ; leur visée est restauratrice plutôt que révolutio</w:t>
      </w:r>
      <w:r w:rsidRPr="00031E0E">
        <w:rPr>
          <w:szCs w:val="18"/>
        </w:rPr>
        <w:t>n</w:t>
      </w:r>
      <w:r w:rsidRPr="00031E0E">
        <w:rPr>
          <w:szCs w:val="18"/>
        </w:rPr>
        <w:t>naire.</w:t>
      </w:r>
    </w:p>
    <w:p w14:paraId="6F95AE47" w14:textId="77777777" w:rsidR="006C5FDB" w:rsidRPr="00031E0E" w:rsidRDefault="006C5FDB" w:rsidP="006C5FDB">
      <w:pPr>
        <w:spacing w:before="120" w:after="120"/>
        <w:jc w:val="both"/>
      </w:pPr>
      <w:r w:rsidRPr="00031E0E">
        <w:rPr>
          <w:szCs w:val="18"/>
        </w:rPr>
        <w:t>Le sens de la nouveauté, comme la volonté affirmée d’innover, leur font en effet défaut ; et – ce qui est tout à fait complémentaire – les révoltés, jusques et y compris leurs dir</w:t>
      </w:r>
      <w:r w:rsidRPr="00031E0E">
        <w:rPr>
          <w:szCs w:val="18"/>
        </w:rPr>
        <w:t>i</w:t>
      </w:r>
      <w:r w:rsidRPr="00031E0E">
        <w:rPr>
          <w:szCs w:val="18"/>
        </w:rPr>
        <w:t>geants, n’ont pas de projet global, ni de plan d’ensemble ; ils restent trop prisonniers de la trad</w:t>
      </w:r>
      <w:r w:rsidRPr="00031E0E">
        <w:rPr>
          <w:szCs w:val="18"/>
        </w:rPr>
        <w:t>i</w:t>
      </w:r>
      <w:r w:rsidRPr="00031E0E">
        <w:rPr>
          <w:szCs w:val="18"/>
        </w:rPr>
        <w:t>tion pour avoir une vision et des perspectives véritablement idéolog</w:t>
      </w:r>
      <w:r w:rsidRPr="00031E0E">
        <w:rPr>
          <w:szCs w:val="18"/>
        </w:rPr>
        <w:t>i</w:t>
      </w:r>
      <w:r w:rsidRPr="00031E0E">
        <w:rPr>
          <w:szCs w:val="18"/>
        </w:rPr>
        <w:t>ques.</w:t>
      </w:r>
    </w:p>
    <w:p w14:paraId="5C4BC95C" w14:textId="77777777" w:rsidR="006C5FDB" w:rsidRPr="00031E0E" w:rsidRDefault="006C5FDB" w:rsidP="006C5FDB">
      <w:pPr>
        <w:spacing w:before="120" w:after="120"/>
        <w:jc w:val="both"/>
      </w:pPr>
      <w:r w:rsidRPr="00031E0E">
        <w:rPr>
          <w:szCs w:val="18"/>
        </w:rPr>
        <w:t>Révolte et révolution apparaissent ainsi comme des types de ph</w:t>
      </w:r>
      <w:r w:rsidRPr="00031E0E">
        <w:rPr>
          <w:szCs w:val="18"/>
        </w:rPr>
        <w:t>é</w:t>
      </w:r>
      <w:r w:rsidRPr="00031E0E">
        <w:rPr>
          <w:szCs w:val="18"/>
        </w:rPr>
        <w:t>nomènes foncièrement distin</w:t>
      </w:r>
      <w:r w:rsidRPr="00031E0E">
        <w:rPr>
          <w:szCs w:val="18"/>
        </w:rPr>
        <w:t>c</w:t>
      </w:r>
      <w:r w:rsidRPr="00031E0E">
        <w:rPr>
          <w:szCs w:val="18"/>
        </w:rPr>
        <w:t>ts. Il n’en demeure pas moins que les « grandes révolutions » comportent une dimension, à la fois spectac</w:t>
      </w:r>
      <w:r w:rsidRPr="00031E0E">
        <w:rPr>
          <w:szCs w:val="18"/>
        </w:rPr>
        <w:t>u</w:t>
      </w:r>
      <w:r w:rsidRPr="00031E0E">
        <w:rPr>
          <w:szCs w:val="18"/>
        </w:rPr>
        <w:t>laire et cruciale, d’insurrections et de soulèvements populaires, à l</w:t>
      </w:r>
      <w:r w:rsidRPr="00031E0E">
        <w:rPr>
          <w:szCs w:val="18"/>
        </w:rPr>
        <w:t>a</w:t>
      </w:r>
      <w:r w:rsidRPr="00031E0E">
        <w:rPr>
          <w:szCs w:val="18"/>
        </w:rPr>
        <w:t>quelle on peut donner, comme le fait par exemple Skocpol (1979, p. 4), le nom générique de « révoltes ». La di</w:t>
      </w:r>
      <w:r w:rsidRPr="00031E0E">
        <w:rPr>
          <w:szCs w:val="18"/>
        </w:rPr>
        <w:t>f</w:t>
      </w:r>
      <w:r w:rsidRPr="00031E0E">
        <w:rPr>
          <w:szCs w:val="18"/>
        </w:rPr>
        <w:t>ficulté est sans doute pour une large part d’ordre terminolog</w:t>
      </w:r>
      <w:r w:rsidRPr="00031E0E">
        <w:rPr>
          <w:szCs w:val="18"/>
        </w:rPr>
        <w:t>i</w:t>
      </w:r>
      <w:r w:rsidRPr="00031E0E">
        <w:rPr>
          <w:szCs w:val="18"/>
        </w:rPr>
        <w:t>que et, à ce titre, plus apparente que réelle : mais elle appelle aussi quelques clar</w:t>
      </w:r>
      <w:r w:rsidRPr="00031E0E">
        <w:rPr>
          <w:szCs w:val="18"/>
        </w:rPr>
        <w:t>i</w:t>
      </w:r>
      <w:r w:rsidRPr="00031E0E">
        <w:rPr>
          <w:szCs w:val="18"/>
        </w:rPr>
        <w:t>fications. Il ne suffit pas en tout cas, pour la lever, d’invoquer le caractère de classe des soul</w:t>
      </w:r>
      <w:r w:rsidRPr="00031E0E">
        <w:rPr>
          <w:szCs w:val="18"/>
        </w:rPr>
        <w:t>è</w:t>
      </w:r>
      <w:r w:rsidRPr="00031E0E">
        <w:rPr>
          <w:szCs w:val="18"/>
        </w:rPr>
        <w:t>vements qui éclatent au cours, voire au début, de processus révol</w:t>
      </w:r>
      <w:r w:rsidRPr="00031E0E">
        <w:rPr>
          <w:szCs w:val="18"/>
        </w:rPr>
        <w:t>u</w:t>
      </w:r>
      <w:r w:rsidRPr="00031E0E">
        <w:rPr>
          <w:szCs w:val="18"/>
        </w:rPr>
        <w:t>tionnaires : révoltes et rébellions sont d’abord et avant tout, même s’il leur arrive d’être parfois portées par d’autres groupes d’acteurs, le fait des classes subordo</w:t>
      </w:r>
      <w:r w:rsidRPr="00031E0E">
        <w:rPr>
          <w:szCs w:val="18"/>
        </w:rPr>
        <w:t>n</w:t>
      </w:r>
      <w:r w:rsidRPr="00031E0E">
        <w:rPr>
          <w:szCs w:val="18"/>
        </w:rPr>
        <w:t>nées. On pourrait, il est vrai, se contenter de dire – ce qui n’est pas exempt d’une certaine pertinence – que la révolution est un phénomène particulièrement co</w:t>
      </w:r>
      <w:r w:rsidRPr="00031E0E">
        <w:rPr>
          <w:szCs w:val="18"/>
        </w:rPr>
        <w:t>m</w:t>
      </w:r>
      <w:r w:rsidRPr="00031E0E">
        <w:rPr>
          <w:szCs w:val="18"/>
        </w:rPr>
        <w:t>plexe, impliquant une pluralité de dimensions et même constitué par leur combinaison. Mais on lai</w:t>
      </w:r>
      <w:r w:rsidRPr="00031E0E">
        <w:rPr>
          <w:szCs w:val="18"/>
        </w:rPr>
        <w:t>s</w:t>
      </w:r>
      <w:r w:rsidRPr="00031E0E">
        <w:rPr>
          <w:szCs w:val="18"/>
        </w:rPr>
        <w:t>serait échapper ainsi les nouve</w:t>
      </w:r>
      <w:r w:rsidRPr="00031E0E">
        <w:rPr>
          <w:szCs w:val="18"/>
        </w:rPr>
        <w:t>l</w:t>
      </w:r>
      <w:r w:rsidRPr="00031E0E">
        <w:rPr>
          <w:szCs w:val="18"/>
        </w:rPr>
        <w:t>les significations dont les rébellions deviennent souvent porteuses dans le cadre d’une révolution : par ra</w:t>
      </w:r>
      <w:r w:rsidRPr="00031E0E">
        <w:rPr>
          <w:szCs w:val="18"/>
        </w:rPr>
        <w:t>p</w:t>
      </w:r>
      <w:r w:rsidRPr="00031E0E">
        <w:rPr>
          <w:szCs w:val="18"/>
        </w:rPr>
        <w:t>port aux révoltes traditionne</w:t>
      </w:r>
      <w:r w:rsidRPr="00031E0E">
        <w:rPr>
          <w:szCs w:val="18"/>
        </w:rPr>
        <w:t>l</w:t>
      </w:r>
      <w:r w:rsidRPr="00031E0E">
        <w:rPr>
          <w:szCs w:val="18"/>
        </w:rPr>
        <w:t>les, elles témoignent d’un incontestable élargissement de l’horizon et, du même coup, d’une o</w:t>
      </w:r>
      <w:r w:rsidRPr="00031E0E">
        <w:rPr>
          <w:szCs w:val="18"/>
        </w:rPr>
        <w:t>u</w:t>
      </w:r>
      <w:r w:rsidRPr="00031E0E">
        <w:rPr>
          <w:szCs w:val="18"/>
        </w:rPr>
        <w:t>verture à la modern</w:t>
      </w:r>
      <w:r w:rsidRPr="00031E0E">
        <w:rPr>
          <w:szCs w:val="18"/>
        </w:rPr>
        <w:t>i</w:t>
      </w:r>
      <w:r w:rsidRPr="00031E0E">
        <w:rPr>
          <w:szCs w:val="18"/>
        </w:rPr>
        <w:t>té.</w:t>
      </w:r>
    </w:p>
    <w:p w14:paraId="6278BA18" w14:textId="77777777" w:rsidR="006C5FDB" w:rsidRPr="00031E0E" w:rsidRDefault="006C5FDB" w:rsidP="006C5FDB">
      <w:pPr>
        <w:spacing w:before="120" w:after="120"/>
        <w:jc w:val="both"/>
      </w:pPr>
      <w:r w:rsidRPr="00031E0E">
        <w:rPr>
          <w:szCs w:val="18"/>
        </w:rPr>
        <w:t>Pour étayer cette affirmation, nous ferons appel à deux illustrations privilégiées, les soulèv</w:t>
      </w:r>
      <w:r w:rsidRPr="00031E0E">
        <w:rPr>
          <w:szCs w:val="18"/>
        </w:rPr>
        <w:t>e</w:t>
      </w:r>
      <w:r w:rsidRPr="00031E0E">
        <w:rPr>
          <w:szCs w:val="18"/>
        </w:rPr>
        <w:t>ments paysans d’une part, les mouvements d’inspiration religieuse de l’autre. Dans le contexte r</w:t>
      </w:r>
      <w:r w:rsidRPr="00031E0E">
        <w:rPr>
          <w:szCs w:val="18"/>
        </w:rPr>
        <w:t>é</w:t>
      </w:r>
      <w:r w:rsidRPr="00031E0E">
        <w:rPr>
          <w:szCs w:val="18"/>
        </w:rPr>
        <w:t>volutionnaire, la révolte paysanne ne se borne plus à des a</w:t>
      </w:r>
      <w:r w:rsidRPr="00031E0E">
        <w:rPr>
          <w:szCs w:val="18"/>
        </w:rPr>
        <w:t>c</w:t>
      </w:r>
      <w:r w:rsidRPr="00031E0E">
        <w:rPr>
          <w:szCs w:val="18"/>
        </w:rPr>
        <w:t>tions localisées, si violentes qu’elles puissent être, en réponse à des difficultés ou à des exa</w:t>
      </w:r>
      <w:r w:rsidRPr="00031E0E">
        <w:rPr>
          <w:szCs w:val="18"/>
        </w:rPr>
        <w:t>c</w:t>
      </w:r>
      <w:r w:rsidRPr="00031E0E">
        <w:rPr>
          <w:szCs w:val="18"/>
        </w:rPr>
        <w:t>tions spécifiques ; elle prend la forme d’une attaque de grande ampleur contre les seigneurs, dont la propriété comme les titres sont radical</w:t>
      </w:r>
      <w:r w:rsidRPr="00031E0E">
        <w:rPr>
          <w:szCs w:val="18"/>
        </w:rPr>
        <w:t>e</w:t>
      </w:r>
      <w:r w:rsidRPr="00031E0E">
        <w:rPr>
          <w:szCs w:val="18"/>
        </w:rPr>
        <w:t xml:space="preserve">ment mis en cause. Il y a ainsi une grande distance entre les révoltes paysannes de la France du </w:t>
      </w:r>
      <w:r w:rsidRPr="00031E0E">
        <w:rPr>
          <w:smallCaps/>
          <w:szCs w:val="18"/>
        </w:rPr>
        <w:t>xvii</w:t>
      </w:r>
      <w:r w:rsidRPr="00031E0E">
        <w:rPr>
          <w:szCs w:val="18"/>
          <w:vertAlign w:val="superscript"/>
        </w:rPr>
        <w:t>e</w:t>
      </w:r>
      <w:r w:rsidRPr="00031E0E">
        <w:rPr>
          <w:szCs w:val="18"/>
        </w:rPr>
        <w:t xml:space="preserve"> siècle qui, pour impo</w:t>
      </w:r>
      <w:r w:rsidRPr="00031E0E">
        <w:rPr>
          <w:szCs w:val="18"/>
        </w:rPr>
        <w:t>r</w:t>
      </w:r>
      <w:r w:rsidRPr="00031E0E">
        <w:rPr>
          <w:szCs w:val="18"/>
        </w:rPr>
        <w:t>tantes qu’elles soient, n’en ont pas moins un caractère traditionnel, et la contestation radicale des privilèges seigneuriaux par les paysans pendant la Rév</w:t>
      </w:r>
      <w:r w:rsidRPr="00031E0E">
        <w:rPr>
          <w:szCs w:val="18"/>
        </w:rPr>
        <w:t>o</w:t>
      </w:r>
      <w:r w:rsidRPr="00031E0E">
        <w:rPr>
          <w:szCs w:val="18"/>
        </w:rPr>
        <w:t>lution française, si lourde de conséquences ; et l’on peut</w:t>
      </w:r>
      <w:r>
        <w:rPr>
          <w:szCs w:val="18"/>
        </w:rPr>
        <w:t xml:space="preserve"> </w:t>
      </w:r>
      <w:r w:rsidRPr="00031E0E">
        <w:t>[639]</w:t>
      </w:r>
      <w:r>
        <w:t xml:space="preserve"> </w:t>
      </w:r>
      <w:r w:rsidRPr="00031E0E">
        <w:rPr>
          <w:szCs w:val="18"/>
        </w:rPr>
        <w:t>co</w:t>
      </w:r>
      <w:r w:rsidRPr="00031E0E">
        <w:rPr>
          <w:szCs w:val="18"/>
        </w:rPr>
        <w:t>m</w:t>
      </w:r>
      <w:r w:rsidRPr="00031E0E">
        <w:rPr>
          <w:szCs w:val="18"/>
        </w:rPr>
        <w:t xml:space="preserve">prendre pourquoi Eric Wolf, traitant du </w:t>
      </w:r>
      <w:r w:rsidRPr="00031E0E">
        <w:rPr>
          <w:smallCaps/>
          <w:szCs w:val="18"/>
        </w:rPr>
        <w:t>xx</w:t>
      </w:r>
      <w:r w:rsidRPr="00031E0E">
        <w:rPr>
          <w:szCs w:val="18"/>
          <w:vertAlign w:val="superscript"/>
        </w:rPr>
        <w:t>e</w:t>
      </w:r>
      <w:r w:rsidRPr="00031E0E">
        <w:rPr>
          <w:szCs w:val="18"/>
        </w:rPr>
        <w:t xml:space="preserve"> siècle, a r</w:t>
      </w:r>
      <w:r w:rsidRPr="00031E0E">
        <w:rPr>
          <w:szCs w:val="18"/>
        </w:rPr>
        <w:t>e</w:t>
      </w:r>
      <w:r w:rsidRPr="00031E0E">
        <w:rPr>
          <w:szCs w:val="18"/>
        </w:rPr>
        <w:t>tenu pour le titre même de son ouvrage ( 1974) le terme de « guerres paysannes », qui marque mieux leur – éventuel – caractère révol</w:t>
      </w:r>
      <w:r w:rsidRPr="00031E0E">
        <w:rPr>
          <w:szCs w:val="18"/>
        </w:rPr>
        <w:t>u</w:t>
      </w:r>
      <w:r w:rsidRPr="00031E0E">
        <w:rPr>
          <w:szCs w:val="18"/>
        </w:rPr>
        <w:t>tionnaire. Certes il faut se garder, même dans ces cas, de pr</w:t>
      </w:r>
      <w:r w:rsidRPr="00031E0E">
        <w:rPr>
          <w:szCs w:val="18"/>
        </w:rPr>
        <w:t>ê</w:t>
      </w:r>
      <w:r w:rsidRPr="00031E0E">
        <w:rPr>
          <w:szCs w:val="18"/>
        </w:rPr>
        <w:t>ter aux paysans la vision globale d’un ordre nouveau ou de méconnaître les objectifs concrets pour lesquels ils se sont battus – ou se battent ; mais ces utiles préc</w:t>
      </w:r>
      <w:r w:rsidRPr="00031E0E">
        <w:rPr>
          <w:szCs w:val="18"/>
        </w:rPr>
        <w:t>i</w:t>
      </w:r>
      <w:r w:rsidRPr="00031E0E">
        <w:rPr>
          <w:szCs w:val="18"/>
        </w:rPr>
        <w:t>sions ne doivent pas faire négliger les traits qui distinguent les soul</w:t>
      </w:r>
      <w:r w:rsidRPr="00031E0E">
        <w:rPr>
          <w:szCs w:val="18"/>
        </w:rPr>
        <w:t>è</w:t>
      </w:r>
      <w:r w:rsidRPr="00031E0E">
        <w:rPr>
          <w:szCs w:val="18"/>
        </w:rPr>
        <w:t>vements paysans liés aux « grandes révolutions », voire à d’autres d</w:t>
      </w:r>
      <w:r w:rsidRPr="00031E0E">
        <w:rPr>
          <w:szCs w:val="18"/>
        </w:rPr>
        <w:t>é</w:t>
      </w:r>
      <w:r w:rsidRPr="00031E0E">
        <w:rPr>
          <w:szCs w:val="18"/>
        </w:rPr>
        <w:t>veloppements révolutionna</w:t>
      </w:r>
      <w:r w:rsidRPr="00031E0E">
        <w:rPr>
          <w:szCs w:val="18"/>
        </w:rPr>
        <w:t>i</w:t>
      </w:r>
      <w:r w:rsidRPr="00031E0E">
        <w:rPr>
          <w:szCs w:val="18"/>
        </w:rPr>
        <w:t>res de ce siècle dans le Tiers Monde, des révoltes paysannes traditionnelles.</w:t>
      </w:r>
    </w:p>
    <w:p w14:paraId="4C88053B" w14:textId="77777777" w:rsidR="006C5FDB" w:rsidRPr="00031E0E" w:rsidRDefault="006C5FDB" w:rsidP="006C5FDB">
      <w:pPr>
        <w:spacing w:before="120" w:after="120"/>
        <w:jc w:val="both"/>
      </w:pPr>
      <w:r w:rsidRPr="00031E0E">
        <w:rPr>
          <w:szCs w:val="18"/>
        </w:rPr>
        <w:t>De la même façon il paraît difficile de souscrire à la th</w:t>
      </w:r>
      <w:r w:rsidRPr="00031E0E">
        <w:rPr>
          <w:szCs w:val="18"/>
        </w:rPr>
        <w:t>è</w:t>
      </w:r>
      <w:r w:rsidRPr="00031E0E">
        <w:rPr>
          <w:szCs w:val="18"/>
        </w:rPr>
        <w:t>se d’une continuité, défendue notamment par Norman Cohn (1962 ; nouv. éd., 1983), entre les attentes eschatolog</w:t>
      </w:r>
      <w:r w:rsidRPr="00031E0E">
        <w:rPr>
          <w:szCs w:val="18"/>
        </w:rPr>
        <w:t>i</w:t>
      </w:r>
      <w:r w:rsidRPr="00031E0E">
        <w:rPr>
          <w:szCs w:val="18"/>
        </w:rPr>
        <w:t>ques de la seconde moitié du Moyen Âge, s’exprimant en particulier à travers l’annonce d’un O</w:t>
      </w:r>
      <w:r w:rsidRPr="00031E0E">
        <w:rPr>
          <w:szCs w:val="18"/>
        </w:rPr>
        <w:t>r</w:t>
      </w:r>
      <w:r w:rsidRPr="00031E0E">
        <w:rPr>
          <w:szCs w:val="18"/>
        </w:rPr>
        <w:t>dre des Justes, et les mouvements révol</w:t>
      </w:r>
      <w:r w:rsidRPr="00031E0E">
        <w:rPr>
          <w:szCs w:val="18"/>
        </w:rPr>
        <w:t>u</w:t>
      </w:r>
      <w:r w:rsidRPr="00031E0E">
        <w:rPr>
          <w:szCs w:val="18"/>
        </w:rPr>
        <w:t>tionnaires modernes. On peut tout au plus défendre l’idée que, selon l’heureuse formule d’Hannah Arendt, « il fallait la « modernité » pour libérer les germes révolutio</w:t>
      </w:r>
      <w:r w:rsidRPr="00031E0E">
        <w:rPr>
          <w:szCs w:val="18"/>
        </w:rPr>
        <w:t>n</w:t>
      </w:r>
      <w:r w:rsidRPr="00031E0E">
        <w:rPr>
          <w:szCs w:val="18"/>
        </w:rPr>
        <w:t>naires de la foi » (1967, p. 34). En dépit du titre de l’ouvrage de Mühlmann (1968) – tout au moins dans la tr</w:t>
      </w:r>
      <w:r w:rsidRPr="00031E0E">
        <w:rPr>
          <w:szCs w:val="18"/>
        </w:rPr>
        <w:t>a</w:t>
      </w:r>
      <w:r w:rsidRPr="00031E0E">
        <w:rPr>
          <w:szCs w:val="18"/>
        </w:rPr>
        <w:t>duction française –, les messianismes sont bien loin d’avoir toujours une signification et une fonction révolutionnaires : ils peuvent notamment const</w:t>
      </w:r>
      <w:r w:rsidRPr="00031E0E">
        <w:rPr>
          <w:szCs w:val="18"/>
        </w:rPr>
        <w:t>i</w:t>
      </w:r>
      <w:r w:rsidRPr="00031E0E">
        <w:rPr>
          <w:szCs w:val="18"/>
        </w:rPr>
        <w:t>tuer, comme l’a si bien montré Pereira de Queiroz (1968, pp. 90, 133-134, 144) ; la réponse à une crise profonde portant la menace d’une désorganis</w:t>
      </w:r>
      <w:r w:rsidRPr="00031E0E">
        <w:rPr>
          <w:szCs w:val="18"/>
        </w:rPr>
        <w:t>a</w:t>
      </w:r>
      <w:r w:rsidRPr="00031E0E">
        <w:rPr>
          <w:szCs w:val="18"/>
        </w:rPr>
        <w:t>tion sociale complète ; et, sous leur fo</w:t>
      </w:r>
      <w:r w:rsidRPr="00031E0E">
        <w:rPr>
          <w:szCs w:val="18"/>
        </w:rPr>
        <w:t>r</w:t>
      </w:r>
      <w:r w:rsidRPr="00031E0E">
        <w:rPr>
          <w:szCs w:val="18"/>
        </w:rPr>
        <w:t>me la plus aiguë, ils méritent d’abord le qualificatif de « subversifs », en raison de la contest</w:t>
      </w:r>
      <w:r w:rsidRPr="00031E0E">
        <w:rPr>
          <w:szCs w:val="18"/>
        </w:rPr>
        <w:t>a</w:t>
      </w:r>
      <w:r w:rsidRPr="00031E0E">
        <w:rPr>
          <w:szCs w:val="18"/>
        </w:rPr>
        <w:t>tion virulente qu’ils expriment de la part de certaines couches dominées, en situation de « classe p</w:t>
      </w:r>
      <w:r w:rsidRPr="00031E0E">
        <w:rPr>
          <w:szCs w:val="18"/>
        </w:rPr>
        <w:t>a</w:t>
      </w:r>
      <w:r w:rsidRPr="00031E0E">
        <w:rPr>
          <w:szCs w:val="18"/>
        </w:rPr>
        <w:t>ria »</w:t>
      </w:r>
      <w:r>
        <w:rPr>
          <w:szCs w:val="18"/>
        </w:rPr>
        <w:t> </w:t>
      </w:r>
      <w:r>
        <w:rPr>
          <w:rStyle w:val="Appelnotedebasdep"/>
          <w:szCs w:val="18"/>
        </w:rPr>
        <w:footnoteReference w:id="1"/>
      </w:r>
      <w:r w:rsidRPr="00031E0E">
        <w:rPr>
          <w:szCs w:val="18"/>
        </w:rPr>
        <w:t> : même quand ils se posent comme révolutionnaires, bien souvent « ils restent attachés à la tradition m</w:t>
      </w:r>
      <w:r w:rsidRPr="00031E0E">
        <w:rPr>
          <w:szCs w:val="18"/>
        </w:rPr>
        <w:t>ê</w:t>
      </w:r>
      <w:r w:rsidRPr="00031E0E">
        <w:rPr>
          <w:szCs w:val="18"/>
        </w:rPr>
        <w:t>me qu’ils veulent briser » (Pereira de Queiroz, p. 166). Ils nous pe</w:t>
      </w:r>
      <w:r w:rsidRPr="00031E0E">
        <w:rPr>
          <w:szCs w:val="18"/>
        </w:rPr>
        <w:t>r</w:t>
      </w:r>
      <w:r w:rsidRPr="00031E0E">
        <w:rPr>
          <w:szCs w:val="18"/>
        </w:rPr>
        <w:t>mettent ainsi, à un double titre, d’illustrer notre propos : ils ne sont véritablement susceptibles d’acquérir une dimension révolutio</w:t>
      </w:r>
      <w:r w:rsidRPr="00031E0E">
        <w:rPr>
          <w:szCs w:val="18"/>
        </w:rPr>
        <w:t>n</w:t>
      </w:r>
      <w:r w:rsidRPr="00031E0E">
        <w:rPr>
          <w:szCs w:val="18"/>
        </w:rPr>
        <w:t>naire – ce qui est le cas extrême – que s’ils sont confrontés au défi de la m</w:t>
      </w:r>
      <w:r w:rsidRPr="00031E0E">
        <w:rPr>
          <w:szCs w:val="18"/>
        </w:rPr>
        <w:t>o</w:t>
      </w:r>
      <w:r w:rsidRPr="00031E0E">
        <w:rPr>
          <w:szCs w:val="18"/>
        </w:rPr>
        <w:t>dernité ; et dans de mu</w:t>
      </w:r>
      <w:r w:rsidRPr="00031E0E">
        <w:rPr>
          <w:szCs w:val="18"/>
        </w:rPr>
        <w:t>l</w:t>
      </w:r>
      <w:r w:rsidRPr="00031E0E">
        <w:rPr>
          <w:szCs w:val="18"/>
        </w:rPr>
        <w:t>tiples occasions, ils relèvent de l’ordre de la révolte, en tant qu’ultime résistance d’un système trad</w:t>
      </w:r>
      <w:r w:rsidRPr="00031E0E">
        <w:rPr>
          <w:szCs w:val="18"/>
        </w:rPr>
        <w:t>i</w:t>
      </w:r>
      <w:r w:rsidRPr="00031E0E">
        <w:rPr>
          <w:szCs w:val="18"/>
        </w:rPr>
        <w:t>tionnel en train de s’effondrer : la co</w:t>
      </w:r>
      <w:r w:rsidRPr="00031E0E">
        <w:rPr>
          <w:szCs w:val="18"/>
        </w:rPr>
        <w:t>m</w:t>
      </w:r>
      <w:r w:rsidRPr="00031E0E">
        <w:rPr>
          <w:szCs w:val="18"/>
        </w:rPr>
        <w:t>posante nativiste, au double sens, suggéré par Linton (1958, p. 467), d’un essai de perpétuation et d’une entr</w:t>
      </w:r>
      <w:r w:rsidRPr="00031E0E">
        <w:rPr>
          <w:szCs w:val="18"/>
        </w:rPr>
        <w:t>e</w:t>
      </w:r>
      <w:r w:rsidRPr="00031E0E">
        <w:rPr>
          <w:szCs w:val="18"/>
        </w:rPr>
        <w:t>prise de « réveil », revêt alors une grande impo</w:t>
      </w:r>
      <w:r w:rsidRPr="00031E0E">
        <w:rPr>
          <w:szCs w:val="18"/>
        </w:rPr>
        <w:t>r</w:t>
      </w:r>
      <w:r w:rsidRPr="00031E0E">
        <w:rPr>
          <w:szCs w:val="18"/>
        </w:rPr>
        <w:t>tance.</w:t>
      </w:r>
    </w:p>
    <w:p w14:paraId="193D9276" w14:textId="77777777" w:rsidR="006C5FDB" w:rsidRPr="00031E0E" w:rsidRDefault="006C5FDB" w:rsidP="006C5FDB">
      <w:pPr>
        <w:spacing w:before="120" w:after="120"/>
        <w:jc w:val="both"/>
      </w:pPr>
      <w:r w:rsidRPr="00031E0E">
        <w:rPr>
          <w:szCs w:val="18"/>
        </w:rPr>
        <w:t>Il reste encore à situer un autre phénomène par rapport à la révol</w:t>
      </w:r>
      <w:r w:rsidRPr="00031E0E">
        <w:rPr>
          <w:szCs w:val="18"/>
        </w:rPr>
        <w:t>u</w:t>
      </w:r>
      <w:r w:rsidRPr="00031E0E">
        <w:rPr>
          <w:szCs w:val="18"/>
        </w:rPr>
        <w:t>tion, à s</w:t>
      </w:r>
      <w:r w:rsidRPr="00031E0E">
        <w:rPr>
          <w:szCs w:val="18"/>
        </w:rPr>
        <w:t>a</w:t>
      </w:r>
      <w:r w:rsidRPr="00031E0E">
        <w:rPr>
          <w:szCs w:val="18"/>
        </w:rPr>
        <w:t>voir la rupture – qui peut être plus ou moins brutale – des liens de dépendance entre une colonie et l’ancienne métrop</w:t>
      </w:r>
      <w:r w:rsidRPr="00031E0E">
        <w:rPr>
          <w:szCs w:val="18"/>
        </w:rPr>
        <w:t>o</w:t>
      </w:r>
      <w:r w:rsidRPr="00031E0E">
        <w:rPr>
          <w:szCs w:val="18"/>
        </w:rPr>
        <w:t>le ; et il est d’autant plus utile de le faire que le monde contemporain en a connu de très nombreux exemples, depuis la vague de d</w:t>
      </w:r>
      <w:r w:rsidRPr="00031E0E">
        <w:rPr>
          <w:szCs w:val="18"/>
        </w:rPr>
        <w:t>é</w:t>
      </w:r>
      <w:r w:rsidRPr="00031E0E">
        <w:rPr>
          <w:szCs w:val="18"/>
        </w:rPr>
        <w:t>colonisation qui a suivi la Seconde Guerre mondiale. Il faut ici distinguer deux cas, très différents : les colonies de peuplement, dans lesquelles les de</w:t>
      </w:r>
      <w:r w:rsidRPr="00031E0E">
        <w:rPr>
          <w:szCs w:val="18"/>
        </w:rPr>
        <w:t>s</w:t>
      </w:r>
      <w:r w:rsidRPr="00031E0E">
        <w:rPr>
          <w:szCs w:val="18"/>
        </w:rPr>
        <w:t>cendants des immigrants venus du pays colonisateur o</w:t>
      </w:r>
      <w:r w:rsidRPr="00031E0E">
        <w:rPr>
          <w:szCs w:val="18"/>
        </w:rPr>
        <w:t>c</w:t>
      </w:r>
      <w:r w:rsidRPr="00031E0E">
        <w:rPr>
          <w:szCs w:val="18"/>
        </w:rPr>
        <w:t>cupent une place centrale, et celles où la population autoc</w:t>
      </w:r>
      <w:r w:rsidRPr="00031E0E">
        <w:rPr>
          <w:szCs w:val="18"/>
        </w:rPr>
        <w:t>h</w:t>
      </w:r>
      <w:r w:rsidRPr="00031E0E">
        <w:rPr>
          <w:szCs w:val="18"/>
        </w:rPr>
        <w:t>tone représente une majorité écrasante.</w:t>
      </w:r>
      <w:r>
        <w:rPr>
          <w:szCs w:val="18"/>
        </w:rPr>
        <w:t xml:space="preserve"> </w:t>
      </w:r>
      <w:r w:rsidRPr="00031E0E">
        <w:t>[640]</w:t>
      </w:r>
      <w:r>
        <w:t xml:space="preserve"> </w:t>
      </w:r>
      <w:r w:rsidRPr="00031E0E">
        <w:rPr>
          <w:szCs w:val="18"/>
        </w:rPr>
        <w:t>Dans le premier cas de figure, les liens m</w:t>
      </w:r>
      <w:r w:rsidRPr="00031E0E">
        <w:rPr>
          <w:szCs w:val="18"/>
        </w:rPr>
        <w:t>ê</w:t>
      </w:r>
      <w:r w:rsidRPr="00031E0E">
        <w:rPr>
          <w:szCs w:val="18"/>
        </w:rPr>
        <w:t>mes avec la culture politique e</w:t>
      </w:r>
      <w:r w:rsidRPr="00031E0E">
        <w:rPr>
          <w:szCs w:val="18"/>
        </w:rPr>
        <w:t>u</w:t>
      </w:r>
      <w:r w:rsidRPr="00031E0E">
        <w:rPr>
          <w:szCs w:val="18"/>
        </w:rPr>
        <w:t>ropéenne ont facilité un passage à l’indépendance qui, pour n’avoir pas toujours été sans te</w:t>
      </w:r>
      <w:r w:rsidRPr="00031E0E">
        <w:rPr>
          <w:szCs w:val="18"/>
        </w:rPr>
        <w:t>n</w:t>
      </w:r>
      <w:r w:rsidRPr="00031E0E">
        <w:rPr>
          <w:szCs w:val="18"/>
        </w:rPr>
        <w:t>sions ni même sans conflits armés, ne s’est pas véritablement accompagnée d’une rupture révol</w:t>
      </w:r>
      <w:r w:rsidRPr="00031E0E">
        <w:rPr>
          <w:szCs w:val="18"/>
        </w:rPr>
        <w:t>u</w:t>
      </w:r>
      <w:r w:rsidRPr="00031E0E">
        <w:rPr>
          <w:szCs w:val="18"/>
        </w:rPr>
        <w:t>tionnaire : l’exception – relative – est constituée par la « Révolution américa</w:t>
      </w:r>
      <w:r w:rsidRPr="00031E0E">
        <w:rPr>
          <w:szCs w:val="18"/>
        </w:rPr>
        <w:t>i</w:t>
      </w:r>
      <w:r w:rsidRPr="00031E0E">
        <w:rPr>
          <w:szCs w:val="18"/>
        </w:rPr>
        <w:t>ne », qui, en tant que fondatrice d’institutions polit</w:t>
      </w:r>
      <w:r w:rsidRPr="00031E0E">
        <w:rPr>
          <w:szCs w:val="18"/>
        </w:rPr>
        <w:t>i</w:t>
      </w:r>
      <w:r w:rsidRPr="00031E0E">
        <w:rPr>
          <w:szCs w:val="18"/>
        </w:rPr>
        <w:t>ques neuves, n’usurpe pas cette appellation, même si son succès n’autorise pas, en dépit du brillant plaidoyer d’Hannah Arendt, à en faire le modèle accompli de la révolution : il lui a ma</w:t>
      </w:r>
      <w:r w:rsidRPr="00031E0E">
        <w:rPr>
          <w:szCs w:val="18"/>
        </w:rPr>
        <w:t>n</w:t>
      </w:r>
      <w:r w:rsidRPr="00031E0E">
        <w:rPr>
          <w:szCs w:val="18"/>
        </w:rPr>
        <w:t>qué la dimension sociale, si caractéristique des « grandes révol</w:t>
      </w:r>
      <w:r w:rsidRPr="00031E0E">
        <w:rPr>
          <w:szCs w:val="18"/>
        </w:rPr>
        <w:t>u</w:t>
      </w:r>
      <w:r w:rsidRPr="00031E0E">
        <w:rPr>
          <w:szCs w:val="18"/>
        </w:rPr>
        <w:t>tions », et, que ce fait soit dû, co</w:t>
      </w:r>
      <w:r w:rsidRPr="00031E0E">
        <w:rPr>
          <w:szCs w:val="18"/>
        </w:rPr>
        <w:t>m</w:t>
      </w:r>
      <w:r w:rsidRPr="00031E0E">
        <w:rPr>
          <w:szCs w:val="18"/>
        </w:rPr>
        <w:t>me le soutient Hannah Arendt, à l’absence de paupérisme en Amér</w:t>
      </w:r>
      <w:r w:rsidRPr="00031E0E">
        <w:rPr>
          <w:szCs w:val="18"/>
        </w:rPr>
        <w:t>i</w:t>
      </w:r>
      <w:r w:rsidRPr="00031E0E">
        <w:rPr>
          <w:szCs w:val="18"/>
        </w:rPr>
        <w:t>que (1967, pp. 28-30, 96) ou, ainsi que le pr</w:t>
      </w:r>
      <w:r w:rsidRPr="00031E0E">
        <w:rPr>
          <w:szCs w:val="18"/>
        </w:rPr>
        <w:t>é</w:t>
      </w:r>
      <w:r w:rsidRPr="00031E0E">
        <w:rPr>
          <w:szCs w:val="18"/>
        </w:rPr>
        <w:t>tend Louis Hartz (1964, p. 73) à la « fragmentation », c’est-à-dire l’appropriation d’un seul aspect de la culture politique eur</w:t>
      </w:r>
      <w:r w:rsidRPr="00031E0E">
        <w:rPr>
          <w:szCs w:val="18"/>
        </w:rPr>
        <w:t>o</w:t>
      </w:r>
      <w:r w:rsidRPr="00031E0E">
        <w:rPr>
          <w:szCs w:val="18"/>
        </w:rPr>
        <w:t>péenne, en l’occurrence les valeurs libérales et bourgeoises, il impl</w:t>
      </w:r>
      <w:r w:rsidRPr="00031E0E">
        <w:rPr>
          <w:szCs w:val="18"/>
        </w:rPr>
        <w:t>i</w:t>
      </w:r>
      <w:r w:rsidRPr="00031E0E">
        <w:rPr>
          <w:szCs w:val="18"/>
        </w:rPr>
        <w:t>que et entraîne une limitation dans l’ampleur même des développ</w:t>
      </w:r>
      <w:r w:rsidRPr="00031E0E">
        <w:rPr>
          <w:szCs w:val="18"/>
        </w:rPr>
        <w:t>e</w:t>
      </w:r>
      <w:r w:rsidRPr="00031E0E">
        <w:rPr>
          <w:szCs w:val="18"/>
        </w:rPr>
        <w:t>ments révolutionnaires. Dans le second cas de figure, les liens cult</w:t>
      </w:r>
      <w:r w:rsidRPr="00031E0E">
        <w:rPr>
          <w:szCs w:val="18"/>
        </w:rPr>
        <w:t>u</w:t>
      </w:r>
      <w:r w:rsidRPr="00031E0E">
        <w:rPr>
          <w:szCs w:val="18"/>
        </w:rPr>
        <w:t>rels avec la métropole sont, par défin</w:t>
      </w:r>
      <w:r w:rsidRPr="00031E0E">
        <w:rPr>
          <w:szCs w:val="18"/>
        </w:rPr>
        <w:t>i</w:t>
      </w:r>
      <w:r w:rsidRPr="00031E0E">
        <w:rPr>
          <w:szCs w:val="18"/>
        </w:rPr>
        <w:t>tion, plus ténus ; mais il se peut aussi que les particulari</w:t>
      </w:r>
      <w:r w:rsidRPr="00031E0E">
        <w:rPr>
          <w:szCs w:val="18"/>
        </w:rPr>
        <w:t>s</w:t>
      </w:r>
      <w:r w:rsidRPr="00031E0E">
        <w:rPr>
          <w:szCs w:val="18"/>
        </w:rPr>
        <w:t>mes soient forts et que l’héritage commun à l’ensemble de la population soit – relativement – lim</w:t>
      </w:r>
      <w:r w:rsidRPr="00031E0E">
        <w:rPr>
          <w:szCs w:val="18"/>
        </w:rPr>
        <w:t>i</w:t>
      </w:r>
      <w:r w:rsidRPr="00031E0E">
        <w:rPr>
          <w:szCs w:val="18"/>
        </w:rPr>
        <w:t>té. Il faut donc tenir compte, en dehors même de l’intransigeance répressive de la puissance coloniale, des obstacles internes à la construction d’une n</w:t>
      </w:r>
      <w:r w:rsidRPr="00031E0E">
        <w:rPr>
          <w:szCs w:val="18"/>
        </w:rPr>
        <w:t>a</w:t>
      </w:r>
      <w:r w:rsidRPr="00031E0E">
        <w:rPr>
          <w:szCs w:val="18"/>
        </w:rPr>
        <w:t>tion dans l’émergence de ce que l’on a pu, co</w:t>
      </w:r>
      <w:r w:rsidRPr="00031E0E">
        <w:rPr>
          <w:szCs w:val="18"/>
        </w:rPr>
        <w:t>m</w:t>
      </w:r>
      <w:r w:rsidRPr="00031E0E">
        <w:rPr>
          <w:szCs w:val="18"/>
        </w:rPr>
        <w:t>me Wertheim (1974, p. 146), appeler des « révolutions nationales », en les distinguant des « révolutions sociales ». Sur ce point, il convient d’apporter une do</w:t>
      </w:r>
      <w:r w:rsidRPr="00031E0E">
        <w:rPr>
          <w:szCs w:val="18"/>
        </w:rPr>
        <w:t>u</w:t>
      </w:r>
      <w:r w:rsidRPr="00031E0E">
        <w:rPr>
          <w:szCs w:val="18"/>
        </w:rPr>
        <w:t>ble préc</w:t>
      </w:r>
      <w:r w:rsidRPr="00031E0E">
        <w:rPr>
          <w:szCs w:val="18"/>
        </w:rPr>
        <w:t>i</w:t>
      </w:r>
      <w:r w:rsidRPr="00031E0E">
        <w:rPr>
          <w:szCs w:val="18"/>
        </w:rPr>
        <w:t>sion : d’une part, seules les violentes secousses d’une guerre contre le po</w:t>
      </w:r>
      <w:r w:rsidRPr="00031E0E">
        <w:rPr>
          <w:szCs w:val="18"/>
        </w:rPr>
        <w:t>u</w:t>
      </w:r>
      <w:r w:rsidRPr="00031E0E">
        <w:rPr>
          <w:szCs w:val="18"/>
        </w:rPr>
        <w:t>voir colonisateur – et non pas la simple accession à l’indépendance, fût-ce avec le soutien d’un fort mouvement de libér</w:t>
      </w:r>
      <w:r w:rsidRPr="00031E0E">
        <w:rPr>
          <w:szCs w:val="18"/>
        </w:rPr>
        <w:t>a</w:t>
      </w:r>
      <w:r w:rsidRPr="00031E0E">
        <w:rPr>
          <w:szCs w:val="18"/>
        </w:rPr>
        <w:t>tion – pe</w:t>
      </w:r>
      <w:r w:rsidRPr="00031E0E">
        <w:rPr>
          <w:szCs w:val="18"/>
        </w:rPr>
        <w:t>u</w:t>
      </w:r>
      <w:r w:rsidRPr="00031E0E">
        <w:rPr>
          <w:szCs w:val="18"/>
        </w:rPr>
        <w:t>vent justifier l’expression de « révolution nationale », qui, même dans ce cas, frappe dava</w:t>
      </w:r>
      <w:r w:rsidRPr="00031E0E">
        <w:rPr>
          <w:szCs w:val="18"/>
        </w:rPr>
        <w:t>n</w:t>
      </w:r>
      <w:r w:rsidRPr="00031E0E">
        <w:rPr>
          <w:szCs w:val="18"/>
        </w:rPr>
        <w:t>tage par sa résonance symbolique que par sa pertinence anal</w:t>
      </w:r>
      <w:r w:rsidRPr="00031E0E">
        <w:rPr>
          <w:szCs w:val="18"/>
        </w:rPr>
        <w:t>y</w:t>
      </w:r>
      <w:r w:rsidRPr="00031E0E">
        <w:rPr>
          <w:szCs w:val="18"/>
        </w:rPr>
        <w:t>tique ; d’autre part certains développements révolutionna</w:t>
      </w:r>
      <w:r w:rsidRPr="00031E0E">
        <w:rPr>
          <w:szCs w:val="18"/>
        </w:rPr>
        <w:t>i</w:t>
      </w:r>
      <w:r w:rsidRPr="00031E0E">
        <w:rPr>
          <w:szCs w:val="18"/>
        </w:rPr>
        <w:t>res, comme par exemple ceux de Cuba et du Vietnam, présentent à la fois une dimension nationale et une dime</w:t>
      </w:r>
      <w:r w:rsidRPr="00031E0E">
        <w:rPr>
          <w:szCs w:val="18"/>
        </w:rPr>
        <w:t>n</w:t>
      </w:r>
      <w:r w:rsidRPr="00031E0E">
        <w:rPr>
          <w:szCs w:val="18"/>
        </w:rPr>
        <w:t>sion sociale : peut-être vaut-il la peine de rappeler que, en réponse à une interrog</w:t>
      </w:r>
      <w:r w:rsidRPr="00031E0E">
        <w:rPr>
          <w:szCs w:val="18"/>
        </w:rPr>
        <w:t>a</w:t>
      </w:r>
      <w:r w:rsidRPr="00031E0E">
        <w:rPr>
          <w:szCs w:val="18"/>
        </w:rPr>
        <w:t>tion sur le devenir de la Chine et de manière à faire ressortir sa spéc</w:t>
      </w:r>
      <w:r w:rsidRPr="00031E0E">
        <w:rPr>
          <w:szCs w:val="18"/>
        </w:rPr>
        <w:t>i</w:t>
      </w:r>
      <w:r w:rsidRPr="00031E0E">
        <w:rPr>
          <w:szCs w:val="18"/>
        </w:rPr>
        <w:t>ficité, Mao-Tsé-toung a donné à une telle combinaison le nom de « démocratie nouvelle » (janvier 1940)</w:t>
      </w:r>
      <w:r>
        <w:rPr>
          <w:szCs w:val="18"/>
        </w:rPr>
        <w:t> </w:t>
      </w:r>
      <w:r>
        <w:rPr>
          <w:rStyle w:val="Appelnotedebasdep"/>
          <w:szCs w:val="18"/>
        </w:rPr>
        <w:footnoteReference w:id="2"/>
      </w:r>
      <w:r w:rsidRPr="00031E0E">
        <w:rPr>
          <w:szCs w:val="18"/>
        </w:rPr>
        <w:t>.</w:t>
      </w:r>
    </w:p>
    <w:p w14:paraId="6A286D2A" w14:textId="77777777" w:rsidR="006C5FDB" w:rsidRPr="00031E0E" w:rsidRDefault="006C5FDB" w:rsidP="006C5FDB">
      <w:pPr>
        <w:spacing w:before="120" w:after="120"/>
        <w:jc w:val="both"/>
      </w:pPr>
      <w:r w:rsidRPr="00031E0E">
        <w:rPr>
          <w:szCs w:val="18"/>
        </w:rPr>
        <w:t>En définitive, s’il est une leçon à tirer de cet examen pr</w:t>
      </w:r>
      <w:r w:rsidRPr="00031E0E">
        <w:rPr>
          <w:szCs w:val="18"/>
        </w:rPr>
        <w:t>é</w:t>
      </w:r>
      <w:r w:rsidRPr="00031E0E">
        <w:rPr>
          <w:szCs w:val="18"/>
        </w:rPr>
        <w:t>alable, c’est, au-delà du simple rappel de l’importance de la clarification an</w:t>
      </w:r>
      <w:r w:rsidRPr="00031E0E">
        <w:rPr>
          <w:szCs w:val="18"/>
        </w:rPr>
        <w:t>a</w:t>
      </w:r>
      <w:r w:rsidRPr="00031E0E">
        <w:rPr>
          <w:szCs w:val="18"/>
        </w:rPr>
        <w:t>lytique, la nécessité de faire ressortir la haute spécificité des révol</w:t>
      </w:r>
      <w:r w:rsidRPr="00031E0E">
        <w:rPr>
          <w:szCs w:val="18"/>
        </w:rPr>
        <w:t>u</w:t>
      </w:r>
      <w:r w:rsidRPr="00031E0E">
        <w:rPr>
          <w:szCs w:val="18"/>
        </w:rPr>
        <w:t>tions et des phénomènes révolutio</w:t>
      </w:r>
      <w:r w:rsidRPr="00031E0E">
        <w:rPr>
          <w:szCs w:val="18"/>
        </w:rPr>
        <w:t>n</w:t>
      </w:r>
      <w:r w:rsidRPr="00031E0E">
        <w:rPr>
          <w:szCs w:val="18"/>
        </w:rPr>
        <w:t>naires. C’est d’abord à la mettre en relief que doit, à notre sens, tendre la déf</w:t>
      </w:r>
      <w:r w:rsidRPr="00031E0E">
        <w:rPr>
          <w:szCs w:val="18"/>
        </w:rPr>
        <w:t>i</w:t>
      </w:r>
      <w:r w:rsidRPr="00031E0E">
        <w:rPr>
          <w:szCs w:val="18"/>
        </w:rPr>
        <w:t>nition suggérée ; et comme cette originalité n’est jamais plus accusée que dans les grandes révol</w:t>
      </w:r>
      <w:r w:rsidRPr="00031E0E">
        <w:rPr>
          <w:szCs w:val="18"/>
        </w:rPr>
        <w:t>u</w:t>
      </w:r>
      <w:r w:rsidRPr="00031E0E">
        <w:rPr>
          <w:szCs w:val="18"/>
        </w:rPr>
        <w:t>tions, en raison du caractère global des transformations qu’elles e</w:t>
      </w:r>
      <w:r w:rsidRPr="00031E0E">
        <w:rPr>
          <w:szCs w:val="18"/>
        </w:rPr>
        <w:t>n</w:t>
      </w:r>
      <w:r w:rsidRPr="00031E0E">
        <w:rPr>
          <w:szCs w:val="18"/>
        </w:rPr>
        <w:t>traînent, il convient que la définition – en tout cas la définition pr</w:t>
      </w:r>
      <w:r w:rsidRPr="00031E0E">
        <w:rPr>
          <w:szCs w:val="18"/>
        </w:rPr>
        <w:t>e</w:t>
      </w:r>
      <w:r w:rsidRPr="00031E0E">
        <w:rPr>
          <w:szCs w:val="18"/>
        </w:rPr>
        <w:t>mière et fondamentale – soit construite à pa</w:t>
      </w:r>
      <w:r w:rsidRPr="00031E0E">
        <w:rPr>
          <w:szCs w:val="18"/>
        </w:rPr>
        <w:t>r</w:t>
      </w:r>
      <w:r w:rsidRPr="00031E0E">
        <w:rPr>
          <w:szCs w:val="18"/>
        </w:rPr>
        <w:t>tir d’elles ou, pour le moins, leur soit a</w:t>
      </w:r>
      <w:r w:rsidRPr="00031E0E">
        <w:rPr>
          <w:szCs w:val="18"/>
        </w:rPr>
        <w:t>p</w:t>
      </w:r>
      <w:r w:rsidRPr="00031E0E">
        <w:rPr>
          <w:szCs w:val="18"/>
        </w:rPr>
        <w:t>plicable. De ce point de vue, nous croyons utile de rappeler deux définitions qui nous paraissent satisfaire à cette exige</w:t>
      </w:r>
      <w:r w:rsidRPr="00031E0E">
        <w:rPr>
          <w:szCs w:val="18"/>
        </w:rPr>
        <w:t>n</w:t>
      </w:r>
      <w:r w:rsidRPr="00031E0E">
        <w:rPr>
          <w:szCs w:val="18"/>
        </w:rPr>
        <w:t>ce et qui ont de surcroît constitué pour de nombreuses reche</w:t>
      </w:r>
      <w:r w:rsidRPr="00031E0E">
        <w:rPr>
          <w:szCs w:val="18"/>
        </w:rPr>
        <w:t>r</w:t>
      </w:r>
      <w:r w:rsidRPr="00031E0E">
        <w:rPr>
          <w:szCs w:val="18"/>
        </w:rPr>
        <w:t>ches un cadre de r</w:t>
      </w:r>
      <w:r w:rsidRPr="00031E0E">
        <w:rPr>
          <w:szCs w:val="18"/>
        </w:rPr>
        <w:t>é</w:t>
      </w:r>
      <w:r w:rsidRPr="00031E0E">
        <w:rPr>
          <w:szCs w:val="18"/>
        </w:rPr>
        <w:t>férence. La première, très fréquemment citée, est proposée par Samuel Huntin</w:t>
      </w:r>
      <w:r w:rsidRPr="00031E0E">
        <w:rPr>
          <w:szCs w:val="18"/>
        </w:rPr>
        <w:t>g</w:t>
      </w:r>
      <w:r w:rsidRPr="00031E0E">
        <w:rPr>
          <w:szCs w:val="18"/>
        </w:rPr>
        <w:t xml:space="preserve">ton dans </w:t>
      </w:r>
      <w:r w:rsidRPr="00031E0E">
        <w:rPr>
          <w:i/>
          <w:iCs/>
          <w:szCs w:val="18"/>
        </w:rPr>
        <w:t xml:space="preserve">Political Order in Changing Societies </w:t>
      </w:r>
      <w:r w:rsidRPr="00031E0E">
        <w:rPr>
          <w:szCs w:val="18"/>
        </w:rPr>
        <w:t>(1968, p. 264) : pour</w:t>
      </w:r>
      <w:r>
        <w:rPr>
          <w:szCs w:val="18"/>
        </w:rPr>
        <w:t xml:space="preserve"> </w:t>
      </w:r>
      <w:r w:rsidRPr="00031E0E">
        <w:t>[641]</w:t>
      </w:r>
      <w:r>
        <w:t xml:space="preserve"> </w:t>
      </w:r>
      <w:r w:rsidRPr="00031E0E">
        <w:rPr>
          <w:szCs w:val="18"/>
        </w:rPr>
        <w:t>le sociologue américain, « une révolution est un changement inte</w:t>
      </w:r>
      <w:r w:rsidRPr="00031E0E">
        <w:rPr>
          <w:szCs w:val="18"/>
        </w:rPr>
        <w:t>r</w:t>
      </w:r>
      <w:r w:rsidRPr="00031E0E">
        <w:rPr>
          <w:szCs w:val="18"/>
        </w:rPr>
        <w:t>ne, à la fois rapide, fondamental et violent, dans les valeurs et les mythes dominants d’une société, dans ses inst</w:t>
      </w:r>
      <w:r w:rsidRPr="00031E0E">
        <w:rPr>
          <w:szCs w:val="18"/>
        </w:rPr>
        <w:t>i</w:t>
      </w:r>
      <w:r w:rsidRPr="00031E0E">
        <w:rPr>
          <w:szCs w:val="18"/>
        </w:rPr>
        <w:t>tutions politiques, dans sa structure sociale, dans ses dirigeants ainsi que dans les activités et les politiques de son gouvernement ». On peut certes suggérer ironiqu</w:t>
      </w:r>
      <w:r w:rsidRPr="00031E0E">
        <w:rPr>
          <w:szCs w:val="18"/>
        </w:rPr>
        <w:t>e</w:t>
      </w:r>
      <w:r w:rsidRPr="00031E0E">
        <w:rPr>
          <w:szCs w:val="18"/>
        </w:rPr>
        <w:t>ment, avec Charles Tilly (1978, p. 193), qu’il suffit de donner aux adjectifs « rapide » et « fondamental » – qual</w:t>
      </w:r>
      <w:r w:rsidRPr="00031E0E">
        <w:rPr>
          <w:szCs w:val="18"/>
        </w:rPr>
        <w:t>i</w:t>
      </w:r>
      <w:r w:rsidRPr="00031E0E">
        <w:rPr>
          <w:szCs w:val="18"/>
        </w:rPr>
        <w:t>fiant, dans cette optique, le chang</w:t>
      </w:r>
      <w:r w:rsidRPr="00031E0E">
        <w:rPr>
          <w:szCs w:val="18"/>
        </w:rPr>
        <w:t>e</w:t>
      </w:r>
      <w:r w:rsidRPr="00031E0E">
        <w:rPr>
          <w:szCs w:val="18"/>
        </w:rPr>
        <w:t>ment révolutionnaire – un sens trop absolu pour être en mesure de prétendre, contrairement aux données de l’histoire, qu’aucune r</w:t>
      </w:r>
      <w:r w:rsidRPr="00031E0E">
        <w:rPr>
          <w:szCs w:val="18"/>
        </w:rPr>
        <w:t>é</w:t>
      </w:r>
      <w:r w:rsidRPr="00031E0E">
        <w:rPr>
          <w:szCs w:val="18"/>
        </w:rPr>
        <w:t>volution ne s’est jamais produite ; et il est clair en tout cas que, si l’on s’en tient à cette définition, il y a bien peu d’exemples – ou de cas – de révolutions. Mais la rareté d’un phén</w:t>
      </w:r>
      <w:r w:rsidRPr="00031E0E">
        <w:rPr>
          <w:szCs w:val="18"/>
        </w:rPr>
        <w:t>o</w:t>
      </w:r>
      <w:r w:rsidRPr="00031E0E">
        <w:rPr>
          <w:szCs w:val="18"/>
        </w:rPr>
        <w:t>mène ne pr</w:t>
      </w:r>
      <w:r w:rsidRPr="00031E0E">
        <w:rPr>
          <w:szCs w:val="18"/>
        </w:rPr>
        <w:t>é</w:t>
      </w:r>
      <w:r w:rsidRPr="00031E0E">
        <w:rPr>
          <w:szCs w:val="18"/>
        </w:rPr>
        <w:t>juge en rien de son importance effective ni non plus de son intérêt pour le chercheur. Il est probablement plus signif</w:t>
      </w:r>
      <w:r w:rsidRPr="00031E0E">
        <w:rPr>
          <w:szCs w:val="18"/>
        </w:rPr>
        <w:t>i</w:t>
      </w:r>
      <w:r w:rsidRPr="00031E0E">
        <w:rPr>
          <w:szCs w:val="18"/>
        </w:rPr>
        <w:t>catif de relever que cette définition a servi de point de départ à l’une des plus ambitieuses recherches entreprises récemment en ce d</w:t>
      </w:r>
      <w:r w:rsidRPr="00031E0E">
        <w:rPr>
          <w:szCs w:val="18"/>
        </w:rPr>
        <w:t>o</w:t>
      </w:r>
      <w:r w:rsidRPr="00031E0E">
        <w:rPr>
          <w:szCs w:val="18"/>
        </w:rPr>
        <w:t>maine : dans les deux articles que Theda Skocpol consacre en 1976 à la présent</w:t>
      </w:r>
      <w:r w:rsidRPr="00031E0E">
        <w:rPr>
          <w:szCs w:val="18"/>
        </w:rPr>
        <w:t>a</w:t>
      </w:r>
      <w:r w:rsidRPr="00031E0E">
        <w:rPr>
          <w:szCs w:val="18"/>
        </w:rPr>
        <w:t>tion de ses choix théoriques, elle reprend en effet à son compte, dès la première page, les termes mêmes d’Huntington ; il est vrai que, si seul Huntington est cité dans « Explaining Revolutions : In Quest of a s</w:t>
      </w:r>
      <w:r w:rsidRPr="00031E0E">
        <w:rPr>
          <w:szCs w:val="18"/>
        </w:rPr>
        <w:t>o</w:t>
      </w:r>
      <w:r w:rsidRPr="00031E0E">
        <w:rPr>
          <w:szCs w:val="18"/>
        </w:rPr>
        <w:t>cial-structural approach »</w:t>
      </w:r>
      <w:r>
        <w:rPr>
          <w:szCs w:val="18"/>
        </w:rPr>
        <w:t> </w:t>
      </w:r>
      <w:r>
        <w:rPr>
          <w:rStyle w:val="Appelnotedebasdep"/>
          <w:szCs w:val="18"/>
        </w:rPr>
        <w:footnoteReference w:id="3"/>
      </w:r>
      <w:r w:rsidRPr="00031E0E">
        <w:rPr>
          <w:szCs w:val="18"/>
        </w:rPr>
        <w:t>, Theda Skocpol se réfère également à L</w:t>
      </w:r>
      <w:r w:rsidRPr="00031E0E">
        <w:rPr>
          <w:szCs w:val="18"/>
        </w:rPr>
        <w:t>é</w:t>
      </w:r>
      <w:r w:rsidRPr="00031E0E">
        <w:rPr>
          <w:szCs w:val="18"/>
        </w:rPr>
        <w:t>nine – en un rapprochement qui peut, de prime abord, su</w:t>
      </w:r>
      <w:r w:rsidRPr="00031E0E">
        <w:rPr>
          <w:szCs w:val="18"/>
        </w:rPr>
        <w:t>r</w:t>
      </w:r>
      <w:r w:rsidRPr="00031E0E">
        <w:rPr>
          <w:szCs w:val="18"/>
        </w:rPr>
        <w:t xml:space="preserve">prendre le lecteur – dans l’article de </w:t>
      </w:r>
      <w:r w:rsidRPr="00031E0E">
        <w:rPr>
          <w:i/>
          <w:iCs/>
          <w:szCs w:val="18"/>
        </w:rPr>
        <w:t>Comparative Studies in Society and Hist</w:t>
      </w:r>
      <w:r w:rsidRPr="00031E0E">
        <w:rPr>
          <w:i/>
          <w:iCs/>
          <w:szCs w:val="18"/>
        </w:rPr>
        <w:t>o</w:t>
      </w:r>
      <w:r w:rsidRPr="00031E0E">
        <w:rPr>
          <w:i/>
          <w:iCs/>
          <w:szCs w:val="18"/>
        </w:rPr>
        <w:t xml:space="preserve">ry </w:t>
      </w:r>
      <w:r w:rsidRPr="00031E0E">
        <w:rPr>
          <w:szCs w:val="18"/>
        </w:rPr>
        <w:t>(p. 175), avec l’objectif de faire ressortir, à côté des transformations structurelles fondamentales qu’entraînent les révolutions et sur le</w:t>
      </w:r>
      <w:r w:rsidRPr="00031E0E">
        <w:rPr>
          <w:szCs w:val="18"/>
        </w:rPr>
        <w:t>s</w:t>
      </w:r>
      <w:r w:rsidRPr="00031E0E">
        <w:rPr>
          <w:szCs w:val="18"/>
        </w:rPr>
        <w:t xml:space="preserve">quelles Huntington a justement insisté, leur dimension </w:t>
      </w:r>
      <w:r w:rsidRPr="00031E0E">
        <w:rPr>
          <w:i/>
          <w:iCs/>
          <w:szCs w:val="18"/>
        </w:rPr>
        <w:t xml:space="preserve">sociale </w:t>
      </w:r>
      <w:r w:rsidRPr="00031E0E">
        <w:rPr>
          <w:szCs w:val="18"/>
        </w:rPr>
        <w:t>esse</w:t>
      </w:r>
      <w:r w:rsidRPr="00031E0E">
        <w:rPr>
          <w:szCs w:val="18"/>
        </w:rPr>
        <w:t>n</w:t>
      </w:r>
      <w:r w:rsidRPr="00031E0E">
        <w:rPr>
          <w:szCs w:val="18"/>
        </w:rPr>
        <w:t>tielle dans les trois révolutions majeures – française, russe et chinoise – qui const</w:t>
      </w:r>
      <w:r w:rsidRPr="00031E0E">
        <w:rPr>
          <w:szCs w:val="18"/>
        </w:rPr>
        <w:t>i</w:t>
      </w:r>
      <w:r w:rsidRPr="00031E0E">
        <w:rPr>
          <w:szCs w:val="18"/>
        </w:rPr>
        <w:t>tuent son objet d’étude. Ce cheminement conduit Theda Skocpol à proposer dans son livre ultérieur (1979, p. 4) une d</w:t>
      </w:r>
      <w:r w:rsidRPr="00031E0E">
        <w:rPr>
          <w:szCs w:val="18"/>
        </w:rPr>
        <w:t>é</w:t>
      </w:r>
      <w:r w:rsidRPr="00031E0E">
        <w:rPr>
          <w:szCs w:val="18"/>
        </w:rPr>
        <w:t>finition spécifique des révolutions sociales, mais il s’agit pour elle de compl</w:t>
      </w:r>
      <w:r w:rsidRPr="00031E0E">
        <w:rPr>
          <w:szCs w:val="18"/>
        </w:rPr>
        <w:t>é</w:t>
      </w:r>
      <w:r w:rsidRPr="00031E0E">
        <w:rPr>
          <w:szCs w:val="18"/>
        </w:rPr>
        <w:t xml:space="preserve">ter le point de vue d’Huntington et non pas de l’abandonner ; elle continue à se référer de façon positive dans l’ouvrage (p. 163) – comme elle l’avait fait dans </w:t>
      </w:r>
      <w:r w:rsidRPr="00031E0E">
        <w:rPr>
          <w:i/>
          <w:iCs/>
          <w:szCs w:val="18"/>
        </w:rPr>
        <w:t>France, Russia, China : A Structural Analysis of Social R</w:t>
      </w:r>
      <w:r w:rsidRPr="00031E0E">
        <w:rPr>
          <w:i/>
          <w:iCs/>
          <w:szCs w:val="18"/>
        </w:rPr>
        <w:t>e</w:t>
      </w:r>
      <w:r w:rsidRPr="00031E0E">
        <w:rPr>
          <w:i/>
          <w:iCs/>
          <w:szCs w:val="18"/>
        </w:rPr>
        <w:t xml:space="preserve">volutions </w:t>
      </w:r>
      <w:r w:rsidRPr="00031E0E">
        <w:rPr>
          <w:szCs w:val="18"/>
        </w:rPr>
        <w:t>(p. 205) – à la position d’Huntington faisant de « la création et de l’institutionnalisation d’un nouvel ordre politique » l’attribut c</w:t>
      </w:r>
      <w:r w:rsidRPr="00031E0E">
        <w:rPr>
          <w:szCs w:val="18"/>
        </w:rPr>
        <w:t>a</w:t>
      </w:r>
      <w:r w:rsidRPr="00031E0E">
        <w:rPr>
          <w:szCs w:val="18"/>
        </w:rPr>
        <w:t>ractéristique « d’une révolution complète » (1968, p. 266). Theda Skocpol n’a donc pas cessé de reconnaître sa dette intellectuelle à l’égard d’Huntington quant à la caractér</w:t>
      </w:r>
      <w:r w:rsidRPr="00031E0E">
        <w:rPr>
          <w:szCs w:val="18"/>
        </w:rPr>
        <w:t>i</w:t>
      </w:r>
      <w:r w:rsidRPr="00031E0E">
        <w:rPr>
          <w:szCs w:val="18"/>
        </w:rPr>
        <w:t>sation du phénomène et cette filiation mérite d’autant plus d’être soulignée que tout paraît par ailleurs séparer les deux auteurs : elle n’a vraisembl</w:t>
      </w:r>
      <w:r w:rsidRPr="00031E0E">
        <w:rPr>
          <w:szCs w:val="18"/>
        </w:rPr>
        <w:t>a</w:t>
      </w:r>
      <w:r w:rsidRPr="00031E0E">
        <w:rPr>
          <w:szCs w:val="18"/>
        </w:rPr>
        <w:t>blement pas grande sympathie pour le thème du développement pol</w:t>
      </w:r>
      <w:r w:rsidRPr="00031E0E">
        <w:rPr>
          <w:szCs w:val="18"/>
        </w:rPr>
        <w:t>i</w:t>
      </w:r>
      <w:r w:rsidRPr="00031E0E">
        <w:rPr>
          <w:szCs w:val="18"/>
        </w:rPr>
        <w:t>tique et, sur le plan idéolog</w:t>
      </w:r>
      <w:r w:rsidRPr="00031E0E">
        <w:rPr>
          <w:szCs w:val="18"/>
        </w:rPr>
        <w:t>i</w:t>
      </w:r>
      <w:r w:rsidRPr="00031E0E">
        <w:rPr>
          <w:szCs w:val="18"/>
        </w:rPr>
        <w:t>que, est fort éloignée de la vision « conservatrice » d’Huntington. Leur insistance commune sur l’acuité et la po</w:t>
      </w:r>
      <w:r w:rsidRPr="00031E0E">
        <w:rPr>
          <w:szCs w:val="18"/>
        </w:rPr>
        <w:t>r</w:t>
      </w:r>
      <w:r w:rsidRPr="00031E0E">
        <w:rPr>
          <w:szCs w:val="18"/>
        </w:rPr>
        <w:t>tée des changements révolutionnaires n’en présente encore que plus d’intérêt.</w:t>
      </w:r>
    </w:p>
    <w:p w14:paraId="2BF0DC38" w14:textId="77777777" w:rsidR="006C5FDB" w:rsidRPr="00031E0E" w:rsidRDefault="006C5FDB" w:rsidP="006C5FDB">
      <w:pPr>
        <w:spacing w:before="120" w:after="120"/>
        <w:jc w:val="both"/>
      </w:pPr>
      <w:r w:rsidRPr="00031E0E">
        <w:rPr>
          <w:szCs w:val="18"/>
        </w:rPr>
        <w:t>La seconde définition que nous estimons utile de me</w:t>
      </w:r>
      <w:r w:rsidRPr="00031E0E">
        <w:rPr>
          <w:szCs w:val="18"/>
        </w:rPr>
        <w:t>n</w:t>
      </w:r>
      <w:r w:rsidRPr="00031E0E">
        <w:rPr>
          <w:szCs w:val="18"/>
        </w:rPr>
        <w:t xml:space="preserve">tionner ici est plus ancienne, puisqu’elle a été avancée dans un article de 1949, mais témoigne du même souci de mettre en lumière les </w:t>
      </w:r>
      <w:r w:rsidRPr="00031E0E">
        <w:rPr>
          <w:i/>
          <w:iCs/>
          <w:szCs w:val="18"/>
        </w:rPr>
        <w:t xml:space="preserve">résultats </w:t>
      </w:r>
      <w:r w:rsidRPr="00031E0E">
        <w:rPr>
          <w:szCs w:val="18"/>
        </w:rPr>
        <w:t>révol</w:t>
      </w:r>
      <w:r w:rsidRPr="00031E0E">
        <w:rPr>
          <w:szCs w:val="18"/>
        </w:rPr>
        <w:t>u</w:t>
      </w:r>
      <w:r w:rsidRPr="00031E0E">
        <w:rPr>
          <w:szCs w:val="18"/>
        </w:rPr>
        <w:t>tionnaires : sous la pl</w:t>
      </w:r>
      <w:r w:rsidRPr="00031E0E">
        <w:rPr>
          <w:szCs w:val="18"/>
        </w:rPr>
        <w:t>u</w:t>
      </w:r>
      <w:r w:rsidRPr="00031E0E">
        <w:rPr>
          <w:szCs w:val="18"/>
        </w:rPr>
        <w:t>me</w:t>
      </w:r>
      <w:r>
        <w:rPr>
          <w:szCs w:val="18"/>
        </w:rPr>
        <w:t xml:space="preserve"> </w:t>
      </w:r>
      <w:r w:rsidRPr="00031E0E">
        <w:rPr>
          <w:szCs w:val="16"/>
        </w:rPr>
        <w:t>[642]</w:t>
      </w:r>
      <w:r>
        <w:rPr>
          <w:szCs w:val="16"/>
        </w:rPr>
        <w:t xml:space="preserve"> </w:t>
      </w:r>
      <w:r w:rsidRPr="00031E0E">
        <w:rPr>
          <w:szCs w:val="18"/>
        </w:rPr>
        <w:t>de Siegmund Neumann, la révolution est en effet env</w:t>
      </w:r>
      <w:r w:rsidRPr="00031E0E">
        <w:rPr>
          <w:szCs w:val="18"/>
        </w:rPr>
        <w:t>i</w:t>
      </w:r>
      <w:r w:rsidRPr="00031E0E">
        <w:rPr>
          <w:szCs w:val="18"/>
        </w:rPr>
        <w:t xml:space="preserve">sagée comme « un changement radical </w:t>
      </w:r>
      <w:r w:rsidRPr="00031E0E">
        <w:rPr>
          <w:i/>
          <w:iCs/>
          <w:szCs w:val="18"/>
        </w:rPr>
        <w:t xml:space="preserve">(sweeping), </w:t>
      </w:r>
      <w:r w:rsidRPr="00031E0E">
        <w:rPr>
          <w:szCs w:val="18"/>
        </w:rPr>
        <w:t>fondamental dans l’organisation politique, la structure sociale, la ma</w:t>
      </w:r>
      <w:r w:rsidRPr="00031E0E">
        <w:rPr>
          <w:szCs w:val="18"/>
        </w:rPr>
        <w:t>î</w:t>
      </w:r>
      <w:r w:rsidRPr="00031E0E">
        <w:rPr>
          <w:szCs w:val="18"/>
        </w:rPr>
        <w:t>trise de la propriété en m</w:t>
      </w:r>
      <w:r w:rsidRPr="00031E0E">
        <w:rPr>
          <w:szCs w:val="18"/>
        </w:rPr>
        <w:t>a</w:t>
      </w:r>
      <w:r w:rsidRPr="00031E0E">
        <w:rPr>
          <w:szCs w:val="18"/>
        </w:rPr>
        <w:t>tière économique et le mythe dominant d’un ordre social, traduisant ainsi une rupture majeure dans la continuité du d</w:t>
      </w:r>
      <w:r w:rsidRPr="00031E0E">
        <w:rPr>
          <w:szCs w:val="18"/>
        </w:rPr>
        <w:t>é</w:t>
      </w:r>
      <w:r w:rsidRPr="00031E0E">
        <w:rPr>
          <w:szCs w:val="18"/>
        </w:rPr>
        <w:t>veloppement » (p. 333-334). Il est piquant de constater que cette caractéris</w:t>
      </w:r>
      <w:r w:rsidRPr="00031E0E">
        <w:rPr>
          <w:szCs w:val="18"/>
        </w:rPr>
        <w:t>a</w:t>
      </w:r>
      <w:r w:rsidRPr="00031E0E">
        <w:rPr>
          <w:szCs w:val="18"/>
        </w:rPr>
        <w:t>tion est également reprise par Chalmers Johnson au début de son importante – tout au moins dans le contexte des années soixa</w:t>
      </w:r>
      <w:r w:rsidRPr="00031E0E">
        <w:rPr>
          <w:szCs w:val="18"/>
        </w:rPr>
        <w:t>n</w:t>
      </w:r>
      <w:r w:rsidRPr="00031E0E">
        <w:rPr>
          <w:szCs w:val="18"/>
        </w:rPr>
        <w:t>te – recherche en ce domaine, et même adoptée comme point de d</w:t>
      </w:r>
      <w:r w:rsidRPr="00031E0E">
        <w:rPr>
          <w:szCs w:val="18"/>
        </w:rPr>
        <w:t>é</w:t>
      </w:r>
      <w:r w:rsidRPr="00031E0E">
        <w:rPr>
          <w:szCs w:val="18"/>
        </w:rPr>
        <w:t xml:space="preserve">part dans </w:t>
      </w:r>
      <w:r w:rsidRPr="00031E0E">
        <w:rPr>
          <w:i/>
          <w:iCs/>
          <w:szCs w:val="18"/>
        </w:rPr>
        <w:t xml:space="preserve">Revolution and the Social System </w:t>
      </w:r>
      <w:r w:rsidRPr="00031E0E">
        <w:rPr>
          <w:szCs w:val="18"/>
        </w:rPr>
        <w:t>(1964, p. 2) ; mais l’analogie dans le « devenir » de nos deux définitions s’arrête là, pui</w:t>
      </w:r>
      <w:r w:rsidRPr="00031E0E">
        <w:rPr>
          <w:szCs w:val="18"/>
        </w:rPr>
        <w:t>s</w:t>
      </w:r>
      <w:r w:rsidRPr="00031E0E">
        <w:rPr>
          <w:szCs w:val="18"/>
        </w:rPr>
        <w:t>que Johnson s’écarte très vite d’une telle conception, en particulier dans sa présentation des types de rév</w:t>
      </w:r>
      <w:r w:rsidRPr="00031E0E">
        <w:rPr>
          <w:szCs w:val="18"/>
        </w:rPr>
        <w:t>o</w:t>
      </w:r>
      <w:r w:rsidRPr="00031E0E">
        <w:rPr>
          <w:szCs w:val="18"/>
        </w:rPr>
        <w:t>lution – au nombre de six –, comme l’a justement signalé Gohan (1975, p. 131) : aussi a-t-on pl</w:t>
      </w:r>
      <w:r w:rsidRPr="00031E0E">
        <w:rPr>
          <w:szCs w:val="18"/>
        </w:rPr>
        <w:t>u</w:t>
      </w:r>
      <w:r w:rsidRPr="00031E0E">
        <w:rPr>
          <w:szCs w:val="18"/>
        </w:rPr>
        <w:t>tôt tendu, avec Lawrence Stone (1966, p. 263)</w:t>
      </w:r>
      <w:r>
        <w:rPr>
          <w:szCs w:val="18"/>
        </w:rPr>
        <w:t> </w:t>
      </w:r>
      <w:r>
        <w:rPr>
          <w:rStyle w:val="Appelnotedebasdep"/>
          <w:szCs w:val="18"/>
        </w:rPr>
        <w:footnoteReference w:id="4"/>
      </w:r>
      <w:r w:rsidRPr="00031E0E">
        <w:rPr>
          <w:szCs w:val="18"/>
        </w:rPr>
        <w:t xml:space="preserve"> et Perez Zagorin (1976, p. 165), à retenir du premier o</w:t>
      </w:r>
      <w:r w:rsidRPr="00031E0E">
        <w:rPr>
          <w:szCs w:val="18"/>
        </w:rPr>
        <w:t>u</w:t>
      </w:r>
      <w:r w:rsidRPr="00031E0E">
        <w:rPr>
          <w:szCs w:val="18"/>
        </w:rPr>
        <w:t>vrage de Chalmers Johnson la vue, profondément différente et beaucoup moins pertinente, selon l</w:t>
      </w:r>
      <w:r w:rsidRPr="00031E0E">
        <w:rPr>
          <w:szCs w:val="18"/>
        </w:rPr>
        <w:t>a</w:t>
      </w:r>
      <w:r w:rsidRPr="00031E0E">
        <w:rPr>
          <w:szCs w:val="18"/>
        </w:rPr>
        <w:t>quelle tout changement du gouvern</w:t>
      </w:r>
      <w:r w:rsidRPr="00031E0E">
        <w:rPr>
          <w:szCs w:val="18"/>
        </w:rPr>
        <w:t>e</w:t>
      </w:r>
      <w:r w:rsidRPr="00031E0E">
        <w:rPr>
          <w:szCs w:val="18"/>
        </w:rPr>
        <w:t>ment et/ou du régime et/ou de la société accompli par l’entremise de la violence peut être qualifié de révolutionna</w:t>
      </w:r>
      <w:r w:rsidRPr="00031E0E">
        <w:rPr>
          <w:szCs w:val="18"/>
        </w:rPr>
        <w:t>i</w:t>
      </w:r>
      <w:r w:rsidRPr="00031E0E">
        <w:rPr>
          <w:szCs w:val="18"/>
        </w:rPr>
        <w:t xml:space="preserve">re. Un autre intérêt de la définition de Neumann tient à son insistance sur la </w:t>
      </w:r>
      <w:r w:rsidRPr="00031E0E">
        <w:rPr>
          <w:i/>
          <w:iCs/>
          <w:szCs w:val="18"/>
        </w:rPr>
        <w:t xml:space="preserve">rupture </w:t>
      </w:r>
      <w:r w:rsidRPr="00031E0E">
        <w:rPr>
          <w:szCs w:val="18"/>
        </w:rPr>
        <w:t>que représente la révolution, par oppos</w:t>
      </w:r>
      <w:r w:rsidRPr="00031E0E">
        <w:rPr>
          <w:szCs w:val="18"/>
        </w:rPr>
        <w:t>i</w:t>
      </w:r>
      <w:r w:rsidRPr="00031E0E">
        <w:rPr>
          <w:szCs w:val="18"/>
        </w:rPr>
        <w:t>tion aux « transformations continues qui s’opèrent dans le cadre inst</w:t>
      </w:r>
      <w:r w:rsidRPr="00031E0E">
        <w:rPr>
          <w:szCs w:val="18"/>
        </w:rPr>
        <w:t>i</w:t>
      </w:r>
      <w:r w:rsidRPr="00031E0E">
        <w:rPr>
          <w:szCs w:val="18"/>
        </w:rPr>
        <w:t>tutionnel existant » ; mais il n’en fait pas moins ressortir, dans le long commentaire qui accompagne sa défin</w:t>
      </w:r>
      <w:r w:rsidRPr="00031E0E">
        <w:rPr>
          <w:szCs w:val="18"/>
        </w:rPr>
        <w:t>i</w:t>
      </w:r>
      <w:r w:rsidRPr="00031E0E">
        <w:rPr>
          <w:szCs w:val="18"/>
        </w:rPr>
        <w:t>tion, qu’une révolution n’éclate pas d’un coup, qu’elle est préparée au cours d’une longue période pr</w:t>
      </w:r>
      <w:r w:rsidRPr="00031E0E">
        <w:rPr>
          <w:szCs w:val="18"/>
        </w:rPr>
        <w:t>é</w:t>
      </w:r>
      <w:r w:rsidRPr="00031E0E">
        <w:rPr>
          <w:szCs w:val="18"/>
        </w:rPr>
        <w:t xml:space="preserve">liminaire et qu’à ce titre elle « représente seulement une </w:t>
      </w:r>
      <w:r w:rsidRPr="00031E0E">
        <w:rPr>
          <w:i/>
          <w:iCs/>
          <w:szCs w:val="18"/>
        </w:rPr>
        <w:t>accélér</w:t>
      </w:r>
      <w:r w:rsidRPr="00031E0E">
        <w:rPr>
          <w:i/>
          <w:iCs/>
          <w:szCs w:val="18"/>
        </w:rPr>
        <w:t>a</w:t>
      </w:r>
      <w:r w:rsidRPr="00031E0E">
        <w:rPr>
          <w:i/>
          <w:iCs/>
          <w:szCs w:val="18"/>
        </w:rPr>
        <w:t xml:space="preserve">tion </w:t>
      </w:r>
      <w:r w:rsidRPr="00031E0E">
        <w:rPr>
          <w:szCs w:val="18"/>
        </w:rPr>
        <w:t>du processus évolutif ». Il pose ainsi explicitement la question capitale – sur laquelle nous reviendrons – de savoir ce qui, dans une révol</w:t>
      </w:r>
      <w:r w:rsidRPr="00031E0E">
        <w:rPr>
          <w:szCs w:val="18"/>
        </w:rPr>
        <w:t>u</w:t>
      </w:r>
      <w:r w:rsidRPr="00031E0E">
        <w:rPr>
          <w:szCs w:val="18"/>
        </w:rPr>
        <w:t>tion, est de l’ordre de la rupture, et ce qui peut être compris comme r</w:t>
      </w:r>
      <w:r w:rsidRPr="00031E0E">
        <w:rPr>
          <w:szCs w:val="18"/>
        </w:rPr>
        <w:t>e</w:t>
      </w:r>
      <w:r w:rsidRPr="00031E0E">
        <w:rPr>
          <w:szCs w:val="18"/>
        </w:rPr>
        <w:t>levant encore de la continuité. Ces deux définitions ont un intérêt commun : elles servent à caractériser, voire à ide</w:t>
      </w:r>
      <w:r w:rsidRPr="00031E0E">
        <w:rPr>
          <w:szCs w:val="18"/>
        </w:rPr>
        <w:t>n</w:t>
      </w:r>
      <w:r w:rsidRPr="00031E0E">
        <w:rPr>
          <w:szCs w:val="18"/>
        </w:rPr>
        <w:t xml:space="preserve">tifier, un type </w:t>
      </w:r>
      <w:r w:rsidRPr="00031E0E">
        <w:rPr>
          <w:i/>
          <w:iCs/>
          <w:szCs w:val="18"/>
        </w:rPr>
        <w:t xml:space="preserve">pur </w:t>
      </w:r>
      <w:r w:rsidRPr="00031E0E">
        <w:rPr>
          <w:szCs w:val="18"/>
        </w:rPr>
        <w:t>de révolution – et non pas un type « vrai » auquel se réfèrent quelquefois ceux qui confondent un niveau de conceptualisation avec un degré de réalité. Mais, pr</w:t>
      </w:r>
      <w:r w:rsidRPr="00031E0E">
        <w:rPr>
          <w:szCs w:val="18"/>
        </w:rPr>
        <w:t>o</w:t>
      </w:r>
      <w:r w:rsidRPr="00031E0E">
        <w:rPr>
          <w:szCs w:val="18"/>
        </w:rPr>
        <w:t xml:space="preserve">posant, à travers une série de propriétés, des signes de reconnaissance d’une révolution </w:t>
      </w:r>
      <w:r w:rsidRPr="00031E0E">
        <w:rPr>
          <w:i/>
          <w:iCs/>
          <w:szCs w:val="18"/>
        </w:rPr>
        <w:t xml:space="preserve">incontestable, </w:t>
      </w:r>
      <w:r w:rsidRPr="00031E0E">
        <w:rPr>
          <w:szCs w:val="18"/>
        </w:rPr>
        <w:t>elles sont peut-être moins appr</w:t>
      </w:r>
      <w:r w:rsidRPr="00031E0E">
        <w:rPr>
          <w:szCs w:val="18"/>
        </w:rPr>
        <w:t>o</w:t>
      </w:r>
      <w:r w:rsidRPr="00031E0E">
        <w:rPr>
          <w:szCs w:val="18"/>
        </w:rPr>
        <w:t>priées pour spécifier le seuil à partir – ou au-delà – duquel il est acceptable de traiter comme révolutionnaire telle ou telle forme bien définie de ph</w:t>
      </w:r>
      <w:r w:rsidRPr="00031E0E">
        <w:rPr>
          <w:szCs w:val="18"/>
        </w:rPr>
        <w:t>é</w:t>
      </w:r>
      <w:r w:rsidRPr="00031E0E">
        <w:rPr>
          <w:szCs w:val="18"/>
        </w:rPr>
        <w:t>nomène. Pour ce faire, le recours à une typologie, mettant nota</w:t>
      </w:r>
      <w:r w:rsidRPr="00031E0E">
        <w:rPr>
          <w:szCs w:val="18"/>
        </w:rPr>
        <w:t>m</w:t>
      </w:r>
      <w:r w:rsidRPr="00031E0E">
        <w:rPr>
          <w:szCs w:val="18"/>
        </w:rPr>
        <w:t>ment en évidence les combinaisons d’attributs partielles ou incomplètes – par rapport au type pur –, pourrait s’avérer fécond ; et ce souci n’était sans doute pas étranger aux auteurs qui ont disti</w:t>
      </w:r>
      <w:r w:rsidRPr="00031E0E">
        <w:rPr>
          <w:szCs w:val="18"/>
        </w:rPr>
        <w:t>n</w:t>
      </w:r>
      <w:r w:rsidRPr="00031E0E">
        <w:rPr>
          <w:szCs w:val="18"/>
        </w:rPr>
        <w:t>gué des types de r</w:t>
      </w:r>
      <w:r w:rsidRPr="00031E0E">
        <w:rPr>
          <w:szCs w:val="18"/>
        </w:rPr>
        <w:t>é</w:t>
      </w:r>
      <w:r w:rsidRPr="00031E0E">
        <w:rPr>
          <w:szCs w:val="18"/>
        </w:rPr>
        <w:t>volutions, comme Chalmers Johnson (1964, pp. 27-28), Pettee (1966, pp. 15-18) ou encore Baechler (1970, chap. III). Malheureus</w:t>
      </w:r>
      <w:r w:rsidRPr="00031E0E">
        <w:rPr>
          <w:szCs w:val="18"/>
        </w:rPr>
        <w:t>e</w:t>
      </w:r>
      <w:r w:rsidRPr="00031E0E">
        <w:rPr>
          <w:szCs w:val="18"/>
        </w:rPr>
        <w:t xml:space="preserve">ment, faute d’avoir défini avec rigueur une combinaison </w:t>
      </w:r>
      <w:r w:rsidRPr="00031E0E">
        <w:rPr>
          <w:i/>
          <w:iCs/>
          <w:szCs w:val="18"/>
        </w:rPr>
        <w:t xml:space="preserve">minimale </w:t>
      </w:r>
      <w:r w:rsidRPr="00031E0E">
        <w:rPr>
          <w:szCs w:val="18"/>
        </w:rPr>
        <w:t>de traits associée au concept de révolution, ces auteurs se bornent à regrouper dans une seule classification des phénomènes h</w:t>
      </w:r>
      <w:r w:rsidRPr="00031E0E">
        <w:rPr>
          <w:szCs w:val="18"/>
        </w:rPr>
        <w:t>é</w:t>
      </w:r>
      <w:r w:rsidRPr="00031E0E">
        <w:rPr>
          <w:szCs w:val="18"/>
        </w:rPr>
        <w:t xml:space="preserve">térogènes. Ainsi les trois premiers « types » distingués par Johnson (jacquerie, </w:t>
      </w:r>
      <w:r w:rsidRPr="00031E0E">
        <w:rPr>
          <w:i/>
          <w:iCs/>
          <w:szCs w:val="18"/>
        </w:rPr>
        <w:t>millenarian r</w:t>
      </w:r>
      <w:r w:rsidRPr="00031E0E">
        <w:rPr>
          <w:i/>
          <w:iCs/>
          <w:szCs w:val="18"/>
        </w:rPr>
        <w:t>e</w:t>
      </w:r>
      <w:r w:rsidRPr="00031E0E">
        <w:rPr>
          <w:i/>
          <w:iCs/>
          <w:szCs w:val="18"/>
        </w:rPr>
        <w:t xml:space="preserve">bellion, anarchistic rebellion) </w:t>
      </w:r>
      <w:r w:rsidRPr="00031E0E">
        <w:rPr>
          <w:szCs w:val="18"/>
        </w:rPr>
        <w:t>relèvent de la révolte bien plutôt que de la</w:t>
      </w:r>
      <w:r>
        <w:rPr>
          <w:szCs w:val="18"/>
        </w:rPr>
        <w:t xml:space="preserve"> </w:t>
      </w:r>
      <w:r w:rsidRPr="00031E0E">
        <w:t>[643]</w:t>
      </w:r>
      <w:r>
        <w:t xml:space="preserve"> </w:t>
      </w:r>
      <w:r w:rsidRPr="00031E0E">
        <w:rPr>
          <w:szCs w:val="18"/>
        </w:rPr>
        <w:t xml:space="preserve">révolution ; et comme le cinquième « type » </w:t>
      </w:r>
      <w:r w:rsidRPr="00031E0E">
        <w:rPr>
          <w:i/>
          <w:iCs/>
          <w:szCs w:val="18"/>
        </w:rPr>
        <w:t>(conspirat</w:t>
      </w:r>
      <w:r w:rsidRPr="00031E0E">
        <w:rPr>
          <w:i/>
          <w:iCs/>
          <w:szCs w:val="18"/>
        </w:rPr>
        <w:t>o</w:t>
      </w:r>
      <w:r w:rsidRPr="00031E0E">
        <w:rPr>
          <w:i/>
          <w:iCs/>
          <w:szCs w:val="18"/>
        </w:rPr>
        <w:t xml:space="preserve">rial coup d’État) </w:t>
      </w:r>
      <w:r w:rsidRPr="00031E0E">
        <w:rPr>
          <w:szCs w:val="18"/>
        </w:rPr>
        <w:t>se réfère explicitement à un pur « coup » politique, il ne reste plus que deux cas susceptibles de figurer dans une typologie plus pe</w:t>
      </w:r>
      <w:r w:rsidRPr="00031E0E">
        <w:rPr>
          <w:szCs w:val="18"/>
        </w:rPr>
        <w:t>r</w:t>
      </w:r>
      <w:r w:rsidRPr="00031E0E">
        <w:rPr>
          <w:szCs w:val="18"/>
        </w:rPr>
        <w:t>tinente : encore faut-il préciser que l’expression de « révolution jacobine communiste » appliquée au qu</w:t>
      </w:r>
      <w:r w:rsidRPr="00031E0E">
        <w:rPr>
          <w:szCs w:val="18"/>
        </w:rPr>
        <w:t>a</w:t>
      </w:r>
      <w:r w:rsidRPr="00031E0E">
        <w:rPr>
          <w:szCs w:val="18"/>
        </w:rPr>
        <w:t>trième type suscitera les légitimes réserves des historiens (tels que Stone (1966, p. 163)) et que le dernier, « l’insurrection de masse mil</w:t>
      </w:r>
      <w:r w:rsidRPr="00031E0E">
        <w:rPr>
          <w:szCs w:val="18"/>
        </w:rPr>
        <w:t>i</w:t>
      </w:r>
      <w:r w:rsidRPr="00031E0E">
        <w:rPr>
          <w:szCs w:val="18"/>
        </w:rPr>
        <w:t>tarisée », ne suffit pr</w:t>
      </w:r>
      <w:r w:rsidRPr="00031E0E">
        <w:rPr>
          <w:szCs w:val="18"/>
        </w:rPr>
        <w:t>o</w:t>
      </w:r>
      <w:r w:rsidRPr="00031E0E">
        <w:rPr>
          <w:szCs w:val="18"/>
        </w:rPr>
        <w:t>bablement pas à mettre en évidence l’originalité des r</w:t>
      </w:r>
      <w:r w:rsidRPr="00031E0E">
        <w:rPr>
          <w:szCs w:val="18"/>
        </w:rPr>
        <w:t>é</w:t>
      </w:r>
      <w:r w:rsidRPr="00031E0E">
        <w:rPr>
          <w:szCs w:val="18"/>
        </w:rPr>
        <w:t xml:space="preserve">volutions du Tiers Monde au </w:t>
      </w:r>
      <w:r w:rsidRPr="00031E0E">
        <w:rPr>
          <w:smallCaps/>
          <w:szCs w:val="18"/>
        </w:rPr>
        <w:t>xx</w:t>
      </w:r>
      <w:r w:rsidRPr="00031E0E">
        <w:rPr>
          <w:szCs w:val="18"/>
          <w:vertAlign w:val="superscript"/>
        </w:rPr>
        <w:t>e</w:t>
      </w:r>
      <w:r w:rsidRPr="00031E0E">
        <w:rPr>
          <w:szCs w:val="18"/>
        </w:rPr>
        <w:t xml:space="preserve"> siècle. Pettee, pour sa part, se contente de classer des phén</w:t>
      </w:r>
      <w:r w:rsidRPr="00031E0E">
        <w:rPr>
          <w:szCs w:val="18"/>
        </w:rPr>
        <w:t>o</w:t>
      </w:r>
      <w:r w:rsidRPr="00031E0E">
        <w:rPr>
          <w:szCs w:val="18"/>
        </w:rPr>
        <w:t>mènes socio-historiques dans un ordre de gradation allant des plus limités, les « révolutions de palais », ju</w:t>
      </w:r>
      <w:r w:rsidRPr="00031E0E">
        <w:rPr>
          <w:szCs w:val="18"/>
        </w:rPr>
        <w:t>s</w:t>
      </w:r>
      <w:r w:rsidRPr="00031E0E">
        <w:rPr>
          <w:szCs w:val="18"/>
        </w:rPr>
        <w:t>qu’aux plus globaux, comme la transformation du système d’organisation étatique, qualifiée de « révolution systémique » : repl</w:t>
      </w:r>
      <w:r w:rsidRPr="00031E0E">
        <w:rPr>
          <w:szCs w:val="18"/>
        </w:rPr>
        <w:t>a</w:t>
      </w:r>
      <w:r w:rsidRPr="00031E0E">
        <w:rPr>
          <w:szCs w:val="18"/>
        </w:rPr>
        <w:t>cée sur ce continuum et jaugée essentiellement en termes de co</w:t>
      </w:r>
      <w:r w:rsidRPr="00031E0E">
        <w:rPr>
          <w:szCs w:val="18"/>
        </w:rPr>
        <w:t>m</w:t>
      </w:r>
      <w:r w:rsidRPr="00031E0E">
        <w:rPr>
          <w:szCs w:val="18"/>
        </w:rPr>
        <w:t>plexité relative, la spécificité – comme l’éventuelle différenciation inte</w:t>
      </w:r>
      <w:r w:rsidRPr="00031E0E">
        <w:rPr>
          <w:szCs w:val="18"/>
        </w:rPr>
        <w:t>r</w:t>
      </w:r>
      <w:r w:rsidRPr="00031E0E">
        <w:rPr>
          <w:szCs w:val="18"/>
        </w:rPr>
        <w:t>ne – des révolutions ne ressort guère. Quant à Baechler, la trop grande impréc</w:t>
      </w:r>
      <w:r w:rsidRPr="00031E0E">
        <w:rPr>
          <w:szCs w:val="18"/>
        </w:rPr>
        <w:t>i</w:t>
      </w:r>
      <w:r w:rsidRPr="00031E0E">
        <w:rPr>
          <w:szCs w:val="18"/>
        </w:rPr>
        <w:t>sion de son point de départ, la simple distinction des révol</w:t>
      </w:r>
      <w:r w:rsidRPr="00031E0E">
        <w:rPr>
          <w:szCs w:val="18"/>
        </w:rPr>
        <w:t>u</w:t>
      </w:r>
      <w:r w:rsidRPr="00031E0E">
        <w:rPr>
          <w:szCs w:val="18"/>
        </w:rPr>
        <w:t>tions d’avec les « marginalités » d’une part et les « contre-sociétés » de l’autre (pp. 58-59), pompeusement appelée « typologie générale », lui inte</w:t>
      </w:r>
      <w:r w:rsidRPr="00031E0E">
        <w:rPr>
          <w:szCs w:val="18"/>
        </w:rPr>
        <w:t>r</w:t>
      </w:r>
      <w:r w:rsidRPr="00031E0E">
        <w:rPr>
          <w:szCs w:val="18"/>
        </w:rPr>
        <w:t>dit d’aller très loin ; et l’on est, de surcroît, surpris de constater que sa « typologie des révolutions politiques »</w:t>
      </w:r>
      <w:r w:rsidRPr="00031E0E">
        <w:rPr>
          <w:i/>
          <w:iCs/>
          <w:szCs w:val="18"/>
        </w:rPr>
        <w:t xml:space="preserve"> </w:t>
      </w:r>
      <w:r w:rsidRPr="00031E0E">
        <w:rPr>
          <w:szCs w:val="18"/>
        </w:rPr>
        <w:t>est con</w:t>
      </w:r>
      <w:r w:rsidRPr="00031E0E">
        <w:rPr>
          <w:szCs w:val="18"/>
        </w:rPr>
        <w:t>s</w:t>
      </w:r>
      <w:r w:rsidRPr="00031E0E">
        <w:rPr>
          <w:szCs w:val="18"/>
        </w:rPr>
        <w:t>truite à partir d’une juxtaposition et d’une accumulation de critères, tr</w:t>
      </w:r>
      <w:r w:rsidRPr="00031E0E">
        <w:rPr>
          <w:szCs w:val="18"/>
        </w:rPr>
        <w:t>a</w:t>
      </w:r>
      <w:r w:rsidRPr="00031E0E">
        <w:rPr>
          <w:szCs w:val="18"/>
        </w:rPr>
        <w:t>hissant ainsi une vaine recherche de l’ « exhaustivité » (p. 113), alors qu’une typologie repose général</w:t>
      </w:r>
      <w:r w:rsidRPr="00031E0E">
        <w:rPr>
          <w:szCs w:val="18"/>
        </w:rPr>
        <w:t>e</w:t>
      </w:r>
      <w:r w:rsidRPr="00031E0E">
        <w:rPr>
          <w:szCs w:val="18"/>
        </w:rPr>
        <w:t xml:space="preserve">ment sur le </w:t>
      </w:r>
      <w:r w:rsidRPr="00031E0E">
        <w:rPr>
          <w:i/>
          <w:iCs/>
          <w:szCs w:val="18"/>
        </w:rPr>
        <w:t xml:space="preserve">croisement </w:t>
      </w:r>
      <w:r w:rsidRPr="00031E0E">
        <w:rPr>
          <w:szCs w:val="18"/>
        </w:rPr>
        <w:t xml:space="preserve">d’un nombre </w:t>
      </w:r>
      <w:r w:rsidRPr="00031E0E">
        <w:rPr>
          <w:i/>
          <w:iCs/>
          <w:szCs w:val="18"/>
        </w:rPr>
        <w:t xml:space="preserve">limité </w:t>
      </w:r>
      <w:r w:rsidRPr="00031E0E">
        <w:rPr>
          <w:szCs w:val="18"/>
        </w:rPr>
        <w:t>de dimensions tenues pour importantes.</w:t>
      </w:r>
    </w:p>
    <w:p w14:paraId="523D22C4" w14:textId="77777777" w:rsidR="006C5FDB" w:rsidRPr="00031E0E" w:rsidRDefault="006C5FDB" w:rsidP="006C5FDB">
      <w:pPr>
        <w:spacing w:before="120" w:after="120"/>
        <w:jc w:val="both"/>
      </w:pPr>
      <w:r w:rsidRPr="00031E0E">
        <w:rPr>
          <w:szCs w:val="18"/>
        </w:rPr>
        <w:t>Ces diverses classifications n’apportent donc pas la clarification escomptée ; et il se</w:t>
      </w:r>
      <w:r w:rsidRPr="00031E0E">
        <w:rPr>
          <w:szCs w:val="18"/>
        </w:rPr>
        <w:t>m</w:t>
      </w:r>
      <w:r w:rsidRPr="00031E0E">
        <w:rPr>
          <w:szCs w:val="18"/>
        </w:rPr>
        <w:t>ble permis d’affirmer qu’on ne dispose pas, en l’état actuel des travaux, d’une typologie globale des révolutions, d</w:t>
      </w:r>
      <w:r w:rsidRPr="00031E0E">
        <w:rPr>
          <w:szCs w:val="18"/>
        </w:rPr>
        <w:t>é</w:t>
      </w:r>
      <w:r w:rsidRPr="00031E0E">
        <w:rPr>
          <w:szCs w:val="18"/>
        </w:rPr>
        <w:t>gageant en quelque sorte des espèces à l’intérieur du genre. Plutôt que d’insister sur cette limite – dont on laissera au lecteur le soin de déc</w:t>
      </w:r>
      <w:r w:rsidRPr="00031E0E">
        <w:rPr>
          <w:szCs w:val="18"/>
        </w:rPr>
        <w:t>i</w:t>
      </w:r>
      <w:r w:rsidRPr="00031E0E">
        <w:rPr>
          <w:szCs w:val="18"/>
        </w:rPr>
        <w:t>der si elle est remédiable ou, au contraire, inévitable – on préférera relever l’attention portée dans certaines recherches récentes à des formes singulières de révolution, relevant manifest</w:t>
      </w:r>
      <w:r w:rsidRPr="00031E0E">
        <w:rPr>
          <w:szCs w:val="18"/>
        </w:rPr>
        <w:t>e</w:t>
      </w:r>
      <w:r w:rsidRPr="00031E0E">
        <w:rPr>
          <w:szCs w:val="18"/>
        </w:rPr>
        <w:t xml:space="preserve">ment – voire tout au plus, pour les esprits scrupuleux – d’un type </w:t>
      </w:r>
      <w:r w:rsidRPr="00031E0E">
        <w:rPr>
          <w:i/>
          <w:iCs/>
          <w:szCs w:val="18"/>
        </w:rPr>
        <w:t xml:space="preserve">impur. </w:t>
      </w:r>
      <w:r w:rsidRPr="00031E0E">
        <w:rPr>
          <w:szCs w:val="18"/>
        </w:rPr>
        <w:t>C’est en part</w:t>
      </w:r>
      <w:r w:rsidRPr="00031E0E">
        <w:rPr>
          <w:szCs w:val="18"/>
        </w:rPr>
        <w:t>i</w:t>
      </w:r>
      <w:r w:rsidRPr="00031E0E">
        <w:rPr>
          <w:szCs w:val="18"/>
        </w:rPr>
        <w:t>c</w:t>
      </w:r>
      <w:r w:rsidRPr="00031E0E">
        <w:rPr>
          <w:szCs w:val="18"/>
        </w:rPr>
        <w:t>u</w:t>
      </w:r>
      <w:r w:rsidRPr="00031E0E">
        <w:rPr>
          <w:szCs w:val="18"/>
        </w:rPr>
        <w:t>lier le cas des « révolutions par le haut » et nous nous référons par là non pas, comme Deut</w:t>
      </w:r>
      <w:r w:rsidRPr="00031E0E">
        <w:rPr>
          <w:szCs w:val="18"/>
        </w:rPr>
        <w:t>s</w:t>
      </w:r>
      <w:r w:rsidRPr="00031E0E">
        <w:rPr>
          <w:szCs w:val="18"/>
        </w:rPr>
        <w:t>cher notamment l’a suggéré (1953, p. 431),  à l’établissement de nouveaux régimes en Europe de l’Est, avec en a</w:t>
      </w:r>
      <w:r w:rsidRPr="00031E0E">
        <w:rPr>
          <w:szCs w:val="18"/>
        </w:rPr>
        <w:t>r</w:t>
      </w:r>
      <w:r w:rsidRPr="00031E0E">
        <w:rPr>
          <w:szCs w:val="18"/>
        </w:rPr>
        <w:t>rière-plan la présence de l’armée soviétique, mais, conformément à l’usage de Ellen Kay Trimberger (1978), à une prise illégale du po</w:t>
      </w:r>
      <w:r w:rsidRPr="00031E0E">
        <w:rPr>
          <w:szCs w:val="18"/>
        </w:rPr>
        <w:t>u</w:t>
      </w:r>
      <w:r w:rsidRPr="00031E0E">
        <w:rPr>
          <w:szCs w:val="18"/>
        </w:rPr>
        <w:t>voir par une coalition de bureaucr</w:t>
      </w:r>
      <w:r w:rsidRPr="00031E0E">
        <w:rPr>
          <w:szCs w:val="18"/>
        </w:rPr>
        <w:t>a</w:t>
      </w:r>
      <w:r w:rsidRPr="00031E0E">
        <w:rPr>
          <w:szCs w:val="18"/>
        </w:rPr>
        <w:t>tes et de militaires qui aboutit – et c’est là le signe de la révolution – à la destruction du pouvoir du gro</w:t>
      </w:r>
      <w:r w:rsidRPr="00031E0E">
        <w:rPr>
          <w:szCs w:val="18"/>
        </w:rPr>
        <w:t>u</w:t>
      </w:r>
      <w:r w:rsidRPr="00031E0E">
        <w:rPr>
          <w:szCs w:val="18"/>
        </w:rPr>
        <w:t>pe socialement dominant sous l’ancien régime (p. 2-3) : dans cette optique, la « restauration » de Meiji, plutôt emba</w:t>
      </w:r>
      <w:r w:rsidRPr="00031E0E">
        <w:rPr>
          <w:szCs w:val="18"/>
        </w:rPr>
        <w:t>r</w:t>
      </w:r>
      <w:r w:rsidRPr="00031E0E">
        <w:rPr>
          <w:szCs w:val="18"/>
        </w:rPr>
        <w:t>rassante à classer, peut être considérée comme révolutio</w:t>
      </w:r>
      <w:r w:rsidRPr="00031E0E">
        <w:rPr>
          <w:szCs w:val="18"/>
        </w:rPr>
        <w:t>n</w:t>
      </w:r>
      <w:r w:rsidRPr="00031E0E">
        <w:rPr>
          <w:szCs w:val="18"/>
        </w:rPr>
        <w:t>naire ; et l’on peut ranger dans la même catégorie de phénomènes, quoique avec certaines rése</w:t>
      </w:r>
      <w:r w:rsidRPr="00031E0E">
        <w:rPr>
          <w:szCs w:val="18"/>
        </w:rPr>
        <w:t>r</w:t>
      </w:r>
      <w:r w:rsidRPr="00031E0E">
        <w:rPr>
          <w:szCs w:val="18"/>
        </w:rPr>
        <w:t>ves</w:t>
      </w:r>
      <w:r>
        <w:rPr>
          <w:szCs w:val="18"/>
        </w:rPr>
        <w:t> </w:t>
      </w:r>
      <w:r>
        <w:rPr>
          <w:rStyle w:val="Appelnotedebasdep"/>
          <w:szCs w:val="18"/>
        </w:rPr>
        <w:footnoteReference w:id="5"/>
      </w:r>
      <w:r w:rsidRPr="00031E0E">
        <w:rPr>
          <w:szCs w:val="18"/>
        </w:rPr>
        <w:t>, la Turquie nationaliste d’Atatürk. Il manque certes à de tels phénom</w:t>
      </w:r>
      <w:r w:rsidRPr="00031E0E">
        <w:rPr>
          <w:szCs w:val="18"/>
        </w:rPr>
        <w:t>è</w:t>
      </w:r>
      <w:r w:rsidRPr="00031E0E">
        <w:rPr>
          <w:szCs w:val="18"/>
        </w:rPr>
        <w:t>nes, ainsi que le reconnaît Trimberger, deux traits généralement ass</w:t>
      </w:r>
      <w:r w:rsidRPr="00031E0E">
        <w:rPr>
          <w:szCs w:val="18"/>
        </w:rPr>
        <w:t>o</w:t>
      </w:r>
      <w:r w:rsidRPr="00031E0E">
        <w:rPr>
          <w:szCs w:val="18"/>
        </w:rPr>
        <w:t>ciés à la notion de révolution et souvent même tenus pour essentiels : une importante participation populaire</w:t>
      </w:r>
      <w:r>
        <w:rPr>
          <w:szCs w:val="18"/>
        </w:rPr>
        <w:t xml:space="preserve"> </w:t>
      </w:r>
      <w:r w:rsidRPr="00031E0E">
        <w:rPr>
          <w:szCs w:val="16"/>
        </w:rPr>
        <w:t>[644]</w:t>
      </w:r>
      <w:r>
        <w:rPr>
          <w:szCs w:val="16"/>
        </w:rPr>
        <w:t xml:space="preserve"> </w:t>
      </w:r>
      <w:r w:rsidRPr="00031E0E">
        <w:rPr>
          <w:szCs w:val="18"/>
        </w:rPr>
        <w:t>et un haut degré de vi</w:t>
      </w:r>
      <w:r w:rsidRPr="00031E0E">
        <w:rPr>
          <w:szCs w:val="18"/>
        </w:rPr>
        <w:t>o</w:t>
      </w:r>
      <w:r w:rsidRPr="00031E0E">
        <w:rPr>
          <w:szCs w:val="18"/>
        </w:rPr>
        <w:t>lence ; la part prise aux événements par les couches pop</w:t>
      </w:r>
      <w:r w:rsidRPr="00031E0E">
        <w:rPr>
          <w:szCs w:val="18"/>
        </w:rPr>
        <w:t>u</w:t>
      </w:r>
      <w:r w:rsidRPr="00031E0E">
        <w:rPr>
          <w:szCs w:val="18"/>
        </w:rPr>
        <w:t>laires reste au plus limitée et le niveau de violence part</w:t>
      </w:r>
      <w:r w:rsidRPr="00031E0E">
        <w:rPr>
          <w:szCs w:val="18"/>
        </w:rPr>
        <w:t>i</w:t>
      </w:r>
      <w:r w:rsidRPr="00031E0E">
        <w:rPr>
          <w:szCs w:val="18"/>
        </w:rPr>
        <w:t>culièrement faible, par comparaison avec celui des « grandes révolutions ». On peut donc i</w:t>
      </w:r>
      <w:r w:rsidRPr="00031E0E">
        <w:rPr>
          <w:szCs w:val="18"/>
        </w:rPr>
        <w:t>n</w:t>
      </w:r>
      <w:r w:rsidRPr="00031E0E">
        <w:rPr>
          <w:szCs w:val="18"/>
        </w:rPr>
        <w:t>voquer de bonnes raisons pour refuser, avec Wertheim, qui mentionne également l’absence d’une idéologie révolutionnaire cara</w:t>
      </w:r>
      <w:r w:rsidRPr="00031E0E">
        <w:rPr>
          <w:szCs w:val="18"/>
        </w:rPr>
        <w:t>c</w:t>
      </w:r>
      <w:r w:rsidRPr="00031E0E">
        <w:rPr>
          <w:szCs w:val="18"/>
        </w:rPr>
        <w:t>térisée (1974, pp. 167-168), le nom de révolution à « l’ère de Meiji » ; et la « stratégie fabie</w:t>
      </w:r>
      <w:r w:rsidRPr="00031E0E">
        <w:rPr>
          <w:szCs w:val="18"/>
        </w:rPr>
        <w:t>n</w:t>
      </w:r>
      <w:r w:rsidRPr="00031E0E">
        <w:rPr>
          <w:szCs w:val="18"/>
        </w:rPr>
        <w:t>ne » de Mustapha Kemal, sur laquelle Huntington (1968, pp. 346-352) met l’accent, évoque plutôt une politique de r</w:t>
      </w:r>
      <w:r w:rsidRPr="00031E0E">
        <w:rPr>
          <w:szCs w:val="18"/>
        </w:rPr>
        <w:t>é</w:t>
      </w:r>
      <w:r w:rsidRPr="00031E0E">
        <w:rPr>
          <w:szCs w:val="18"/>
        </w:rPr>
        <w:t>formes réussie qu’une révolution. Au-delà du pr</w:t>
      </w:r>
      <w:r w:rsidRPr="00031E0E">
        <w:rPr>
          <w:szCs w:val="18"/>
        </w:rPr>
        <w:t>o</w:t>
      </w:r>
      <w:r w:rsidRPr="00031E0E">
        <w:rPr>
          <w:szCs w:val="18"/>
        </w:rPr>
        <w:t>blème d’appellation – ou de classification – que posent ces deux cas spécifiques, ces d</w:t>
      </w:r>
      <w:r w:rsidRPr="00031E0E">
        <w:rPr>
          <w:szCs w:val="18"/>
        </w:rPr>
        <w:t>i</w:t>
      </w:r>
      <w:r w:rsidRPr="00031E0E">
        <w:rPr>
          <w:szCs w:val="18"/>
        </w:rPr>
        <w:t>vergences permettent de souligner qu’il est toujours diff</w:t>
      </w:r>
      <w:r w:rsidRPr="00031E0E">
        <w:rPr>
          <w:szCs w:val="18"/>
        </w:rPr>
        <w:t>i</w:t>
      </w:r>
      <w:r w:rsidRPr="00031E0E">
        <w:rPr>
          <w:szCs w:val="18"/>
        </w:rPr>
        <w:t>cile de tracer une nette frontière entre ce qui est révolutio</w:t>
      </w:r>
      <w:r w:rsidRPr="00031E0E">
        <w:rPr>
          <w:szCs w:val="18"/>
        </w:rPr>
        <w:t>n</w:t>
      </w:r>
      <w:r w:rsidRPr="00031E0E">
        <w:rPr>
          <w:szCs w:val="18"/>
        </w:rPr>
        <w:t>naire et ce qui ne l’est pas, dès que l’on ne se borne pas strictement au type pur. On mesure ainsi à quel point toute définition est relative – ce qui, bien entendu, n’abolit pas la distinction entre de « bonnes » et de « mauvaises » d</w:t>
      </w:r>
      <w:r w:rsidRPr="00031E0E">
        <w:rPr>
          <w:szCs w:val="18"/>
        </w:rPr>
        <w:t>é</w:t>
      </w:r>
      <w:r w:rsidRPr="00031E0E">
        <w:rPr>
          <w:szCs w:val="18"/>
        </w:rPr>
        <w:t>finitions – et dépend, pour une bonne part, de l’objectif de r</w:t>
      </w:r>
      <w:r w:rsidRPr="00031E0E">
        <w:rPr>
          <w:szCs w:val="18"/>
        </w:rPr>
        <w:t>e</w:t>
      </w:r>
      <w:r w:rsidRPr="00031E0E">
        <w:rPr>
          <w:szCs w:val="18"/>
        </w:rPr>
        <w:t>cherche qu’on s’est fixé.</w:t>
      </w:r>
    </w:p>
    <w:p w14:paraId="0E6B8B8D" w14:textId="77777777" w:rsidR="006C5FDB" w:rsidRPr="00031E0E" w:rsidRDefault="006C5FDB" w:rsidP="006C5FDB">
      <w:pPr>
        <w:spacing w:before="120" w:after="120"/>
        <w:jc w:val="both"/>
      </w:pPr>
      <w:r w:rsidRPr="00031E0E">
        <w:rPr>
          <w:szCs w:val="18"/>
        </w:rPr>
        <w:t>Cette relativité est en tout cas insurmontable dès lors que l’on r</w:t>
      </w:r>
      <w:r w:rsidRPr="00031E0E">
        <w:rPr>
          <w:szCs w:val="18"/>
        </w:rPr>
        <w:t>e</w:t>
      </w:r>
      <w:r w:rsidRPr="00031E0E">
        <w:rPr>
          <w:szCs w:val="18"/>
        </w:rPr>
        <w:t>nonce à s’en tenir, fût-ce avec regret, à la m</w:t>
      </w:r>
      <w:r w:rsidRPr="00031E0E">
        <w:rPr>
          <w:szCs w:val="18"/>
        </w:rPr>
        <w:t>a</w:t>
      </w:r>
      <w:r w:rsidRPr="00031E0E">
        <w:rPr>
          <w:szCs w:val="18"/>
        </w:rPr>
        <w:t>gistrale assertion de Condorcet en 1793 : « Le mot « révolutionnaire » ne peut s’appliquer qu’aux révolutions dont la liberté est le but » (1847, vol. 12, p. 615). Sans doute peut-on, à l’instar d’Hannah Arendt, faire de la liberté la valeur suprême et fonder sur ce seul critère la reconnai</w:t>
      </w:r>
      <w:r w:rsidRPr="00031E0E">
        <w:rPr>
          <w:szCs w:val="18"/>
        </w:rPr>
        <w:t>s</w:t>
      </w:r>
      <w:r w:rsidRPr="00031E0E">
        <w:rPr>
          <w:szCs w:val="18"/>
        </w:rPr>
        <w:t>sance de la révolution réussie, à savoir la révolution amér</w:t>
      </w:r>
      <w:r w:rsidRPr="00031E0E">
        <w:rPr>
          <w:szCs w:val="18"/>
        </w:rPr>
        <w:t>i</w:t>
      </w:r>
      <w:r w:rsidRPr="00031E0E">
        <w:rPr>
          <w:szCs w:val="18"/>
        </w:rPr>
        <w:t>caine ; mais un tel « choix », qui se situe au plan de la ph</w:t>
      </w:r>
      <w:r w:rsidRPr="00031E0E">
        <w:rPr>
          <w:szCs w:val="18"/>
        </w:rPr>
        <w:t>i</w:t>
      </w:r>
      <w:r w:rsidRPr="00031E0E">
        <w:rPr>
          <w:szCs w:val="18"/>
        </w:rPr>
        <w:t>losophie politique, n’est pas permis au sociologue, puisqu’il aboutirait à une vér</w:t>
      </w:r>
      <w:r w:rsidRPr="00031E0E">
        <w:rPr>
          <w:szCs w:val="18"/>
        </w:rPr>
        <w:t>i</w:t>
      </w:r>
      <w:r w:rsidRPr="00031E0E">
        <w:rPr>
          <w:szCs w:val="18"/>
        </w:rPr>
        <w:t>table mutilation de son champ d’observation ; il convient en effet de se souvenir, avec Hannah Arendt elle-même, qui le soul</w:t>
      </w:r>
      <w:r w:rsidRPr="00031E0E">
        <w:rPr>
          <w:szCs w:val="18"/>
        </w:rPr>
        <w:t>i</w:t>
      </w:r>
      <w:r w:rsidRPr="00031E0E">
        <w:rPr>
          <w:szCs w:val="18"/>
        </w:rPr>
        <w:t>gne vigoureusement (1967, p. 38), que « la libération et la liberté ne sont pas une seule et même ch</w:t>
      </w:r>
      <w:r w:rsidRPr="00031E0E">
        <w:rPr>
          <w:szCs w:val="18"/>
        </w:rPr>
        <w:t>o</w:t>
      </w:r>
      <w:r w:rsidRPr="00031E0E">
        <w:rPr>
          <w:szCs w:val="18"/>
        </w:rPr>
        <w:t>se</w:t>
      </w:r>
      <w:r>
        <w:rPr>
          <w:szCs w:val="18"/>
        </w:rPr>
        <w:t> </w:t>
      </w:r>
      <w:r>
        <w:rPr>
          <w:rStyle w:val="Appelnotedebasdep"/>
          <w:szCs w:val="18"/>
        </w:rPr>
        <w:footnoteReference w:id="6"/>
      </w:r>
      <w:r w:rsidRPr="00031E0E">
        <w:rPr>
          <w:szCs w:val="18"/>
        </w:rPr>
        <w:t>, que la libération peut être la condition de la libe</w:t>
      </w:r>
      <w:r w:rsidRPr="00031E0E">
        <w:rPr>
          <w:szCs w:val="18"/>
        </w:rPr>
        <w:t>r</w:t>
      </w:r>
      <w:r w:rsidRPr="00031E0E">
        <w:rPr>
          <w:szCs w:val="18"/>
        </w:rPr>
        <w:t>té mais qu’elle ne conduit pas automatiquement pour a</w:t>
      </w:r>
      <w:r w:rsidRPr="00031E0E">
        <w:rPr>
          <w:szCs w:val="18"/>
        </w:rPr>
        <w:t>u</w:t>
      </w:r>
      <w:r w:rsidRPr="00031E0E">
        <w:rPr>
          <w:szCs w:val="18"/>
        </w:rPr>
        <w:t>tant à celle-là, que la notion de liberté incluse dans la libér</w:t>
      </w:r>
      <w:r w:rsidRPr="00031E0E">
        <w:rPr>
          <w:szCs w:val="18"/>
        </w:rPr>
        <w:t>a</w:t>
      </w:r>
      <w:r w:rsidRPr="00031E0E">
        <w:rPr>
          <w:szCs w:val="18"/>
        </w:rPr>
        <w:t>tion ne peut être que négative, partant que même la volonté de libération ne s’identifie pas avec le désir de liberté », à condition toutefois de contester l’exploitation fac</w:t>
      </w:r>
      <w:r w:rsidRPr="00031E0E">
        <w:rPr>
          <w:szCs w:val="18"/>
        </w:rPr>
        <w:t>i</w:t>
      </w:r>
      <w:r w:rsidRPr="00031E0E">
        <w:rPr>
          <w:szCs w:val="18"/>
        </w:rPr>
        <w:t>le qu’elle fait ultérieurement de cette di</w:t>
      </w:r>
      <w:r w:rsidRPr="00031E0E">
        <w:rPr>
          <w:szCs w:val="18"/>
        </w:rPr>
        <w:t>s</w:t>
      </w:r>
      <w:r w:rsidRPr="00031E0E">
        <w:rPr>
          <w:szCs w:val="18"/>
        </w:rPr>
        <w:t>tinction, en affirmant que « le but de la rébellion est la libération, tandis que celui de la révolution est la fo</w:t>
      </w:r>
      <w:r w:rsidRPr="00031E0E">
        <w:rPr>
          <w:szCs w:val="18"/>
        </w:rPr>
        <w:t>n</w:t>
      </w:r>
      <w:r w:rsidRPr="00031E0E">
        <w:rPr>
          <w:szCs w:val="18"/>
        </w:rPr>
        <w:t>dation de la liberté » (p. 206). Certes le souci d’Hannah Arendt de prendre en compte, au-delà des phases d’effervescence et de fièvre, les conséquences mêmes de la révolution est légitime mais elle se l</w:t>
      </w:r>
      <w:r w:rsidRPr="00031E0E">
        <w:rPr>
          <w:szCs w:val="18"/>
        </w:rPr>
        <w:t>i</w:t>
      </w:r>
      <w:r w:rsidRPr="00031E0E">
        <w:rPr>
          <w:szCs w:val="18"/>
        </w:rPr>
        <w:t>mite à un résultat qui, pour être politiqu</w:t>
      </w:r>
      <w:r w:rsidRPr="00031E0E">
        <w:rPr>
          <w:szCs w:val="18"/>
        </w:rPr>
        <w:t>e</w:t>
      </w:r>
      <w:r w:rsidRPr="00031E0E">
        <w:rPr>
          <w:szCs w:val="18"/>
        </w:rPr>
        <w:t>ment significatif, n’en est pas moins socio-historiquement exceptionnel. Il est un autre critère, plus global, suggéré par Wertheim pour ét</w:t>
      </w:r>
      <w:r w:rsidRPr="00031E0E">
        <w:rPr>
          <w:szCs w:val="18"/>
        </w:rPr>
        <w:t>a</w:t>
      </w:r>
      <w:r w:rsidRPr="00031E0E">
        <w:rPr>
          <w:szCs w:val="18"/>
        </w:rPr>
        <w:t>blir, conformément à sa vision « progressiste », une claire démarcation entre révolutions et contre-révolutions (1974, p. 128), sur la pertinence duquel il convient égal</w:t>
      </w:r>
      <w:r w:rsidRPr="00031E0E">
        <w:rPr>
          <w:szCs w:val="18"/>
        </w:rPr>
        <w:t>e</w:t>
      </w:r>
      <w:r w:rsidRPr="00031E0E">
        <w:rPr>
          <w:szCs w:val="18"/>
        </w:rPr>
        <w:t>ment de s’interroger : c’est celui d’émancipation. Les désillusions succe</w:t>
      </w:r>
      <w:r w:rsidRPr="00031E0E">
        <w:rPr>
          <w:szCs w:val="18"/>
        </w:rPr>
        <w:t>s</w:t>
      </w:r>
      <w:r w:rsidRPr="00031E0E">
        <w:rPr>
          <w:szCs w:val="18"/>
        </w:rPr>
        <w:t xml:space="preserve">sives du </w:t>
      </w:r>
      <w:r w:rsidRPr="00031E0E">
        <w:rPr>
          <w:smallCaps/>
          <w:szCs w:val="18"/>
        </w:rPr>
        <w:t>xx</w:t>
      </w:r>
      <w:r w:rsidRPr="00031E0E">
        <w:rPr>
          <w:szCs w:val="18"/>
          <w:vertAlign w:val="superscript"/>
        </w:rPr>
        <w:t>e</w:t>
      </w:r>
      <w:r w:rsidRPr="00031E0E">
        <w:rPr>
          <w:szCs w:val="18"/>
        </w:rPr>
        <w:t xml:space="preserve"> siècle n’incitent guère à partager l’optimisme de Wertheim : si la plupart des révolutions présentent i</w:t>
      </w:r>
      <w:r w:rsidRPr="00031E0E">
        <w:rPr>
          <w:szCs w:val="18"/>
        </w:rPr>
        <w:t>n</w:t>
      </w:r>
      <w:r w:rsidRPr="00031E0E">
        <w:rPr>
          <w:szCs w:val="18"/>
        </w:rPr>
        <w:t>discutablement un aspect d’émancipation – par rapport à la domin</w:t>
      </w:r>
      <w:r w:rsidRPr="00031E0E">
        <w:rPr>
          <w:szCs w:val="18"/>
        </w:rPr>
        <w:t>a</w:t>
      </w:r>
      <w:r w:rsidRPr="00031E0E">
        <w:rPr>
          <w:szCs w:val="18"/>
        </w:rPr>
        <w:t>tion traditionnelle des anciens régimes</w:t>
      </w:r>
      <w:r>
        <w:rPr>
          <w:szCs w:val="18"/>
        </w:rPr>
        <w:t xml:space="preserve"> </w:t>
      </w:r>
      <w:r w:rsidRPr="00031E0E">
        <w:t>[645]</w:t>
      </w:r>
      <w:r>
        <w:t xml:space="preserve"> </w:t>
      </w:r>
      <w:r w:rsidRPr="00031E0E">
        <w:rPr>
          <w:szCs w:val="18"/>
        </w:rPr>
        <w:t>ou par rapport à la puissance coloniale – et s’il semble possible d’analyser en ces termes « l’accès à la modern</w:t>
      </w:r>
      <w:r w:rsidRPr="00031E0E">
        <w:rPr>
          <w:szCs w:val="18"/>
        </w:rPr>
        <w:t>i</w:t>
      </w:r>
      <w:r w:rsidRPr="00031E0E">
        <w:rPr>
          <w:szCs w:val="18"/>
        </w:rPr>
        <w:t>té » qu’elles ont souvent impliqué, leur aboutissement, pour ne pas parler de leur déroulement, n’évoque pas to</w:t>
      </w:r>
      <w:r w:rsidRPr="00031E0E">
        <w:rPr>
          <w:szCs w:val="18"/>
        </w:rPr>
        <w:t>u</w:t>
      </w:r>
      <w:r w:rsidRPr="00031E0E">
        <w:rPr>
          <w:szCs w:val="18"/>
        </w:rPr>
        <w:t>jours des images aussi réconfortantes. Le « bilan révolutionnaire » invite plutôt au sceptici</w:t>
      </w:r>
      <w:r w:rsidRPr="00031E0E">
        <w:rPr>
          <w:szCs w:val="18"/>
        </w:rPr>
        <w:t>s</w:t>
      </w:r>
      <w:r w:rsidRPr="00031E0E">
        <w:rPr>
          <w:szCs w:val="18"/>
        </w:rPr>
        <w:t>me les spectateurs, plus ou moins désengagés, que nous sommes d</w:t>
      </w:r>
      <w:r w:rsidRPr="00031E0E">
        <w:rPr>
          <w:szCs w:val="18"/>
        </w:rPr>
        <w:t>e</w:t>
      </w:r>
      <w:r w:rsidRPr="00031E0E">
        <w:rPr>
          <w:szCs w:val="18"/>
        </w:rPr>
        <w:t>venus. On peut encore opposer, avec Decouflé (1968 ; 3</w:t>
      </w:r>
      <w:r w:rsidRPr="00031E0E">
        <w:rPr>
          <w:szCs w:val="18"/>
          <w:vertAlign w:val="superscript"/>
        </w:rPr>
        <w:t>e</w:t>
      </w:r>
      <w:r w:rsidRPr="00031E0E">
        <w:rPr>
          <w:szCs w:val="18"/>
        </w:rPr>
        <w:t xml:space="preserve"> éd., 1983), le projet révolutio</w:t>
      </w:r>
      <w:r w:rsidRPr="00031E0E">
        <w:rPr>
          <w:szCs w:val="18"/>
        </w:rPr>
        <w:t>n</w:t>
      </w:r>
      <w:r w:rsidRPr="00031E0E">
        <w:rPr>
          <w:szCs w:val="18"/>
        </w:rPr>
        <w:t>naire au projet contre-révolutionnaire ; mais la notion de « totalité-universalité » appliquée par Decouflé au projet révol</w:t>
      </w:r>
      <w:r w:rsidRPr="00031E0E">
        <w:rPr>
          <w:szCs w:val="18"/>
        </w:rPr>
        <w:t>u</w:t>
      </w:r>
      <w:r w:rsidRPr="00031E0E">
        <w:rPr>
          <w:szCs w:val="18"/>
        </w:rPr>
        <w:t>tionnaire (p. 35) est analyt</w:t>
      </w:r>
      <w:r w:rsidRPr="00031E0E">
        <w:rPr>
          <w:szCs w:val="18"/>
        </w:rPr>
        <w:t>i</w:t>
      </w:r>
      <w:r w:rsidRPr="00031E0E">
        <w:rPr>
          <w:szCs w:val="18"/>
        </w:rPr>
        <w:t>quement peu précise et la reconnaissance par les masses, sur la base d’un tel projet, de la supériorité morale et politique des révol</w:t>
      </w:r>
      <w:r w:rsidRPr="00031E0E">
        <w:rPr>
          <w:szCs w:val="18"/>
        </w:rPr>
        <w:t>u</w:t>
      </w:r>
      <w:r w:rsidRPr="00031E0E">
        <w:rPr>
          <w:szCs w:val="18"/>
        </w:rPr>
        <w:t>tionnaires, privilégiée par Dunn (1972, p. 15), ne constitue pas un a</w:t>
      </w:r>
      <w:r w:rsidRPr="00031E0E">
        <w:rPr>
          <w:szCs w:val="18"/>
        </w:rPr>
        <w:t>t</w:t>
      </w:r>
      <w:r w:rsidRPr="00031E0E">
        <w:rPr>
          <w:szCs w:val="18"/>
        </w:rPr>
        <w:t>tribut suffisamment spécifique ; de plus – et surtout –, comme le ra</w:t>
      </w:r>
      <w:r w:rsidRPr="00031E0E">
        <w:rPr>
          <w:szCs w:val="18"/>
        </w:rPr>
        <w:t>p</w:t>
      </w:r>
      <w:r w:rsidRPr="00031E0E">
        <w:rPr>
          <w:szCs w:val="18"/>
        </w:rPr>
        <w:t>pelle Skocpol (1979, p. 170), le contenu propre des idéologies révol</w:t>
      </w:r>
      <w:r w:rsidRPr="00031E0E">
        <w:rPr>
          <w:szCs w:val="18"/>
        </w:rPr>
        <w:t>u</w:t>
      </w:r>
      <w:r w:rsidRPr="00031E0E">
        <w:rPr>
          <w:szCs w:val="18"/>
        </w:rPr>
        <w:t>tionnaires ne permet en aucune manière de prédire les résultats des révolutions. Il semble donc diff</w:t>
      </w:r>
      <w:r w:rsidRPr="00031E0E">
        <w:rPr>
          <w:szCs w:val="18"/>
        </w:rPr>
        <w:t>i</w:t>
      </w:r>
      <w:r w:rsidRPr="00031E0E">
        <w:rPr>
          <w:szCs w:val="18"/>
        </w:rPr>
        <w:t xml:space="preserve">cile de fonder sur un critère d’orientation ou de portée générale une distinction </w:t>
      </w:r>
      <w:r w:rsidRPr="00031E0E">
        <w:rPr>
          <w:i/>
          <w:iCs/>
          <w:szCs w:val="18"/>
        </w:rPr>
        <w:t xml:space="preserve">radicale </w:t>
      </w:r>
      <w:r w:rsidRPr="00031E0E">
        <w:rPr>
          <w:szCs w:val="18"/>
        </w:rPr>
        <w:t>des révolutions et des contre-révolutions ; et pour ce qui est de ces derni</w:t>
      </w:r>
      <w:r w:rsidRPr="00031E0E">
        <w:rPr>
          <w:szCs w:val="18"/>
        </w:rPr>
        <w:t>è</w:t>
      </w:r>
      <w:r w:rsidRPr="00031E0E">
        <w:rPr>
          <w:szCs w:val="18"/>
        </w:rPr>
        <w:t>res, il paraît moins risqué de s’en tenir au plan des faits, en ne dés</w:t>
      </w:r>
      <w:r w:rsidRPr="00031E0E">
        <w:rPr>
          <w:szCs w:val="18"/>
        </w:rPr>
        <w:t>i</w:t>
      </w:r>
      <w:r w:rsidRPr="00031E0E">
        <w:rPr>
          <w:szCs w:val="18"/>
        </w:rPr>
        <w:t xml:space="preserve">gnant comme telles que les résistances et les soulèvements qui se sont manifestés, pendant le cours même d’une révolution, </w:t>
      </w:r>
      <w:r w:rsidRPr="00031E0E">
        <w:rPr>
          <w:i/>
          <w:iCs/>
          <w:szCs w:val="18"/>
        </w:rPr>
        <w:t xml:space="preserve">contre </w:t>
      </w:r>
      <w:r w:rsidRPr="00031E0E">
        <w:rPr>
          <w:szCs w:val="18"/>
        </w:rPr>
        <w:t>le po</w:t>
      </w:r>
      <w:r w:rsidRPr="00031E0E">
        <w:rPr>
          <w:szCs w:val="18"/>
        </w:rPr>
        <w:t>u</w:t>
      </w:r>
      <w:r w:rsidRPr="00031E0E">
        <w:rPr>
          <w:szCs w:val="18"/>
        </w:rPr>
        <w:t>voir révolutionnaire. Une telle caractérisation ne permet pas cepe</w:t>
      </w:r>
      <w:r w:rsidRPr="00031E0E">
        <w:rPr>
          <w:szCs w:val="18"/>
        </w:rPr>
        <w:t>n</w:t>
      </w:r>
      <w:r w:rsidRPr="00031E0E">
        <w:rPr>
          <w:szCs w:val="18"/>
        </w:rPr>
        <w:t>dant de clarifier le statut de certains épisodes socio-historiques impo</w:t>
      </w:r>
      <w:r w:rsidRPr="00031E0E">
        <w:rPr>
          <w:szCs w:val="18"/>
        </w:rPr>
        <w:t>r</w:t>
      </w:r>
      <w:r w:rsidRPr="00031E0E">
        <w:rPr>
          <w:szCs w:val="18"/>
        </w:rPr>
        <w:t>tants, comme, par exemple, la guerre civile espagnole, avec la victoire finale du franquisme. On peut, bien entendu, affirmer, avec A</w:t>
      </w:r>
      <w:r w:rsidRPr="00031E0E">
        <w:rPr>
          <w:szCs w:val="18"/>
        </w:rPr>
        <w:t>p</w:t>
      </w:r>
      <w:r w:rsidRPr="00031E0E">
        <w:rPr>
          <w:szCs w:val="18"/>
        </w:rPr>
        <w:t>theker ou avec We</w:t>
      </w:r>
      <w:r w:rsidRPr="00031E0E">
        <w:rPr>
          <w:szCs w:val="18"/>
        </w:rPr>
        <w:t>r</w:t>
      </w:r>
      <w:r w:rsidRPr="00031E0E">
        <w:rPr>
          <w:szCs w:val="18"/>
        </w:rPr>
        <w:t>theim qui place cette assertion en exergue à son chapitre V (1974, p. 124), que « toute définition qui appellerait du même nom la victoire de George Washington et la victoire de Francisco Franco est de nature à e</w:t>
      </w:r>
      <w:r w:rsidRPr="00031E0E">
        <w:rPr>
          <w:szCs w:val="18"/>
        </w:rPr>
        <w:t>m</w:t>
      </w:r>
      <w:r w:rsidRPr="00031E0E">
        <w:rPr>
          <w:szCs w:val="18"/>
        </w:rPr>
        <w:t xml:space="preserve">brouiller plutôt qu’à clarifier </w:t>
      </w:r>
      <w:r w:rsidRPr="00031E0E">
        <w:rPr>
          <w:i/>
          <w:iCs/>
          <w:szCs w:val="18"/>
        </w:rPr>
        <w:t>(define) »</w:t>
      </w:r>
      <w:r w:rsidRPr="00031E0E">
        <w:rPr>
          <w:szCs w:val="18"/>
        </w:rPr>
        <w:t>. Mais, ainsi que le note Rod Aya (1979, pp. 83-84, n. 29), une telle formulation reflète davantage des préférences idéologiques</w:t>
      </w:r>
      <w:r>
        <w:rPr>
          <w:szCs w:val="18"/>
        </w:rPr>
        <w:t xml:space="preserve"> </w:t>
      </w:r>
      <w:r w:rsidRPr="00031E0E">
        <w:rPr>
          <w:szCs w:val="18"/>
        </w:rPr>
        <w:t>–</w:t>
      </w:r>
      <w:r>
        <w:rPr>
          <w:szCs w:val="18"/>
        </w:rPr>
        <w:t xml:space="preserve"> </w:t>
      </w:r>
      <w:r w:rsidRPr="00031E0E">
        <w:rPr>
          <w:szCs w:val="18"/>
        </w:rPr>
        <w:t>d’autant plus pr</w:t>
      </w:r>
      <w:r w:rsidRPr="00031E0E">
        <w:rPr>
          <w:szCs w:val="18"/>
        </w:rPr>
        <w:t>é</w:t>
      </w:r>
      <w:r w:rsidRPr="00031E0E">
        <w:rPr>
          <w:szCs w:val="18"/>
        </w:rPr>
        <w:t>gnantes, peut-on ajouter, qu’elles sont inhére</w:t>
      </w:r>
      <w:r w:rsidRPr="00031E0E">
        <w:rPr>
          <w:szCs w:val="18"/>
        </w:rPr>
        <w:t>n</w:t>
      </w:r>
      <w:r w:rsidRPr="00031E0E">
        <w:rPr>
          <w:szCs w:val="18"/>
        </w:rPr>
        <w:t xml:space="preserve">tes à nos sociétés – qu’un grand discernement analytique. On peut certes admettre que le </w:t>
      </w:r>
      <w:r w:rsidRPr="00031E0E">
        <w:rPr>
          <w:i/>
          <w:iCs/>
          <w:szCs w:val="18"/>
        </w:rPr>
        <w:t xml:space="preserve">résultat </w:t>
      </w:r>
      <w:r w:rsidRPr="00031E0E">
        <w:rPr>
          <w:szCs w:val="18"/>
        </w:rPr>
        <w:t>de la guerre civile espagnole n’a pas été révolutio</w:t>
      </w:r>
      <w:r w:rsidRPr="00031E0E">
        <w:rPr>
          <w:szCs w:val="18"/>
        </w:rPr>
        <w:t>n</w:t>
      </w:r>
      <w:r w:rsidRPr="00031E0E">
        <w:rPr>
          <w:szCs w:val="18"/>
        </w:rPr>
        <w:t xml:space="preserve">naire ; mais cela ne prouve en rien qu’elle n’ait pas donné lieu à des </w:t>
      </w:r>
      <w:r w:rsidRPr="00031E0E">
        <w:rPr>
          <w:i/>
          <w:iCs/>
          <w:szCs w:val="18"/>
        </w:rPr>
        <w:t>proce</w:t>
      </w:r>
      <w:r w:rsidRPr="00031E0E">
        <w:rPr>
          <w:i/>
          <w:iCs/>
          <w:szCs w:val="18"/>
        </w:rPr>
        <w:t>s</w:t>
      </w:r>
      <w:r w:rsidRPr="00031E0E">
        <w:rPr>
          <w:i/>
          <w:iCs/>
          <w:szCs w:val="18"/>
        </w:rPr>
        <w:t xml:space="preserve">sus </w:t>
      </w:r>
      <w:r w:rsidRPr="00031E0E">
        <w:rPr>
          <w:szCs w:val="18"/>
        </w:rPr>
        <w:t>révolutionnaires. Comme l’écrit Aya dans le pa</w:t>
      </w:r>
      <w:r w:rsidRPr="00031E0E">
        <w:rPr>
          <w:szCs w:val="18"/>
        </w:rPr>
        <w:t>s</w:t>
      </w:r>
      <w:r w:rsidRPr="00031E0E">
        <w:rPr>
          <w:szCs w:val="18"/>
        </w:rPr>
        <w:t>sage que complète la note déjà citée (p. 45), l’Histoire ne doit pas être lue seulement à la lumière de la vi</w:t>
      </w:r>
      <w:r w:rsidRPr="00031E0E">
        <w:rPr>
          <w:szCs w:val="18"/>
        </w:rPr>
        <w:t>c</w:t>
      </w:r>
      <w:r w:rsidRPr="00031E0E">
        <w:rPr>
          <w:szCs w:val="18"/>
        </w:rPr>
        <w:t>toire, c’est-à-dire en fonction des prétentions, des faits et des gestes des vai</w:t>
      </w:r>
      <w:r w:rsidRPr="00031E0E">
        <w:rPr>
          <w:szCs w:val="18"/>
        </w:rPr>
        <w:t>n</w:t>
      </w:r>
      <w:r w:rsidRPr="00031E0E">
        <w:rPr>
          <w:szCs w:val="18"/>
        </w:rPr>
        <w:t>queurs.</w:t>
      </w:r>
    </w:p>
    <w:p w14:paraId="4ED56B9A" w14:textId="77777777" w:rsidR="006C5FDB" w:rsidRPr="00031E0E" w:rsidRDefault="006C5FDB" w:rsidP="006C5FDB">
      <w:pPr>
        <w:spacing w:before="120" w:after="120"/>
        <w:jc w:val="both"/>
      </w:pPr>
      <w:r w:rsidRPr="00031E0E">
        <w:rPr>
          <w:szCs w:val="18"/>
        </w:rPr>
        <w:t>Ces dernières remarques nous am</w:t>
      </w:r>
      <w:r w:rsidRPr="00031E0E">
        <w:rPr>
          <w:szCs w:val="18"/>
        </w:rPr>
        <w:t>è</w:t>
      </w:r>
      <w:r w:rsidRPr="00031E0E">
        <w:rPr>
          <w:szCs w:val="18"/>
        </w:rPr>
        <w:t>nent à revenir une dernière fois sur les deux définitions mentionnées plus haut comme particulièr</w:t>
      </w:r>
      <w:r w:rsidRPr="00031E0E">
        <w:rPr>
          <w:szCs w:val="18"/>
        </w:rPr>
        <w:t>e</w:t>
      </w:r>
      <w:r w:rsidRPr="00031E0E">
        <w:rPr>
          <w:szCs w:val="18"/>
        </w:rPr>
        <w:t>ment significat</w:t>
      </w:r>
      <w:r w:rsidRPr="00031E0E">
        <w:rPr>
          <w:szCs w:val="18"/>
        </w:rPr>
        <w:t>i</w:t>
      </w:r>
      <w:r w:rsidRPr="00031E0E">
        <w:rPr>
          <w:szCs w:val="18"/>
        </w:rPr>
        <w:t>ves – celles d’Huntington et de Neumann –, et ce pour constater qu’elles ne font aucune référence expl</w:t>
      </w:r>
      <w:r w:rsidRPr="00031E0E">
        <w:rPr>
          <w:szCs w:val="18"/>
        </w:rPr>
        <w:t>i</w:t>
      </w:r>
      <w:r w:rsidRPr="00031E0E">
        <w:rPr>
          <w:szCs w:val="18"/>
        </w:rPr>
        <w:t>cite aux processus révolutionnaires et les passent pratiquement sous silence. Nous so</w:t>
      </w:r>
      <w:r w:rsidRPr="00031E0E">
        <w:rPr>
          <w:szCs w:val="18"/>
        </w:rPr>
        <w:t>m</w:t>
      </w:r>
      <w:r w:rsidRPr="00031E0E">
        <w:rPr>
          <w:szCs w:val="18"/>
        </w:rPr>
        <w:t>mes ainsi en mesure de dégager nettement l’intérêt en même temps que les limites de ces deux définitions. Elles spéc</w:t>
      </w:r>
      <w:r w:rsidRPr="00031E0E">
        <w:rPr>
          <w:szCs w:val="18"/>
        </w:rPr>
        <w:t>i</w:t>
      </w:r>
      <w:r w:rsidRPr="00031E0E">
        <w:rPr>
          <w:szCs w:val="18"/>
        </w:rPr>
        <w:t xml:space="preserve">fient, comme on l’a déjà dit, un type </w:t>
      </w:r>
      <w:r w:rsidRPr="00031E0E">
        <w:rPr>
          <w:i/>
          <w:iCs/>
          <w:szCs w:val="18"/>
        </w:rPr>
        <w:t xml:space="preserve">pur </w:t>
      </w:r>
      <w:r w:rsidRPr="00031E0E">
        <w:rPr>
          <w:szCs w:val="18"/>
        </w:rPr>
        <w:t xml:space="preserve">de révolution à travers les </w:t>
      </w:r>
      <w:r w:rsidRPr="00031E0E">
        <w:rPr>
          <w:i/>
          <w:iCs/>
          <w:szCs w:val="18"/>
        </w:rPr>
        <w:t xml:space="preserve">résultats </w:t>
      </w:r>
      <w:r w:rsidRPr="00031E0E">
        <w:rPr>
          <w:szCs w:val="18"/>
        </w:rPr>
        <w:t>majeurs au</w:t>
      </w:r>
      <w:r w:rsidRPr="00031E0E">
        <w:rPr>
          <w:szCs w:val="18"/>
        </w:rPr>
        <w:t>x</w:t>
      </w:r>
      <w:r w:rsidRPr="00031E0E">
        <w:rPr>
          <w:szCs w:val="18"/>
        </w:rPr>
        <w:t>quels une « grande » révol</w:t>
      </w:r>
      <w:r w:rsidRPr="00031E0E">
        <w:rPr>
          <w:szCs w:val="18"/>
        </w:rPr>
        <w:t>u</w:t>
      </w:r>
      <w:r w:rsidRPr="00031E0E">
        <w:rPr>
          <w:szCs w:val="18"/>
        </w:rPr>
        <w:t>tion aboutit. Mais si l’on considère qu’il faut élargir davant</w:t>
      </w:r>
      <w:r w:rsidRPr="00031E0E">
        <w:rPr>
          <w:szCs w:val="18"/>
        </w:rPr>
        <w:t>a</w:t>
      </w:r>
      <w:r w:rsidRPr="00031E0E">
        <w:rPr>
          <w:szCs w:val="18"/>
        </w:rPr>
        <w:t>ge le champ de la comparaison, sans pour autant regrouper dans des catégories fourre-tout rév</w:t>
      </w:r>
      <w:r w:rsidRPr="00031E0E">
        <w:rPr>
          <w:szCs w:val="18"/>
        </w:rPr>
        <w:t>o</w:t>
      </w:r>
      <w:r w:rsidRPr="00031E0E">
        <w:rPr>
          <w:szCs w:val="18"/>
        </w:rPr>
        <w:t>lutions, rébellions et coups d’État, c’est-à-dire faire leur place aux combinaisons partielles et incomplètes d’attributs – constitutives des r</w:t>
      </w:r>
      <w:r w:rsidRPr="00031E0E">
        <w:rPr>
          <w:szCs w:val="18"/>
        </w:rPr>
        <w:t>é</w:t>
      </w:r>
      <w:r w:rsidRPr="00031E0E">
        <w:rPr>
          <w:szCs w:val="18"/>
        </w:rPr>
        <w:t>volutions de moindre importance – comme aux révolutions avo</w:t>
      </w:r>
      <w:r w:rsidRPr="00031E0E">
        <w:rPr>
          <w:szCs w:val="18"/>
        </w:rPr>
        <w:t>r</w:t>
      </w:r>
      <w:r w:rsidRPr="00031E0E">
        <w:rPr>
          <w:szCs w:val="18"/>
        </w:rPr>
        <w:t>tées, elles deviennent d’une utilité</w:t>
      </w:r>
      <w:r>
        <w:rPr>
          <w:szCs w:val="18"/>
        </w:rPr>
        <w:t xml:space="preserve"> </w:t>
      </w:r>
      <w:r w:rsidRPr="00031E0E">
        <w:rPr>
          <w:szCs w:val="18"/>
        </w:rPr>
        <w:t>[646]</w:t>
      </w:r>
      <w:r>
        <w:rPr>
          <w:szCs w:val="18"/>
        </w:rPr>
        <w:t xml:space="preserve"> </w:t>
      </w:r>
      <w:r w:rsidRPr="00031E0E">
        <w:rPr>
          <w:szCs w:val="18"/>
        </w:rPr>
        <w:t>très limitée. Et la raison en est prob</w:t>
      </w:r>
      <w:r w:rsidRPr="00031E0E">
        <w:rPr>
          <w:szCs w:val="18"/>
        </w:rPr>
        <w:t>a</w:t>
      </w:r>
      <w:r w:rsidRPr="00031E0E">
        <w:rPr>
          <w:szCs w:val="18"/>
        </w:rPr>
        <w:t xml:space="preserve">blement due à l’insuffisante prise en considération, pour ne pas dire la négligence, des </w:t>
      </w:r>
      <w:r w:rsidRPr="00031E0E">
        <w:rPr>
          <w:i/>
          <w:iCs/>
          <w:szCs w:val="18"/>
        </w:rPr>
        <w:t xml:space="preserve">processus </w:t>
      </w:r>
      <w:r w:rsidRPr="00031E0E">
        <w:rPr>
          <w:szCs w:val="18"/>
        </w:rPr>
        <w:t>révolutionnaires dont elles témoignent. C’est assur</w:t>
      </w:r>
      <w:r w:rsidRPr="00031E0E">
        <w:rPr>
          <w:szCs w:val="18"/>
        </w:rPr>
        <w:t>é</w:t>
      </w:r>
      <w:r w:rsidRPr="00031E0E">
        <w:rPr>
          <w:szCs w:val="18"/>
        </w:rPr>
        <w:t>ment dans cette voie qu’il y a le plus de travail – voire de progrès – à accomplir ; mais une anal</w:t>
      </w:r>
      <w:r w:rsidRPr="00031E0E">
        <w:rPr>
          <w:szCs w:val="18"/>
        </w:rPr>
        <w:t>y</w:t>
      </w:r>
      <w:r w:rsidRPr="00031E0E">
        <w:rPr>
          <w:szCs w:val="18"/>
        </w:rPr>
        <w:t>se approfondie de tels processus est peut-être de nature – c’est en tout cas notre conviction – à enrichir notre compréhension des révol</w:t>
      </w:r>
      <w:r w:rsidRPr="00031E0E">
        <w:rPr>
          <w:szCs w:val="18"/>
        </w:rPr>
        <w:t>u</w:t>
      </w:r>
      <w:r w:rsidRPr="00031E0E">
        <w:rPr>
          <w:szCs w:val="18"/>
        </w:rPr>
        <w:t>tions.</w:t>
      </w:r>
    </w:p>
    <w:p w14:paraId="6C8DC271" w14:textId="77777777" w:rsidR="006C5FDB" w:rsidRPr="00031E0E" w:rsidRDefault="006C5FDB" w:rsidP="006C5FDB">
      <w:pPr>
        <w:spacing w:before="120" w:after="120"/>
        <w:jc w:val="both"/>
        <w:rPr>
          <w:szCs w:val="18"/>
        </w:rPr>
      </w:pPr>
    </w:p>
    <w:p w14:paraId="15695E8B" w14:textId="77777777" w:rsidR="006C5FDB" w:rsidRPr="00031E0E" w:rsidRDefault="006C5FDB" w:rsidP="006C5FDB">
      <w:pPr>
        <w:pStyle w:val="planchest"/>
      </w:pPr>
      <w:bookmarkStart w:id="3" w:name="Traite_t2_pt_2_chap_VII_Sec_2"/>
      <w:r w:rsidRPr="00031E0E">
        <w:t>Section 2</w:t>
      </w:r>
    </w:p>
    <w:p w14:paraId="065CA6C8" w14:textId="77777777" w:rsidR="006C5FDB" w:rsidRPr="00031E0E" w:rsidRDefault="006C5FDB" w:rsidP="006C5FDB">
      <w:pPr>
        <w:pStyle w:val="planchest0"/>
      </w:pPr>
      <w:r w:rsidRPr="00031E0E">
        <w:t>Théories</w:t>
      </w:r>
    </w:p>
    <w:bookmarkEnd w:id="3"/>
    <w:p w14:paraId="2B77078C" w14:textId="77777777" w:rsidR="006C5FDB" w:rsidRPr="00031E0E" w:rsidRDefault="006C5FDB" w:rsidP="006C5FDB">
      <w:pPr>
        <w:spacing w:before="120" w:after="120"/>
        <w:jc w:val="both"/>
        <w:rPr>
          <w:szCs w:val="18"/>
        </w:rPr>
      </w:pPr>
    </w:p>
    <w:p w14:paraId="106944E1" w14:textId="77777777" w:rsidR="006C5FDB" w:rsidRPr="00384B20" w:rsidRDefault="006C5FDB" w:rsidP="006C5FDB">
      <w:pPr>
        <w:ind w:right="90" w:firstLine="0"/>
        <w:jc w:val="both"/>
        <w:rPr>
          <w:sz w:val="20"/>
        </w:rPr>
      </w:pPr>
      <w:hyperlink w:anchor="sommaire" w:history="1">
        <w:r w:rsidRPr="00721734">
          <w:rPr>
            <w:rStyle w:val="Hyperlien"/>
            <w:sz w:val="20"/>
          </w:rPr>
          <w:t>Retour au sommaire</w:t>
        </w:r>
      </w:hyperlink>
    </w:p>
    <w:p w14:paraId="31841600" w14:textId="77777777" w:rsidR="006C5FDB" w:rsidRPr="00031E0E" w:rsidRDefault="006C5FDB" w:rsidP="006C5FDB">
      <w:pPr>
        <w:spacing w:before="120" w:after="120"/>
        <w:jc w:val="both"/>
      </w:pPr>
      <w:r w:rsidRPr="00031E0E">
        <w:rPr>
          <w:szCs w:val="18"/>
        </w:rPr>
        <w:t>Après avoir tenté de cerner le phén</w:t>
      </w:r>
      <w:r w:rsidRPr="00031E0E">
        <w:rPr>
          <w:szCs w:val="18"/>
        </w:rPr>
        <w:t>o</w:t>
      </w:r>
      <w:r w:rsidRPr="00031E0E">
        <w:rPr>
          <w:szCs w:val="18"/>
        </w:rPr>
        <w:t>mène des révolutions et abordé le problème de leur défin</w:t>
      </w:r>
      <w:r w:rsidRPr="00031E0E">
        <w:rPr>
          <w:szCs w:val="18"/>
        </w:rPr>
        <w:t>i</w:t>
      </w:r>
      <w:r w:rsidRPr="00031E0E">
        <w:rPr>
          <w:szCs w:val="18"/>
        </w:rPr>
        <w:t>tion, auquel il a été apporté une solution tout au plus partielle et provisoire, nous en venons maintenant à la prése</w:t>
      </w:r>
      <w:r w:rsidRPr="00031E0E">
        <w:rPr>
          <w:szCs w:val="18"/>
        </w:rPr>
        <w:t>n</w:t>
      </w:r>
      <w:r w:rsidRPr="00031E0E">
        <w:rPr>
          <w:szCs w:val="18"/>
        </w:rPr>
        <w:t>tation de quelques théories sur ce thème.</w:t>
      </w:r>
    </w:p>
    <w:p w14:paraId="334CC28F" w14:textId="77777777" w:rsidR="006C5FDB" w:rsidRPr="00031E0E" w:rsidRDefault="006C5FDB" w:rsidP="006C5FDB">
      <w:pPr>
        <w:spacing w:before="120" w:after="120"/>
        <w:jc w:val="both"/>
        <w:rPr>
          <w:szCs w:val="18"/>
        </w:rPr>
      </w:pPr>
    </w:p>
    <w:p w14:paraId="22D0C982" w14:textId="77777777" w:rsidR="006C5FDB" w:rsidRPr="00031E0E" w:rsidRDefault="006C5FDB" w:rsidP="006C5FDB">
      <w:pPr>
        <w:pStyle w:val="a"/>
      </w:pPr>
      <w:bookmarkStart w:id="4" w:name="Traite_t2_pt_2_chap_VII_Sec_2_1"/>
      <w:r w:rsidRPr="00031E0E">
        <w:t>1. Trois explications class</w:t>
      </w:r>
      <w:r w:rsidRPr="00031E0E">
        <w:t>i</w:t>
      </w:r>
      <w:r w:rsidRPr="00031E0E">
        <w:t>ques</w:t>
      </w:r>
    </w:p>
    <w:bookmarkEnd w:id="4"/>
    <w:p w14:paraId="3ECF46BC" w14:textId="77777777" w:rsidR="006C5FDB" w:rsidRPr="00031E0E" w:rsidRDefault="006C5FDB" w:rsidP="006C5FDB">
      <w:pPr>
        <w:spacing w:before="120" w:after="120"/>
        <w:jc w:val="both"/>
        <w:rPr>
          <w:szCs w:val="18"/>
        </w:rPr>
      </w:pPr>
    </w:p>
    <w:p w14:paraId="30D97137" w14:textId="77777777" w:rsidR="006C5FDB" w:rsidRPr="00384B20" w:rsidRDefault="006C5FDB" w:rsidP="006C5FDB">
      <w:pPr>
        <w:ind w:right="90" w:firstLine="0"/>
        <w:jc w:val="both"/>
        <w:rPr>
          <w:sz w:val="20"/>
        </w:rPr>
      </w:pPr>
      <w:hyperlink w:anchor="sommaire" w:history="1">
        <w:r w:rsidRPr="00721734">
          <w:rPr>
            <w:rStyle w:val="Hyperlien"/>
            <w:sz w:val="20"/>
          </w:rPr>
          <w:t>Retour au sommaire</w:t>
        </w:r>
      </w:hyperlink>
    </w:p>
    <w:p w14:paraId="20D9196F" w14:textId="77777777" w:rsidR="006C5FDB" w:rsidRPr="00031E0E" w:rsidRDefault="006C5FDB" w:rsidP="006C5FDB">
      <w:pPr>
        <w:spacing w:before="120" w:after="120"/>
        <w:jc w:val="both"/>
      </w:pPr>
      <w:r w:rsidRPr="00031E0E">
        <w:rPr>
          <w:szCs w:val="18"/>
        </w:rPr>
        <w:t>Il nous paraît utile de commencer cet examen par un ra</w:t>
      </w:r>
      <w:r w:rsidRPr="00031E0E">
        <w:rPr>
          <w:szCs w:val="18"/>
        </w:rPr>
        <w:t>p</w:t>
      </w:r>
      <w:r w:rsidRPr="00031E0E">
        <w:rPr>
          <w:szCs w:val="18"/>
        </w:rPr>
        <w:t>pel, relatif aux modes « classiques » – et donc aux trad</w:t>
      </w:r>
      <w:r w:rsidRPr="00031E0E">
        <w:rPr>
          <w:szCs w:val="18"/>
        </w:rPr>
        <w:t>i</w:t>
      </w:r>
      <w:r w:rsidRPr="00031E0E">
        <w:rPr>
          <w:szCs w:val="18"/>
        </w:rPr>
        <w:t>tions – d’explication des révolutions et des phénomènes r</w:t>
      </w:r>
      <w:r w:rsidRPr="00031E0E">
        <w:rPr>
          <w:szCs w:val="18"/>
        </w:rPr>
        <w:t>é</w:t>
      </w:r>
      <w:r w:rsidRPr="00031E0E">
        <w:rPr>
          <w:szCs w:val="18"/>
        </w:rPr>
        <w:t>volutionnaires.</w:t>
      </w:r>
    </w:p>
    <w:p w14:paraId="43B1719E" w14:textId="77777777" w:rsidR="006C5FDB" w:rsidRPr="00031E0E" w:rsidRDefault="006C5FDB" w:rsidP="006C5FDB">
      <w:pPr>
        <w:spacing w:before="120" w:after="120"/>
        <w:jc w:val="both"/>
      </w:pPr>
      <w:r w:rsidRPr="00031E0E">
        <w:rPr>
          <w:rStyle w:val="Textenonproportionnel"/>
          <w:color w:val="000000"/>
          <w:szCs w:val="28"/>
          <w:highlight w:val="white"/>
        </w:rPr>
        <w:t>●</w:t>
      </w:r>
      <w:r w:rsidRPr="00031E0E">
        <w:rPr>
          <w:szCs w:val="18"/>
        </w:rPr>
        <w:t xml:space="preserve"> Un premier t</w:t>
      </w:r>
      <w:r w:rsidRPr="00031E0E">
        <w:rPr>
          <w:szCs w:val="18"/>
        </w:rPr>
        <w:t>y</w:t>
      </w:r>
      <w:r w:rsidRPr="00031E0E">
        <w:rPr>
          <w:szCs w:val="18"/>
        </w:rPr>
        <w:t>pe accorde une place centrale aux forces sociales et, plus sp</w:t>
      </w:r>
      <w:r w:rsidRPr="00031E0E">
        <w:rPr>
          <w:szCs w:val="18"/>
        </w:rPr>
        <w:t>é</w:t>
      </w:r>
      <w:r w:rsidRPr="00031E0E">
        <w:rPr>
          <w:szCs w:val="18"/>
        </w:rPr>
        <w:t>cifiquement, à leur conflit. Les adeptes de cette perspective se placent d’ordinaire sous l’égide de Marx, ce qui n’exclut pas, comme c’est bien connu, de profondes divergences d’interprétation et des positions fort différentes, parfois même radicalement opposées, par rapport à l’ « orthodoxie » marxiste. Sans verser dans « le grote</w:t>
      </w:r>
      <w:r w:rsidRPr="00031E0E">
        <w:rPr>
          <w:szCs w:val="18"/>
        </w:rPr>
        <w:t>s</w:t>
      </w:r>
      <w:r w:rsidRPr="00031E0E">
        <w:rPr>
          <w:szCs w:val="18"/>
        </w:rPr>
        <w:t>que de la commémoration », selon la crue</w:t>
      </w:r>
      <w:r w:rsidRPr="00031E0E">
        <w:rPr>
          <w:szCs w:val="18"/>
        </w:rPr>
        <w:t>l</w:t>
      </w:r>
      <w:r w:rsidRPr="00031E0E">
        <w:rPr>
          <w:szCs w:val="18"/>
        </w:rPr>
        <w:t>le formule d’Aya (1979, p. 81, n. 19), on croit utile de red</w:t>
      </w:r>
      <w:r w:rsidRPr="00031E0E">
        <w:rPr>
          <w:szCs w:val="18"/>
        </w:rPr>
        <w:t>i</w:t>
      </w:r>
      <w:r w:rsidRPr="00031E0E">
        <w:rPr>
          <w:szCs w:val="18"/>
        </w:rPr>
        <w:t>re ici, avec Robert Tucker (1966, p. 226), que pour Marx une authentique révolution, c’est-à-dire une r</w:t>
      </w:r>
      <w:r w:rsidRPr="00031E0E">
        <w:rPr>
          <w:szCs w:val="18"/>
        </w:rPr>
        <w:t>é</w:t>
      </w:r>
      <w:r w:rsidRPr="00031E0E">
        <w:rPr>
          <w:szCs w:val="18"/>
        </w:rPr>
        <w:t>volution sociale, constitue « un changement dans le mode de produ</w:t>
      </w:r>
      <w:r w:rsidRPr="00031E0E">
        <w:rPr>
          <w:szCs w:val="18"/>
        </w:rPr>
        <w:t>c</w:t>
      </w:r>
      <w:r w:rsidRPr="00031E0E">
        <w:rPr>
          <w:szCs w:val="18"/>
        </w:rPr>
        <w:t>tion entraînant à sa suite un changement de tous les éléments subo</w:t>
      </w:r>
      <w:r w:rsidRPr="00031E0E">
        <w:rPr>
          <w:szCs w:val="18"/>
        </w:rPr>
        <w:t>r</w:t>
      </w:r>
      <w:r w:rsidRPr="00031E0E">
        <w:rPr>
          <w:szCs w:val="18"/>
        </w:rPr>
        <w:t>donnés du complexe s</w:t>
      </w:r>
      <w:r w:rsidRPr="00031E0E">
        <w:rPr>
          <w:szCs w:val="18"/>
        </w:rPr>
        <w:t>o</w:t>
      </w:r>
      <w:r w:rsidRPr="00031E0E">
        <w:rPr>
          <w:szCs w:val="18"/>
        </w:rPr>
        <w:t>cial »</w:t>
      </w:r>
      <w:r>
        <w:rPr>
          <w:szCs w:val="18"/>
        </w:rPr>
        <w:t> </w:t>
      </w:r>
      <w:r>
        <w:rPr>
          <w:rStyle w:val="Appelnotedebasdep"/>
          <w:szCs w:val="18"/>
        </w:rPr>
        <w:footnoteReference w:id="7"/>
      </w:r>
      <w:r w:rsidRPr="00031E0E">
        <w:rPr>
          <w:szCs w:val="18"/>
        </w:rPr>
        <w:t xml:space="preserve">. Comme l’a écrit Marx lui-même dans le célèbre Avant-Propos à la </w:t>
      </w:r>
      <w:r w:rsidRPr="00031E0E">
        <w:rPr>
          <w:i/>
          <w:iCs/>
          <w:szCs w:val="18"/>
        </w:rPr>
        <w:t>Critique de l’Économie polit</w:t>
      </w:r>
      <w:r w:rsidRPr="00031E0E">
        <w:rPr>
          <w:i/>
          <w:iCs/>
          <w:szCs w:val="18"/>
        </w:rPr>
        <w:t>i</w:t>
      </w:r>
      <w:r w:rsidRPr="00031E0E">
        <w:rPr>
          <w:i/>
          <w:iCs/>
          <w:szCs w:val="18"/>
        </w:rPr>
        <w:t xml:space="preserve">que, </w:t>
      </w:r>
      <w:r w:rsidRPr="00031E0E">
        <w:rPr>
          <w:szCs w:val="18"/>
        </w:rPr>
        <w:t>lors d’« une ère de révolution sociale », « le changement dans les fond</w:t>
      </w:r>
      <w:r w:rsidRPr="00031E0E">
        <w:rPr>
          <w:szCs w:val="18"/>
        </w:rPr>
        <w:t>a</w:t>
      </w:r>
      <w:r w:rsidRPr="00031E0E">
        <w:rPr>
          <w:szCs w:val="18"/>
        </w:rPr>
        <w:t>tions économiques s’accompagne d’un bouleversement plus ou moins rapide dans tout (l’) énorme éd</w:t>
      </w:r>
      <w:r w:rsidRPr="00031E0E">
        <w:rPr>
          <w:szCs w:val="18"/>
        </w:rPr>
        <w:t>i</w:t>
      </w:r>
      <w:r w:rsidRPr="00031E0E">
        <w:rPr>
          <w:szCs w:val="18"/>
        </w:rPr>
        <w:t>fice » (p. 273)</w:t>
      </w:r>
      <w:r>
        <w:rPr>
          <w:szCs w:val="18"/>
        </w:rPr>
        <w:t> </w:t>
      </w:r>
      <w:r>
        <w:rPr>
          <w:rStyle w:val="Appelnotedebasdep"/>
          <w:szCs w:val="18"/>
        </w:rPr>
        <w:footnoteReference w:id="8"/>
      </w:r>
      <w:r w:rsidRPr="00031E0E">
        <w:rPr>
          <w:szCs w:val="18"/>
        </w:rPr>
        <w:t>. C’est ce qui donne aux révolutions leur importance primordiale, en fait véritabl</w:t>
      </w:r>
      <w:r w:rsidRPr="00031E0E">
        <w:rPr>
          <w:szCs w:val="18"/>
        </w:rPr>
        <w:t>e</w:t>
      </w:r>
      <w:r w:rsidRPr="00031E0E">
        <w:rPr>
          <w:szCs w:val="18"/>
        </w:rPr>
        <w:t>ment « les locomotives de l’histoire » ; et ces révolutions, passées ou à v</w:t>
      </w:r>
      <w:r w:rsidRPr="00031E0E">
        <w:rPr>
          <w:szCs w:val="18"/>
        </w:rPr>
        <w:t>e</w:t>
      </w:r>
      <w:r w:rsidRPr="00031E0E">
        <w:rPr>
          <w:szCs w:val="18"/>
        </w:rPr>
        <w:t>nir, comme la révolution prolétarienne, sont éminemment s</w:t>
      </w:r>
      <w:r w:rsidRPr="00031E0E">
        <w:rPr>
          <w:szCs w:val="18"/>
        </w:rPr>
        <w:t>o</w:t>
      </w:r>
      <w:r w:rsidRPr="00031E0E">
        <w:rPr>
          <w:szCs w:val="18"/>
        </w:rPr>
        <w:t>ciales, puisqu’elles sont le fruit, l’accomplissement même des luttes de cla</w:t>
      </w:r>
      <w:r w:rsidRPr="00031E0E">
        <w:rPr>
          <w:szCs w:val="18"/>
        </w:rPr>
        <w:t>s</w:t>
      </w:r>
      <w:r w:rsidRPr="00031E0E">
        <w:rPr>
          <w:szCs w:val="18"/>
        </w:rPr>
        <w:t>ses.</w:t>
      </w:r>
      <w:r>
        <w:rPr>
          <w:szCs w:val="18"/>
        </w:rPr>
        <w:t xml:space="preserve"> </w:t>
      </w:r>
      <w:r w:rsidRPr="00031E0E">
        <w:rPr>
          <w:szCs w:val="14"/>
        </w:rPr>
        <w:t>[647]</w:t>
      </w:r>
      <w:r>
        <w:rPr>
          <w:szCs w:val="14"/>
        </w:rPr>
        <w:t xml:space="preserve"> </w:t>
      </w:r>
      <w:r w:rsidRPr="00031E0E">
        <w:rPr>
          <w:szCs w:val="18"/>
        </w:rPr>
        <w:t>Ainsi l’antagonisme entre la bourgeoisie et le prolétariat ou, pour reprendre la formul</w:t>
      </w:r>
      <w:r w:rsidRPr="00031E0E">
        <w:rPr>
          <w:szCs w:val="18"/>
        </w:rPr>
        <w:t>a</w:t>
      </w:r>
      <w:r w:rsidRPr="00031E0E">
        <w:rPr>
          <w:szCs w:val="18"/>
        </w:rPr>
        <w:t xml:space="preserve">tion du </w:t>
      </w:r>
      <w:r w:rsidRPr="00031E0E">
        <w:rPr>
          <w:i/>
          <w:iCs/>
          <w:szCs w:val="18"/>
        </w:rPr>
        <w:t xml:space="preserve">Manifeste communiste, </w:t>
      </w:r>
      <w:r w:rsidRPr="00031E0E">
        <w:rPr>
          <w:szCs w:val="18"/>
        </w:rPr>
        <w:t>« la guerre civile qui déchire la société actuelle » est « plus ou moins occulte, jusqu’à l’heure où elle éclate en une révolution ouverte et où le prol</w:t>
      </w:r>
      <w:r w:rsidRPr="00031E0E">
        <w:rPr>
          <w:szCs w:val="18"/>
        </w:rPr>
        <w:t>é</w:t>
      </w:r>
      <w:r w:rsidRPr="00031E0E">
        <w:rPr>
          <w:szCs w:val="18"/>
        </w:rPr>
        <w:t>tariat je</w:t>
      </w:r>
      <w:r w:rsidRPr="00031E0E">
        <w:rPr>
          <w:szCs w:val="18"/>
        </w:rPr>
        <w:t>t</w:t>
      </w:r>
      <w:r w:rsidRPr="00031E0E">
        <w:rPr>
          <w:szCs w:val="18"/>
        </w:rPr>
        <w:t>te les fondements de son règne par le renversement violent de la bourgeoisie » (p. 173)</w:t>
      </w:r>
      <w:r>
        <w:rPr>
          <w:szCs w:val="18"/>
        </w:rPr>
        <w:t> </w:t>
      </w:r>
      <w:r>
        <w:rPr>
          <w:rStyle w:val="Appelnotedebasdep"/>
          <w:szCs w:val="18"/>
        </w:rPr>
        <w:footnoteReference w:id="9"/>
      </w:r>
      <w:r w:rsidRPr="00031E0E">
        <w:rPr>
          <w:szCs w:val="18"/>
        </w:rPr>
        <w:t>. La conquête du pouvoir politique par la cla</w:t>
      </w:r>
      <w:r w:rsidRPr="00031E0E">
        <w:rPr>
          <w:szCs w:val="18"/>
        </w:rPr>
        <w:t>s</w:t>
      </w:r>
      <w:r w:rsidRPr="00031E0E">
        <w:rPr>
          <w:szCs w:val="18"/>
        </w:rPr>
        <w:t xml:space="preserve">se révolutionnaire est donc essentiellement un </w:t>
      </w:r>
      <w:r w:rsidRPr="00031E0E">
        <w:rPr>
          <w:i/>
          <w:iCs/>
          <w:szCs w:val="18"/>
        </w:rPr>
        <w:t xml:space="preserve">aboutissement : </w:t>
      </w:r>
      <w:r w:rsidRPr="00031E0E">
        <w:rPr>
          <w:szCs w:val="18"/>
        </w:rPr>
        <w:t xml:space="preserve">pour capital qu’il soit, il ne représente que </w:t>
      </w:r>
      <w:r w:rsidRPr="00031E0E">
        <w:rPr>
          <w:i/>
          <w:iCs/>
          <w:szCs w:val="18"/>
        </w:rPr>
        <w:t xml:space="preserve">l’épisode </w:t>
      </w:r>
      <w:r w:rsidRPr="00031E0E">
        <w:rPr>
          <w:szCs w:val="18"/>
        </w:rPr>
        <w:t>ultime d’un pr</w:t>
      </w:r>
      <w:r w:rsidRPr="00031E0E">
        <w:rPr>
          <w:szCs w:val="18"/>
        </w:rPr>
        <w:t>o</w:t>
      </w:r>
      <w:r w:rsidRPr="00031E0E">
        <w:rPr>
          <w:szCs w:val="18"/>
        </w:rPr>
        <w:t>cessus plus global. Pour qualifier ce processus, Marx recourt volo</w:t>
      </w:r>
      <w:r w:rsidRPr="00031E0E">
        <w:rPr>
          <w:szCs w:val="18"/>
        </w:rPr>
        <w:t>n</w:t>
      </w:r>
      <w:r w:rsidRPr="00031E0E">
        <w:rPr>
          <w:szCs w:val="18"/>
        </w:rPr>
        <w:t>tiers à la mét</w:t>
      </w:r>
      <w:r w:rsidRPr="00031E0E">
        <w:rPr>
          <w:szCs w:val="18"/>
        </w:rPr>
        <w:t>a</w:t>
      </w:r>
      <w:r w:rsidRPr="00031E0E">
        <w:rPr>
          <w:szCs w:val="18"/>
        </w:rPr>
        <w:t xml:space="preserve">phore de la naissance, comme on peut le lire dans l’Avant-Propos, à la suite du passage déjà cité (p. 273) : « jamais des rapports supérieurs de production ne se mettent en place, avant que les conditions matérielles de leur existence ne soient </w:t>
      </w:r>
      <w:r w:rsidRPr="00031E0E">
        <w:rPr>
          <w:i/>
          <w:iCs/>
          <w:szCs w:val="18"/>
        </w:rPr>
        <w:t>écl</w:t>
      </w:r>
      <w:r w:rsidRPr="00031E0E">
        <w:rPr>
          <w:i/>
          <w:iCs/>
          <w:szCs w:val="18"/>
        </w:rPr>
        <w:t>o</w:t>
      </w:r>
      <w:r w:rsidRPr="00031E0E">
        <w:rPr>
          <w:i/>
          <w:iCs/>
          <w:szCs w:val="18"/>
        </w:rPr>
        <w:t>ses</w:t>
      </w:r>
      <w:r>
        <w:rPr>
          <w:iCs/>
          <w:szCs w:val="18"/>
        </w:rPr>
        <w:t> </w:t>
      </w:r>
      <w:r>
        <w:rPr>
          <w:rStyle w:val="Appelnotedebasdep"/>
          <w:iCs/>
          <w:szCs w:val="18"/>
        </w:rPr>
        <w:footnoteReference w:id="10"/>
      </w:r>
      <w:r w:rsidRPr="00031E0E">
        <w:rPr>
          <w:i/>
          <w:iCs/>
          <w:szCs w:val="18"/>
        </w:rPr>
        <w:t xml:space="preserve"> </w:t>
      </w:r>
      <w:r w:rsidRPr="00031E0E">
        <w:rPr>
          <w:szCs w:val="18"/>
        </w:rPr>
        <w:t>dans le sein même de la vieille société ». On peut comprendre que de telles formul</w:t>
      </w:r>
      <w:r w:rsidRPr="00031E0E">
        <w:rPr>
          <w:szCs w:val="18"/>
        </w:rPr>
        <w:t>a</w:t>
      </w:r>
      <w:r w:rsidRPr="00031E0E">
        <w:rPr>
          <w:szCs w:val="18"/>
        </w:rPr>
        <w:t>tions</w:t>
      </w:r>
      <w:r>
        <w:rPr>
          <w:szCs w:val="18"/>
        </w:rPr>
        <w:t> </w:t>
      </w:r>
      <w:r>
        <w:rPr>
          <w:rStyle w:val="Appelnotedebasdep"/>
          <w:szCs w:val="18"/>
        </w:rPr>
        <w:footnoteReference w:id="11"/>
      </w:r>
      <w:r w:rsidRPr="00031E0E">
        <w:rPr>
          <w:szCs w:val="18"/>
        </w:rPr>
        <w:t xml:space="preserve"> – qui ne sont pas isolées – aient pu poser quelques problèmes à ses disciples et successeurs : convient-il d’attendre le m</w:t>
      </w:r>
      <w:r w:rsidRPr="00031E0E">
        <w:rPr>
          <w:szCs w:val="18"/>
        </w:rPr>
        <w:t>û</w:t>
      </w:r>
      <w:r w:rsidRPr="00031E0E">
        <w:rPr>
          <w:szCs w:val="18"/>
        </w:rPr>
        <w:t>rissement des contradictions entre forces productrices et rapports de production, comme le pensait, par exemple, Ple</w:t>
      </w:r>
      <w:r w:rsidRPr="00031E0E">
        <w:rPr>
          <w:szCs w:val="18"/>
        </w:rPr>
        <w:t>k</w:t>
      </w:r>
      <w:r w:rsidRPr="00031E0E">
        <w:rPr>
          <w:szCs w:val="18"/>
        </w:rPr>
        <w:t>hanov ? On sait en tout cas que Lénine a répondu négativ</w:t>
      </w:r>
      <w:r w:rsidRPr="00031E0E">
        <w:rPr>
          <w:szCs w:val="18"/>
        </w:rPr>
        <w:t>e</w:t>
      </w:r>
      <w:r w:rsidRPr="00031E0E">
        <w:rPr>
          <w:szCs w:val="18"/>
        </w:rPr>
        <w:t>ment à cette question et de quel poids cette conviction, partagée par Trotsky, a pesé sur le cours de la révolution russe.</w:t>
      </w:r>
    </w:p>
    <w:p w14:paraId="0960A061" w14:textId="77777777" w:rsidR="006C5FDB" w:rsidRPr="00031E0E" w:rsidRDefault="006C5FDB" w:rsidP="006C5FDB">
      <w:pPr>
        <w:spacing w:before="120" w:after="120"/>
        <w:jc w:val="both"/>
      </w:pPr>
      <w:r w:rsidRPr="00031E0E">
        <w:rPr>
          <w:szCs w:val="18"/>
        </w:rPr>
        <w:t>Il convient en tout cas, pour notre propos, de souligner la différe</w:t>
      </w:r>
      <w:r w:rsidRPr="00031E0E">
        <w:rPr>
          <w:szCs w:val="18"/>
        </w:rPr>
        <w:t>n</w:t>
      </w:r>
      <w:r w:rsidRPr="00031E0E">
        <w:rPr>
          <w:szCs w:val="18"/>
        </w:rPr>
        <w:t>ce d’accent entre Marx et Lénine, beaucoup plus attentif à la dime</w:t>
      </w:r>
      <w:r w:rsidRPr="00031E0E">
        <w:rPr>
          <w:szCs w:val="18"/>
        </w:rPr>
        <w:t>n</w:t>
      </w:r>
      <w:r w:rsidRPr="00031E0E">
        <w:rPr>
          <w:szCs w:val="18"/>
        </w:rPr>
        <w:t>sion et au processus proprement politiques de la rév</w:t>
      </w:r>
      <w:r w:rsidRPr="00031E0E">
        <w:rPr>
          <w:szCs w:val="18"/>
        </w:rPr>
        <w:t>o</w:t>
      </w:r>
      <w:r w:rsidRPr="00031E0E">
        <w:rPr>
          <w:szCs w:val="18"/>
        </w:rPr>
        <w:t>lution. Dès juillet 1905, dans son opu</w:t>
      </w:r>
      <w:r w:rsidRPr="00031E0E">
        <w:rPr>
          <w:szCs w:val="18"/>
        </w:rPr>
        <w:t>s</w:t>
      </w:r>
      <w:r w:rsidRPr="00031E0E">
        <w:rPr>
          <w:szCs w:val="18"/>
        </w:rPr>
        <w:t xml:space="preserve">cule </w:t>
      </w:r>
      <w:r w:rsidRPr="00031E0E">
        <w:rPr>
          <w:i/>
          <w:iCs/>
          <w:szCs w:val="18"/>
        </w:rPr>
        <w:t xml:space="preserve">Deux tactiques de la social-démocratie dans la révolution démocratique, </w:t>
      </w:r>
      <w:r w:rsidRPr="00031E0E">
        <w:rPr>
          <w:szCs w:val="18"/>
        </w:rPr>
        <w:t>Lénine dév</w:t>
      </w:r>
      <w:r w:rsidRPr="00031E0E">
        <w:rPr>
          <w:szCs w:val="18"/>
        </w:rPr>
        <w:t>e</w:t>
      </w:r>
      <w:r w:rsidRPr="00031E0E">
        <w:rPr>
          <w:szCs w:val="18"/>
        </w:rPr>
        <w:t>loppe l’idée que le prolétariat ne doit pas rester à l’écart de la révolution bou</w:t>
      </w:r>
      <w:r w:rsidRPr="00031E0E">
        <w:rPr>
          <w:szCs w:val="18"/>
        </w:rPr>
        <w:t>r</w:t>
      </w:r>
      <w:r w:rsidRPr="00031E0E">
        <w:rPr>
          <w:szCs w:val="18"/>
        </w:rPr>
        <w:t>geoise mais doit y « participer de la façon la plus énergique, mener la lutte la plus rés</w:t>
      </w:r>
      <w:r w:rsidRPr="00031E0E">
        <w:rPr>
          <w:szCs w:val="18"/>
        </w:rPr>
        <w:t>o</w:t>
      </w:r>
      <w:r w:rsidRPr="00031E0E">
        <w:rPr>
          <w:szCs w:val="18"/>
        </w:rPr>
        <w:t>lue pour le démocratisme prol</w:t>
      </w:r>
      <w:r w:rsidRPr="00031E0E">
        <w:rPr>
          <w:szCs w:val="18"/>
        </w:rPr>
        <w:t>é</w:t>
      </w:r>
      <w:r w:rsidRPr="00031E0E">
        <w:rPr>
          <w:szCs w:val="18"/>
        </w:rPr>
        <w:t>tarien » (1971, p. 59) et permettre ainsi « une victoire décisive sur le tsarisme » (p. 65). Les évén</w:t>
      </w:r>
      <w:r w:rsidRPr="00031E0E">
        <w:rPr>
          <w:szCs w:val="18"/>
        </w:rPr>
        <w:t>e</w:t>
      </w:r>
      <w:r w:rsidRPr="00031E0E">
        <w:rPr>
          <w:szCs w:val="18"/>
        </w:rPr>
        <w:t xml:space="preserve">ments eux-mêmes l’incitèrent à aller encore plus loin : il souligne dans les </w:t>
      </w:r>
      <w:r w:rsidRPr="00031E0E">
        <w:rPr>
          <w:i/>
          <w:iCs/>
          <w:szCs w:val="18"/>
        </w:rPr>
        <w:t xml:space="preserve">Thèses d’avril </w:t>
      </w:r>
      <w:r w:rsidRPr="00031E0E">
        <w:rPr>
          <w:szCs w:val="18"/>
        </w:rPr>
        <w:t>(1966, t. XXIV, p. 12) que, la Révolution de F</w:t>
      </w:r>
      <w:r w:rsidRPr="00031E0E">
        <w:rPr>
          <w:szCs w:val="18"/>
        </w:rPr>
        <w:t>é</w:t>
      </w:r>
      <w:r w:rsidRPr="00031E0E">
        <w:rPr>
          <w:szCs w:val="18"/>
        </w:rPr>
        <w:t>vrier ayant déjà eu lieu, la situation de la Russie au printemps de 1917 doit être co</w:t>
      </w:r>
      <w:r w:rsidRPr="00031E0E">
        <w:rPr>
          <w:szCs w:val="18"/>
        </w:rPr>
        <w:t>m</w:t>
      </w:r>
      <w:r w:rsidRPr="00031E0E">
        <w:rPr>
          <w:szCs w:val="18"/>
        </w:rPr>
        <w:t>prise co</w:t>
      </w:r>
      <w:r w:rsidRPr="00031E0E">
        <w:rPr>
          <w:szCs w:val="18"/>
        </w:rPr>
        <w:t>m</w:t>
      </w:r>
      <w:r w:rsidRPr="00031E0E">
        <w:rPr>
          <w:szCs w:val="18"/>
        </w:rPr>
        <w:t xml:space="preserve">me « la </w:t>
      </w:r>
      <w:r w:rsidRPr="00031E0E">
        <w:rPr>
          <w:i/>
          <w:iCs/>
          <w:szCs w:val="18"/>
        </w:rPr>
        <w:t xml:space="preserve">transition </w:t>
      </w:r>
      <w:r w:rsidRPr="00031E0E">
        <w:rPr>
          <w:szCs w:val="18"/>
        </w:rPr>
        <w:t xml:space="preserve">de la première étape de la révolution, qui a donné le pouvoir à la bourgeoisie…, à sa </w:t>
      </w:r>
      <w:r w:rsidRPr="00031E0E">
        <w:rPr>
          <w:i/>
          <w:iCs/>
          <w:szCs w:val="18"/>
        </w:rPr>
        <w:t xml:space="preserve">deuxième </w:t>
      </w:r>
      <w:r w:rsidRPr="00031E0E">
        <w:rPr>
          <w:szCs w:val="18"/>
        </w:rPr>
        <w:t>étape » destinée à établir le pouvoir du prolét</w:t>
      </w:r>
      <w:r w:rsidRPr="00031E0E">
        <w:rPr>
          <w:szCs w:val="18"/>
        </w:rPr>
        <w:t>a</w:t>
      </w:r>
      <w:r w:rsidRPr="00031E0E">
        <w:rPr>
          <w:szCs w:val="18"/>
        </w:rPr>
        <w:t>riat. La question de l’ « achèvement » de la révolution bou</w:t>
      </w:r>
      <w:r w:rsidRPr="00031E0E">
        <w:rPr>
          <w:szCs w:val="18"/>
        </w:rPr>
        <w:t>r</w:t>
      </w:r>
      <w:r w:rsidRPr="00031E0E">
        <w:rPr>
          <w:szCs w:val="18"/>
        </w:rPr>
        <w:t>geoise est désormais périmée (t. XXIV, pp. 36, 41) ; ce qui est à l’ordre du jour, c’est affirmer « la nécessité du passage de tout le pouvoir aux soviets des d</w:t>
      </w:r>
      <w:r w:rsidRPr="00031E0E">
        <w:rPr>
          <w:szCs w:val="18"/>
        </w:rPr>
        <w:t>é</w:t>
      </w:r>
      <w:r w:rsidRPr="00031E0E">
        <w:rPr>
          <w:szCs w:val="18"/>
        </w:rPr>
        <w:t>putés ouvriers » (t. XXIV, p. 13). En outre, on ne peut pas ne pas rappeler, si connus que soient ces thèmes, les él</w:t>
      </w:r>
      <w:r w:rsidRPr="00031E0E">
        <w:rPr>
          <w:szCs w:val="18"/>
        </w:rPr>
        <w:t>é</w:t>
      </w:r>
      <w:r w:rsidRPr="00031E0E">
        <w:rPr>
          <w:szCs w:val="18"/>
        </w:rPr>
        <w:t xml:space="preserve">ments constitutifs de sa conception du « parti d’avant-garde », présentée au début du siècle (février 1902) dans </w:t>
      </w:r>
      <w:r w:rsidRPr="00031E0E">
        <w:rPr>
          <w:i/>
          <w:iCs/>
          <w:szCs w:val="18"/>
        </w:rPr>
        <w:t xml:space="preserve">Que Faire : </w:t>
      </w:r>
      <w:r w:rsidRPr="00031E0E">
        <w:rPr>
          <w:szCs w:val="18"/>
        </w:rPr>
        <w:t>la con</w:t>
      </w:r>
      <w:r w:rsidRPr="00031E0E">
        <w:rPr>
          <w:szCs w:val="18"/>
        </w:rPr>
        <w:t>s</w:t>
      </w:r>
      <w:r w:rsidRPr="00031E0E">
        <w:rPr>
          <w:szCs w:val="18"/>
        </w:rPr>
        <w:t>cience révolutionnaire ne peut venir aux ouvriers que « du d</w:t>
      </w:r>
      <w:r w:rsidRPr="00031E0E">
        <w:rPr>
          <w:szCs w:val="18"/>
        </w:rPr>
        <w:t>e</w:t>
      </w:r>
      <w:r w:rsidRPr="00031E0E">
        <w:rPr>
          <w:szCs w:val="18"/>
        </w:rPr>
        <w:t>hors » (1971, p. 47), leur éducation polit</w:t>
      </w:r>
      <w:r w:rsidRPr="00031E0E">
        <w:rPr>
          <w:szCs w:val="18"/>
        </w:rPr>
        <w:t>i</w:t>
      </w:r>
      <w:r w:rsidRPr="00031E0E">
        <w:rPr>
          <w:szCs w:val="18"/>
        </w:rPr>
        <w:t>que doit être faite sous la conduite d’« hommes dont la profession est l’action révolutionnaire » et pour lesquels la « distinction entre ouvriers et i</w:t>
      </w:r>
      <w:r w:rsidRPr="00031E0E">
        <w:rPr>
          <w:szCs w:val="18"/>
        </w:rPr>
        <w:t>n</w:t>
      </w:r>
      <w:r w:rsidRPr="00031E0E">
        <w:rPr>
          <w:szCs w:val="18"/>
        </w:rPr>
        <w:t>tellectuels » (p. 164-165) n’a plus de sens, d’hommes qui, précisément</w:t>
      </w:r>
      <w:r>
        <w:rPr>
          <w:szCs w:val="18"/>
        </w:rPr>
        <w:t xml:space="preserve"> </w:t>
      </w:r>
      <w:r w:rsidRPr="00031E0E">
        <w:rPr>
          <w:szCs w:val="14"/>
        </w:rPr>
        <w:t>[648]</w:t>
      </w:r>
      <w:r>
        <w:rPr>
          <w:szCs w:val="14"/>
        </w:rPr>
        <w:t xml:space="preserve"> </w:t>
      </w:r>
      <w:r w:rsidRPr="00031E0E">
        <w:rPr>
          <w:szCs w:val="18"/>
        </w:rPr>
        <w:t>en tant que révol</w:t>
      </w:r>
      <w:r w:rsidRPr="00031E0E">
        <w:rPr>
          <w:szCs w:val="18"/>
        </w:rPr>
        <w:t>u</w:t>
      </w:r>
      <w:r w:rsidRPr="00031E0E">
        <w:rPr>
          <w:szCs w:val="18"/>
        </w:rPr>
        <w:t>tionnaires professionnels, apportent au mouv</w:t>
      </w:r>
      <w:r w:rsidRPr="00031E0E">
        <w:rPr>
          <w:szCs w:val="18"/>
        </w:rPr>
        <w:t>e</w:t>
      </w:r>
      <w:r w:rsidRPr="00031E0E">
        <w:rPr>
          <w:szCs w:val="18"/>
        </w:rPr>
        <w:t>ment la direction et l’organisation stables dont il a besoin (p. 181-182). C’est par ce souci et ce sens de l’organisation politique que, s</w:t>
      </w:r>
      <w:r w:rsidRPr="00031E0E">
        <w:rPr>
          <w:szCs w:val="18"/>
        </w:rPr>
        <w:t>e</w:t>
      </w:r>
      <w:r w:rsidRPr="00031E0E">
        <w:rPr>
          <w:szCs w:val="18"/>
        </w:rPr>
        <w:t>lon la formule provocante d’Huntington, Lénine a fait du marxisme une théorie pol</w:t>
      </w:r>
      <w:r w:rsidRPr="00031E0E">
        <w:rPr>
          <w:szCs w:val="18"/>
        </w:rPr>
        <w:t>i</w:t>
      </w:r>
      <w:r w:rsidRPr="00031E0E">
        <w:rPr>
          <w:szCs w:val="18"/>
        </w:rPr>
        <w:t xml:space="preserve">tique et a, ce faisant, inversé les principes de Marx </w:t>
      </w:r>
      <w:r w:rsidRPr="00031E0E">
        <w:rPr>
          <w:i/>
          <w:iCs/>
          <w:szCs w:val="18"/>
        </w:rPr>
        <w:t xml:space="preserve">(stood Marx on his head) </w:t>
      </w:r>
      <w:r w:rsidRPr="00031E0E">
        <w:rPr>
          <w:szCs w:val="18"/>
        </w:rPr>
        <w:t>(1968, p. 336).</w:t>
      </w:r>
    </w:p>
    <w:p w14:paraId="5AF564E1" w14:textId="77777777" w:rsidR="006C5FDB" w:rsidRPr="00031E0E" w:rsidRDefault="006C5FDB" w:rsidP="006C5FDB">
      <w:pPr>
        <w:spacing w:before="120" w:after="120"/>
        <w:jc w:val="both"/>
      </w:pPr>
      <w:r w:rsidRPr="00031E0E">
        <w:rPr>
          <w:szCs w:val="18"/>
        </w:rPr>
        <w:t>Au-delà de toute polémique, ce qu’il importe de reconna</w:t>
      </w:r>
      <w:r w:rsidRPr="00031E0E">
        <w:rPr>
          <w:szCs w:val="18"/>
        </w:rPr>
        <w:t>î</w:t>
      </w:r>
      <w:r w:rsidRPr="00031E0E">
        <w:rPr>
          <w:szCs w:val="18"/>
        </w:rPr>
        <w:t>tre, c’est l’attention accordée par Lénine aux occasions co</w:t>
      </w:r>
      <w:r w:rsidRPr="00031E0E">
        <w:rPr>
          <w:szCs w:val="18"/>
        </w:rPr>
        <w:t>m</w:t>
      </w:r>
      <w:r w:rsidRPr="00031E0E">
        <w:rPr>
          <w:szCs w:val="18"/>
        </w:rPr>
        <w:t>me aux conditions de l’action révolutionnaire. Et il témoigne aussi sur le vif d’une sens</w:t>
      </w:r>
      <w:r w:rsidRPr="00031E0E">
        <w:rPr>
          <w:szCs w:val="18"/>
        </w:rPr>
        <w:t>i</w:t>
      </w:r>
      <w:r w:rsidRPr="00031E0E">
        <w:rPr>
          <w:szCs w:val="18"/>
        </w:rPr>
        <w:t>bilité aiguë aux enjeux proprement politiques : il peut ainsi écrire « La question fondamentale de toute révolution est celle du po</w:t>
      </w:r>
      <w:r w:rsidRPr="00031E0E">
        <w:rPr>
          <w:szCs w:val="18"/>
        </w:rPr>
        <w:t>u</w:t>
      </w:r>
      <w:r w:rsidRPr="00031E0E">
        <w:rPr>
          <w:szCs w:val="18"/>
        </w:rPr>
        <w:t xml:space="preserve">voir » au début d’un article de la </w:t>
      </w:r>
      <w:r w:rsidRPr="00031E0E">
        <w:rPr>
          <w:i/>
          <w:iCs/>
          <w:szCs w:val="18"/>
        </w:rPr>
        <w:t xml:space="preserve">Pravda </w:t>
      </w:r>
      <w:r w:rsidRPr="00031E0E">
        <w:rPr>
          <w:szCs w:val="18"/>
        </w:rPr>
        <w:t>(9 avril 1917) significativement intit</w:t>
      </w:r>
      <w:r w:rsidRPr="00031E0E">
        <w:rPr>
          <w:szCs w:val="18"/>
        </w:rPr>
        <w:t>u</w:t>
      </w:r>
      <w:r w:rsidRPr="00031E0E">
        <w:rPr>
          <w:szCs w:val="18"/>
        </w:rPr>
        <w:t>lé : « Sur la dualité du pouvoir ». Cette dualité consistait, rappelons-le, en la coexistence de deux instances séparées et antagoniques, de deux « gouvernements », pour parler comme Lénine, « le gouve</w:t>
      </w:r>
      <w:r w:rsidRPr="00031E0E">
        <w:rPr>
          <w:szCs w:val="18"/>
        </w:rPr>
        <w:t>r</w:t>
      </w:r>
      <w:r w:rsidRPr="00031E0E">
        <w:rPr>
          <w:szCs w:val="18"/>
        </w:rPr>
        <w:t>nement principal » constitué par le Gouvernement provisoire et « un gouve</w:t>
      </w:r>
      <w:r w:rsidRPr="00031E0E">
        <w:rPr>
          <w:szCs w:val="18"/>
        </w:rPr>
        <w:t>r</w:t>
      </w:r>
      <w:r w:rsidRPr="00031E0E">
        <w:rPr>
          <w:szCs w:val="18"/>
        </w:rPr>
        <w:t>nement de contr</w:t>
      </w:r>
      <w:r w:rsidRPr="00031E0E">
        <w:rPr>
          <w:szCs w:val="18"/>
        </w:rPr>
        <w:t>ô</w:t>
      </w:r>
      <w:r w:rsidRPr="00031E0E">
        <w:rPr>
          <w:szCs w:val="18"/>
        </w:rPr>
        <w:t>le » (t. XXIV, p. 52) représenté par les soviets des députés ouvriers et soldats, surtout par celui de Petrograd. On connaît le parti que Trotsky allait tirer plus tard de ce thème du double po</w:t>
      </w:r>
      <w:r w:rsidRPr="00031E0E">
        <w:rPr>
          <w:szCs w:val="18"/>
        </w:rPr>
        <w:t>u</w:t>
      </w:r>
      <w:r w:rsidRPr="00031E0E">
        <w:rPr>
          <w:szCs w:val="18"/>
        </w:rPr>
        <w:t xml:space="preserve">voir dans son </w:t>
      </w:r>
      <w:r w:rsidRPr="00031E0E">
        <w:rPr>
          <w:i/>
          <w:iCs/>
          <w:szCs w:val="18"/>
        </w:rPr>
        <w:t xml:space="preserve">Histoire de la révolution russe </w:t>
      </w:r>
      <w:r w:rsidRPr="00031E0E">
        <w:rPr>
          <w:szCs w:val="18"/>
        </w:rPr>
        <w:t>au point d’en faire une véritable catég</w:t>
      </w:r>
      <w:r w:rsidRPr="00031E0E">
        <w:rPr>
          <w:szCs w:val="18"/>
        </w:rPr>
        <w:t>o</w:t>
      </w:r>
      <w:r w:rsidRPr="00031E0E">
        <w:rPr>
          <w:szCs w:val="18"/>
        </w:rPr>
        <w:t>rie théorique (1950, t. I, pp. 251-260).</w:t>
      </w:r>
    </w:p>
    <w:p w14:paraId="132BFC0F" w14:textId="77777777" w:rsidR="006C5FDB" w:rsidRPr="00031E0E" w:rsidRDefault="006C5FDB" w:rsidP="006C5FDB">
      <w:pPr>
        <w:spacing w:before="120" w:after="120"/>
        <w:jc w:val="both"/>
      </w:pPr>
      <w:r w:rsidRPr="00031E0E">
        <w:rPr>
          <w:szCs w:val="18"/>
        </w:rPr>
        <w:t>Par la nature de leurs observations relatives à la spécif</w:t>
      </w:r>
      <w:r w:rsidRPr="00031E0E">
        <w:rPr>
          <w:szCs w:val="18"/>
        </w:rPr>
        <w:t>i</w:t>
      </w:r>
      <w:r w:rsidRPr="00031E0E">
        <w:rPr>
          <w:szCs w:val="18"/>
        </w:rPr>
        <w:t>cité comme à la conquête du pouvoir dans des situations révolutionnaires concr</w:t>
      </w:r>
      <w:r w:rsidRPr="00031E0E">
        <w:rPr>
          <w:szCs w:val="18"/>
        </w:rPr>
        <w:t>è</w:t>
      </w:r>
      <w:r w:rsidRPr="00031E0E">
        <w:rPr>
          <w:szCs w:val="18"/>
        </w:rPr>
        <w:t>tes, Lénine et Trotsky se séparent de la vision plus gl</w:t>
      </w:r>
      <w:r w:rsidRPr="00031E0E">
        <w:rPr>
          <w:szCs w:val="18"/>
        </w:rPr>
        <w:t>o</w:t>
      </w:r>
      <w:r w:rsidRPr="00031E0E">
        <w:rPr>
          <w:szCs w:val="18"/>
        </w:rPr>
        <w:t>balisante de Marx, dans laquelle la r</w:t>
      </w:r>
      <w:r w:rsidRPr="00031E0E">
        <w:rPr>
          <w:szCs w:val="18"/>
        </w:rPr>
        <w:t>é</w:t>
      </w:r>
      <w:r w:rsidRPr="00031E0E">
        <w:rPr>
          <w:szCs w:val="18"/>
        </w:rPr>
        <w:t>volution apparaît d’abord comme liée à une philosophie de l’auto-transformation – qui est en même temps un auto-accomplissement – de l’humanité. Mais le cadre général d’analyse reste fondamentalement le même : Trotsky voit dans la du</w:t>
      </w:r>
      <w:r w:rsidRPr="00031E0E">
        <w:rPr>
          <w:szCs w:val="18"/>
        </w:rPr>
        <w:t>a</w:t>
      </w:r>
      <w:r w:rsidRPr="00031E0E">
        <w:rPr>
          <w:szCs w:val="18"/>
        </w:rPr>
        <w:t>lité de pouvoirs la pure e</w:t>
      </w:r>
      <w:r w:rsidRPr="00031E0E">
        <w:rPr>
          <w:szCs w:val="18"/>
        </w:rPr>
        <w:t>x</w:t>
      </w:r>
      <w:r w:rsidRPr="00031E0E">
        <w:rPr>
          <w:szCs w:val="18"/>
        </w:rPr>
        <w:t>pression de l’antagonisme de deux classes enn</w:t>
      </w:r>
      <w:r w:rsidRPr="00031E0E">
        <w:rPr>
          <w:szCs w:val="18"/>
        </w:rPr>
        <w:t>e</w:t>
      </w:r>
      <w:r w:rsidRPr="00031E0E">
        <w:rPr>
          <w:szCs w:val="18"/>
        </w:rPr>
        <w:t>mies (pp. 251-252), il en fait une « étape de la lutte de classe » (p. 258) dans une période révolutionnaire, tout en proposant des illustr</w:t>
      </w:r>
      <w:r w:rsidRPr="00031E0E">
        <w:rPr>
          <w:szCs w:val="18"/>
        </w:rPr>
        <w:t>a</w:t>
      </w:r>
      <w:r w:rsidRPr="00031E0E">
        <w:rPr>
          <w:szCs w:val="18"/>
        </w:rPr>
        <w:t>tions, empruntées aux révolutions anglaise et française, qui pou</w:t>
      </w:r>
      <w:r w:rsidRPr="00031E0E">
        <w:rPr>
          <w:szCs w:val="18"/>
        </w:rPr>
        <w:t>r</w:t>
      </w:r>
      <w:r w:rsidRPr="00031E0E">
        <w:rPr>
          <w:szCs w:val="18"/>
        </w:rPr>
        <w:t>tant ne se laissent pas aussi aisément enfermer dans ce moule</w:t>
      </w:r>
      <w:r>
        <w:rPr>
          <w:szCs w:val="18"/>
        </w:rPr>
        <w:t> </w:t>
      </w:r>
      <w:r>
        <w:rPr>
          <w:rStyle w:val="Appelnotedebasdep"/>
          <w:szCs w:val="18"/>
        </w:rPr>
        <w:footnoteReference w:id="12"/>
      </w:r>
      <w:r w:rsidRPr="00031E0E">
        <w:rPr>
          <w:szCs w:val="18"/>
        </w:rPr>
        <w:t>. Quant à Lénine, il se montre d’abord soucieux de souligner la parenté entre le pouvoir des soviets et celui de la Commune de Paris – le modèle gl</w:t>
      </w:r>
      <w:r w:rsidRPr="00031E0E">
        <w:rPr>
          <w:szCs w:val="18"/>
        </w:rPr>
        <w:t>o</w:t>
      </w:r>
      <w:r w:rsidRPr="00031E0E">
        <w:rPr>
          <w:szCs w:val="18"/>
        </w:rPr>
        <w:t>rieux pour la tradition révolutionnaire – qui sont l’émanation dire</w:t>
      </w:r>
      <w:r w:rsidRPr="00031E0E">
        <w:rPr>
          <w:szCs w:val="18"/>
        </w:rPr>
        <w:t>c</w:t>
      </w:r>
      <w:r w:rsidRPr="00031E0E">
        <w:rPr>
          <w:szCs w:val="18"/>
        </w:rPr>
        <w:t>te du « peuple en armes » (t. XXIV, p. 29, pp. 60-61), sans pre</w:t>
      </w:r>
      <w:r w:rsidRPr="00031E0E">
        <w:rPr>
          <w:szCs w:val="18"/>
        </w:rPr>
        <w:t>n</w:t>
      </w:r>
      <w:r w:rsidRPr="00031E0E">
        <w:rPr>
          <w:szCs w:val="18"/>
        </w:rPr>
        <w:t>dre conscience, comme le note Ma</w:t>
      </w:r>
      <w:r w:rsidRPr="00031E0E">
        <w:rPr>
          <w:szCs w:val="18"/>
        </w:rPr>
        <w:t>r</w:t>
      </w:r>
      <w:r w:rsidRPr="00031E0E">
        <w:rPr>
          <w:szCs w:val="18"/>
        </w:rPr>
        <w:t>tin Malia (1980, p. 103) que par eux-mêmes les soviets étaient incapables de gérer et, plus général</w:t>
      </w:r>
      <w:r w:rsidRPr="00031E0E">
        <w:rPr>
          <w:szCs w:val="18"/>
        </w:rPr>
        <w:t>e</w:t>
      </w:r>
      <w:r w:rsidRPr="00031E0E">
        <w:rPr>
          <w:szCs w:val="18"/>
        </w:rPr>
        <w:t>ment, de gouverner. Il y a, chez lui, une méconnaissance de la véritable n</w:t>
      </w:r>
      <w:r w:rsidRPr="00031E0E">
        <w:rPr>
          <w:szCs w:val="18"/>
        </w:rPr>
        <w:t>a</w:t>
      </w:r>
      <w:r w:rsidRPr="00031E0E">
        <w:rPr>
          <w:szCs w:val="18"/>
        </w:rPr>
        <w:t>ture de l’État qui se reflète cruellement dans le pur exposé do</w:t>
      </w:r>
      <w:r w:rsidRPr="00031E0E">
        <w:rPr>
          <w:szCs w:val="18"/>
        </w:rPr>
        <w:t>c</w:t>
      </w:r>
      <w:r w:rsidRPr="00031E0E">
        <w:rPr>
          <w:szCs w:val="18"/>
        </w:rPr>
        <w:t>trinal, simple copie conforme de l’orthodoxie marxi</w:t>
      </w:r>
      <w:r w:rsidRPr="00031E0E">
        <w:rPr>
          <w:szCs w:val="18"/>
        </w:rPr>
        <w:t>s</w:t>
      </w:r>
      <w:r w:rsidRPr="00031E0E">
        <w:rPr>
          <w:szCs w:val="18"/>
        </w:rPr>
        <w:t xml:space="preserve">te, que constitue </w:t>
      </w:r>
      <w:r w:rsidRPr="00031E0E">
        <w:rPr>
          <w:i/>
          <w:iCs/>
          <w:szCs w:val="18"/>
        </w:rPr>
        <w:t>L’État et la révol</w:t>
      </w:r>
      <w:r w:rsidRPr="00031E0E">
        <w:rPr>
          <w:i/>
          <w:iCs/>
          <w:szCs w:val="18"/>
        </w:rPr>
        <w:t>u</w:t>
      </w:r>
      <w:r w:rsidRPr="00031E0E">
        <w:rPr>
          <w:i/>
          <w:iCs/>
          <w:szCs w:val="18"/>
        </w:rPr>
        <w:t>tion.</w:t>
      </w:r>
    </w:p>
    <w:p w14:paraId="197189A4" w14:textId="77777777" w:rsidR="006C5FDB" w:rsidRPr="00031E0E" w:rsidRDefault="006C5FDB" w:rsidP="006C5FDB">
      <w:pPr>
        <w:spacing w:before="120" w:after="120"/>
        <w:jc w:val="both"/>
      </w:pPr>
      <w:r w:rsidRPr="00031E0E">
        <w:rPr>
          <w:szCs w:val="18"/>
        </w:rPr>
        <w:t>En définitive, pour Lénine comme pour Trotsky, la saisie du cara</w:t>
      </w:r>
      <w:r w:rsidRPr="00031E0E">
        <w:rPr>
          <w:szCs w:val="18"/>
        </w:rPr>
        <w:t>c</w:t>
      </w:r>
      <w:r w:rsidRPr="00031E0E">
        <w:rPr>
          <w:szCs w:val="18"/>
        </w:rPr>
        <w:t xml:space="preserve">tère politique </w:t>
      </w:r>
      <w:r w:rsidRPr="00031E0E">
        <w:t>[649]</w:t>
      </w:r>
      <w:r>
        <w:t xml:space="preserve"> </w:t>
      </w:r>
      <w:r w:rsidRPr="00031E0E">
        <w:rPr>
          <w:szCs w:val="18"/>
        </w:rPr>
        <w:t>de la révolution n’implique nullement l’acceptation du primat de cette dime</w:t>
      </w:r>
      <w:r w:rsidRPr="00031E0E">
        <w:rPr>
          <w:szCs w:val="18"/>
        </w:rPr>
        <w:t>n</w:t>
      </w:r>
      <w:r w:rsidRPr="00031E0E">
        <w:rPr>
          <w:szCs w:val="18"/>
        </w:rPr>
        <w:t>sion ; et c’est ce qui les sépare du second type d’explication dont nous allons pa</w:t>
      </w:r>
      <w:r w:rsidRPr="00031E0E">
        <w:rPr>
          <w:szCs w:val="18"/>
        </w:rPr>
        <w:t>r</w:t>
      </w:r>
      <w:r w:rsidRPr="00031E0E">
        <w:rPr>
          <w:szCs w:val="18"/>
        </w:rPr>
        <w:t>ler maintenant.</w:t>
      </w:r>
    </w:p>
    <w:p w14:paraId="33BA2947" w14:textId="77777777" w:rsidR="006C5FDB" w:rsidRDefault="006C5FDB" w:rsidP="006C5FDB">
      <w:pPr>
        <w:spacing w:before="120" w:after="120"/>
        <w:jc w:val="both"/>
        <w:rPr>
          <w:rStyle w:val="Textenonproportionnel"/>
          <w:color w:val="000000"/>
          <w:szCs w:val="28"/>
          <w:highlight w:val="white"/>
        </w:rPr>
      </w:pPr>
    </w:p>
    <w:p w14:paraId="07CE5453" w14:textId="77777777" w:rsidR="006C5FDB" w:rsidRPr="00031E0E" w:rsidRDefault="006C5FDB" w:rsidP="006C5FDB">
      <w:pPr>
        <w:spacing w:before="120" w:after="120"/>
        <w:jc w:val="both"/>
      </w:pPr>
      <w:r w:rsidRPr="00031E0E">
        <w:rPr>
          <w:rStyle w:val="Textenonproportionnel"/>
          <w:color w:val="000000"/>
          <w:szCs w:val="28"/>
          <w:highlight w:val="white"/>
        </w:rPr>
        <w:t>●</w:t>
      </w:r>
      <w:r w:rsidRPr="00031E0E">
        <w:rPr>
          <w:szCs w:val="18"/>
        </w:rPr>
        <w:t xml:space="preserve"> De façon plus spécifique, ce second type se distingue par l’attention portée à l’État, qui devient, dans cette perspective, un th</w:t>
      </w:r>
      <w:r w:rsidRPr="00031E0E">
        <w:rPr>
          <w:szCs w:val="18"/>
        </w:rPr>
        <w:t>è</w:t>
      </w:r>
      <w:r w:rsidRPr="00031E0E">
        <w:rPr>
          <w:szCs w:val="18"/>
        </w:rPr>
        <w:t>me de prédilection : les révolutions y sont en effet envisagées et an</w:t>
      </w:r>
      <w:r w:rsidRPr="00031E0E">
        <w:rPr>
          <w:szCs w:val="18"/>
        </w:rPr>
        <w:t>a</w:t>
      </w:r>
      <w:r w:rsidRPr="00031E0E">
        <w:rPr>
          <w:szCs w:val="18"/>
        </w:rPr>
        <w:t>lysées sous l’angle de l’État et de sa construction, voire de sa recon</w:t>
      </w:r>
      <w:r w:rsidRPr="00031E0E">
        <w:rPr>
          <w:szCs w:val="18"/>
        </w:rPr>
        <w:t>s</w:t>
      </w:r>
      <w:r w:rsidRPr="00031E0E">
        <w:rPr>
          <w:szCs w:val="18"/>
        </w:rPr>
        <w:t>truction. To</w:t>
      </w:r>
      <w:r w:rsidRPr="00031E0E">
        <w:rPr>
          <w:szCs w:val="18"/>
        </w:rPr>
        <w:t>c</w:t>
      </w:r>
      <w:r w:rsidRPr="00031E0E">
        <w:rPr>
          <w:szCs w:val="18"/>
        </w:rPr>
        <w:t>queville peut sans nul doute être tenu pour le représentant le plus accompli de cette approche, m</w:t>
      </w:r>
      <w:r w:rsidRPr="00031E0E">
        <w:rPr>
          <w:szCs w:val="18"/>
        </w:rPr>
        <w:t>ê</w:t>
      </w:r>
      <w:r w:rsidRPr="00031E0E">
        <w:rPr>
          <w:szCs w:val="18"/>
        </w:rPr>
        <w:t>me si son œuvre ne s’y ramène pas – ce sur quoi nous aurons l’occasion de revenir – et même si, faute peut-être d’avoir été un chef d’école, il n’a pas été reconnu aussi ple</w:t>
      </w:r>
      <w:r w:rsidRPr="00031E0E">
        <w:rPr>
          <w:szCs w:val="18"/>
        </w:rPr>
        <w:t>i</w:t>
      </w:r>
      <w:r w:rsidRPr="00031E0E">
        <w:rPr>
          <w:szCs w:val="18"/>
        </w:rPr>
        <w:t>nement qu’il le méritait par ses successeurs</w:t>
      </w:r>
      <w:r>
        <w:rPr>
          <w:szCs w:val="18"/>
        </w:rPr>
        <w:t> </w:t>
      </w:r>
      <w:r>
        <w:rPr>
          <w:rStyle w:val="Appelnotedebasdep"/>
          <w:szCs w:val="18"/>
        </w:rPr>
        <w:footnoteReference w:id="13"/>
      </w:r>
      <w:r w:rsidRPr="00031E0E">
        <w:rPr>
          <w:szCs w:val="18"/>
        </w:rPr>
        <w:t>. Rappelons tout d’abord, en prenant appui sur la magistrale exposition de François F</w:t>
      </w:r>
      <w:r w:rsidRPr="00031E0E">
        <w:rPr>
          <w:szCs w:val="18"/>
        </w:rPr>
        <w:t>u</w:t>
      </w:r>
      <w:r w:rsidRPr="00031E0E">
        <w:rPr>
          <w:szCs w:val="18"/>
        </w:rPr>
        <w:t xml:space="preserve">ret dans </w:t>
      </w:r>
      <w:r w:rsidRPr="00031E0E">
        <w:rPr>
          <w:i/>
          <w:iCs/>
          <w:szCs w:val="18"/>
        </w:rPr>
        <w:t xml:space="preserve">Penser la Révolution française </w:t>
      </w:r>
      <w:r w:rsidRPr="00031E0E">
        <w:rPr>
          <w:szCs w:val="18"/>
        </w:rPr>
        <w:t>(nouv. éd., 1983, pp. 30, 39), que Tocqueville, essentiellement soucieux de dresser à distance le b</w:t>
      </w:r>
      <w:r w:rsidRPr="00031E0E">
        <w:rPr>
          <w:szCs w:val="18"/>
        </w:rPr>
        <w:t>i</w:t>
      </w:r>
      <w:r w:rsidRPr="00031E0E">
        <w:rPr>
          <w:szCs w:val="18"/>
        </w:rPr>
        <w:t>lan de la Révolution, la pense et l’interprète comme « un procès de continuité ». Cette orientation est déjà visible dans son te</w:t>
      </w:r>
      <w:r w:rsidRPr="00031E0E">
        <w:rPr>
          <w:szCs w:val="18"/>
        </w:rPr>
        <w:t>x</w:t>
      </w:r>
      <w:r w:rsidRPr="00031E0E">
        <w:rPr>
          <w:szCs w:val="18"/>
        </w:rPr>
        <w:t>te de 1836 intitulé « État social et pol</w:t>
      </w:r>
      <w:r w:rsidRPr="00031E0E">
        <w:rPr>
          <w:szCs w:val="18"/>
        </w:rPr>
        <w:t>i</w:t>
      </w:r>
      <w:r w:rsidRPr="00031E0E">
        <w:rPr>
          <w:szCs w:val="18"/>
        </w:rPr>
        <w:t>tique de la France avant et depuis 1789 », à la fin d</w:t>
      </w:r>
      <w:r w:rsidRPr="00031E0E">
        <w:rPr>
          <w:szCs w:val="18"/>
        </w:rPr>
        <w:t>u</w:t>
      </w:r>
      <w:r w:rsidRPr="00031E0E">
        <w:rPr>
          <w:szCs w:val="18"/>
        </w:rPr>
        <w:t>quel Tocqueville écrit notamment (t. II, vol. I, p. 65)</w:t>
      </w:r>
      <w:r>
        <w:rPr>
          <w:szCs w:val="18"/>
        </w:rPr>
        <w:t> </w:t>
      </w:r>
      <w:r>
        <w:rPr>
          <w:rStyle w:val="Appelnotedebasdep"/>
          <w:szCs w:val="18"/>
        </w:rPr>
        <w:footnoteReference w:id="14"/>
      </w:r>
      <w:r w:rsidRPr="00031E0E">
        <w:rPr>
          <w:szCs w:val="18"/>
        </w:rPr>
        <w:t> : « La révolution française… n’a fait que développer le germe des ch</w:t>
      </w:r>
      <w:r w:rsidRPr="00031E0E">
        <w:rPr>
          <w:szCs w:val="18"/>
        </w:rPr>
        <w:t>o</w:t>
      </w:r>
      <w:r w:rsidRPr="00031E0E">
        <w:rPr>
          <w:szCs w:val="18"/>
        </w:rPr>
        <w:t>ses principales ; celles-là exi</w:t>
      </w:r>
      <w:r w:rsidRPr="00031E0E">
        <w:rPr>
          <w:szCs w:val="18"/>
        </w:rPr>
        <w:t>s</w:t>
      </w:r>
      <w:r w:rsidRPr="00031E0E">
        <w:rPr>
          <w:szCs w:val="18"/>
        </w:rPr>
        <w:t>taient avant elle. Elle a réglé, coordonné et légal</w:t>
      </w:r>
      <w:r w:rsidRPr="00031E0E">
        <w:rPr>
          <w:szCs w:val="18"/>
        </w:rPr>
        <w:t>i</w:t>
      </w:r>
      <w:r w:rsidRPr="00031E0E">
        <w:rPr>
          <w:szCs w:val="18"/>
        </w:rPr>
        <w:t xml:space="preserve">sé les effets d’une grande cause, plutôt qu’elle n’a été cette cause elle-même. » Et ce point de vue est repris ou plus exactement amplifié dans </w:t>
      </w:r>
      <w:hyperlink r:id="rId17" w:history="1">
        <w:r w:rsidRPr="00031E0E">
          <w:rPr>
            <w:rStyle w:val="Hyperlien"/>
            <w:i/>
            <w:iCs/>
            <w:szCs w:val="18"/>
          </w:rPr>
          <w:t>L’Ancien Régime et la Révol</w:t>
        </w:r>
        <w:r w:rsidRPr="00031E0E">
          <w:rPr>
            <w:rStyle w:val="Hyperlien"/>
            <w:i/>
            <w:iCs/>
            <w:szCs w:val="18"/>
          </w:rPr>
          <w:t>u</w:t>
        </w:r>
        <w:r w:rsidRPr="00031E0E">
          <w:rPr>
            <w:rStyle w:val="Hyperlien"/>
            <w:i/>
            <w:iCs/>
            <w:szCs w:val="18"/>
          </w:rPr>
          <w:t>tion</w:t>
        </w:r>
      </w:hyperlink>
      <w:r w:rsidRPr="00031E0E">
        <w:rPr>
          <w:i/>
          <w:iCs/>
          <w:szCs w:val="18"/>
        </w:rPr>
        <w:t xml:space="preserve">, </w:t>
      </w:r>
      <w:r w:rsidRPr="00031E0E">
        <w:rPr>
          <w:szCs w:val="18"/>
        </w:rPr>
        <w:t>comme l’atteste en particulier la page finale du livre I : la Révolution, bien loin d’avoir été « un év</w:t>
      </w:r>
      <w:r w:rsidRPr="00031E0E">
        <w:rPr>
          <w:szCs w:val="18"/>
        </w:rPr>
        <w:t>é</w:t>
      </w:r>
      <w:r w:rsidRPr="00031E0E">
        <w:rPr>
          <w:szCs w:val="18"/>
        </w:rPr>
        <w:t>nement fortuit », n’a constitué « que le complément du plus long tr</w:t>
      </w:r>
      <w:r w:rsidRPr="00031E0E">
        <w:rPr>
          <w:szCs w:val="18"/>
        </w:rPr>
        <w:t>a</w:t>
      </w:r>
      <w:r w:rsidRPr="00031E0E">
        <w:rPr>
          <w:szCs w:val="18"/>
        </w:rPr>
        <w:t>vail, la te</w:t>
      </w:r>
      <w:r w:rsidRPr="00031E0E">
        <w:rPr>
          <w:szCs w:val="18"/>
        </w:rPr>
        <w:t>r</w:t>
      </w:r>
      <w:r w:rsidRPr="00031E0E">
        <w:rPr>
          <w:szCs w:val="18"/>
        </w:rPr>
        <w:t>minaison soudaine et violente d’une œuvre à laquelle dix gén</w:t>
      </w:r>
      <w:r w:rsidRPr="00031E0E">
        <w:rPr>
          <w:szCs w:val="18"/>
        </w:rPr>
        <w:t>é</w:t>
      </w:r>
      <w:r w:rsidRPr="00031E0E">
        <w:rPr>
          <w:szCs w:val="18"/>
        </w:rPr>
        <w:t>rations d’hommes avaient travaillé » ; elle n’a fait qu’achever « soudainement, par un effort convulsif et douloureux, sans transition, sans précaution, sans égards, ce qui se serait ach</w:t>
      </w:r>
      <w:r w:rsidRPr="00031E0E">
        <w:rPr>
          <w:szCs w:val="18"/>
        </w:rPr>
        <w:t>e</w:t>
      </w:r>
      <w:r w:rsidRPr="00031E0E">
        <w:rPr>
          <w:szCs w:val="18"/>
        </w:rPr>
        <w:t>vé peu à peu de soi-même » (t. II, vol. I, p. 96). Or cette continuité de l’Ancien Régime à la Révolution, si on examine maintenant son contenu propre, consiste précisément en un développement de l’État, de la centralisation et de l’emprise administrative. Cette const</w:t>
      </w:r>
      <w:r w:rsidRPr="00031E0E">
        <w:rPr>
          <w:szCs w:val="18"/>
        </w:rPr>
        <w:t>a</w:t>
      </w:r>
      <w:r w:rsidRPr="00031E0E">
        <w:rPr>
          <w:szCs w:val="18"/>
        </w:rPr>
        <w:t>tation s’impose à tout lecteur, comme le fait apparaître Georges Lefebvre dans son introdu</w:t>
      </w:r>
      <w:r w:rsidRPr="00031E0E">
        <w:rPr>
          <w:szCs w:val="18"/>
        </w:rPr>
        <w:t>c</w:t>
      </w:r>
      <w:r w:rsidRPr="00031E0E">
        <w:rPr>
          <w:szCs w:val="18"/>
        </w:rPr>
        <w:t xml:space="preserve">tion à l’ouvrage de Tocqueville (t. II, vol. I, p. 26) : « On ne peut lire </w:t>
      </w:r>
      <w:hyperlink r:id="rId18" w:history="1">
        <w:r w:rsidRPr="00031E0E">
          <w:rPr>
            <w:rStyle w:val="Hyperlien"/>
            <w:i/>
            <w:iCs/>
            <w:szCs w:val="18"/>
          </w:rPr>
          <w:t>L’Ancien Régime et la Révol</w:t>
        </w:r>
        <w:r w:rsidRPr="00031E0E">
          <w:rPr>
            <w:rStyle w:val="Hyperlien"/>
            <w:i/>
            <w:iCs/>
            <w:szCs w:val="18"/>
          </w:rPr>
          <w:t>u</w:t>
        </w:r>
        <w:r w:rsidRPr="00031E0E">
          <w:rPr>
            <w:rStyle w:val="Hyperlien"/>
            <w:i/>
            <w:iCs/>
            <w:szCs w:val="18"/>
          </w:rPr>
          <w:t>tion</w:t>
        </w:r>
      </w:hyperlink>
      <w:r w:rsidRPr="00031E0E">
        <w:rPr>
          <w:i/>
          <w:iCs/>
          <w:szCs w:val="18"/>
        </w:rPr>
        <w:t xml:space="preserve"> </w:t>
      </w:r>
      <w:r w:rsidRPr="00031E0E">
        <w:rPr>
          <w:szCs w:val="18"/>
        </w:rPr>
        <w:t>sans conclure que cette dernière eut pour cause la centralisation monarchique et pour conséquence, parei</w:t>
      </w:r>
      <w:r w:rsidRPr="00031E0E">
        <w:rPr>
          <w:szCs w:val="18"/>
        </w:rPr>
        <w:t>l</w:t>
      </w:r>
      <w:r w:rsidRPr="00031E0E">
        <w:rPr>
          <w:szCs w:val="18"/>
        </w:rPr>
        <w:t>lement essentielle, l’aggravation de ce précédent. » La R</w:t>
      </w:r>
      <w:r w:rsidRPr="00031E0E">
        <w:rPr>
          <w:szCs w:val="18"/>
        </w:rPr>
        <w:t>é</w:t>
      </w:r>
      <w:r w:rsidRPr="00031E0E">
        <w:rPr>
          <w:szCs w:val="18"/>
        </w:rPr>
        <w:t>volution poursuit, prolonge et conduit jusqu’à son terme le processus central</w:t>
      </w:r>
      <w:r w:rsidRPr="00031E0E">
        <w:rPr>
          <w:szCs w:val="18"/>
        </w:rPr>
        <w:t>i</w:t>
      </w:r>
      <w:r w:rsidRPr="00031E0E">
        <w:rPr>
          <w:szCs w:val="18"/>
        </w:rPr>
        <w:t>sateur déjà largement entamé par la m</w:t>
      </w:r>
      <w:r w:rsidRPr="00031E0E">
        <w:rPr>
          <w:szCs w:val="18"/>
        </w:rPr>
        <w:t>o</w:t>
      </w:r>
      <w:r w:rsidRPr="00031E0E">
        <w:rPr>
          <w:szCs w:val="18"/>
        </w:rPr>
        <w:t>narchie de l’Ancien Régime, dont To</w:t>
      </w:r>
      <w:r w:rsidRPr="00031E0E">
        <w:rPr>
          <w:szCs w:val="18"/>
        </w:rPr>
        <w:t>c</w:t>
      </w:r>
      <w:r w:rsidRPr="00031E0E">
        <w:rPr>
          <w:szCs w:val="18"/>
        </w:rPr>
        <w:t>queville a souligné le rôle primordial en ce domaine dans quatre chapitres (II à V) du livre II, consacré</w:t>
      </w:r>
      <w:r>
        <w:rPr>
          <w:szCs w:val="18"/>
        </w:rPr>
        <w:t xml:space="preserve"> </w:t>
      </w:r>
      <w:r w:rsidRPr="00031E0E">
        <w:rPr>
          <w:szCs w:val="18"/>
        </w:rPr>
        <w:t>[650]</w:t>
      </w:r>
      <w:r>
        <w:rPr>
          <w:szCs w:val="18"/>
        </w:rPr>
        <w:t xml:space="preserve"> </w:t>
      </w:r>
      <w:r w:rsidRPr="00031E0E">
        <w:rPr>
          <w:szCs w:val="18"/>
        </w:rPr>
        <w:t>aux causes génér</w:t>
      </w:r>
      <w:r w:rsidRPr="00031E0E">
        <w:rPr>
          <w:szCs w:val="18"/>
        </w:rPr>
        <w:t>a</w:t>
      </w:r>
      <w:r w:rsidRPr="00031E0E">
        <w:rPr>
          <w:szCs w:val="18"/>
        </w:rPr>
        <w:t>les et anciennes. C’est dire que la structure pol</w:t>
      </w:r>
      <w:r w:rsidRPr="00031E0E">
        <w:rPr>
          <w:szCs w:val="18"/>
        </w:rPr>
        <w:t>i</w:t>
      </w:r>
      <w:r w:rsidRPr="00031E0E">
        <w:rPr>
          <w:szCs w:val="18"/>
        </w:rPr>
        <w:t>tico-administrative se trouve placée au cœur de l’analyse.</w:t>
      </w:r>
    </w:p>
    <w:p w14:paraId="1185AB3A" w14:textId="77777777" w:rsidR="006C5FDB" w:rsidRPr="00031E0E" w:rsidRDefault="006C5FDB" w:rsidP="006C5FDB">
      <w:pPr>
        <w:spacing w:before="120" w:after="120"/>
        <w:jc w:val="both"/>
      </w:pPr>
      <w:r w:rsidRPr="00031E0E">
        <w:rPr>
          <w:szCs w:val="18"/>
        </w:rPr>
        <w:t>Tocqueville avait en quelque sorte ouvert la voie et un ce</w:t>
      </w:r>
      <w:r w:rsidRPr="00031E0E">
        <w:rPr>
          <w:szCs w:val="18"/>
        </w:rPr>
        <w:t>r</w:t>
      </w:r>
      <w:r w:rsidRPr="00031E0E">
        <w:rPr>
          <w:szCs w:val="18"/>
        </w:rPr>
        <w:t>tain nombre d’auteurs, dont les horizons intellectuels peuvent, par ailleurs, être divergents, ont accordé à l’État une place de premier plan dans l’analyse des révolutions. Ainsi, selon George Pettee, l’un des princ</w:t>
      </w:r>
      <w:r w:rsidRPr="00031E0E">
        <w:rPr>
          <w:szCs w:val="18"/>
        </w:rPr>
        <w:t>i</w:t>
      </w:r>
      <w:r w:rsidRPr="00031E0E">
        <w:rPr>
          <w:szCs w:val="18"/>
        </w:rPr>
        <w:t>paux tenants de « l’histoire nature</w:t>
      </w:r>
      <w:r w:rsidRPr="00031E0E">
        <w:rPr>
          <w:szCs w:val="18"/>
        </w:rPr>
        <w:t>l</w:t>
      </w:r>
      <w:r w:rsidRPr="00031E0E">
        <w:rPr>
          <w:szCs w:val="18"/>
        </w:rPr>
        <w:t>le » des révolutions, « il faut, pour comprendre la révol</w:t>
      </w:r>
      <w:r w:rsidRPr="00031E0E">
        <w:rPr>
          <w:szCs w:val="18"/>
        </w:rPr>
        <w:t>u</w:t>
      </w:r>
      <w:r w:rsidRPr="00031E0E">
        <w:rPr>
          <w:szCs w:val="18"/>
        </w:rPr>
        <w:t xml:space="preserve">tion, comprendre (au préalable) ce qu’est l’État » (1938, p. 34) ; dans le cours de son développement, il en vient même à soutenir qu’ « une grande révolution est une reconstruction </w:t>
      </w:r>
      <w:r w:rsidRPr="00031E0E">
        <w:rPr>
          <w:i/>
          <w:iCs/>
          <w:szCs w:val="18"/>
        </w:rPr>
        <w:t>(reconst</w:t>
      </w:r>
      <w:r w:rsidRPr="00031E0E">
        <w:rPr>
          <w:i/>
          <w:iCs/>
          <w:szCs w:val="18"/>
        </w:rPr>
        <w:t>i</w:t>
      </w:r>
      <w:r w:rsidRPr="00031E0E">
        <w:rPr>
          <w:i/>
          <w:iCs/>
          <w:szCs w:val="18"/>
        </w:rPr>
        <w:t xml:space="preserve">tution) </w:t>
      </w:r>
      <w:r w:rsidRPr="00031E0E">
        <w:rPr>
          <w:szCs w:val="18"/>
        </w:rPr>
        <w:t>de l’État » (p. 35), en entendant par là « un changement dans les objectifs et les institutions de l’État, ainsi que dans la distr</w:t>
      </w:r>
      <w:r w:rsidRPr="00031E0E">
        <w:rPr>
          <w:szCs w:val="18"/>
        </w:rPr>
        <w:t>i</w:t>
      </w:r>
      <w:r w:rsidRPr="00031E0E">
        <w:rPr>
          <w:szCs w:val="18"/>
        </w:rPr>
        <w:t>bution de ses membres en classes politiques ». Et, pour en venir à une r</w:t>
      </w:r>
      <w:r w:rsidRPr="00031E0E">
        <w:rPr>
          <w:szCs w:val="18"/>
        </w:rPr>
        <w:t>e</w:t>
      </w:r>
      <w:r w:rsidRPr="00031E0E">
        <w:rPr>
          <w:szCs w:val="18"/>
        </w:rPr>
        <w:t>cherche contemporaine, on retrouve cette i</w:t>
      </w:r>
      <w:r w:rsidRPr="00031E0E">
        <w:rPr>
          <w:szCs w:val="18"/>
        </w:rPr>
        <w:t>n</w:t>
      </w:r>
      <w:r w:rsidRPr="00031E0E">
        <w:rPr>
          <w:szCs w:val="18"/>
        </w:rPr>
        <w:t>sistance sur l’État dans l’important o</w:t>
      </w:r>
      <w:r w:rsidRPr="00031E0E">
        <w:rPr>
          <w:szCs w:val="18"/>
        </w:rPr>
        <w:t>u</w:t>
      </w:r>
      <w:r w:rsidRPr="00031E0E">
        <w:rPr>
          <w:szCs w:val="18"/>
        </w:rPr>
        <w:t xml:space="preserve">vrage de Theda Skocpol, dont le titre même, </w:t>
      </w:r>
      <w:r w:rsidRPr="00031E0E">
        <w:rPr>
          <w:i/>
          <w:iCs/>
          <w:szCs w:val="18"/>
        </w:rPr>
        <w:t xml:space="preserve">States and Social Revolutions </w:t>
      </w:r>
      <w:r w:rsidRPr="00031E0E">
        <w:rPr>
          <w:szCs w:val="18"/>
        </w:rPr>
        <w:t>(1979) reflète le souci de combiner avec des e</w:t>
      </w:r>
      <w:r w:rsidRPr="00031E0E">
        <w:rPr>
          <w:szCs w:val="18"/>
        </w:rPr>
        <w:t>m</w:t>
      </w:r>
      <w:r w:rsidRPr="00031E0E">
        <w:rPr>
          <w:szCs w:val="18"/>
        </w:rPr>
        <w:t>prunts à la perspective marxiste, relevant du premier type d’explication que nous avons di</w:t>
      </w:r>
      <w:r w:rsidRPr="00031E0E">
        <w:rPr>
          <w:szCs w:val="18"/>
        </w:rPr>
        <w:t>s</w:t>
      </w:r>
      <w:r w:rsidRPr="00031E0E">
        <w:rPr>
          <w:szCs w:val="18"/>
        </w:rPr>
        <w:t>tingué, une approche caractéristique de notre second type, centrée sur l’État et ses problèmes, au niveau des causes (la crise des États de l’Ancien Régime) comme des cons</w:t>
      </w:r>
      <w:r w:rsidRPr="00031E0E">
        <w:rPr>
          <w:szCs w:val="18"/>
        </w:rPr>
        <w:t>é</w:t>
      </w:r>
      <w:r w:rsidRPr="00031E0E">
        <w:rPr>
          <w:szCs w:val="18"/>
        </w:rPr>
        <w:t>quences (la construction de nouveaux États). Certes, lorsqu’elle pr</w:t>
      </w:r>
      <w:r w:rsidRPr="00031E0E">
        <w:rPr>
          <w:szCs w:val="18"/>
        </w:rPr>
        <w:t>é</w:t>
      </w:r>
      <w:r w:rsidRPr="00031E0E">
        <w:rPr>
          <w:szCs w:val="18"/>
        </w:rPr>
        <w:t>sente sa conception de l’État, Theda Skocpol se réfère à Weber et à Hintze – même si c’est avec une éto</w:t>
      </w:r>
      <w:r w:rsidRPr="00031E0E">
        <w:rPr>
          <w:szCs w:val="18"/>
        </w:rPr>
        <w:t>n</w:t>
      </w:r>
      <w:r w:rsidRPr="00031E0E">
        <w:rPr>
          <w:szCs w:val="18"/>
        </w:rPr>
        <w:t>nante discrétion (p. 301, n. 77) – plutôt qu’à Tocqueville ; et elle est, plus que lui, peut-être à cause de la mise en perspect</w:t>
      </w:r>
      <w:r w:rsidRPr="00031E0E">
        <w:rPr>
          <w:szCs w:val="18"/>
        </w:rPr>
        <w:t>i</w:t>
      </w:r>
      <w:r w:rsidRPr="00031E0E">
        <w:rPr>
          <w:szCs w:val="18"/>
        </w:rPr>
        <w:t>ve qu’implique son analyse comparative des trois révolutions majeures, sensible à la rupture que repr</w:t>
      </w:r>
      <w:r w:rsidRPr="00031E0E">
        <w:rPr>
          <w:szCs w:val="18"/>
        </w:rPr>
        <w:t>é</w:t>
      </w:r>
      <w:r w:rsidRPr="00031E0E">
        <w:rPr>
          <w:szCs w:val="18"/>
        </w:rPr>
        <w:t xml:space="preserve">sente le passage de « monarchies autocratiques et prébureaucratiques » </w:t>
      </w:r>
      <w:r w:rsidRPr="00031E0E">
        <w:rPr>
          <w:i/>
          <w:iCs/>
          <w:szCs w:val="18"/>
        </w:rPr>
        <w:t>(protoburea</w:t>
      </w:r>
      <w:r w:rsidRPr="00031E0E">
        <w:rPr>
          <w:i/>
          <w:iCs/>
          <w:szCs w:val="18"/>
        </w:rPr>
        <w:t>u</w:t>
      </w:r>
      <w:r w:rsidRPr="00031E0E">
        <w:rPr>
          <w:i/>
          <w:iCs/>
          <w:szCs w:val="18"/>
        </w:rPr>
        <w:t xml:space="preserve">cratic) </w:t>
      </w:r>
      <w:r w:rsidRPr="00031E0E">
        <w:rPr>
          <w:szCs w:val="18"/>
        </w:rPr>
        <w:t>à « des États nationaux, bureaucratiques et intégrant les ma</w:t>
      </w:r>
      <w:r w:rsidRPr="00031E0E">
        <w:rPr>
          <w:szCs w:val="18"/>
        </w:rPr>
        <w:t>s</w:t>
      </w:r>
      <w:r w:rsidRPr="00031E0E">
        <w:rPr>
          <w:szCs w:val="18"/>
        </w:rPr>
        <w:t>ses » (p. 179), c’est-à-dire à une forme d’État vérit</w:t>
      </w:r>
      <w:r w:rsidRPr="00031E0E">
        <w:rPr>
          <w:szCs w:val="18"/>
        </w:rPr>
        <w:t>a</w:t>
      </w:r>
      <w:r w:rsidRPr="00031E0E">
        <w:rPr>
          <w:szCs w:val="18"/>
        </w:rPr>
        <w:t>blement moderne. Il n’en reste pas moins qu’en souscrivant à la proposition de Bork</w:t>
      </w:r>
      <w:r w:rsidRPr="00031E0E">
        <w:rPr>
          <w:szCs w:val="18"/>
        </w:rPr>
        <w:t>e</w:t>
      </w:r>
      <w:r w:rsidRPr="00031E0E">
        <w:rPr>
          <w:szCs w:val="18"/>
        </w:rPr>
        <w:t>nau, deux fois citée (pp. 161, 164), selon laquelle « les changements de l’ordre étatique produits par une révolution ne sont pas moins i</w:t>
      </w:r>
      <w:r w:rsidRPr="00031E0E">
        <w:rPr>
          <w:szCs w:val="18"/>
        </w:rPr>
        <w:t>m</w:t>
      </w:r>
      <w:r w:rsidRPr="00031E0E">
        <w:rPr>
          <w:szCs w:val="18"/>
        </w:rPr>
        <w:t>portants que les changements dans l’ordre social » (1937, p. 41), et en allant même au-delà de cette assertion dans son commenta</w:t>
      </w:r>
      <w:r w:rsidRPr="00031E0E">
        <w:rPr>
          <w:szCs w:val="18"/>
        </w:rPr>
        <w:t>i</w:t>
      </w:r>
      <w:r w:rsidRPr="00031E0E">
        <w:rPr>
          <w:szCs w:val="18"/>
        </w:rPr>
        <w:t>re (p. 164) elle r</w:t>
      </w:r>
      <w:r w:rsidRPr="00031E0E">
        <w:rPr>
          <w:szCs w:val="18"/>
        </w:rPr>
        <w:t>e</w:t>
      </w:r>
      <w:r w:rsidRPr="00031E0E">
        <w:rPr>
          <w:szCs w:val="18"/>
        </w:rPr>
        <w:t>connaît le primat du politique, et donc de ce type même d’explication à l’élaboration duquel Tocqueville a pris une si large part. En définitive, alors que le premier type est, de façon plus ou moins explicite et accusée, d’inspiration marxi</w:t>
      </w:r>
      <w:r w:rsidRPr="00031E0E">
        <w:rPr>
          <w:szCs w:val="18"/>
        </w:rPr>
        <w:t>s</w:t>
      </w:r>
      <w:r w:rsidRPr="00031E0E">
        <w:rPr>
          <w:szCs w:val="18"/>
        </w:rPr>
        <w:t>te, le second est plus en accord avec une vision weberienne</w:t>
      </w:r>
      <w:r>
        <w:rPr>
          <w:szCs w:val="18"/>
        </w:rPr>
        <w:t> </w:t>
      </w:r>
      <w:r>
        <w:rPr>
          <w:rStyle w:val="Appelnotedebasdep"/>
          <w:szCs w:val="18"/>
        </w:rPr>
        <w:footnoteReference w:id="15"/>
      </w:r>
      <w:r w:rsidRPr="00031E0E">
        <w:rPr>
          <w:szCs w:val="18"/>
        </w:rPr>
        <w:t>, même si son apparition est antérieure à Weber lui-même ; et l’orientation « progressiste » c</w:t>
      </w:r>
      <w:r w:rsidRPr="00031E0E">
        <w:rPr>
          <w:szCs w:val="18"/>
        </w:rPr>
        <w:t>è</w:t>
      </w:r>
      <w:r w:rsidRPr="00031E0E">
        <w:rPr>
          <w:szCs w:val="18"/>
        </w:rPr>
        <w:t>de ici la place à une o</w:t>
      </w:r>
      <w:r w:rsidRPr="00031E0E">
        <w:rPr>
          <w:szCs w:val="18"/>
        </w:rPr>
        <w:t>p</w:t>
      </w:r>
      <w:r w:rsidRPr="00031E0E">
        <w:rPr>
          <w:szCs w:val="18"/>
        </w:rPr>
        <w:t>tique « libérale » – à l’origine tout au moins –, dans la mesure où, comme chez Tocqueville lui-même, le développ</w:t>
      </w:r>
      <w:r w:rsidRPr="00031E0E">
        <w:rPr>
          <w:szCs w:val="18"/>
        </w:rPr>
        <w:t>e</w:t>
      </w:r>
      <w:r w:rsidRPr="00031E0E">
        <w:rPr>
          <w:szCs w:val="18"/>
        </w:rPr>
        <w:t>ment toujours accru de la centralis</w:t>
      </w:r>
      <w:r w:rsidRPr="00031E0E">
        <w:rPr>
          <w:szCs w:val="18"/>
        </w:rPr>
        <w:t>a</w:t>
      </w:r>
      <w:r w:rsidRPr="00031E0E">
        <w:rPr>
          <w:szCs w:val="18"/>
        </w:rPr>
        <w:t>tion peut être perçu comme une menace pour la liberté.</w:t>
      </w:r>
    </w:p>
    <w:p w14:paraId="500696F4" w14:textId="77777777" w:rsidR="006C5FDB" w:rsidRPr="00031E0E" w:rsidRDefault="006C5FDB" w:rsidP="006C5FDB">
      <w:pPr>
        <w:spacing w:before="120" w:after="120"/>
        <w:jc w:val="both"/>
      </w:pPr>
      <w:r w:rsidRPr="00031E0E">
        <w:rPr>
          <w:rStyle w:val="Textenonproportionnel"/>
          <w:color w:val="000000"/>
          <w:szCs w:val="28"/>
          <w:highlight w:val="white"/>
        </w:rPr>
        <w:t>●</w:t>
      </w:r>
      <w:r w:rsidRPr="00031E0E">
        <w:rPr>
          <w:szCs w:val="18"/>
        </w:rPr>
        <w:t xml:space="preserve"> Sous cet angle, le troisième et de</w:t>
      </w:r>
      <w:r w:rsidRPr="00031E0E">
        <w:rPr>
          <w:szCs w:val="18"/>
        </w:rPr>
        <w:t>r</w:t>
      </w:r>
      <w:r w:rsidRPr="00031E0E">
        <w:rPr>
          <w:szCs w:val="18"/>
        </w:rPr>
        <w:t>nier type majeur d’explication que nous retiendrons se différencie profo</w:t>
      </w:r>
      <w:r w:rsidRPr="00031E0E">
        <w:rPr>
          <w:szCs w:val="18"/>
        </w:rPr>
        <w:t>n</w:t>
      </w:r>
      <w:r w:rsidRPr="00031E0E">
        <w:rPr>
          <w:szCs w:val="18"/>
        </w:rPr>
        <w:t>dément des deux précédents par ses origines,</w:t>
      </w:r>
      <w:r>
        <w:rPr>
          <w:szCs w:val="18"/>
        </w:rPr>
        <w:t xml:space="preserve"> </w:t>
      </w:r>
      <w:r w:rsidRPr="00031E0E">
        <w:t>[651]</w:t>
      </w:r>
      <w:r>
        <w:t xml:space="preserve"> </w:t>
      </w:r>
      <w:r w:rsidRPr="00031E0E">
        <w:rPr>
          <w:szCs w:val="18"/>
        </w:rPr>
        <w:t>qui sont inconte</w:t>
      </w:r>
      <w:r w:rsidRPr="00031E0E">
        <w:rPr>
          <w:szCs w:val="18"/>
        </w:rPr>
        <w:t>s</w:t>
      </w:r>
      <w:r w:rsidRPr="00031E0E">
        <w:rPr>
          <w:szCs w:val="18"/>
        </w:rPr>
        <w:t>tablement « contre-révolutionnaires ». Ce mode d’interprétation s’est en effet formé sur un fond de dénonciation des idées révolutionnaires, qui a constitué un terrain propice à son éme</w:t>
      </w:r>
      <w:r w:rsidRPr="00031E0E">
        <w:rPr>
          <w:szCs w:val="18"/>
        </w:rPr>
        <w:t>r</w:t>
      </w:r>
      <w:r w:rsidRPr="00031E0E">
        <w:rPr>
          <w:szCs w:val="18"/>
        </w:rPr>
        <w:t>gence, mais il ne se ramène pas à la naïveté s</w:t>
      </w:r>
      <w:r w:rsidRPr="00031E0E">
        <w:rPr>
          <w:szCs w:val="18"/>
        </w:rPr>
        <w:t>o</w:t>
      </w:r>
      <w:r w:rsidRPr="00031E0E">
        <w:rPr>
          <w:szCs w:val="18"/>
        </w:rPr>
        <w:t>ciologique consistant à imputer aux seules idées, dissociées de leur contexte, un pouvoir destructeur – naïveté dont on tro</w:t>
      </w:r>
      <w:r w:rsidRPr="00031E0E">
        <w:rPr>
          <w:szCs w:val="18"/>
        </w:rPr>
        <w:t>u</w:t>
      </w:r>
      <w:r w:rsidRPr="00031E0E">
        <w:rPr>
          <w:szCs w:val="18"/>
        </w:rPr>
        <w:t>ve le pendant dans le camp adverse et qui se reconnaît à l’exaltation de « l’efficace » du projet révolutio</w:t>
      </w:r>
      <w:r w:rsidRPr="00031E0E">
        <w:rPr>
          <w:szCs w:val="18"/>
        </w:rPr>
        <w:t>n</w:t>
      </w:r>
      <w:r w:rsidRPr="00031E0E">
        <w:rPr>
          <w:szCs w:val="18"/>
        </w:rPr>
        <w:t>naire. Le premier pas sur la voie de l’interprétation implique de r</w:t>
      </w:r>
      <w:r w:rsidRPr="00031E0E">
        <w:rPr>
          <w:szCs w:val="18"/>
        </w:rPr>
        <w:t>e</w:t>
      </w:r>
      <w:r w:rsidRPr="00031E0E">
        <w:rPr>
          <w:szCs w:val="18"/>
        </w:rPr>
        <w:t>monter des idées mêmes aux acteurs et aux groupes qui en sont porteurs, qui les expriment et qui les diff</w:t>
      </w:r>
      <w:r w:rsidRPr="00031E0E">
        <w:rPr>
          <w:szCs w:val="18"/>
        </w:rPr>
        <w:t>u</w:t>
      </w:r>
      <w:r w:rsidRPr="00031E0E">
        <w:rPr>
          <w:szCs w:val="18"/>
        </w:rPr>
        <w:t xml:space="preserve">sent. De ce point de vue, Burke, dont l’ouvrage, </w:t>
      </w:r>
      <w:r w:rsidRPr="00031E0E">
        <w:rPr>
          <w:i/>
          <w:iCs/>
          <w:szCs w:val="18"/>
        </w:rPr>
        <w:t>Reflections on the Revol</w:t>
      </w:r>
      <w:r w:rsidRPr="00031E0E">
        <w:rPr>
          <w:i/>
          <w:iCs/>
          <w:szCs w:val="18"/>
        </w:rPr>
        <w:t>u</w:t>
      </w:r>
      <w:r w:rsidRPr="00031E0E">
        <w:rPr>
          <w:i/>
          <w:iCs/>
          <w:szCs w:val="18"/>
        </w:rPr>
        <w:t xml:space="preserve">tion in France, </w:t>
      </w:r>
      <w:r w:rsidRPr="00031E0E">
        <w:rPr>
          <w:szCs w:val="18"/>
        </w:rPr>
        <w:t>qui date de 1790, est – il faut le souligner – contemporain de l’événement, peut être, à travers sa virulente mise en cause des « political men of le</w:t>
      </w:r>
      <w:r w:rsidRPr="00031E0E">
        <w:rPr>
          <w:szCs w:val="18"/>
        </w:rPr>
        <w:t>t</w:t>
      </w:r>
      <w:r w:rsidRPr="00031E0E">
        <w:rPr>
          <w:szCs w:val="18"/>
        </w:rPr>
        <w:t>ters » (vol. II, p. 382)</w:t>
      </w:r>
      <w:r>
        <w:rPr>
          <w:szCs w:val="18"/>
        </w:rPr>
        <w:t> </w:t>
      </w:r>
      <w:r>
        <w:rPr>
          <w:rStyle w:val="Appelnotedebasdep"/>
          <w:szCs w:val="18"/>
        </w:rPr>
        <w:footnoteReference w:id="16"/>
      </w:r>
      <w:r w:rsidRPr="00031E0E">
        <w:rPr>
          <w:szCs w:val="18"/>
        </w:rPr>
        <w:t>, considéré comme un pr</w:t>
      </w:r>
      <w:r w:rsidRPr="00031E0E">
        <w:rPr>
          <w:szCs w:val="18"/>
        </w:rPr>
        <w:t>é</w:t>
      </w:r>
      <w:r w:rsidRPr="00031E0E">
        <w:rPr>
          <w:szCs w:val="18"/>
        </w:rPr>
        <w:t>curseur : au-delà de ses outrances polémiques – dont l’une des plus significat</w:t>
      </w:r>
      <w:r w:rsidRPr="00031E0E">
        <w:rPr>
          <w:szCs w:val="18"/>
        </w:rPr>
        <w:t>i</w:t>
      </w:r>
      <w:r w:rsidRPr="00031E0E">
        <w:rPr>
          <w:szCs w:val="18"/>
        </w:rPr>
        <w:t>ves et des plus connues est cette invective contre les philosophes : « Tout ce qu’ils recherchaient était le po</w:t>
      </w:r>
      <w:r w:rsidRPr="00031E0E">
        <w:rPr>
          <w:szCs w:val="18"/>
        </w:rPr>
        <w:t>u</w:t>
      </w:r>
      <w:r w:rsidRPr="00031E0E">
        <w:rPr>
          <w:szCs w:val="18"/>
        </w:rPr>
        <w:t>voir de pousser l’intolérance écrite et verbale jusqu’à une persécution frappant la propriété, la libe</w:t>
      </w:r>
      <w:r w:rsidRPr="00031E0E">
        <w:rPr>
          <w:szCs w:val="18"/>
        </w:rPr>
        <w:t>r</w:t>
      </w:r>
      <w:r w:rsidRPr="00031E0E">
        <w:rPr>
          <w:szCs w:val="18"/>
        </w:rPr>
        <w:t>té et la vie » (p. 383) –, il ouvre en effet la voie à une sociologie des intelle</w:t>
      </w:r>
      <w:r w:rsidRPr="00031E0E">
        <w:rPr>
          <w:szCs w:val="18"/>
        </w:rPr>
        <w:t>c</w:t>
      </w:r>
      <w:r w:rsidRPr="00031E0E">
        <w:rPr>
          <w:szCs w:val="18"/>
        </w:rPr>
        <w:t>tuels et de leurs rapports avec le pouvoir, ainsi que l’a signalé R</w:t>
      </w:r>
      <w:r w:rsidRPr="00031E0E">
        <w:rPr>
          <w:szCs w:val="18"/>
        </w:rPr>
        <w:t>o</w:t>
      </w:r>
      <w:r w:rsidRPr="00031E0E">
        <w:rPr>
          <w:szCs w:val="18"/>
        </w:rPr>
        <w:t xml:space="preserve">bert Nisbet dans </w:t>
      </w:r>
      <w:r w:rsidRPr="00031E0E">
        <w:rPr>
          <w:i/>
          <w:iCs/>
          <w:szCs w:val="18"/>
        </w:rPr>
        <w:t>The Sociological Tradition</w:t>
      </w:r>
      <w:r>
        <w:rPr>
          <w:iCs/>
          <w:szCs w:val="18"/>
        </w:rPr>
        <w:t> </w:t>
      </w:r>
      <w:r>
        <w:rPr>
          <w:rStyle w:val="Appelnotedebasdep"/>
          <w:iCs/>
          <w:szCs w:val="18"/>
        </w:rPr>
        <w:footnoteReference w:id="17"/>
      </w:r>
      <w:r w:rsidRPr="00031E0E">
        <w:rPr>
          <w:i/>
          <w:iCs/>
          <w:szCs w:val="18"/>
        </w:rPr>
        <w:t xml:space="preserve">. </w:t>
      </w:r>
      <w:r w:rsidRPr="00031E0E">
        <w:rPr>
          <w:szCs w:val="18"/>
        </w:rPr>
        <w:t>À une condition toutefois : il fallait se débarra</w:t>
      </w:r>
      <w:r w:rsidRPr="00031E0E">
        <w:rPr>
          <w:szCs w:val="18"/>
        </w:rPr>
        <w:t>s</w:t>
      </w:r>
      <w:r w:rsidRPr="00031E0E">
        <w:rPr>
          <w:szCs w:val="18"/>
        </w:rPr>
        <w:t>ser au préalable de la thèse du complot – l’insistance de Burke sur « la cab</w:t>
      </w:r>
      <w:r w:rsidRPr="00031E0E">
        <w:rPr>
          <w:szCs w:val="18"/>
        </w:rPr>
        <w:t>a</w:t>
      </w:r>
      <w:r w:rsidRPr="00031E0E">
        <w:rPr>
          <w:szCs w:val="18"/>
        </w:rPr>
        <w:t>le litt</w:t>
      </w:r>
      <w:r w:rsidRPr="00031E0E">
        <w:rPr>
          <w:szCs w:val="18"/>
        </w:rPr>
        <w:t>é</w:t>
      </w:r>
      <w:r w:rsidRPr="00031E0E">
        <w:rPr>
          <w:szCs w:val="18"/>
        </w:rPr>
        <w:t>raire » et son « étroite union avec les intérêts financiers » (p. 382) était à cet égard révélatr</w:t>
      </w:r>
      <w:r w:rsidRPr="00031E0E">
        <w:rPr>
          <w:szCs w:val="18"/>
        </w:rPr>
        <w:t>i</w:t>
      </w:r>
      <w:r w:rsidRPr="00031E0E">
        <w:rPr>
          <w:szCs w:val="18"/>
        </w:rPr>
        <w:t>ce – et Tocqueville l’a fait, on le sait, avec éclat</w:t>
      </w:r>
      <w:r>
        <w:rPr>
          <w:szCs w:val="18"/>
        </w:rPr>
        <w:t> </w:t>
      </w:r>
      <w:r>
        <w:rPr>
          <w:rStyle w:val="Appelnotedebasdep"/>
          <w:szCs w:val="18"/>
        </w:rPr>
        <w:footnoteReference w:id="18"/>
      </w:r>
      <w:r w:rsidRPr="00031E0E">
        <w:rPr>
          <w:szCs w:val="18"/>
        </w:rPr>
        <w:t>. De plus, ce dernier, m</w:t>
      </w:r>
      <w:r w:rsidRPr="00031E0E">
        <w:rPr>
          <w:szCs w:val="18"/>
        </w:rPr>
        <w:t>ê</w:t>
      </w:r>
      <w:r w:rsidRPr="00031E0E">
        <w:rPr>
          <w:szCs w:val="18"/>
        </w:rPr>
        <w:t>me s’il n’avait certes pas une grande sympathie pour les philos</w:t>
      </w:r>
      <w:r w:rsidRPr="00031E0E">
        <w:rPr>
          <w:szCs w:val="18"/>
        </w:rPr>
        <w:t>o</w:t>
      </w:r>
      <w:r w:rsidRPr="00031E0E">
        <w:rPr>
          <w:szCs w:val="18"/>
        </w:rPr>
        <w:t>phes et leurs « théories abstraites » – et c’est, si l’on peut risquer cette expre</w:t>
      </w:r>
      <w:r w:rsidRPr="00031E0E">
        <w:rPr>
          <w:szCs w:val="18"/>
        </w:rPr>
        <w:t>s</w:t>
      </w:r>
      <w:r w:rsidRPr="00031E0E">
        <w:rPr>
          <w:szCs w:val="18"/>
        </w:rPr>
        <w:t>sion, son côté « traditionaliste » –, les a jugés avec beaucoup plus d’équité</w:t>
      </w:r>
      <w:r>
        <w:rPr>
          <w:szCs w:val="18"/>
        </w:rPr>
        <w:t> </w:t>
      </w:r>
      <w:r>
        <w:rPr>
          <w:rStyle w:val="Appelnotedebasdep"/>
          <w:szCs w:val="18"/>
        </w:rPr>
        <w:footnoteReference w:id="19"/>
      </w:r>
      <w:r w:rsidRPr="00031E0E">
        <w:rPr>
          <w:szCs w:val="18"/>
        </w:rPr>
        <w:t>. Enfin et surtout, il s’est efforcé de comprendre les ra</w:t>
      </w:r>
      <w:r w:rsidRPr="00031E0E">
        <w:rPr>
          <w:szCs w:val="18"/>
        </w:rPr>
        <w:t>i</w:t>
      </w:r>
      <w:r w:rsidRPr="00031E0E">
        <w:rPr>
          <w:szCs w:val="18"/>
        </w:rPr>
        <w:t xml:space="preserve">sons de leur succès dans le substantiel chapitre I du livre III de </w:t>
      </w:r>
      <w:hyperlink r:id="rId19" w:history="1">
        <w:r w:rsidRPr="002423EE">
          <w:rPr>
            <w:rStyle w:val="Hyperlien"/>
            <w:i/>
            <w:iCs/>
            <w:szCs w:val="18"/>
          </w:rPr>
          <w:t>L’Ancien Régime et la R</w:t>
        </w:r>
        <w:r w:rsidRPr="002423EE">
          <w:rPr>
            <w:rStyle w:val="Hyperlien"/>
            <w:i/>
            <w:iCs/>
            <w:szCs w:val="18"/>
          </w:rPr>
          <w:t>é</w:t>
        </w:r>
        <w:r w:rsidRPr="002423EE">
          <w:rPr>
            <w:rStyle w:val="Hyperlien"/>
            <w:i/>
            <w:iCs/>
            <w:szCs w:val="18"/>
          </w:rPr>
          <w:t>volution</w:t>
        </w:r>
      </w:hyperlink>
      <w:r w:rsidRPr="00031E0E">
        <w:rPr>
          <w:i/>
          <w:iCs/>
          <w:szCs w:val="18"/>
        </w:rPr>
        <w:t xml:space="preserve">. </w:t>
      </w:r>
      <w:r w:rsidRPr="00031E0E">
        <w:rPr>
          <w:szCs w:val="18"/>
        </w:rPr>
        <w:t>De ce texte, salué par Mannheim comme une contribution à la sociologie de la connaissance</w:t>
      </w:r>
      <w:r>
        <w:rPr>
          <w:szCs w:val="18"/>
        </w:rPr>
        <w:t> </w:t>
      </w:r>
      <w:r>
        <w:rPr>
          <w:rStyle w:val="Appelnotedebasdep"/>
          <w:szCs w:val="18"/>
        </w:rPr>
        <w:footnoteReference w:id="20"/>
      </w:r>
      <w:r w:rsidRPr="00031E0E">
        <w:rPr>
          <w:szCs w:val="18"/>
          <w:vertAlign w:val="superscript"/>
        </w:rPr>
        <w:t xml:space="preserve"> </w:t>
      </w:r>
      <w:r w:rsidRPr="00031E0E">
        <w:rPr>
          <w:szCs w:val="18"/>
        </w:rPr>
        <w:t>et attentivement étudié sous cet a</w:t>
      </w:r>
      <w:r w:rsidRPr="00031E0E">
        <w:rPr>
          <w:szCs w:val="18"/>
        </w:rPr>
        <w:t>n</w:t>
      </w:r>
      <w:r w:rsidRPr="00031E0E">
        <w:rPr>
          <w:szCs w:val="18"/>
        </w:rPr>
        <w:t>gle, avec d’autres passages, par Richter (1966, pp. 91-102), nous r</w:t>
      </w:r>
      <w:r w:rsidRPr="00031E0E">
        <w:rPr>
          <w:szCs w:val="18"/>
        </w:rPr>
        <w:t>e</w:t>
      </w:r>
      <w:r w:rsidRPr="00031E0E">
        <w:rPr>
          <w:szCs w:val="18"/>
        </w:rPr>
        <w:t>tiendrons simplement ici l’idée que les ph</w:t>
      </w:r>
      <w:r w:rsidRPr="00031E0E">
        <w:rPr>
          <w:szCs w:val="18"/>
        </w:rPr>
        <w:t>i</w:t>
      </w:r>
      <w:r w:rsidRPr="00031E0E">
        <w:rPr>
          <w:szCs w:val="18"/>
        </w:rPr>
        <w:t>losophes vont assumer la fonction politique, en l’absence d’une aristocratie c</w:t>
      </w:r>
      <w:r w:rsidRPr="00031E0E">
        <w:rPr>
          <w:szCs w:val="18"/>
        </w:rPr>
        <w:t>a</w:t>
      </w:r>
      <w:r w:rsidRPr="00031E0E">
        <w:rPr>
          <w:szCs w:val="18"/>
        </w:rPr>
        <w:t>pable de s’acquitter de ce rôle, de médiations institutionnelles effic</w:t>
      </w:r>
      <w:r w:rsidRPr="00031E0E">
        <w:rPr>
          <w:szCs w:val="18"/>
        </w:rPr>
        <w:t>a</w:t>
      </w:r>
      <w:r w:rsidRPr="00031E0E">
        <w:rPr>
          <w:szCs w:val="18"/>
        </w:rPr>
        <w:t xml:space="preserve">ces, et jouer ainsi, la place étant en quelque sorte vacante, « un rôle par </w:t>
      </w:r>
      <w:r w:rsidRPr="00031E0E">
        <w:rPr>
          <w:i/>
          <w:iCs/>
          <w:szCs w:val="18"/>
        </w:rPr>
        <w:t>d</w:t>
      </w:r>
      <w:r w:rsidRPr="00031E0E">
        <w:rPr>
          <w:i/>
          <w:iCs/>
          <w:szCs w:val="18"/>
        </w:rPr>
        <w:t>é</w:t>
      </w:r>
      <w:r w:rsidRPr="00031E0E">
        <w:rPr>
          <w:i/>
          <w:iCs/>
          <w:szCs w:val="18"/>
        </w:rPr>
        <w:t>faut »</w:t>
      </w:r>
      <w:r w:rsidRPr="00031E0E">
        <w:rPr>
          <w:szCs w:val="18"/>
        </w:rPr>
        <w:t xml:space="preserve"> (1983, p. 232), selon l’expression de François Furet.</w:t>
      </w:r>
    </w:p>
    <w:p w14:paraId="27D9E20A" w14:textId="77777777" w:rsidR="006C5FDB" w:rsidRPr="00031E0E" w:rsidRDefault="006C5FDB" w:rsidP="006C5FDB">
      <w:pPr>
        <w:spacing w:before="120" w:after="120"/>
        <w:jc w:val="both"/>
      </w:pPr>
      <w:r w:rsidRPr="00031E0E">
        <w:rPr>
          <w:szCs w:val="18"/>
        </w:rPr>
        <w:t>Cette analyse de la « direction des intelligences » (II, I, 199), du cadre social</w:t>
      </w:r>
      <w:r>
        <w:rPr>
          <w:szCs w:val="18"/>
        </w:rPr>
        <w:t xml:space="preserve"> </w:t>
      </w:r>
      <w:r w:rsidRPr="00031E0E">
        <w:rPr>
          <w:szCs w:val="16"/>
        </w:rPr>
        <w:t>[652]</w:t>
      </w:r>
      <w:r>
        <w:rPr>
          <w:szCs w:val="16"/>
        </w:rPr>
        <w:t xml:space="preserve"> </w:t>
      </w:r>
      <w:r w:rsidRPr="00031E0E">
        <w:rPr>
          <w:szCs w:val="18"/>
        </w:rPr>
        <w:t>dans lequel elle s’effectuait et de ses effets pouvait servir de point de départ à une étude des idéologies et de leur dynam</w:t>
      </w:r>
      <w:r w:rsidRPr="00031E0E">
        <w:rPr>
          <w:szCs w:val="18"/>
        </w:rPr>
        <w:t>i</w:t>
      </w:r>
      <w:r w:rsidRPr="00031E0E">
        <w:rPr>
          <w:szCs w:val="18"/>
        </w:rPr>
        <w:t>que ; mais l’on sait que Tocqueville ne s’est pas vérit</w:t>
      </w:r>
      <w:r w:rsidRPr="00031E0E">
        <w:rPr>
          <w:szCs w:val="18"/>
        </w:rPr>
        <w:t>a</w:t>
      </w:r>
      <w:r w:rsidRPr="00031E0E">
        <w:rPr>
          <w:szCs w:val="18"/>
        </w:rPr>
        <w:t>blement engagé dans cette voie. C’est ici qu’il importe de rappeler l’apport de G</w:t>
      </w:r>
      <w:r w:rsidRPr="00031E0E">
        <w:rPr>
          <w:szCs w:val="18"/>
        </w:rPr>
        <w:t>o</w:t>
      </w:r>
      <w:r w:rsidRPr="00031E0E">
        <w:rPr>
          <w:szCs w:val="18"/>
        </w:rPr>
        <w:t>chin, même s’il a été, à notre sens, surestimé – peut-être pa</w:t>
      </w:r>
      <w:r w:rsidRPr="00031E0E">
        <w:rPr>
          <w:szCs w:val="18"/>
        </w:rPr>
        <w:t>r</w:t>
      </w:r>
      <w:r w:rsidRPr="00031E0E">
        <w:rPr>
          <w:szCs w:val="18"/>
        </w:rPr>
        <w:t>ce qu’il s’agit d’une entreprise de réhabilitation – par Fra</w:t>
      </w:r>
      <w:r w:rsidRPr="00031E0E">
        <w:rPr>
          <w:szCs w:val="18"/>
        </w:rPr>
        <w:t>n</w:t>
      </w:r>
      <w:r w:rsidRPr="00031E0E">
        <w:rPr>
          <w:szCs w:val="18"/>
        </w:rPr>
        <w:t>çois Furet. Il nous paraît en tout cas utile de relever d’emblée une concordance significative entre ses convictions « réactionnaires » et son point de départ : sa d</w:t>
      </w:r>
      <w:r w:rsidRPr="00031E0E">
        <w:rPr>
          <w:szCs w:val="18"/>
        </w:rPr>
        <w:t>é</w:t>
      </w:r>
      <w:r w:rsidRPr="00031E0E">
        <w:rPr>
          <w:szCs w:val="18"/>
        </w:rPr>
        <w:t>marche s’inscrit dans le sillage de la pensée conservatrice, pour ne pas dire contre-révolutionnaire, et plus précisément consiste à partir des philosophes et de leur succès, sinon de leurs œuvres, pour analyser le politique. Son « rapport aux valeurs », pour parler comme Weber, oriente sa démarche mais ne suffit pas par lui-même à rendre compte de son entreprise intellectuelle dans son intégralité. Gochin nous su</w:t>
      </w:r>
      <w:r w:rsidRPr="00031E0E">
        <w:rPr>
          <w:szCs w:val="18"/>
        </w:rPr>
        <w:t>g</w:t>
      </w:r>
      <w:r w:rsidRPr="00031E0E">
        <w:rPr>
          <w:szCs w:val="18"/>
        </w:rPr>
        <w:t>gère en e</w:t>
      </w:r>
      <w:r w:rsidRPr="00031E0E">
        <w:rPr>
          <w:szCs w:val="18"/>
        </w:rPr>
        <w:t>f</w:t>
      </w:r>
      <w:r w:rsidRPr="00031E0E">
        <w:rPr>
          <w:szCs w:val="18"/>
        </w:rPr>
        <w:t>fet, de façon très originale, une série de médiations entre le culturel et le politique. Il met tout d’abord en évidence l’existence de cadres de sociabilité spéc</w:t>
      </w:r>
      <w:r w:rsidRPr="00031E0E">
        <w:rPr>
          <w:szCs w:val="18"/>
        </w:rPr>
        <w:t>i</w:t>
      </w:r>
      <w:r w:rsidRPr="00031E0E">
        <w:rPr>
          <w:szCs w:val="18"/>
        </w:rPr>
        <w:t>fiques, constitués par ce qu’il appelle la « société de pensée » et dont les cercles, les loges ou les clubs repr</w:t>
      </w:r>
      <w:r w:rsidRPr="00031E0E">
        <w:rPr>
          <w:szCs w:val="18"/>
        </w:rPr>
        <w:t>é</w:t>
      </w:r>
      <w:r w:rsidRPr="00031E0E">
        <w:rPr>
          <w:szCs w:val="18"/>
        </w:rPr>
        <w:t>sentent di</w:t>
      </w:r>
      <w:r w:rsidRPr="00031E0E">
        <w:rPr>
          <w:szCs w:val="18"/>
        </w:rPr>
        <w:t>f</w:t>
      </w:r>
      <w:r w:rsidRPr="00031E0E">
        <w:rPr>
          <w:szCs w:val="18"/>
        </w:rPr>
        <w:t>férentes formes : or ces sociétés de pensée sont productrices d’un consensus marquant le triomphe de la « philosophie » et de ses principes ab</w:t>
      </w:r>
      <w:r w:rsidRPr="00031E0E">
        <w:rPr>
          <w:szCs w:val="18"/>
        </w:rPr>
        <w:t>s</w:t>
      </w:r>
      <w:r w:rsidRPr="00031E0E">
        <w:rPr>
          <w:szCs w:val="18"/>
        </w:rPr>
        <w:t>traits. Ensuite – et cette seconde étape, essentielle, s’achève avec les prémices de la Révolution – il insiste sur l’extension de ce modèle de la société de pensée à la soci</w:t>
      </w:r>
      <w:r w:rsidRPr="00031E0E">
        <w:rPr>
          <w:szCs w:val="18"/>
        </w:rPr>
        <w:t>é</w:t>
      </w:r>
      <w:r w:rsidRPr="00031E0E">
        <w:rPr>
          <w:szCs w:val="18"/>
        </w:rPr>
        <w:t>té tout entière : la « philosophie » victorieuse s’est diffusée en « représentations cristall</w:t>
      </w:r>
      <w:r w:rsidRPr="00031E0E">
        <w:rPr>
          <w:szCs w:val="18"/>
        </w:rPr>
        <w:t>i</w:t>
      </w:r>
      <w:r w:rsidRPr="00031E0E">
        <w:rPr>
          <w:szCs w:val="18"/>
        </w:rPr>
        <w:t>sées dans quelques figures simples du langage », suivant la formul</w:t>
      </w:r>
      <w:r w:rsidRPr="00031E0E">
        <w:rPr>
          <w:szCs w:val="18"/>
        </w:rPr>
        <w:t>a</w:t>
      </w:r>
      <w:r w:rsidRPr="00031E0E">
        <w:rPr>
          <w:szCs w:val="18"/>
        </w:rPr>
        <w:t>tion de Furet (1983, p. 229) et l’unanimité dans le consensus est dev</w:t>
      </w:r>
      <w:r w:rsidRPr="00031E0E">
        <w:rPr>
          <w:szCs w:val="18"/>
        </w:rPr>
        <w:t>e</w:t>
      </w:r>
      <w:r w:rsidRPr="00031E0E">
        <w:rPr>
          <w:szCs w:val="18"/>
        </w:rPr>
        <w:t>nue le nouveau mode officiel de légitimation. Les mécani</w:t>
      </w:r>
      <w:r w:rsidRPr="00031E0E">
        <w:rPr>
          <w:szCs w:val="18"/>
        </w:rPr>
        <w:t>s</w:t>
      </w:r>
      <w:r w:rsidRPr="00031E0E">
        <w:rPr>
          <w:szCs w:val="18"/>
        </w:rPr>
        <w:t>mes de l’explosion révolutionnaire sont alors déjà en place : exclusions et usurp</w:t>
      </w:r>
      <w:r w:rsidRPr="00031E0E">
        <w:rPr>
          <w:szCs w:val="18"/>
        </w:rPr>
        <w:t>a</w:t>
      </w:r>
      <w:r w:rsidRPr="00031E0E">
        <w:rPr>
          <w:szCs w:val="18"/>
        </w:rPr>
        <w:t>tions vont, selon lui, se succéder jusqu’au couronnement du processus dans le jacobinisme, qui marque l’apogée à la fois de la « démocratie pure » – sur le plan de la parole – et du go</w:t>
      </w:r>
      <w:r w:rsidRPr="00031E0E">
        <w:rPr>
          <w:szCs w:val="18"/>
        </w:rPr>
        <w:t>u</w:t>
      </w:r>
      <w:r w:rsidRPr="00031E0E">
        <w:rPr>
          <w:szCs w:val="18"/>
        </w:rPr>
        <w:t>vernement par les comités</w:t>
      </w:r>
      <w:r>
        <w:rPr>
          <w:szCs w:val="18"/>
        </w:rPr>
        <w:t> </w:t>
      </w:r>
      <w:r>
        <w:rPr>
          <w:rStyle w:val="Appelnotedebasdep"/>
          <w:szCs w:val="18"/>
        </w:rPr>
        <w:footnoteReference w:id="21"/>
      </w:r>
      <w:r w:rsidRPr="00031E0E">
        <w:rPr>
          <w:szCs w:val="18"/>
        </w:rPr>
        <w:t xml:space="preserve"> – au point de vue du po</w:t>
      </w:r>
      <w:r w:rsidRPr="00031E0E">
        <w:rPr>
          <w:szCs w:val="18"/>
        </w:rPr>
        <w:t>u</w:t>
      </w:r>
      <w:r w:rsidRPr="00031E0E">
        <w:rPr>
          <w:szCs w:val="18"/>
        </w:rPr>
        <w:t>voir – c’est-à-dire en fait d’une oligarchie masquée. On voit donc comment C</w:t>
      </w:r>
      <w:r w:rsidRPr="00031E0E">
        <w:rPr>
          <w:szCs w:val="18"/>
        </w:rPr>
        <w:t>o</w:t>
      </w:r>
      <w:r w:rsidRPr="00031E0E">
        <w:rPr>
          <w:szCs w:val="18"/>
        </w:rPr>
        <w:t>chin, à partir d’une analyse centrée essentiellement sur la production et la dynam</w:t>
      </w:r>
      <w:r w:rsidRPr="00031E0E">
        <w:rPr>
          <w:szCs w:val="18"/>
        </w:rPr>
        <w:t>i</w:t>
      </w:r>
      <w:r w:rsidRPr="00031E0E">
        <w:rPr>
          <w:szCs w:val="18"/>
        </w:rPr>
        <w:t>que d’une idé</w:t>
      </w:r>
      <w:r w:rsidRPr="00031E0E">
        <w:rPr>
          <w:szCs w:val="18"/>
        </w:rPr>
        <w:t>o</w:t>
      </w:r>
      <w:r w:rsidRPr="00031E0E">
        <w:rPr>
          <w:szCs w:val="18"/>
        </w:rPr>
        <w:t>logie, en vient à éclairer la rupture révolutionnaire.</w:t>
      </w:r>
    </w:p>
    <w:p w14:paraId="6CC1537A" w14:textId="77777777" w:rsidR="006C5FDB" w:rsidRPr="00031E0E" w:rsidRDefault="006C5FDB" w:rsidP="006C5FDB">
      <w:pPr>
        <w:spacing w:before="120" w:after="120"/>
        <w:jc w:val="both"/>
      </w:pPr>
      <w:r w:rsidRPr="00031E0E">
        <w:rPr>
          <w:szCs w:val="18"/>
        </w:rPr>
        <w:t>Ce type d’interprétation n’est pas sans poser de sérieux problèmes. Les difficultés sont, pour une part, d’ordre historique : Cochin a en partic</w:t>
      </w:r>
      <w:r w:rsidRPr="00031E0E">
        <w:rPr>
          <w:szCs w:val="18"/>
        </w:rPr>
        <w:t>u</w:t>
      </w:r>
      <w:r w:rsidRPr="00031E0E">
        <w:rPr>
          <w:szCs w:val="18"/>
        </w:rPr>
        <w:t>lier soutenu que 1789 était gros des années 1793-1794, et c’est là un point de vue qui peut être contesté ; il paraît également discut</w:t>
      </w:r>
      <w:r w:rsidRPr="00031E0E">
        <w:rPr>
          <w:szCs w:val="18"/>
        </w:rPr>
        <w:t>a</w:t>
      </w:r>
      <w:r w:rsidRPr="00031E0E">
        <w:rPr>
          <w:szCs w:val="18"/>
        </w:rPr>
        <w:t>ble d’assimiler la domination montagnarde à la dictature des s</w:t>
      </w:r>
      <w:r w:rsidRPr="00031E0E">
        <w:rPr>
          <w:szCs w:val="18"/>
        </w:rPr>
        <w:t>o</w:t>
      </w:r>
      <w:r w:rsidRPr="00031E0E">
        <w:rPr>
          <w:szCs w:val="18"/>
        </w:rPr>
        <w:t>ciétés. Elles sont, d’autre part et surtout, d’ordre théorique : il convient ce</w:t>
      </w:r>
      <w:r w:rsidRPr="00031E0E">
        <w:rPr>
          <w:szCs w:val="18"/>
        </w:rPr>
        <w:t>r</w:t>
      </w:r>
      <w:r w:rsidRPr="00031E0E">
        <w:rPr>
          <w:szCs w:val="18"/>
        </w:rPr>
        <w:t>tes de prendre en compte les phén</w:t>
      </w:r>
      <w:r w:rsidRPr="00031E0E">
        <w:rPr>
          <w:szCs w:val="18"/>
        </w:rPr>
        <w:t>o</w:t>
      </w:r>
      <w:r w:rsidRPr="00031E0E">
        <w:rPr>
          <w:szCs w:val="18"/>
        </w:rPr>
        <w:t>mènes proprement idéologiques, de mettre au jour leur dynamique et de ne pas négliger leur rôle au n</w:t>
      </w:r>
      <w:r w:rsidRPr="00031E0E">
        <w:rPr>
          <w:szCs w:val="18"/>
        </w:rPr>
        <w:t>i</w:t>
      </w:r>
      <w:r w:rsidRPr="00031E0E">
        <w:rPr>
          <w:szCs w:val="18"/>
        </w:rPr>
        <w:t>veau et au sein même de l’action, c’est-à-dire leur « efficace », mais nous croyons utile de rappeler qu’ « une logique de discours » n’est pas encore une « logique d’action » et que les systèmes de représent</w:t>
      </w:r>
      <w:r w:rsidRPr="00031E0E">
        <w:rPr>
          <w:szCs w:val="18"/>
        </w:rPr>
        <w:t>a</w:t>
      </w:r>
      <w:r w:rsidRPr="00031E0E">
        <w:rPr>
          <w:szCs w:val="18"/>
        </w:rPr>
        <w:t>tion ne se transforment pas comme par encha</w:t>
      </w:r>
      <w:r w:rsidRPr="00031E0E">
        <w:rPr>
          <w:szCs w:val="18"/>
        </w:rPr>
        <w:t>n</w:t>
      </w:r>
      <w:r w:rsidRPr="00031E0E">
        <w:rPr>
          <w:szCs w:val="18"/>
        </w:rPr>
        <w:t>tement en systèmes d’action. On ne peut pas, nous semble-t-il, « déduire la Terreur du</w:t>
      </w:r>
      <w:r>
        <w:rPr>
          <w:szCs w:val="18"/>
        </w:rPr>
        <w:t xml:space="preserve"> </w:t>
      </w:r>
      <w:r w:rsidRPr="00031E0E">
        <w:t>[653]</w:t>
      </w:r>
      <w:r>
        <w:t xml:space="preserve"> </w:t>
      </w:r>
      <w:r w:rsidRPr="00031E0E">
        <w:rPr>
          <w:szCs w:val="18"/>
        </w:rPr>
        <w:t>discours révolutionnaire », contrairement à ce qu’avance Fra</w:t>
      </w:r>
      <w:r w:rsidRPr="00031E0E">
        <w:rPr>
          <w:szCs w:val="18"/>
        </w:rPr>
        <w:t>n</w:t>
      </w:r>
      <w:r w:rsidRPr="00031E0E">
        <w:rPr>
          <w:szCs w:val="18"/>
        </w:rPr>
        <w:t>çois Furet (1983, p. 88) ; nous ne sommes pas prêt en tout cas à le su</w:t>
      </w:r>
      <w:r w:rsidRPr="00031E0E">
        <w:rPr>
          <w:szCs w:val="18"/>
        </w:rPr>
        <w:t>i</w:t>
      </w:r>
      <w:r w:rsidRPr="00031E0E">
        <w:rPr>
          <w:szCs w:val="18"/>
        </w:rPr>
        <w:t>vre jusque-là. Sans doute la Parole est-elle consubstantielle à la rév</w:t>
      </w:r>
      <w:r w:rsidRPr="00031E0E">
        <w:rPr>
          <w:szCs w:val="18"/>
        </w:rPr>
        <w:t>o</w:t>
      </w:r>
      <w:r w:rsidRPr="00031E0E">
        <w:rPr>
          <w:szCs w:val="18"/>
        </w:rPr>
        <w:t>lution, comme de façon plus générale à la polit</w:t>
      </w:r>
      <w:r w:rsidRPr="00031E0E">
        <w:rPr>
          <w:szCs w:val="18"/>
        </w:rPr>
        <w:t>i</w:t>
      </w:r>
      <w:r w:rsidRPr="00031E0E">
        <w:rPr>
          <w:szCs w:val="18"/>
        </w:rPr>
        <w:t>que, ainsi que l’a noté Hannah Arendt (1967, p. 21)</w:t>
      </w:r>
      <w:r>
        <w:rPr>
          <w:szCs w:val="18"/>
        </w:rPr>
        <w:t> </w:t>
      </w:r>
      <w:r>
        <w:rPr>
          <w:rStyle w:val="Appelnotedebasdep"/>
          <w:szCs w:val="18"/>
        </w:rPr>
        <w:footnoteReference w:id="22"/>
      </w:r>
      <w:r w:rsidRPr="00031E0E">
        <w:rPr>
          <w:szCs w:val="18"/>
        </w:rPr>
        <w:t>, sans doute même y a-t-il en que</w:t>
      </w:r>
      <w:r w:rsidRPr="00031E0E">
        <w:rPr>
          <w:szCs w:val="18"/>
        </w:rPr>
        <w:t>l</w:t>
      </w:r>
      <w:r w:rsidRPr="00031E0E">
        <w:rPr>
          <w:szCs w:val="18"/>
        </w:rPr>
        <w:t>que sorte un vertige de la parole dans les temps forts du tourbillon révol</w:t>
      </w:r>
      <w:r w:rsidRPr="00031E0E">
        <w:rPr>
          <w:szCs w:val="18"/>
        </w:rPr>
        <w:t>u</w:t>
      </w:r>
      <w:r w:rsidRPr="00031E0E">
        <w:rPr>
          <w:szCs w:val="18"/>
        </w:rPr>
        <w:t>tionnaire ; mais on ne saurait, pour autant, r</w:t>
      </w:r>
      <w:r w:rsidRPr="00031E0E">
        <w:rPr>
          <w:szCs w:val="18"/>
        </w:rPr>
        <w:t>é</w:t>
      </w:r>
      <w:r w:rsidRPr="00031E0E">
        <w:rPr>
          <w:szCs w:val="18"/>
        </w:rPr>
        <w:t>duire la révolution à un thé</w:t>
      </w:r>
      <w:r w:rsidRPr="00031E0E">
        <w:rPr>
          <w:szCs w:val="18"/>
        </w:rPr>
        <w:t>â</w:t>
      </w:r>
      <w:r w:rsidRPr="00031E0E">
        <w:rPr>
          <w:szCs w:val="18"/>
        </w:rPr>
        <w:t>tre d’ombres sur lequel l’Idéologie se parlerait.</w:t>
      </w:r>
    </w:p>
    <w:p w14:paraId="4FAC51DA" w14:textId="77777777" w:rsidR="006C5FDB" w:rsidRPr="00031E0E" w:rsidRDefault="006C5FDB" w:rsidP="006C5FDB">
      <w:pPr>
        <w:spacing w:before="120" w:after="120"/>
        <w:jc w:val="both"/>
        <w:rPr>
          <w:szCs w:val="18"/>
        </w:rPr>
      </w:pPr>
    </w:p>
    <w:p w14:paraId="20CCECA4" w14:textId="77777777" w:rsidR="006C5FDB" w:rsidRPr="00031E0E" w:rsidRDefault="006C5FDB" w:rsidP="006C5FDB">
      <w:pPr>
        <w:pStyle w:val="a"/>
      </w:pPr>
      <w:bookmarkStart w:id="5" w:name="Traite_t2_pt_2_chap_VII_Sec_2_2"/>
      <w:r w:rsidRPr="00031E0E">
        <w:t>2. R</w:t>
      </w:r>
      <w:r w:rsidRPr="00031E0E">
        <w:t>e</w:t>
      </w:r>
      <w:r w:rsidRPr="00031E0E">
        <w:t>cherches récentes</w:t>
      </w:r>
    </w:p>
    <w:bookmarkEnd w:id="5"/>
    <w:p w14:paraId="709F1E40" w14:textId="77777777" w:rsidR="006C5FDB" w:rsidRDefault="006C5FDB" w:rsidP="006C5FDB">
      <w:pPr>
        <w:spacing w:before="120" w:after="120"/>
        <w:jc w:val="both"/>
        <w:rPr>
          <w:szCs w:val="18"/>
        </w:rPr>
      </w:pPr>
    </w:p>
    <w:p w14:paraId="235872D1" w14:textId="77777777" w:rsidR="006C5FDB" w:rsidRPr="00384B20" w:rsidRDefault="006C5FDB" w:rsidP="006C5FDB">
      <w:pPr>
        <w:ind w:right="90" w:firstLine="0"/>
        <w:jc w:val="both"/>
        <w:rPr>
          <w:sz w:val="20"/>
        </w:rPr>
      </w:pPr>
      <w:hyperlink w:anchor="sommaire" w:history="1">
        <w:r w:rsidRPr="00721734">
          <w:rPr>
            <w:rStyle w:val="Hyperlien"/>
            <w:sz w:val="20"/>
          </w:rPr>
          <w:t>Retour au sommaire</w:t>
        </w:r>
      </w:hyperlink>
    </w:p>
    <w:p w14:paraId="13396F41" w14:textId="77777777" w:rsidR="006C5FDB" w:rsidRPr="00031E0E" w:rsidRDefault="006C5FDB" w:rsidP="006C5FDB">
      <w:pPr>
        <w:spacing w:before="120" w:after="120"/>
        <w:jc w:val="both"/>
      </w:pPr>
      <w:r w:rsidRPr="00031E0E">
        <w:rPr>
          <w:szCs w:val="18"/>
        </w:rPr>
        <w:t>À la suite de cette présentation des types majeurs d’explication r</w:t>
      </w:r>
      <w:r w:rsidRPr="00031E0E">
        <w:rPr>
          <w:szCs w:val="18"/>
        </w:rPr>
        <w:t>e</w:t>
      </w:r>
      <w:r w:rsidRPr="00031E0E">
        <w:rPr>
          <w:szCs w:val="18"/>
        </w:rPr>
        <w:t>latifs aux révolutions, nous traiterons, plus spécifiquement, des r</w:t>
      </w:r>
      <w:r w:rsidRPr="00031E0E">
        <w:rPr>
          <w:szCs w:val="18"/>
        </w:rPr>
        <w:t>e</w:t>
      </w:r>
      <w:r w:rsidRPr="00031E0E">
        <w:rPr>
          <w:szCs w:val="18"/>
        </w:rPr>
        <w:t>cherches relativement récentes, sinon actuelles, qui ne sont pas néce</w:t>
      </w:r>
      <w:r w:rsidRPr="00031E0E">
        <w:rPr>
          <w:szCs w:val="18"/>
        </w:rPr>
        <w:t>s</w:t>
      </w:r>
      <w:r w:rsidRPr="00031E0E">
        <w:rPr>
          <w:szCs w:val="18"/>
        </w:rPr>
        <w:t>sairement les mieux connues ; nous voudrions ainsi donner un aperçu de l’état présent de la question, sans pr</w:t>
      </w:r>
      <w:r w:rsidRPr="00031E0E">
        <w:rPr>
          <w:szCs w:val="18"/>
        </w:rPr>
        <w:t>é</w:t>
      </w:r>
      <w:r w:rsidRPr="00031E0E">
        <w:rPr>
          <w:szCs w:val="18"/>
        </w:rPr>
        <w:t>tendre pour autant en dresser un bilan complet.</w:t>
      </w:r>
    </w:p>
    <w:p w14:paraId="1D6DD45A" w14:textId="77777777" w:rsidR="006C5FDB" w:rsidRPr="00031E0E" w:rsidRDefault="006C5FDB" w:rsidP="006C5FDB">
      <w:pPr>
        <w:spacing w:before="120" w:after="120"/>
        <w:jc w:val="both"/>
      </w:pPr>
      <w:r w:rsidRPr="00031E0E">
        <w:rPr>
          <w:szCs w:val="18"/>
        </w:rPr>
        <w:t>On pourrait, pour ce faire, adopter la solution simple consistant à montrer comment ces travaux se situent par rapport aux grandes trad</w:t>
      </w:r>
      <w:r w:rsidRPr="00031E0E">
        <w:rPr>
          <w:szCs w:val="18"/>
        </w:rPr>
        <w:t>i</w:t>
      </w:r>
      <w:r w:rsidRPr="00031E0E">
        <w:rPr>
          <w:szCs w:val="18"/>
        </w:rPr>
        <w:t>tions que nous avons distinguées. On s</w:t>
      </w:r>
      <w:r w:rsidRPr="00031E0E">
        <w:rPr>
          <w:szCs w:val="18"/>
        </w:rPr>
        <w:t>e</w:t>
      </w:r>
      <w:r w:rsidRPr="00031E0E">
        <w:rPr>
          <w:szCs w:val="18"/>
        </w:rPr>
        <w:t>rait du même coup amené, en insistant sur la continuité, à faire ressortir ce que les cadres de réf</w:t>
      </w:r>
      <w:r w:rsidRPr="00031E0E">
        <w:rPr>
          <w:szCs w:val="18"/>
        </w:rPr>
        <w:t>é</w:t>
      </w:r>
      <w:r w:rsidRPr="00031E0E">
        <w:rPr>
          <w:szCs w:val="18"/>
        </w:rPr>
        <w:t>rence et d’interprétation des recherches conte</w:t>
      </w:r>
      <w:r w:rsidRPr="00031E0E">
        <w:rPr>
          <w:szCs w:val="18"/>
        </w:rPr>
        <w:t>m</w:t>
      </w:r>
      <w:r w:rsidRPr="00031E0E">
        <w:rPr>
          <w:szCs w:val="18"/>
        </w:rPr>
        <w:t>poraines doivent à tel ou tel mode cla</w:t>
      </w:r>
      <w:r w:rsidRPr="00031E0E">
        <w:rPr>
          <w:szCs w:val="18"/>
        </w:rPr>
        <w:t>s</w:t>
      </w:r>
      <w:r w:rsidRPr="00031E0E">
        <w:rPr>
          <w:szCs w:val="18"/>
        </w:rPr>
        <w:t xml:space="preserve">sique d’explication ; et on n’aurait, dans l’ensemble, guère de mal à trouver des exemples appropriés. Ainsi Barrington Moore, dans </w:t>
      </w:r>
      <w:r w:rsidRPr="00031E0E">
        <w:rPr>
          <w:i/>
          <w:iCs/>
          <w:szCs w:val="18"/>
        </w:rPr>
        <w:t>Les or</w:t>
      </w:r>
      <w:r w:rsidRPr="00031E0E">
        <w:rPr>
          <w:i/>
          <w:iCs/>
          <w:szCs w:val="18"/>
        </w:rPr>
        <w:t>i</w:t>
      </w:r>
      <w:r w:rsidRPr="00031E0E">
        <w:rPr>
          <w:i/>
          <w:iCs/>
          <w:szCs w:val="18"/>
        </w:rPr>
        <w:t xml:space="preserve">gines sociales de la dictature et de la démocratie </w:t>
      </w:r>
      <w:r w:rsidRPr="00031E0E">
        <w:rPr>
          <w:szCs w:val="18"/>
        </w:rPr>
        <w:t>(trad. fr., 1969), propose une variante élaborée et, à ce titre, originale de l’explication par les forces sociales, dont nous aurons à reparler ; ce premier type a même été dominant en histoire : s’il a pu se dégr</w:t>
      </w:r>
      <w:r w:rsidRPr="00031E0E">
        <w:rPr>
          <w:szCs w:val="18"/>
        </w:rPr>
        <w:t>a</w:t>
      </w:r>
      <w:r w:rsidRPr="00031E0E">
        <w:rPr>
          <w:szCs w:val="18"/>
        </w:rPr>
        <w:t>der en « catéchisme révolutionnaire », selon la forte expre</w:t>
      </w:r>
      <w:r w:rsidRPr="00031E0E">
        <w:rPr>
          <w:szCs w:val="18"/>
        </w:rPr>
        <w:t>s</w:t>
      </w:r>
      <w:r w:rsidRPr="00031E0E">
        <w:rPr>
          <w:szCs w:val="18"/>
        </w:rPr>
        <w:t>sion de François Furet, c’est qu’il était particulièrement prégnant. A</w:t>
      </w:r>
      <w:r w:rsidRPr="00031E0E">
        <w:rPr>
          <w:szCs w:val="18"/>
        </w:rPr>
        <w:t>u</w:t>
      </w:r>
      <w:r w:rsidRPr="00031E0E">
        <w:rPr>
          <w:szCs w:val="18"/>
        </w:rPr>
        <w:t>jourd’hui, cette pr</w:t>
      </w:r>
      <w:r w:rsidRPr="00031E0E">
        <w:rPr>
          <w:szCs w:val="18"/>
        </w:rPr>
        <w:t>é</w:t>
      </w:r>
      <w:r w:rsidRPr="00031E0E">
        <w:rPr>
          <w:szCs w:val="18"/>
        </w:rPr>
        <w:t>pondérance est ébranlée, sous l’effet d’une série de contestations internes à la discipl</w:t>
      </w:r>
      <w:r w:rsidRPr="00031E0E">
        <w:rPr>
          <w:szCs w:val="18"/>
        </w:rPr>
        <w:t>i</w:t>
      </w:r>
      <w:r w:rsidRPr="00031E0E">
        <w:rPr>
          <w:szCs w:val="18"/>
        </w:rPr>
        <w:t>ne</w:t>
      </w:r>
      <w:r>
        <w:rPr>
          <w:szCs w:val="18"/>
        </w:rPr>
        <w:t> </w:t>
      </w:r>
      <w:r>
        <w:rPr>
          <w:rStyle w:val="Appelnotedebasdep"/>
          <w:szCs w:val="18"/>
        </w:rPr>
        <w:footnoteReference w:id="23"/>
      </w:r>
      <w:r w:rsidRPr="00031E0E">
        <w:rPr>
          <w:szCs w:val="18"/>
        </w:rPr>
        <w:t> ; et de vives réticences à l’égard de cette démarche se sont manifestées du côté des sociologues ou des politologues, qui ont souvent suggéré d’autres appr</w:t>
      </w:r>
      <w:r w:rsidRPr="00031E0E">
        <w:rPr>
          <w:szCs w:val="18"/>
        </w:rPr>
        <w:t>o</w:t>
      </w:r>
      <w:r w:rsidRPr="00031E0E">
        <w:rPr>
          <w:szCs w:val="18"/>
        </w:rPr>
        <w:t>ches. Il semble donc permis d’affirmer qu’il existe une tendance assez acc</w:t>
      </w:r>
      <w:r w:rsidRPr="00031E0E">
        <w:rPr>
          <w:szCs w:val="18"/>
        </w:rPr>
        <w:t>u</w:t>
      </w:r>
      <w:r w:rsidRPr="00031E0E">
        <w:rPr>
          <w:szCs w:val="18"/>
        </w:rPr>
        <w:t>sée à ne plus se satisfaire de ce « modèle » ; mais une question, esse</w:t>
      </w:r>
      <w:r w:rsidRPr="00031E0E">
        <w:rPr>
          <w:szCs w:val="18"/>
        </w:rPr>
        <w:t>n</w:t>
      </w:r>
      <w:r w:rsidRPr="00031E0E">
        <w:rPr>
          <w:szCs w:val="18"/>
        </w:rPr>
        <w:t>tielle,</w:t>
      </w:r>
      <w:r>
        <w:rPr>
          <w:szCs w:val="18"/>
        </w:rPr>
        <w:t xml:space="preserve"> </w:t>
      </w:r>
      <w:r w:rsidRPr="00031E0E">
        <w:rPr>
          <w:szCs w:val="16"/>
        </w:rPr>
        <w:t>[654]</w:t>
      </w:r>
      <w:r>
        <w:rPr>
          <w:szCs w:val="16"/>
        </w:rPr>
        <w:t xml:space="preserve"> </w:t>
      </w:r>
      <w:r w:rsidRPr="00031E0E">
        <w:rPr>
          <w:szCs w:val="18"/>
        </w:rPr>
        <w:t>reste à régler : il s’agit de savoir s’il convient simplement de le co</w:t>
      </w:r>
      <w:r w:rsidRPr="00031E0E">
        <w:rPr>
          <w:szCs w:val="18"/>
        </w:rPr>
        <w:t>m</w:t>
      </w:r>
      <w:r w:rsidRPr="00031E0E">
        <w:rPr>
          <w:szCs w:val="18"/>
        </w:rPr>
        <w:t>pléter ou, plus radicalement, de le remplacer. Cette question est d’autant plus complexe que la pratique de reche</w:t>
      </w:r>
      <w:r w:rsidRPr="00031E0E">
        <w:rPr>
          <w:szCs w:val="18"/>
        </w:rPr>
        <w:t>r</w:t>
      </w:r>
      <w:r w:rsidRPr="00031E0E">
        <w:rPr>
          <w:szCs w:val="18"/>
        </w:rPr>
        <w:t>che des auteurs ne coïncide pas toujours avec certaines de leurs proclamations : ainsi Theda Skocpol paraît plutôt favorable à la première s</w:t>
      </w:r>
      <w:r w:rsidRPr="00031E0E">
        <w:rPr>
          <w:szCs w:val="18"/>
        </w:rPr>
        <w:t>o</w:t>
      </w:r>
      <w:r w:rsidRPr="00031E0E">
        <w:rPr>
          <w:szCs w:val="18"/>
        </w:rPr>
        <w:t>lution, mais il n’est pas sûr qu’en fait elle n’aille pas bien au-delà. Il est clair en tout cas, comme nous l’avons déjà signalé, que son o</w:t>
      </w:r>
      <w:r w:rsidRPr="00031E0E">
        <w:rPr>
          <w:szCs w:val="18"/>
        </w:rPr>
        <w:t>u</w:t>
      </w:r>
      <w:r w:rsidRPr="00031E0E">
        <w:rPr>
          <w:szCs w:val="18"/>
        </w:rPr>
        <w:t>vrage illustre, même s’il ne s’y réduit pas, le second type d’explication ; et cette appréci</w:t>
      </w:r>
      <w:r w:rsidRPr="00031E0E">
        <w:rPr>
          <w:szCs w:val="18"/>
        </w:rPr>
        <w:t>a</w:t>
      </w:r>
      <w:r w:rsidRPr="00031E0E">
        <w:rPr>
          <w:szCs w:val="18"/>
        </w:rPr>
        <w:t xml:space="preserve">tion, accompagnée du même correctif, vaut également pour le livre de Ellen Kay Trimberger, </w:t>
      </w:r>
      <w:r w:rsidRPr="00031E0E">
        <w:rPr>
          <w:i/>
          <w:iCs/>
          <w:szCs w:val="18"/>
        </w:rPr>
        <w:t>Revol</w:t>
      </w:r>
      <w:r w:rsidRPr="00031E0E">
        <w:rPr>
          <w:i/>
          <w:iCs/>
          <w:szCs w:val="18"/>
        </w:rPr>
        <w:t>u</w:t>
      </w:r>
      <w:r w:rsidRPr="00031E0E">
        <w:rPr>
          <w:i/>
          <w:iCs/>
          <w:szCs w:val="18"/>
        </w:rPr>
        <w:t xml:space="preserve">tion from above. </w:t>
      </w:r>
      <w:r w:rsidRPr="00031E0E">
        <w:rPr>
          <w:szCs w:val="18"/>
        </w:rPr>
        <w:t>L’intérêt actuel pour « la formation des États » et, plus gén</w:t>
      </w:r>
      <w:r w:rsidRPr="00031E0E">
        <w:rPr>
          <w:szCs w:val="18"/>
        </w:rPr>
        <w:t>é</w:t>
      </w:r>
      <w:r w:rsidRPr="00031E0E">
        <w:rPr>
          <w:szCs w:val="18"/>
        </w:rPr>
        <w:t>ralement, pour la « sociologie de l’État »</w:t>
      </w:r>
      <w:r>
        <w:rPr>
          <w:szCs w:val="18"/>
        </w:rPr>
        <w:t> </w:t>
      </w:r>
      <w:r>
        <w:rPr>
          <w:rStyle w:val="Appelnotedebasdep"/>
          <w:szCs w:val="18"/>
        </w:rPr>
        <w:footnoteReference w:id="24"/>
      </w:r>
      <w:r w:rsidRPr="00031E0E">
        <w:rPr>
          <w:szCs w:val="18"/>
        </w:rPr>
        <w:t xml:space="preserve"> se reflète de manière très nette dans les recherches spéc</w:t>
      </w:r>
      <w:r w:rsidRPr="00031E0E">
        <w:rPr>
          <w:szCs w:val="18"/>
        </w:rPr>
        <w:t>i</w:t>
      </w:r>
      <w:r w:rsidRPr="00031E0E">
        <w:rPr>
          <w:szCs w:val="18"/>
        </w:rPr>
        <w:t>fiquement consacrées aux révolutions. Il n’y a vraisemblabl</w:t>
      </w:r>
      <w:r w:rsidRPr="00031E0E">
        <w:rPr>
          <w:szCs w:val="18"/>
        </w:rPr>
        <w:t>e</w:t>
      </w:r>
      <w:r w:rsidRPr="00031E0E">
        <w:rPr>
          <w:szCs w:val="18"/>
        </w:rPr>
        <w:t>ment pas en sociologie politique de représentants aussi manifestes du tro</w:t>
      </w:r>
      <w:r w:rsidRPr="00031E0E">
        <w:rPr>
          <w:szCs w:val="18"/>
        </w:rPr>
        <w:t>i</w:t>
      </w:r>
      <w:r w:rsidRPr="00031E0E">
        <w:rPr>
          <w:szCs w:val="18"/>
        </w:rPr>
        <w:t>sième type d’explication ; il ne semble pourtant pas excessif de sout</w:t>
      </w:r>
      <w:r w:rsidRPr="00031E0E">
        <w:rPr>
          <w:szCs w:val="18"/>
        </w:rPr>
        <w:t>e</w:t>
      </w:r>
      <w:r w:rsidRPr="00031E0E">
        <w:rPr>
          <w:szCs w:val="18"/>
        </w:rPr>
        <w:t xml:space="preserve">nir que, par son insistance, dans </w:t>
      </w:r>
      <w:r w:rsidRPr="00031E0E">
        <w:rPr>
          <w:i/>
          <w:iCs/>
          <w:szCs w:val="18"/>
        </w:rPr>
        <w:t>Revolution and the Transformation of Soci</w:t>
      </w:r>
      <w:r w:rsidRPr="00031E0E">
        <w:rPr>
          <w:i/>
          <w:iCs/>
          <w:szCs w:val="18"/>
        </w:rPr>
        <w:t>e</w:t>
      </w:r>
      <w:r w:rsidRPr="00031E0E">
        <w:rPr>
          <w:i/>
          <w:iCs/>
          <w:szCs w:val="18"/>
        </w:rPr>
        <w:t xml:space="preserve">ties </w:t>
      </w:r>
      <w:r w:rsidRPr="00031E0E">
        <w:rPr>
          <w:szCs w:val="18"/>
        </w:rPr>
        <w:t>(1978), sur les « orientations culturelles » et « le contexte soci</w:t>
      </w:r>
      <w:r w:rsidRPr="00031E0E">
        <w:rPr>
          <w:szCs w:val="18"/>
        </w:rPr>
        <w:t>o</w:t>
      </w:r>
      <w:r w:rsidRPr="00031E0E">
        <w:rPr>
          <w:szCs w:val="18"/>
        </w:rPr>
        <w:t>culturel » des révolutions, Eisenstadt se rattache à ce dernier t</w:t>
      </w:r>
      <w:r w:rsidRPr="00031E0E">
        <w:rPr>
          <w:szCs w:val="18"/>
        </w:rPr>
        <w:t>y</w:t>
      </w:r>
      <w:r w:rsidRPr="00031E0E">
        <w:rPr>
          <w:szCs w:val="18"/>
        </w:rPr>
        <w:t>pe : certes cet accent sur l’ordre culturel évoque davantage le « libéralisme mode</w:t>
      </w:r>
      <w:r w:rsidRPr="00031E0E">
        <w:rPr>
          <w:szCs w:val="18"/>
        </w:rPr>
        <w:t>r</w:t>
      </w:r>
      <w:r w:rsidRPr="00031E0E">
        <w:rPr>
          <w:szCs w:val="18"/>
        </w:rPr>
        <w:t>niste » d’un Parsons – auquel Eisenstadt doit tant – que le coup d’œil critique porté par un Cochin sur la dynamique de l’idéologie révolutionnaire, mais il convient de soul</w:t>
      </w:r>
      <w:r w:rsidRPr="00031E0E">
        <w:rPr>
          <w:szCs w:val="18"/>
        </w:rPr>
        <w:t>i</w:t>
      </w:r>
      <w:r w:rsidRPr="00031E0E">
        <w:rPr>
          <w:szCs w:val="18"/>
        </w:rPr>
        <w:t>gner que, dans la perspective d’Eisenstadt, seuls des types bien d</w:t>
      </w:r>
      <w:r w:rsidRPr="00031E0E">
        <w:rPr>
          <w:szCs w:val="18"/>
        </w:rPr>
        <w:t>é</w:t>
      </w:r>
      <w:r w:rsidRPr="00031E0E">
        <w:rPr>
          <w:szCs w:val="18"/>
        </w:rPr>
        <w:t>terminés d’orientations culturelles autorisent, voire même favorisent, l’émergence d’idéologies révol</w:t>
      </w:r>
      <w:r w:rsidRPr="00031E0E">
        <w:rPr>
          <w:szCs w:val="18"/>
        </w:rPr>
        <w:t>u</w:t>
      </w:r>
      <w:r w:rsidRPr="00031E0E">
        <w:rPr>
          <w:szCs w:val="18"/>
        </w:rPr>
        <w:t>tionnaires : un rôle important est ainsi reconnu aux idéologies</w:t>
      </w:r>
      <w:r>
        <w:rPr>
          <w:szCs w:val="18"/>
        </w:rPr>
        <w:t> </w:t>
      </w:r>
      <w:r>
        <w:rPr>
          <w:rStyle w:val="Appelnotedebasdep"/>
          <w:szCs w:val="18"/>
        </w:rPr>
        <w:footnoteReference w:id="25"/>
      </w:r>
      <w:r w:rsidRPr="00031E0E">
        <w:rPr>
          <w:szCs w:val="18"/>
        </w:rPr>
        <w:t>, m</w:t>
      </w:r>
      <w:r w:rsidRPr="00031E0E">
        <w:rPr>
          <w:szCs w:val="18"/>
        </w:rPr>
        <w:t>ê</w:t>
      </w:r>
      <w:r w:rsidRPr="00031E0E">
        <w:rPr>
          <w:szCs w:val="18"/>
        </w:rPr>
        <w:t>me si c’est d’une manière indirecte et dérivée. C’est en histoire que l’on trouve les travaux relevant, de la façon la plus indi</w:t>
      </w:r>
      <w:r w:rsidRPr="00031E0E">
        <w:rPr>
          <w:szCs w:val="18"/>
        </w:rPr>
        <w:t>s</w:t>
      </w:r>
      <w:r w:rsidRPr="00031E0E">
        <w:rPr>
          <w:szCs w:val="18"/>
        </w:rPr>
        <w:t>cutable, de notre dernier type d’explication : c’est notamment le cas de l’ouvrage de Martin Malia, qui accorde à la fo</w:t>
      </w:r>
      <w:r w:rsidRPr="00031E0E">
        <w:rPr>
          <w:szCs w:val="18"/>
        </w:rPr>
        <w:t>r</w:t>
      </w:r>
      <w:r w:rsidRPr="00031E0E">
        <w:rPr>
          <w:szCs w:val="18"/>
        </w:rPr>
        <w:t>mation puis à la victoire de « </w:t>
      </w:r>
      <w:r w:rsidRPr="00031E0E">
        <w:rPr>
          <w:i/>
          <w:iCs/>
          <w:szCs w:val="18"/>
        </w:rPr>
        <w:t>l’idéocratie</w:t>
      </w:r>
      <w:r>
        <w:rPr>
          <w:iCs/>
          <w:szCs w:val="18"/>
        </w:rPr>
        <w:t> </w:t>
      </w:r>
      <w:r>
        <w:rPr>
          <w:rStyle w:val="Appelnotedebasdep"/>
          <w:iCs/>
          <w:szCs w:val="18"/>
        </w:rPr>
        <w:footnoteReference w:id="26"/>
      </w:r>
      <w:r w:rsidRPr="00031E0E">
        <w:rPr>
          <w:i/>
          <w:iCs/>
          <w:szCs w:val="18"/>
        </w:rPr>
        <w:t xml:space="preserve"> </w:t>
      </w:r>
      <w:r w:rsidRPr="00031E0E">
        <w:rPr>
          <w:szCs w:val="18"/>
        </w:rPr>
        <w:t>bureaucratique » une place décisive dans son inte</w:t>
      </w:r>
      <w:r w:rsidRPr="00031E0E">
        <w:rPr>
          <w:szCs w:val="18"/>
        </w:rPr>
        <w:t>r</w:t>
      </w:r>
      <w:r w:rsidRPr="00031E0E">
        <w:rPr>
          <w:szCs w:val="18"/>
        </w:rPr>
        <w:t>prétation de la révolution russe (1980).</w:t>
      </w:r>
    </w:p>
    <w:p w14:paraId="19783BF7" w14:textId="77777777" w:rsidR="006C5FDB" w:rsidRPr="00031E0E" w:rsidRDefault="006C5FDB" w:rsidP="006C5FDB">
      <w:pPr>
        <w:spacing w:before="120" w:after="120"/>
        <w:jc w:val="both"/>
      </w:pPr>
      <w:r w:rsidRPr="00031E0E">
        <w:rPr>
          <w:szCs w:val="18"/>
        </w:rPr>
        <w:t>Ce mode d’exposition, consi</w:t>
      </w:r>
      <w:r w:rsidRPr="00031E0E">
        <w:rPr>
          <w:szCs w:val="18"/>
        </w:rPr>
        <w:t>s</w:t>
      </w:r>
      <w:r w:rsidRPr="00031E0E">
        <w:rPr>
          <w:szCs w:val="18"/>
        </w:rPr>
        <w:t>tant à inscrire en quelque sorte et à distribuer les recherches contemporaines dans les grandes tr</w:t>
      </w:r>
      <w:r w:rsidRPr="00031E0E">
        <w:rPr>
          <w:szCs w:val="18"/>
        </w:rPr>
        <w:t>a</w:t>
      </w:r>
      <w:r w:rsidRPr="00031E0E">
        <w:rPr>
          <w:szCs w:val="18"/>
        </w:rPr>
        <w:t>ditions explicatives qui ont été dégagées, présente assurément l’avantage de la commodité ; néanmoins ce n’est pas celui que nous r</w:t>
      </w:r>
      <w:r w:rsidRPr="00031E0E">
        <w:rPr>
          <w:szCs w:val="18"/>
        </w:rPr>
        <w:t>e</w:t>
      </w:r>
      <w:r w:rsidRPr="00031E0E">
        <w:rPr>
          <w:szCs w:val="18"/>
        </w:rPr>
        <w:t>tiendrons, car il comporte un risque – celui des rapproch</w:t>
      </w:r>
      <w:r w:rsidRPr="00031E0E">
        <w:rPr>
          <w:szCs w:val="18"/>
        </w:rPr>
        <w:t>e</w:t>
      </w:r>
      <w:r w:rsidRPr="00031E0E">
        <w:rPr>
          <w:szCs w:val="18"/>
        </w:rPr>
        <w:t>ments forcés – et surtout ne permet pas, par sa logique même qui privilégie la continuité, d’apprécier le degré de renouvellement des perspectives théoriques, quelqu</w:t>
      </w:r>
      <w:r w:rsidRPr="00031E0E">
        <w:rPr>
          <w:szCs w:val="18"/>
        </w:rPr>
        <w:t>e</w:t>
      </w:r>
      <w:r w:rsidRPr="00031E0E">
        <w:rPr>
          <w:szCs w:val="18"/>
        </w:rPr>
        <w:t>fois surestimé par des auteurs enfermés dans la « contemporaneité » mais qu’il ne convient pas, pour autant, de négl</w:t>
      </w:r>
      <w:r w:rsidRPr="00031E0E">
        <w:rPr>
          <w:szCs w:val="18"/>
        </w:rPr>
        <w:t>i</w:t>
      </w:r>
      <w:r w:rsidRPr="00031E0E">
        <w:rPr>
          <w:szCs w:val="18"/>
        </w:rPr>
        <w:t>ger. Nous préférerons donc traiter successivement de que</w:t>
      </w:r>
      <w:r w:rsidRPr="00031E0E">
        <w:rPr>
          <w:szCs w:val="18"/>
        </w:rPr>
        <w:t>l</w:t>
      </w:r>
      <w:r w:rsidRPr="00031E0E">
        <w:rPr>
          <w:szCs w:val="18"/>
        </w:rPr>
        <w:t>ques modes d’analyse, plus ou moins récents, des révolutions, à savoir l’ « histoire nature</w:t>
      </w:r>
      <w:r w:rsidRPr="00031E0E">
        <w:rPr>
          <w:szCs w:val="18"/>
        </w:rPr>
        <w:t>l</w:t>
      </w:r>
      <w:r w:rsidRPr="00031E0E">
        <w:rPr>
          <w:szCs w:val="18"/>
        </w:rPr>
        <w:t>le », « les modèles volcaniques », pour reprendre l’expression de Rod Aya (1979, p. 40), les études compar</w:t>
      </w:r>
      <w:r w:rsidRPr="00031E0E">
        <w:rPr>
          <w:szCs w:val="18"/>
        </w:rPr>
        <w:t>a</w:t>
      </w:r>
      <w:r w:rsidRPr="00031E0E">
        <w:rPr>
          <w:szCs w:val="18"/>
        </w:rPr>
        <w:t>tives socio-historiques</w:t>
      </w:r>
      <w:r>
        <w:rPr>
          <w:szCs w:val="18"/>
        </w:rPr>
        <w:t xml:space="preserve"> </w:t>
      </w:r>
      <w:r w:rsidRPr="00031E0E">
        <w:rPr>
          <w:szCs w:val="14"/>
        </w:rPr>
        <w:t>[655]</w:t>
      </w:r>
      <w:r>
        <w:rPr>
          <w:szCs w:val="14"/>
        </w:rPr>
        <w:t xml:space="preserve"> </w:t>
      </w:r>
      <w:r w:rsidRPr="00031E0E">
        <w:rPr>
          <w:szCs w:val="18"/>
        </w:rPr>
        <w:t>et enfin l’approche – pas encore pleinement constituée – de la mobilisation polit</w:t>
      </w:r>
      <w:r w:rsidRPr="00031E0E">
        <w:rPr>
          <w:szCs w:val="18"/>
        </w:rPr>
        <w:t>i</w:t>
      </w:r>
      <w:r w:rsidRPr="00031E0E">
        <w:rPr>
          <w:szCs w:val="18"/>
        </w:rPr>
        <w:t>que. C’est autour et à partir de ces quatre courants – tenus pour majeurs – que sera conduite la di</w:t>
      </w:r>
      <w:r w:rsidRPr="00031E0E">
        <w:rPr>
          <w:szCs w:val="18"/>
        </w:rPr>
        <w:t>s</w:t>
      </w:r>
      <w:r w:rsidRPr="00031E0E">
        <w:rPr>
          <w:szCs w:val="18"/>
        </w:rPr>
        <w:t>cussion critique ; mais nous nous r</w:t>
      </w:r>
      <w:r w:rsidRPr="00031E0E">
        <w:rPr>
          <w:szCs w:val="18"/>
        </w:rPr>
        <w:t>é</w:t>
      </w:r>
      <w:r w:rsidRPr="00031E0E">
        <w:rPr>
          <w:szCs w:val="18"/>
        </w:rPr>
        <w:t>serverons le droit d’évoquer tel ou tel « franc-tireur », si son apport sur un point spécifique nous paraît en valoir la peine, et nous nous efforcerons de ne pas laisser entièrement de côté les pr</w:t>
      </w:r>
      <w:r w:rsidRPr="00031E0E">
        <w:rPr>
          <w:szCs w:val="18"/>
        </w:rPr>
        <w:t>o</w:t>
      </w:r>
      <w:r w:rsidRPr="00031E0E">
        <w:rPr>
          <w:szCs w:val="18"/>
        </w:rPr>
        <w:t>blématiques qui ne peuvent rentrer dans aucune de nos quatre catég</w:t>
      </w:r>
      <w:r w:rsidRPr="00031E0E">
        <w:rPr>
          <w:szCs w:val="18"/>
        </w:rPr>
        <w:t>o</w:t>
      </w:r>
      <w:r w:rsidRPr="00031E0E">
        <w:rPr>
          <w:szCs w:val="18"/>
        </w:rPr>
        <w:t>ries, définies pourtant de façon plutôt large et glob</w:t>
      </w:r>
      <w:r w:rsidRPr="00031E0E">
        <w:rPr>
          <w:szCs w:val="18"/>
        </w:rPr>
        <w:t>a</w:t>
      </w:r>
      <w:r w:rsidRPr="00031E0E">
        <w:rPr>
          <w:szCs w:val="18"/>
        </w:rPr>
        <w:t>le.</w:t>
      </w:r>
    </w:p>
    <w:p w14:paraId="34A14035" w14:textId="77777777" w:rsidR="006C5FDB" w:rsidRPr="00031E0E" w:rsidRDefault="006C5FDB" w:rsidP="006C5FDB">
      <w:pPr>
        <w:spacing w:before="120" w:after="120"/>
        <w:jc w:val="both"/>
      </w:pPr>
      <w:r w:rsidRPr="00031E0E">
        <w:rPr>
          <w:szCs w:val="18"/>
        </w:rPr>
        <w:t>Nous voudrions enfin, avant d’entamer l’examen critique, prévenir un éventuel malente</w:t>
      </w:r>
      <w:r w:rsidRPr="00031E0E">
        <w:rPr>
          <w:szCs w:val="18"/>
        </w:rPr>
        <w:t>n</w:t>
      </w:r>
      <w:r w:rsidRPr="00031E0E">
        <w:rPr>
          <w:szCs w:val="18"/>
        </w:rPr>
        <w:t>du : nous ne nous contenterons pas de présenter, chacune à leur tour, trois générations de che</w:t>
      </w:r>
      <w:r w:rsidRPr="00031E0E">
        <w:rPr>
          <w:szCs w:val="18"/>
        </w:rPr>
        <w:t>r</w:t>
      </w:r>
      <w:r w:rsidRPr="00031E0E">
        <w:rPr>
          <w:szCs w:val="18"/>
        </w:rPr>
        <w:t>cheurs. Certes l’ordre adopté n’est pas indifférent aux dates de parution des travaux : nous traiterons d’abord de l’ « histoire nature</w:t>
      </w:r>
      <w:r w:rsidRPr="00031E0E">
        <w:rPr>
          <w:szCs w:val="18"/>
        </w:rPr>
        <w:t>l</w:t>
      </w:r>
      <w:r w:rsidRPr="00031E0E">
        <w:rPr>
          <w:szCs w:val="18"/>
        </w:rPr>
        <w:t>le », qui constitue le cadre de référence privilégié par la « première génér</w:t>
      </w:r>
      <w:r w:rsidRPr="00031E0E">
        <w:rPr>
          <w:szCs w:val="18"/>
        </w:rPr>
        <w:t>a</w:t>
      </w:r>
      <w:r w:rsidRPr="00031E0E">
        <w:rPr>
          <w:szCs w:val="18"/>
        </w:rPr>
        <w:t>tion », puis des « modèles volcaniques » dont il est permis d’associer la prépondérance aux r</w:t>
      </w:r>
      <w:r w:rsidRPr="00031E0E">
        <w:rPr>
          <w:szCs w:val="18"/>
        </w:rPr>
        <w:t>e</w:t>
      </w:r>
      <w:r w:rsidRPr="00031E0E">
        <w:rPr>
          <w:szCs w:val="18"/>
        </w:rPr>
        <w:t>cherches de la « seconde génération » ; mais il convient aussi de so</w:t>
      </w:r>
      <w:r w:rsidRPr="00031E0E">
        <w:rPr>
          <w:szCs w:val="18"/>
        </w:rPr>
        <w:t>u</w:t>
      </w:r>
      <w:r w:rsidRPr="00031E0E">
        <w:rPr>
          <w:szCs w:val="18"/>
        </w:rPr>
        <w:t>ligner qu’un des ouvrages majeurs de l’analyse comparat</w:t>
      </w:r>
      <w:r w:rsidRPr="00031E0E">
        <w:rPr>
          <w:szCs w:val="18"/>
        </w:rPr>
        <w:t>i</w:t>
      </w:r>
      <w:r w:rsidRPr="00031E0E">
        <w:rPr>
          <w:szCs w:val="18"/>
        </w:rPr>
        <w:t>ve socio-historique, celui de Barrington Moore, déjà cité, paraît la même année (1966) – et, détail piquant, dans la m</w:t>
      </w:r>
      <w:r w:rsidRPr="00031E0E">
        <w:rPr>
          <w:szCs w:val="18"/>
        </w:rPr>
        <w:t>ê</w:t>
      </w:r>
      <w:r w:rsidRPr="00031E0E">
        <w:rPr>
          <w:szCs w:val="18"/>
        </w:rPr>
        <w:t xml:space="preserve">me ville (Boston) – que le livre de Chalmers Johnson, </w:t>
      </w:r>
      <w:r w:rsidRPr="00031E0E">
        <w:rPr>
          <w:i/>
          <w:iCs/>
          <w:szCs w:val="18"/>
        </w:rPr>
        <w:t xml:space="preserve">Revolutionary Change, </w:t>
      </w:r>
      <w:r w:rsidRPr="00031E0E">
        <w:rPr>
          <w:szCs w:val="18"/>
        </w:rPr>
        <w:t>c’est-à-dire, à un niveau plus général, dans une décennie dominée par les « modèles volcan</w:t>
      </w:r>
      <w:r w:rsidRPr="00031E0E">
        <w:rPr>
          <w:szCs w:val="18"/>
        </w:rPr>
        <w:t>i</w:t>
      </w:r>
      <w:r w:rsidRPr="00031E0E">
        <w:rPr>
          <w:szCs w:val="18"/>
        </w:rPr>
        <w:t xml:space="preserve">ques » ; et surtout nous choisissons de clore l’exposé sur le thème de la mobilisation, alors que dans son stimulant article de </w:t>
      </w:r>
      <w:r w:rsidRPr="00031E0E">
        <w:rPr>
          <w:i/>
          <w:iCs/>
          <w:szCs w:val="18"/>
        </w:rPr>
        <w:t>World P</w:t>
      </w:r>
      <w:r w:rsidRPr="00031E0E">
        <w:rPr>
          <w:i/>
          <w:iCs/>
          <w:szCs w:val="18"/>
        </w:rPr>
        <w:t>o</w:t>
      </w:r>
      <w:r w:rsidRPr="00031E0E">
        <w:rPr>
          <w:i/>
          <w:iCs/>
          <w:szCs w:val="18"/>
        </w:rPr>
        <w:t xml:space="preserve">litics </w:t>
      </w:r>
      <w:r w:rsidRPr="00031E0E">
        <w:rPr>
          <w:szCs w:val="18"/>
        </w:rPr>
        <w:t>(1980), « Theories of Rev</w:t>
      </w:r>
      <w:r w:rsidRPr="00031E0E">
        <w:rPr>
          <w:szCs w:val="18"/>
        </w:rPr>
        <w:t>o</w:t>
      </w:r>
      <w:r w:rsidRPr="00031E0E">
        <w:rPr>
          <w:szCs w:val="18"/>
        </w:rPr>
        <w:t>lution : The Third Generation », Jack Goldstone rattache, de son côté, les travaux de Tilly à la seconde g</w:t>
      </w:r>
      <w:r w:rsidRPr="00031E0E">
        <w:rPr>
          <w:szCs w:val="18"/>
        </w:rPr>
        <w:t>é</w:t>
      </w:r>
      <w:r w:rsidRPr="00031E0E">
        <w:rPr>
          <w:szCs w:val="18"/>
        </w:rPr>
        <w:t>nération. Ce seul exemple su</w:t>
      </w:r>
      <w:r w:rsidRPr="00031E0E">
        <w:rPr>
          <w:szCs w:val="18"/>
        </w:rPr>
        <w:t>f</w:t>
      </w:r>
      <w:r w:rsidRPr="00031E0E">
        <w:rPr>
          <w:szCs w:val="18"/>
        </w:rPr>
        <w:t>fit à montrer que le strict découpage en générations doit s’accommoder d’entorses à la chr</w:t>
      </w:r>
      <w:r w:rsidRPr="00031E0E">
        <w:rPr>
          <w:szCs w:val="18"/>
        </w:rPr>
        <w:t>o</w:t>
      </w:r>
      <w:r w:rsidRPr="00031E0E">
        <w:rPr>
          <w:szCs w:val="18"/>
        </w:rPr>
        <w:t>nologie et, il faut ajouter, de quelques amalgames sur le plan théorique – ce qui est plus grave. Nous voudrions, pour notre part, i</w:t>
      </w:r>
      <w:r w:rsidRPr="00031E0E">
        <w:rPr>
          <w:szCs w:val="18"/>
        </w:rPr>
        <w:t>n</w:t>
      </w:r>
      <w:r w:rsidRPr="00031E0E">
        <w:rPr>
          <w:szCs w:val="18"/>
        </w:rPr>
        <w:t>sister en priorité sur les choix – et quelquefois les « tentations » – thé</w:t>
      </w:r>
      <w:r w:rsidRPr="00031E0E">
        <w:rPr>
          <w:szCs w:val="18"/>
        </w:rPr>
        <w:t>o</w:t>
      </w:r>
      <w:r w:rsidRPr="00031E0E">
        <w:rPr>
          <w:szCs w:val="18"/>
        </w:rPr>
        <w:t>riques auxquels sont confrontés les chercheurs ; et, à ce titre, l’ « histoire nature</w:t>
      </w:r>
      <w:r w:rsidRPr="00031E0E">
        <w:rPr>
          <w:szCs w:val="18"/>
        </w:rPr>
        <w:t>l</w:t>
      </w:r>
      <w:r w:rsidRPr="00031E0E">
        <w:rPr>
          <w:szCs w:val="18"/>
        </w:rPr>
        <w:t>le » n’est plus seulement le produit du travail d’une génér</w:t>
      </w:r>
      <w:r w:rsidRPr="00031E0E">
        <w:rPr>
          <w:szCs w:val="18"/>
        </w:rPr>
        <w:t>a</w:t>
      </w:r>
      <w:r w:rsidRPr="00031E0E">
        <w:rPr>
          <w:szCs w:val="18"/>
        </w:rPr>
        <w:t>tion. Cette position ne nous incite nullement à méconna</w:t>
      </w:r>
      <w:r w:rsidRPr="00031E0E">
        <w:rPr>
          <w:szCs w:val="18"/>
        </w:rPr>
        <w:t>î</w:t>
      </w:r>
      <w:r w:rsidRPr="00031E0E">
        <w:rPr>
          <w:szCs w:val="18"/>
        </w:rPr>
        <w:t>tre l’importance de ce qu’on peut appeler des « climats de recherche », c’est-à-dire de préoccup</w:t>
      </w:r>
      <w:r w:rsidRPr="00031E0E">
        <w:rPr>
          <w:szCs w:val="18"/>
        </w:rPr>
        <w:t>a</w:t>
      </w:r>
      <w:r w:rsidRPr="00031E0E">
        <w:rPr>
          <w:szCs w:val="18"/>
        </w:rPr>
        <w:t>tions communes à un certain nombre de spécialistes pendant des périodes relativement bien définies, sur lesquelles Goldstone a just</w:t>
      </w:r>
      <w:r w:rsidRPr="00031E0E">
        <w:rPr>
          <w:szCs w:val="18"/>
        </w:rPr>
        <w:t>e</w:t>
      </w:r>
      <w:r w:rsidRPr="00031E0E">
        <w:rPr>
          <w:szCs w:val="18"/>
        </w:rPr>
        <w:t>ment attiré l’attention ; mais elle interdit en revanche de verser dans l’éloge que</w:t>
      </w:r>
      <w:r w:rsidRPr="00031E0E">
        <w:rPr>
          <w:szCs w:val="18"/>
        </w:rPr>
        <w:t>l</w:t>
      </w:r>
      <w:r w:rsidRPr="00031E0E">
        <w:rPr>
          <w:szCs w:val="18"/>
        </w:rPr>
        <w:t>que peu facile du dernier cri, travers auquel Goldstone n’a pas en r</w:t>
      </w:r>
      <w:r w:rsidRPr="00031E0E">
        <w:rPr>
          <w:szCs w:val="18"/>
        </w:rPr>
        <w:t>e</w:t>
      </w:r>
      <w:r w:rsidRPr="00031E0E">
        <w:rPr>
          <w:szCs w:val="18"/>
        </w:rPr>
        <w:t>vanche su compl</w:t>
      </w:r>
      <w:r w:rsidRPr="00031E0E">
        <w:rPr>
          <w:szCs w:val="18"/>
        </w:rPr>
        <w:t>è</w:t>
      </w:r>
      <w:r w:rsidRPr="00031E0E">
        <w:rPr>
          <w:szCs w:val="18"/>
        </w:rPr>
        <w:t>tement échapper.</w:t>
      </w:r>
    </w:p>
    <w:p w14:paraId="2929040D" w14:textId="77777777" w:rsidR="006C5FDB" w:rsidRPr="00031E0E" w:rsidRDefault="006C5FDB" w:rsidP="006C5FDB">
      <w:pPr>
        <w:spacing w:before="120" w:after="120"/>
        <w:jc w:val="both"/>
        <w:rPr>
          <w:szCs w:val="18"/>
        </w:rPr>
      </w:pPr>
    </w:p>
    <w:p w14:paraId="258D358D" w14:textId="77777777" w:rsidR="006C5FDB" w:rsidRPr="00031E0E" w:rsidRDefault="006C5FDB" w:rsidP="006C5FDB">
      <w:pPr>
        <w:pStyle w:val="b"/>
      </w:pPr>
      <w:r w:rsidRPr="00031E0E">
        <w:t>A. L’HISTOIRE NATURELLE DES R</w:t>
      </w:r>
      <w:r w:rsidRPr="00031E0E">
        <w:t>É</w:t>
      </w:r>
      <w:r w:rsidRPr="00031E0E">
        <w:t>VOLUTIONS</w:t>
      </w:r>
    </w:p>
    <w:p w14:paraId="354C18FF" w14:textId="77777777" w:rsidR="006C5FDB" w:rsidRPr="00031E0E" w:rsidRDefault="006C5FDB" w:rsidP="006C5FDB">
      <w:pPr>
        <w:spacing w:before="120" w:after="120"/>
        <w:jc w:val="both"/>
        <w:rPr>
          <w:szCs w:val="18"/>
        </w:rPr>
      </w:pPr>
    </w:p>
    <w:p w14:paraId="4367C002" w14:textId="77777777" w:rsidR="006C5FDB" w:rsidRPr="00031E0E" w:rsidRDefault="006C5FDB" w:rsidP="006C5FDB">
      <w:pPr>
        <w:spacing w:before="120" w:after="120"/>
        <w:jc w:val="both"/>
      </w:pPr>
      <w:r w:rsidRPr="00031E0E">
        <w:rPr>
          <w:szCs w:val="18"/>
        </w:rPr>
        <w:t>L’histoire nat</w:t>
      </w:r>
      <w:r w:rsidRPr="00031E0E">
        <w:rPr>
          <w:szCs w:val="18"/>
        </w:rPr>
        <w:t>u</w:t>
      </w:r>
      <w:r w:rsidRPr="00031E0E">
        <w:rPr>
          <w:szCs w:val="18"/>
        </w:rPr>
        <w:t>relle se caractérise essentiellement par un effort pour dégager, sous la forme d’un agencement séquentiel, des ét</w:t>
      </w:r>
      <w:r w:rsidRPr="00031E0E">
        <w:rPr>
          <w:szCs w:val="18"/>
        </w:rPr>
        <w:t>a</w:t>
      </w:r>
      <w:r w:rsidRPr="00031E0E">
        <w:rPr>
          <w:szCs w:val="18"/>
        </w:rPr>
        <w:t>pes majeures dans le déroulement d’une révolution ; mais il faut encore ajouter que l’histoire naturelle a une visée comparative : le r</w:t>
      </w:r>
      <w:r w:rsidRPr="00031E0E">
        <w:rPr>
          <w:szCs w:val="18"/>
        </w:rPr>
        <w:t>e</w:t>
      </w:r>
      <w:r w:rsidRPr="00031E0E">
        <w:rPr>
          <w:szCs w:val="18"/>
        </w:rPr>
        <w:t>pérage des phases permettrait de surmonter la singularité d’un épisode rév</w:t>
      </w:r>
      <w:r w:rsidRPr="00031E0E">
        <w:rPr>
          <w:szCs w:val="18"/>
        </w:rPr>
        <w:t>o</w:t>
      </w:r>
      <w:r w:rsidRPr="00031E0E">
        <w:rPr>
          <w:szCs w:val="18"/>
        </w:rPr>
        <w:t>lutionnaire spécifique, dans la mesure m</w:t>
      </w:r>
      <w:r w:rsidRPr="00031E0E">
        <w:rPr>
          <w:szCs w:val="18"/>
        </w:rPr>
        <w:t>ê</w:t>
      </w:r>
      <w:r w:rsidRPr="00031E0E">
        <w:rPr>
          <w:szCs w:val="18"/>
        </w:rPr>
        <w:t>me où ces phases seraient récurrentes d’une révolution à une autre ; elles seraient caractérist</w:t>
      </w:r>
      <w:r w:rsidRPr="00031E0E">
        <w:rPr>
          <w:szCs w:val="18"/>
        </w:rPr>
        <w:t>i</w:t>
      </w:r>
      <w:r w:rsidRPr="00031E0E">
        <w:rPr>
          <w:szCs w:val="18"/>
        </w:rPr>
        <w:t>ques des phénomènes révolutionnaires, dont elles constitu</w:t>
      </w:r>
      <w:r w:rsidRPr="00031E0E">
        <w:rPr>
          <w:szCs w:val="18"/>
        </w:rPr>
        <w:t>e</w:t>
      </w:r>
      <w:r w:rsidRPr="00031E0E">
        <w:rPr>
          <w:szCs w:val="18"/>
        </w:rPr>
        <w:t xml:space="preserve">raient de véritables régularités </w:t>
      </w:r>
      <w:r w:rsidRPr="00031E0E">
        <w:rPr>
          <w:i/>
          <w:iCs/>
          <w:szCs w:val="18"/>
        </w:rPr>
        <w:t>(unifo</w:t>
      </w:r>
      <w:r w:rsidRPr="00031E0E">
        <w:rPr>
          <w:i/>
          <w:iCs/>
          <w:szCs w:val="18"/>
        </w:rPr>
        <w:t>r</w:t>
      </w:r>
      <w:r w:rsidRPr="00031E0E">
        <w:rPr>
          <w:i/>
          <w:iCs/>
          <w:szCs w:val="18"/>
        </w:rPr>
        <w:t>mities).</w:t>
      </w:r>
    </w:p>
    <w:p w14:paraId="7E3DF09A" w14:textId="77777777" w:rsidR="006C5FDB" w:rsidRPr="00031E0E" w:rsidRDefault="006C5FDB" w:rsidP="006C5FDB">
      <w:pPr>
        <w:spacing w:before="120" w:after="120"/>
        <w:jc w:val="both"/>
      </w:pPr>
      <w:r w:rsidRPr="00031E0E">
        <w:rPr>
          <w:szCs w:val="18"/>
        </w:rPr>
        <w:t>L’auteur le plus représentatif de ce courant est sans nul doute Cr</w:t>
      </w:r>
      <w:r w:rsidRPr="00031E0E">
        <w:rPr>
          <w:szCs w:val="18"/>
        </w:rPr>
        <w:t>a</w:t>
      </w:r>
      <w:r w:rsidRPr="00031E0E">
        <w:rPr>
          <w:szCs w:val="18"/>
        </w:rPr>
        <w:t xml:space="preserve">ne Brinton, avec </w:t>
      </w:r>
      <w:r w:rsidRPr="00031E0E">
        <w:rPr>
          <w:i/>
          <w:iCs/>
          <w:szCs w:val="18"/>
        </w:rPr>
        <w:t xml:space="preserve">The Anatomy of Revolution </w:t>
      </w:r>
      <w:r w:rsidRPr="00031E0E">
        <w:rPr>
          <w:szCs w:val="18"/>
        </w:rPr>
        <w:t>(1938, éd. rev., 1965) ; mais il n’est pas isolé :</w:t>
      </w:r>
      <w:r>
        <w:rPr>
          <w:szCs w:val="18"/>
        </w:rPr>
        <w:t xml:space="preserve"> </w:t>
      </w:r>
      <w:r w:rsidRPr="00031E0E">
        <w:rPr>
          <w:szCs w:val="16"/>
        </w:rPr>
        <w:t>[656]</w:t>
      </w:r>
      <w:r>
        <w:rPr>
          <w:szCs w:val="16"/>
        </w:rPr>
        <w:t xml:space="preserve"> </w:t>
      </w:r>
      <w:r w:rsidRPr="00031E0E">
        <w:rPr>
          <w:szCs w:val="18"/>
        </w:rPr>
        <w:t>l’expression même d’« histoire naturelle de la révol</w:t>
      </w:r>
      <w:r w:rsidRPr="00031E0E">
        <w:rPr>
          <w:szCs w:val="18"/>
        </w:rPr>
        <w:t>u</w:t>
      </w:r>
      <w:r w:rsidRPr="00031E0E">
        <w:rPr>
          <w:szCs w:val="18"/>
        </w:rPr>
        <w:t xml:space="preserve">tion » </w:t>
      </w:r>
      <w:r w:rsidRPr="00031E0E">
        <w:rPr>
          <w:i/>
          <w:iCs/>
          <w:szCs w:val="18"/>
        </w:rPr>
        <w:t xml:space="preserve">(The Natural History of Revolution) </w:t>
      </w:r>
      <w:r w:rsidRPr="00031E0E">
        <w:rPr>
          <w:szCs w:val="18"/>
        </w:rPr>
        <w:t>est retenue par Lyford Edwards co</w:t>
      </w:r>
      <w:r w:rsidRPr="00031E0E">
        <w:rPr>
          <w:szCs w:val="18"/>
        </w:rPr>
        <w:t>m</w:t>
      </w:r>
      <w:r w:rsidRPr="00031E0E">
        <w:rPr>
          <w:szCs w:val="18"/>
        </w:rPr>
        <w:t xml:space="preserve">me titre pour son livre publié dès 1927 (nouv. éd., 1970) et, ainsi que nous l’avons déjà signalé, l’ouvrage de George Pettee, </w:t>
      </w:r>
      <w:r w:rsidRPr="00031E0E">
        <w:rPr>
          <w:i/>
          <w:iCs/>
          <w:szCs w:val="18"/>
        </w:rPr>
        <w:t>The Pr</w:t>
      </w:r>
      <w:r w:rsidRPr="00031E0E">
        <w:rPr>
          <w:i/>
          <w:iCs/>
          <w:szCs w:val="18"/>
        </w:rPr>
        <w:t>o</w:t>
      </w:r>
      <w:r w:rsidRPr="00031E0E">
        <w:rPr>
          <w:i/>
          <w:iCs/>
          <w:szCs w:val="18"/>
        </w:rPr>
        <w:t xml:space="preserve">cess of Revolution </w:t>
      </w:r>
      <w:r w:rsidRPr="00031E0E">
        <w:rPr>
          <w:szCs w:val="18"/>
        </w:rPr>
        <w:t>(1938), représente une autre mise en œuvre de cette perspe</w:t>
      </w:r>
      <w:r w:rsidRPr="00031E0E">
        <w:rPr>
          <w:szCs w:val="18"/>
        </w:rPr>
        <w:t>c</w:t>
      </w:r>
      <w:r w:rsidRPr="00031E0E">
        <w:rPr>
          <w:szCs w:val="18"/>
        </w:rPr>
        <w:t>tive. Enfin il convient de rappeler au lecteur français l’existence d’un précurseur en la personne d’Arthur Bauer, dont l’</w:t>
      </w:r>
      <w:r w:rsidRPr="00031E0E">
        <w:rPr>
          <w:i/>
          <w:iCs/>
          <w:szCs w:val="18"/>
        </w:rPr>
        <w:t>Essai sur les révol</w:t>
      </w:r>
      <w:r w:rsidRPr="00031E0E">
        <w:rPr>
          <w:i/>
          <w:iCs/>
          <w:szCs w:val="18"/>
        </w:rPr>
        <w:t>u</w:t>
      </w:r>
      <w:r w:rsidRPr="00031E0E">
        <w:rPr>
          <w:i/>
          <w:iCs/>
          <w:szCs w:val="18"/>
        </w:rPr>
        <w:t xml:space="preserve">tions </w:t>
      </w:r>
      <w:r w:rsidRPr="00031E0E">
        <w:rPr>
          <w:szCs w:val="18"/>
        </w:rPr>
        <w:t>date de 1908.</w:t>
      </w:r>
    </w:p>
    <w:p w14:paraId="29444905" w14:textId="77777777" w:rsidR="006C5FDB" w:rsidRPr="00031E0E" w:rsidRDefault="006C5FDB" w:rsidP="006C5FDB">
      <w:pPr>
        <w:spacing w:before="120" w:after="120"/>
        <w:jc w:val="both"/>
      </w:pPr>
      <w:r w:rsidRPr="00031E0E">
        <w:rPr>
          <w:szCs w:val="18"/>
        </w:rPr>
        <w:t>L’étude de Crane Brinton n’est donc pas unique en son genre ; mais elle n’en constitue pas moins, pour qui veut avoir un aperçu de la démarche sous-jacente à l’histoire naturelle, une illustration privil</w:t>
      </w:r>
      <w:r w:rsidRPr="00031E0E">
        <w:rPr>
          <w:szCs w:val="18"/>
        </w:rPr>
        <w:t>é</w:t>
      </w:r>
      <w:r w:rsidRPr="00031E0E">
        <w:rPr>
          <w:szCs w:val="18"/>
        </w:rPr>
        <w:t>giée : c’est pourquoi elle servira ici de base à notre examen crit</w:t>
      </w:r>
      <w:r w:rsidRPr="00031E0E">
        <w:rPr>
          <w:szCs w:val="18"/>
        </w:rPr>
        <w:t>i</w:t>
      </w:r>
      <w:r w:rsidRPr="00031E0E">
        <w:rPr>
          <w:szCs w:val="18"/>
        </w:rPr>
        <w:t>que. Procédant à une comparaison de quatre « grandes révol</w:t>
      </w:r>
      <w:r w:rsidRPr="00031E0E">
        <w:rPr>
          <w:szCs w:val="18"/>
        </w:rPr>
        <w:t>u</w:t>
      </w:r>
      <w:r w:rsidRPr="00031E0E">
        <w:rPr>
          <w:szCs w:val="18"/>
        </w:rPr>
        <w:t>tions » – les révolutions anglaise, am</w:t>
      </w:r>
      <w:r w:rsidRPr="00031E0E">
        <w:rPr>
          <w:szCs w:val="18"/>
        </w:rPr>
        <w:t>é</w:t>
      </w:r>
      <w:r w:rsidRPr="00031E0E">
        <w:rPr>
          <w:szCs w:val="18"/>
        </w:rPr>
        <w:t>ricaine, française et russe –, Brinton met tout d’abord en év</w:t>
      </w:r>
      <w:r w:rsidRPr="00031E0E">
        <w:rPr>
          <w:szCs w:val="18"/>
        </w:rPr>
        <w:t>i</w:t>
      </w:r>
      <w:r w:rsidRPr="00031E0E">
        <w:rPr>
          <w:szCs w:val="18"/>
        </w:rPr>
        <w:t>dence, dans le contexte des anciens régimes, un certain nombre de « symptômes » c</w:t>
      </w:r>
      <w:r w:rsidRPr="00031E0E">
        <w:rPr>
          <w:szCs w:val="18"/>
        </w:rPr>
        <w:t>a</w:t>
      </w:r>
      <w:r w:rsidRPr="00031E0E">
        <w:rPr>
          <w:szCs w:val="18"/>
        </w:rPr>
        <w:t>ractéristiques, qui doivent être regardés comme de véritables « prodromes » de la révolution procha</w:t>
      </w:r>
      <w:r w:rsidRPr="00031E0E">
        <w:rPr>
          <w:szCs w:val="18"/>
        </w:rPr>
        <w:t>i</w:t>
      </w:r>
      <w:r w:rsidRPr="00031E0E">
        <w:rPr>
          <w:szCs w:val="18"/>
        </w:rPr>
        <w:t>ne : une réelle croi</w:t>
      </w:r>
      <w:r w:rsidRPr="00031E0E">
        <w:rPr>
          <w:szCs w:val="18"/>
        </w:rPr>
        <w:t>s</w:t>
      </w:r>
      <w:r w:rsidRPr="00031E0E">
        <w:rPr>
          <w:szCs w:val="18"/>
        </w:rPr>
        <w:t>sance économique, une intensification des « antagonismes de classe », sous l’effet en particulier de cette croissance et des esp</w:t>
      </w:r>
      <w:r w:rsidRPr="00031E0E">
        <w:rPr>
          <w:szCs w:val="18"/>
        </w:rPr>
        <w:t>é</w:t>
      </w:r>
      <w:r w:rsidRPr="00031E0E">
        <w:rPr>
          <w:szCs w:val="18"/>
        </w:rPr>
        <w:t>rances qu’elle nourrit, le « transfert d’allégeance » des intellectuels, qui conduisent une critique acerbe des a</w:t>
      </w:r>
      <w:r w:rsidRPr="00031E0E">
        <w:rPr>
          <w:szCs w:val="18"/>
        </w:rPr>
        <w:t>n</w:t>
      </w:r>
      <w:r w:rsidRPr="00031E0E">
        <w:rPr>
          <w:szCs w:val="18"/>
        </w:rPr>
        <w:t>ciens régimes « corrompus et ine</w:t>
      </w:r>
      <w:r w:rsidRPr="00031E0E">
        <w:rPr>
          <w:szCs w:val="18"/>
        </w:rPr>
        <w:t>f</w:t>
      </w:r>
      <w:r w:rsidRPr="00031E0E">
        <w:rPr>
          <w:szCs w:val="18"/>
        </w:rPr>
        <w:t>ficaces » (1965, p. 46) et réclament au nom d’un monde meilleur une transformation profonde des institutions existantes, une inefficac</w:t>
      </w:r>
      <w:r w:rsidRPr="00031E0E">
        <w:rPr>
          <w:szCs w:val="18"/>
        </w:rPr>
        <w:t>i</w:t>
      </w:r>
      <w:r w:rsidRPr="00031E0E">
        <w:rPr>
          <w:szCs w:val="18"/>
        </w:rPr>
        <w:t>té manifeste de la machinerie gouve</w:t>
      </w:r>
      <w:r w:rsidRPr="00031E0E">
        <w:rPr>
          <w:szCs w:val="18"/>
        </w:rPr>
        <w:t>r</w:t>
      </w:r>
      <w:r w:rsidRPr="00031E0E">
        <w:rPr>
          <w:szCs w:val="18"/>
        </w:rPr>
        <w:t>nementale, à laquelle vient s’ajouter une perte de confiance en soi de l’ancienne classe dirigeante. Cette impuissance du gouvernement est patente au cours de ce qui constitue, selon Brinton, la pr</w:t>
      </w:r>
      <w:r w:rsidRPr="00031E0E">
        <w:rPr>
          <w:szCs w:val="18"/>
        </w:rPr>
        <w:t>e</w:t>
      </w:r>
      <w:r w:rsidRPr="00031E0E">
        <w:rPr>
          <w:szCs w:val="18"/>
        </w:rPr>
        <w:t xml:space="preserve">mière étape </w:t>
      </w:r>
      <w:r w:rsidRPr="00031E0E">
        <w:rPr>
          <w:i/>
          <w:iCs/>
          <w:szCs w:val="18"/>
        </w:rPr>
        <w:t xml:space="preserve">(first stages, </w:t>
      </w:r>
      <w:r w:rsidRPr="00031E0E">
        <w:rPr>
          <w:szCs w:val="18"/>
        </w:rPr>
        <w:t>chap. III) : affaibli par l’état cr</w:t>
      </w:r>
      <w:r w:rsidRPr="00031E0E">
        <w:rPr>
          <w:szCs w:val="18"/>
        </w:rPr>
        <w:t>i</w:t>
      </w:r>
      <w:r w:rsidRPr="00031E0E">
        <w:rPr>
          <w:szCs w:val="18"/>
        </w:rPr>
        <w:t>tique des finances publiques qui, dans trois cas sur quatre, joue un rôle de cat</w:t>
      </w:r>
      <w:r w:rsidRPr="00031E0E">
        <w:rPr>
          <w:szCs w:val="18"/>
        </w:rPr>
        <w:t>a</w:t>
      </w:r>
      <w:r w:rsidRPr="00031E0E">
        <w:rPr>
          <w:szCs w:val="18"/>
        </w:rPr>
        <w:t>lyseur et confronté à la mobilisation des mécontents, qui fo</w:t>
      </w:r>
      <w:r w:rsidRPr="00031E0E">
        <w:rPr>
          <w:szCs w:val="18"/>
        </w:rPr>
        <w:t>r</w:t>
      </w:r>
      <w:r w:rsidRPr="00031E0E">
        <w:rPr>
          <w:szCs w:val="18"/>
        </w:rPr>
        <w:t>mulent de plus en plus fermement leurs exigences, le gouvernement échoue complètement dans sa tentative de la répr</w:t>
      </w:r>
      <w:r w:rsidRPr="00031E0E">
        <w:rPr>
          <w:szCs w:val="18"/>
        </w:rPr>
        <w:t>i</w:t>
      </w:r>
      <w:r w:rsidRPr="00031E0E">
        <w:rPr>
          <w:szCs w:val="18"/>
        </w:rPr>
        <w:t>mer par la force ; c’est dans ces conditions que les révol</w:t>
      </w:r>
      <w:r w:rsidRPr="00031E0E">
        <w:rPr>
          <w:szCs w:val="18"/>
        </w:rPr>
        <w:t>u</w:t>
      </w:r>
      <w:r w:rsidRPr="00031E0E">
        <w:rPr>
          <w:szCs w:val="18"/>
        </w:rPr>
        <w:t>tionnaires accèdent au pouvoir. S’ouvre alors une phase marquée par la prépo</w:t>
      </w:r>
      <w:r w:rsidRPr="00031E0E">
        <w:rPr>
          <w:szCs w:val="18"/>
        </w:rPr>
        <w:t>n</w:t>
      </w:r>
      <w:r w:rsidRPr="00031E0E">
        <w:rPr>
          <w:szCs w:val="18"/>
        </w:rPr>
        <w:t xml:space="preserve">dérance des révolutionnaires modérés </w:t>
      </w:r>
      <w:r w:rsidRPr="00031E0E">
        <w:rPr>
          <w:i/>
          <w:iCs/>
          <w:szCs w:val="18"/>
        </w:rPr>
        <w:t>(The Rule of the M</w:t>
      </w:r>
      <w:r w:rsidRPr="00031E0E">
        <w:rPr>
          <w:i/>
          <w:iCs/>
          <w:szCs w:val="18"/>
        </w:rPr>
        <w:t>o</w:t>
      </w:r>
      <w:r w:rsidRPr="00031E0E">
        <w:rPr>
          <w:i/>
          <w:iCs/>
          <w:szCs w:val="18"/>
        </w:rPr>
        <w:t xml:space="preserve">derates, </w:t>
      </w:r>
      <w:r w:rsidRPr="00031E0E">
        <w:rPr>
          <w:szCs w:val="18"/>
        </w:rPr>
        <w:t>chap. V), ouverts aux réformes et aux compromis, mais qui souffrent d’une double faiblesse : ils ne sont en mesure ni de prév</w:t>
      </w:r>
      <w:r w:rsidRPr="00031E0E">
        <w:rPr>
          <w:szCs w:val="18"/>
        </w:rPr>
        <w:t>e</w:t>
      </w:r>
      <w:r w:rsidRPr="00031E0E">
        <w:rPr>
          <w:szCs w:val="18"/>
        </w:rPr>
        <w:t xml:space="preserve">nir l’émergence d’une situation de double pouvoir, sur le modèle de la </w:t>
      </w:r>
      <w:r w:rsidRPr="00031E0E">
        <w:rPr>
          <w:i/>
          <w:iCs/>
          <w:szCs w:val="18"/>
        </w:rPr>
        <w:t xml:space="preserve">dvoevlastie </w:t>
      </w:r>
      <w:r w:rsidRPr="00031E0E">
        <w:rPr>
          <w:szCs w:val="18"/>
        </w:rPr>
        <w:t>caractéristique de la révol</w:t>
      </w:r>
      <w:r w:rsidRPr="00031E0E">
        <w:rPr>
          <w:szCs w:val="18"/>
        </w:rPr>
        <w:t>u</w:t>
      </w:r>
      <w:r w:rsidRPr="00031E0E">
        <w:rPr>
          <w:szCs w:val="18"/>
        </w:rPr>
        <w:t>tion russe (p. 132) – dont on a antérieurement parlé –, ni de prendre des mesures suffisamment éne</w:t>
      </w:r>
      <w:r w:rsidRPr="00031E0E">
        <w:rPr>
          <w:szCs w:val="18"/>
        </w:rPr>
        <w:t>r</w:t>
      </w:r>
      <w:r w:rsidRPr="00031E0E">
        <w:rPr>
          <w:szCs w:val="18"/>
        </w:rPr>
        <w:t>giques pour faire face aux menaces pressantes – et n</w:t>
      </w:r>
      <w:r w:rsidRPr="00031E0E">
        <w:rPr>
          <w:szCs w:val="18"/>
        </w:rPr>
        <w:t>o</w:t>
      </w:r>
      <w:r w:rsidRPr="00031E0E">
        <w:rPr>
          <w:szCs w:val="18"/>
        </w:rPr>
        <w:t>tamment aux interventions militaires étrangères – qui p</w:t>
      </w:r>
      <w:r w:rsidRPr="00031E0E">
        <w:rPr>
          <w:szCs w:val="18"/>
        </w:rPr>
        <w:t>è</w:t>
      </w:r>
      <w:r w:rsidRPr="00031E0E">
        <w:rPr>
          <w:szCs w:val="18"/>
        </w:rPr>
        <w:t>sent sur le nouveau régime. On assiste donc à un glissement progressif du pouvoir vers les él</w:t>
      </w:r>
      <w:r w:rsidRPr="00031E0E">
        <w:rPr>
          <w:szCs w:val="18"/>
        </w:rPr>
        <w:t>é</w:t>
      </w:r>
      <w:r w:rsidRPr="00031E0E">
        <w:rPr>
          <w:szCs w:val="18"/>
        </w:rPr>
        <w:t>ments radicaux et on entre ainsi dans une période, à la fois cruciale et suraiguë, de la révolution, celle de la « crise », marquée par une fo</w:t>
      </w:r>
      <w:r w:rsidRPr="00031E0E">
        <w:rPr>
          <w:szCs w:val="18"/>
        </w:rPr>
        <w:t>r</w:t>
      </w:r>
      <w:r w:rsidRPr="00031E0E">
        <w:rPr>
          <w:szCs w:val="18"/>
        </w:rPr>
        <w:t>te concentration du pouvoir au profit de groupes plutôt re</w:t>
      </w:r>
      <w:r w:rsidRPr="00031E0E">
        <w:rPr>
          <w:szCs w:val="18"/>
        </w:rPr>
        <w:t>s</w:t>
      </w:r>
      <w:r w:rsidRPr="00031E0E">
        <w:rPr>
          <w:szCs w:val="18"/>
        </w:rPr>
        <w:t>treints – tels que les Jacobins ou les Bo</w:t>
      </w:r>
      <w:r w:rsidRPr="00031E0E">
        <w:rPr>
          <w:szCs w:val="18"/>
        </w:rPr>
        <w:t>l</w:t>
      </w:r>
      <w:r w:rsidRPr="00031E0E">
        <w:rPr>
          <w:szCs w:val="18"/>
        </w:rPr>
        <w:t>cheviks –, avec la domination d’un « homme fort » – comme Cromwell, Robespierre ou Lénine – et le r</w:t>
      </w:r>
      <w:r w:rsidRPr="00031E0E">
        <w:rPr>
          <w:szCs w:val="18"/>
        </w:rPr>
        <w:t>è</w:t>
      </w:r>
      <w:r w:rsidRPr="00031E0E">
        <w:rPr>
          <w:szCs w:val="18"/>
        </w:rPr>
        <w:t>gne de la Terreur au nom même de la vertu (chap. VII). Cette crise est suivie d’une « convalescence » de la société, qui ma</w:t>
      </w:r>
      <w:r w:rsidRPr="00031E0E">
        <w:rPr>
          <w:szCs w:val="18"/>
        </w:rPr>
        <w:t>r</w:t>
      </w:r>
      <w:r w:rsidRPr="00031E0E">
        <w:rPr>
          <w:szCs w:val="18"/>
        </w:rPr>
        <w:t xml:space="preserve">que un retour au pragmatisme dans le cadre du nouveau </w:t>
      </w:r>
      <w:r w:rsidRPr="00031E0E">
        <w:rPr>
          <w:i/>
          <w:iCs/>
          <w:szCs w:val="18"/>
        </w:rPr>
        <w:t>statu quo :</w:t>
      </w:r>
      <w:r w:rsidRPr="00031E0E">
        <w:rPr>
          <w:szCs w:val="18"/>
        </w:rPr>
        <w:t xml:space="preserve"> à la phase rad</w:t>
      </w:r>
      <w:r w:rsidRPr="00031E0E">
        <w:rPr>
          <w:szCs w:val="18"/>
        </w:rPr>
        <w:t>i</w:t>
      </w:r>
      <w:r w:rsidRPr="00031E0E">
        <w:rPr>
          <w:szCs w:val="18"/>
        </w:rPr>
        <w:t>cale succède Thermidor (chap. VIII).</w:t>
      </w:r>
    </w:p>
    <w:p w14:paraId="3BB20F12" w14:textId="77777777" w:rsidR="006C5FDB" w:rsidRPr="00031E0E" w:rsidRDefault="006C5FDB" w:rsidP="006C5FDB">
      <w:pPr>
        <w:spacing w:before="120" w:after="120"/>
        <w:jc w:val="both"/>
      </w:pPr>
      <w:r w:rsidRPr="00031E0E">
        <w:rPr>
          <w:szCs w:val="18"/>
        </w:rPr>
        <w:t>Tel est, brossé à grands traits, le « modèle » séque</w:t>
      </w:r>
      <w:r w:rsidRPr="00031E0E">
        <w:rPr>
          <w:szCs w:val="18"/>
        </w:rPr>
        <w:t>n</w:t>
      </w:r>
      <w:r w:rsidRPr="00031E0E">
        <w:rPr>
          <w:szCs w:val="18"/>
        </w:rPr>
        <w:t>tiel suggéré par Brinton ;</w:t>
      </w:r>
      <w:r>
        <w:rPr>
          <w:szCs w:val="18"/>
        </w:rPr>
        <w:t xml:space="preserve"> </w:t>
      </w:r>
      <w:r w:rsidRPr="00031E0E">
        <w:t>[657]</w:t>
      </w:r>
      <w:r>
        <w:t xml:space="preserve"> </w:t>
      </w:r>
      <w:r w:rsidRPr="00031E0E">
        <w:rPr>
          <w:szCs w:val="18"/>
        </w:rPr>
        <w:t>mais il faut encore, pour bien en apprécier la nature, tenir compte du langage dans lequel il est formulé. Brinton r</w:t>
      </w:r>
      <w:r w:rsidRPr="00031E0E">
        <w:rPr>
          <w:szCs w:val="18"/>
        </w:rPr>
        <w:t>e</w:t>
      </w:r>
      <w:r w:rsidRPr="00031E0E">
        <w:rPr>
          <w:szCs w:val="18"/>
        </w:rPr>
        <w:t>court en effet à un langage métaphor</w:t>
      </w:r>
      <w:r w:rsidRPr="00031E0E">
        <w:rPr>
          <w:szCs w:val="18"/>
        </w:rPr>
        <w:t>i</w:t>
      </w:r>
      <w:r w:rsidRPr="00031E0E">
        <w:rPr>
          <w:szCs w:val="18"/>
        </w:rPr>
        <w:t>que et parle de « prodromes », de « crise », de « convalescence », termes particulièr</w:t>
      </w:r>
      <w:r w:rsidRPr="00031E0E">
        <w:rPr>
          <w:szCs w:val="18"/>
        </w:rPr>
        <w:t>e</w:t>
      </w:r>
      <w:r w:rsidRPr="00031E0E">
        <w:rPr>
          <w:szCs w:val="18"/>
        </w:rPr>
        <w:t>ment significatifs que nous avons repris ; de plus, chac</w:t>
      </w:r>
      <w:r w:rsidRPr="00031E0E">
        <w:rPr>
          <w:szCs w:val="18"/>
        </w:rPr>
        <w:t>u</w:t>
      </w:r>
      <w:r w:rsidRPr="00031E0E">
        <w:rPr>
          <w:szCs w:val="18"/>
        </w:rPr>
        <w:t>ne de ces métaphores n’est que l’expression d’une analogie plus fondamentale, annoncée dès le pr</w:t>
      </w:r>
      <w:r w:rsidRPr="00031E0E">
        <w:rPr>
          <w:szCs w:val="18"/>
        </w:rPr>
        <w:t>e</w:t>
      </w:r>
      <w:r w:rsidRPr="00031E0E">
        <w:rPr>
          <w:szCs w:val="18"/>
        </w:rPr>
        <w:t>mier chapitre, en vertu de l</w:t>
      </w:r>
      <w:r w:rsidRPr="00031E0E">
        <w:rPr>
          <w:szCs w:val="18"/>
        </w:rPr>
        <w:t>a</w:t>
      </w:r>
      <w:r w:rsidRPr="00031E0E">
        <w:rPr>
          <w:szCs w:val="18"/>
        </w:rPr>
        <w:t>quelle le chercheur américain « envisage les révolutions comme une sorte de fièvre » (1965, p. 16) : le dév</w:t>
      </w:r>
      <w:r w:rsidRPr="00031E0E">
        <w:rPr>
          <w:szCs w:val="18"/>
        </w:rPr>
        <w:t>e</w:t>
      </w:r>
      <w:r w:rsidRPr="00031E0E">
        <w:rPr>
          <w:szCs w:val="18"/>
        </w:rPr>
        <w:t>loppement d’une maladie, avec ses symptômes avant-coureurs, sa p</w:t>
      </w:r>
      <w:r w:rsidRPr="00031E0E">
        <w:rPr>
          <w:szCs w:val="18"/>
        </w:rPr>
        <w:t>é</w:t>
      </w:r>
      <w:r w:rsidRPr="00031E0E">
        <w:rPr>
          <w:szCs w:val="18"/>
        </w:rPr>
        <w:t>riode aiguë, marquée parfois par le délire, et ses premiers signes de rétablissement, est ainsi posé comme paradigme pour l’analyse du d</w:t>
      </w:r>
      <w:r w:rsidRPr="00031E0E">
        <w:rPr>
          <w:szCs w:val="18"/>
        </w:rPr>
        <w:t>é</w:t>
      </w:r>
      <w:r w:rsidRPr="00031E0E">
        <w:rPr>
          <w:szCs w:val="18"/>
        </w:rPr>
        <w:t>roulement des révolutions (p. 17). C’est l’analogie, et non, au sens strict, un schème conceptuel, qui tient ici lieu de principe organis</w:t>
      </w:r>
      <w:r w:rsidRPr="00031E0E">
        <w:rPr>
          <w:szCs w:val="18"/>
        </w:rPr>
        <w:t>a</w:t>
      </w:r>
      <w:r w:rsidRPr="00031E0E">
        <w:rPr>
          <w:szCs w:val="18"/>
        </w:rPr>
        <w:t>teur, tout au moins à titre provisoire, comme l’admet Bri</w:t>
      </w:r>
      <w:r w:rsidRPr="00031E0E">
        <w:rPr>
          <w:szCs w:val="18"/>
        </w:rPr>
        <w:t>n</w:t>
      </w:r>
      <w:r w:rsidRPr="00031E0E">
        <w:rPr>
          <w:szCs w:val="18"/>
        </w:rPr>
        <w:t>ton dans ce ch</w:t>
      </w:r>
      <w:r w:rsidRPr="00031E0E">
        <w:rPr>
          <w:szCs w:val="18"/>
        </w:rPr>
        <w:t>a</w:t>
      </w:r>
      <w:r w:rsidRPr="00031E0E">
        <w:rPr>
          <w:szCs w:val="18"/>
        </w:rPr>
        <w:t>pitre introductif. Elle sert en tout cas, sur le fond, à véhiculer une idée de la révolution empreinte d’un profond scept</w:t>
      </w:r>
      <w:r w:rsidRPr="00031E0E">
        <w:rPr>
          <w:szCs w:val="18"/>
        </w:rPr>
        <w:t>i</w:t>
      </w:r>
      <w:r w:rsidRPr="00031E0E">
        <w:rPr>
          <w:szCs w:val="18"/>
        </w:rPr>
        <w:t>cisme quant à ses résultats et tendant en même temps à insister sur la lou</w:t>
      </w:r>
      <w:r w:rsidRPr="00031E0E">
        <w:rPr>
          <w:szCs w:val="18"/>
        </w:rPr>
        <w:t>r</w:t>
      </w:r>
      <w:r w:rsidRPr="00031E0E">
        <w:rPr>
          <w:szCs w:val="18"/>
        </w:rPr>
        <w:t>deur de ses coûts humains : le phénomène est, selon Bri</w:t>
      </w:r>
      <w:r w:rsidRPr="00031E0E">
        <w:rPr>
          <w:szCs w:val="18"/>
        </w:rPr>
        <w:t>n</w:t>
      </w:r>
      <w:r w:rsidRPr="00031E0E">
        <w:rPr>
          <w:szCs w:val="18"/>
        </w:rPr>
        <w:t>ton, à la fois trop grave et trop complexe pour qu’on puisse se satisfaire à son sujet de la m</w:t>
      </w:r>
      <w:r w:rsidRPr="00031E0E">
        <w:rPr>
          <w:szCs w:val="18"/>
        </w:rPr>
        <w:t>é</w:t>
      </w:r>
      <w:r w:rsidRPr="00031E0E">
        <w:rPr>
          <w:szCs w:val="18"/>
        </w:rPr>
        <w:t>taphore de l’orage.</w:t>
      </w:r>
    </w:p>
    <w:p w14:paraId="38F8FF9B" w14:textId="77777777" w:rsidR="006C5FDB" w:rsidRPr="00031E0E" w:rsidRDefault="006C5FDB" w:rsidP="006C5FDB">
      <w:pPr>
        <w:spacing w:before="120" w:after="120"/>
        <w:jc w:val="both"/>
      </w:pPr>
      <w:r w:rsidRPr="00031E0E">
        <w:rPr>
          <w:szCs w:val="18"/>
        </w:rPr>
        <w:t>Cette analyse des révolutions comme une succession o</w:t>
      </w:r>
      <w:r w:rsidRPr="00031E0E">
        <w:rPr>
          <w:szCs w:val="18"/>
        </w:rPr>
        <w:t>r</w:t>
      </w:r>
      <w:r w:rsidRPr="00031E0E">
        <w:rPr>
          <w:szCs w:val="18"/>
        </w:rPr>
        <w:t>donnée de phases et la vision sous-jacente qui lui est associée ont été soumises à de vives critiques. D’abord au plan des faits : on a ainsi pu reprocher à Crane Brinton d’avoir, dans son effort pour dégager des « régularités », procédé à des extrapolations hardies à partir de la R</w:t>
      </w:r>
      <w:r w:rsidRPr="00031E0E">
        <w:rPr>
          <w:szCs w:val="18"/>
        </w:rPr>
        <w:t>é</w:t>
      </w:r>
      <w:r w:rsidRPr="00031E0E">
        <w:rPr>
          <w:szCs w:val="18"/>
        </w:rPr>
        <w:t>volution française, conçue comme le type idéal de réf</w:t>
      </w:r>
      <w:r w:rsidRPr="00031E0E">
        <w:rPr>
          <w:szCs w:val="18"/>
        </w:rPr>
        <w:t>é</w:t>
      </w:r>
      <w:r w:rsidRPr="00031E0E">
        <w:rPr>
          <w:szCs w:val="18"/>
        </w:rPr>
        <w:t>rence</w:t>
      </w:r>
      <w:r>
        <w:rPr>
          <w:szCs w:val="18"/>
        </w:rPr>
        <w:t> </w:t>
      </w:r>
      <w:r>
        <w:rPr>
          <w:rStyle w:val="Appelnotedebasdep"/>
          <w:szCs w:val="18"/>
        </w:rPr>
        <w:footnoteReference w:id="27"/>
      </w:r>
      <w:r w:rsidRPr="00031E0E">
        <w:rPr>
          <w:szCs w:val="18"/>
        </w:rPr>
        <w:t>. Crane Brinton lui-même se montre conscient des difficultés d’application de son schéma à la Révol</w:t>
      </w:r>
      <w:r w:rsidRPr="00031E0E">
        <w:rPr>
          <w:szCs w:val="18"/>
        </w:rPr>
        <w:t>u</w:t>
      </w:r>
      <w:r w:rsidRPr="00031E0E">
        <w:rPr>
          <w:szCs w:val="18"/>
        </w:rPr>
        <w:t>tion américaine, qui n’a pas connu la montée des « extrémistes », c’est-à-dire la période cruciale de la crise (p. 254) ; mais le cas américain n’est pas seul à faire pr</w:t>
      </w:r>
      <w:r w:rsidRPr="00031E0E">
        <w:rPr>
          <w:szCs w:val="18"/>
        </w:rPr>
        <w:t>o</w:t>
      </w:r>
      <w:r w:rsidRPr="00031E0E">
        <w:rPr>
          <w:szCs w:val="18"/>
        </w:rPr>
        <w:t>blème : dans le cadre de la révolution ru</w:t>
      </w:r>
      <w:r w:rsidRPr="00031E0E">
        <w:rPr>
          <w:szCs w:val="18"/>
        </w:rPr>
        <w:t>s</w:t>
      </w:r>
      <w:r w:rsidRPr="00031E0E">
        <w:rPr>
          <w:szCs w:val="18"/>
        </w:rPr>
        <w:t>se, il n’y a pas de réel retour en arrière, comme le souligne Martin Malia (1980, pp. 21-22) et il n’est pas pe</w:t>
      </w:r>
      <w:r w:rsidRPr="00031E0E">
        <w:rPr>
          <w:szCs w:val="18"/>
        </w:rPr>
        <w:t>r</w:t>
      </w:r>
      <w:r w:rsidRPr="00031E0E">
        <w:rPr>
          <w:szCs w:val="18"/>
        </w:rPr>
        <w:t>tinent d’interpréter Staline à la lumière de Thermidor : la rév</w:t>
      </w:r>
      <w:r w:rsidRPr="00031E0E">
        <w:rPr>
          <w:szCs w:val="18"/>
        </w:rPr>
        <w:t>o</w:t>
      </w:r>
      <w:r w:rsidRPr="00031E0E">
        <w:rPr>
          <w:szCs w:val="18"/>
        </w:rPr>
        <w:t>lution ne fait que se ralentir, sans pour autant s’arrêter. À s’en tenir donc au seul exemple des « grandes révol</w:t>
      </w:r>
      <w:r w:rsidRPr="00031E0E">
        <w:rPr>
          <w:szCs w:val="18"/>
        </w:rPr>
        <w:t>u</w:t>
      </w:r>
      <w:r w:rsidRPr="00031E0E">
        <w:rPr>
          <w:szCs w:val="18"/>
        </w:rPr>
        <w:t>tions », on constate une pluralité de trajectoires, que Brinton, sans doute i</w:t>
      </w:r>
      <w:r w:rsidRPr="00031E0E">
        <w:rPr>
          <w:szCs w:val="18"/>
        </w:rPr>
        <w:t>n</w:t>
      </w:r>
      <w:r w:rsidRPr="00031E0E">
        <w:rPr>
          <w:szCs w:val="18"/>
        </w:rPr>
        <w:t>fluencé par l’objet spécifique de ses études historiques – la Révolution fra</w:t>
      </w:r>
      <w:r w:rsidRPr="00031E0E">
        <w:rPr>
          <w:szCs w:val="18"/>
        </w:rPr>
        <w:t>n</w:t>
      </w:r>
      <w:r w:rsidRPr="00031E0E">
        <w:rPr>
          <w:szCs w:val="18"/>
        </w:rPr>
        <w:t>çaise –, a tendu à réduire à un modèle unique. Ce qui est plus grave encore pour ce modèle, c’est l’existence même de révolutions inachevées – dont on voit gén</w:t>
      </w:r>
      <w:r w:rsidRPr="00031E0E">
        <w:rPr>
          <w:szCs w:val="18"/>
        </w:rPr>
        <w:t>é</w:t>
      </w:r>
      <w:r w:rsidRPr="00031E0E">
        <w:rPr>
          <w:szCs w:val="18"/>
        </w:rPr>
        <w:t>ralement le prototype dans la rév</w:t>
      </w:r>
      <w:r w:rsidRPr="00031E0E">
        <w:rPr>
          <w:szCs w:val="18"/>
        </w:rPr>
        <w:t>o</w:t>
      </w:r>
      <w:r w:rsidRPr="00031E0E">
        <w:rPr>
          <w:szCs w:val="18"/>
        </w:rPr>
        <w:t>lution bolivienne de 1952</w:t>
      </w:r>
      <w:r>
        <w:rPr>
          <w:szCs w:val="18"/>
        </w:rPr>
        <w:t> </w:t>
      </w:r>
      <w:r>
        <w:rPr>
          <w:rStyle w:val="Appelnotedebasdep"/>
          <w:szCs w:val="18"/>
        </w:rPr>
        <w:footnoteReference w:id="28"/>
      </w:r>
      <w:r w:rsidRPr="00031E0E">
        <w:rPr>
          <w:szCs w:val="18"/>
        </w:rPr>
        <w:t xml:space="preserve"> – qui contreviennent en quelque sorte à la logique même de l’histoire nat</w:t>
      </w:r>
      <w:r w:rsidRPr="00031E0E">
        <w:rPr>
          <w:szCs w:val="18"/>
        </w:rPr>
        <w:t>u</w:t>
      </w:r>
      <w:r w:rsidRPr="00031E0E">
        <w:rPr>
          <w:szCs w:val="18"/>
        </w:rPr>
        <w:t>relle : pour des schémas de ce type, les trajectoires interrompues con</w:t>
      </w:r>
      <w:r w:rsidRPr="00031E0E">
        <w:rPr>
          <w:szCs w:val="18"/>
        </w:rPr>
        <w:t>s</w:t>
      </w:r>
      <w:r w:rsidRPr="00031E0E">
        <w:rPr>
          <w:szCs w:val="18"/>
        </w:rPr>
        <w:t>tituent une vér</w:t>
      </w:r>
      <w:r w:rsidRPr="00031E0E">
        <w:rPr>
          <w:szCs w:val="18"/>
        </w:rPr>
        <w:t>i</w:t>
      </w:r>
      <w:r w:rsidRPr="00031E0E">
        <w:rPr>
          <w:szCs w:val="18"/>
        </w:rPr>
        <w:t>table pierre d’achoppement.</w:t>
      </w:r>
    </w:p>
    <w:p w14:paraId="43729D86" w14:textId="77777777" w:rsidR="006C5FDB" w:rsidRDefault="006C5FDB" w:rsidP="006C5FDB">
      <w:pPr>
        <w:spacing w:before="120" w:after="120"/>
        <w:jc w:val="both"/>
        <w:rPr>
          <w:szCs w:val="18"/>
        </w:rPr>
      </w:pPr>
    </w:p>
    <w:p w14:paraId="1F11EAB5" w14:textId="77777777" w:rsidR="006C5FDB" w:rsidRPr="00031E0E" w:rsidRDefault="006C5FDB" w:rsidP="006C5FDB">
      <w:pPr>
        <w:spacing w:before="120" w:after="120"/>
        <w:jc w:val="both"/>
      </w:pPr>
      <w:r w:rsidRPr="00031E0E">
        <w:rPr>
          <w:szCs w:val="18"/>
        </w:rPr>
        <w:t>Ensuite, au niveau de l’explication – auquel nous intr</w:t>
      </w:r>
      <w:r w:rsidRPr="00031E0E">
        <w:rPr>
          <w:szCs w:val="18"/>
        </w:rPr>
        <w:t>o</w:t>
      </w:r>
      <w:r w:rsidRPr="00031E0E">
        <w:rPr>
          <w:szCs w:val="18"/>
        </w:rPr>
        <w:t>duisait déjà le thème de l’inachèvement éventuel d’une révolution – les spéciali</w:t>
      </w:r>
      <w:r w:rsidRPr="00031E0E">
        <w:rPr>
          <w:szCs w:val="18"/>
        </w:rPr>
        <w:t>s</w:t>
      </w:r>
      <w:r w:rsidRPr="00031E0E">
        <w:rPr>
          <w:szCs w:val="18"/>
        </w:rPr>
        <w:t>tes ont souvent insisté sur la relative pauvreté de ce « modèle » s</w:t>
      </w:r>
      <w:r w:rsidRPr="00031E0E">
        <w:rPr>
          <w:szCs w:val="18"/>
        </w:rPr>
        <w:t>é</w:t>
      </w:r>
      <w:r w:rsidRPr="00031E0E">
        <w:rPr>
          <w:szCs w:val="18"/>
        </w:rPr>
        <w:t>quentiel, qui proviendrait essentiellement de l’insuffisante atte</w:t>
      </w:r>
      <w:r w:rsidRPr="00031E0E">
        <w:rPr>
          <w:szCs w:val="18"/>
        </w:rPr>
        <w:t>n</w:t>
      </w:r>
      <w:r w:rsidRPr="00031E0E">
        <w:rPr>
          <w:szCs w:val="18"/>
        </w:rPr>
        <w:t>tion accordée à « la question des ca</w:t>
      </w:r>
      <w:r w:rsidRPr="00031E0E">
        <w:rPr>
          <w:szCs w:val="18"/>
        </w:rPr>
        <w:t>u</w:t>
      </w:r>
      <w:r w:rsidRPr="00031E0E">
        <w:rPr>
          <w:szCs w:val="18"/>
        </w:rPr>
        <w:t>ses » et se traduirait par l’impuissance à les dégager. L’appréciation, cat</w:t>
      </w:r>
      <w:r w:rsidRPr="00031E0E">
        <w:rPr>
          <w:szCs w:val="18"/>
        </w:rPr>
        <w:t>é</w:t>
      </w:r>
      <w:r w:rsidRPr="00031E0E">
        <w:rPr>
          <w:szCs w:val="18"/>
        </w:rPr>
        <w:t>gorique, doit être quelque peu</w:t>
      </w:r>
      <w:r>
        <w:rPr>
          <w:szCs w:val="18"/>
        </w:rPr>
        <w:t xml:space="preserve"> </w:t>
      </w:r>
      <w:r w:rsidRPr="00031E0E">
        <w:rPr>
          <w:szCs w:val="18"/>
        </w:rPr>
        <w:t>[658]</w:t>
      </w:r>
      <w:r>
        <w:rPr>
          <w:szCs w:val="18"/>
        </w:rPr>
        <w:t xml:space="preserve"> </w:t>
      </w:r>
      <w:r w:rsidRPr="00031E0E">
        <w:rPr>
          <w:szCs w:val="18"/>
        </w:rPr>
        <w:t>tempérée : il est certes vrai que cet agencement ordonné de s</w:t>
      </w:r>
      <w:r w:rsidRPr="00031E0E">
        <w:rPr>
          <w:szCs w:val="18"/>
        </w:rPr>
        <w:t>é</w:t>
      </w:r>
      <w:r w:rsidRPr="00031E0E">
        <w:rPr>
          <w:szCs w:val="18"/>
        </w:rPr>
        <w:t>quences a une portée plus descri</w:t>
      </w:r>
      <w:r w:rsidRPr="00031E0E">
        <w:rPr>
          <w:szCs w:val="18"/>
        </w:rPr>
        <w:t>p</w:t>
      </w:r>
      <w:r w:rsidRPr="00031E0E">
        <w:rPr>
          <w:szCs w:val="18"/>
        </w:rPr>
        <w:t>tive qu’analytique ; mais il n’est pas justifié, comme l’a souligné Michel Dobry dans une thèse récente, de lui ass</w:t>
      </w:r>
      <w:r w:rsidRPr="00031E0E">
        <w:rPr>
          <w:szCs w:val="18"/>
        </w:rPr>
        <w:t>o</w:t>
      </w:r>
      <w:r w:rsidRPr="00031E0E">
        <w:rPr>
          <w:szCs w:val="18"/>
        </w:rPr>
        <w:t>cier un faible degré d’intérêt pour l’ordre des causes : Brinton nous paraît au contraire soucieux à plusieurs reprises de les isoler, nota</w:t>
      </w:r>
      <w:r w:rsidRPr="00031E0E">
        <w:rPr>
          <w:szCs w:val="18"/>
        </w:rPr>
        <w:t>m</w:t>
      </w:r>
      <w:r w:rsidRPr="00031E0E">
        <w:rPr>
          <w:szCs w:val="18"/>
        </w:rPr>
        <w:t>ment dans son second chapitre consacré aux anciens r</w:t>
      </w:r>
      <w:r w:rsidRPr="00031E0E">
        <w:rPr>
          <w:szCs w:val="18"/>
        </w:rPr>
        <w:t>é</w:t>
      </w:r>
      <w:r w:rsidRPr="00031E0E">
        <w:rPr>
          <w:szCs w:val="18"/>
        </w:rPr>
        <w:t>gimes et dans ses conclusions. Et s’il ne parvient sur ce plan qu’à des résultats m</w:t>
      </w:r>
      <w:r w:rsidRPr="00031E0E">
        <w:rPr>
          <w:szCs w:val="18"/>
        </w:rPr>
        <w:t>o</w:t>
      </w:r>
      <w:r w:rsidRPr="00031E0E">
        <w:rPr>
          <w:szCs w:val="18"/>
        </w:rPr>
        <w:t>destes, ce n’est pas à cause d’une méconnai</w:t>
      </w:r>
      <w:r w:rsidRPr="00031E0E">
        <w:rPr>
          <w:szCs w:val="18"/>
        </w:rPr>
        <w:t>s</w:t>
      </w:r>
      <w:r w:rsidRPr="00031E0E">
        <w:rPr>
          <w:szCs w:val="18"/>
        </w:rPr>
        <w:t>sance de l’importance des causes, mais en raison d’une déficience radicale de sa d</w:t>
      </w:r>
      <w:r w:rsidRPr="00031E0E">
        <w:rPr>
          <w:szCs w:val="18"/>
        </w:rPr>
        <w:t>é</w:t>
      </w:r>
      <w:r w:rsidRPr="00031E0E">
        <w:rPr>
          <w:szCs w:val="18"/>
        </w:rPr>
        <w:t>marche. On ne trouve pas ici de vérit</w:t>
      </w:r>
      <w:r w:rsidRPr="00031E0E">
        <w:rPr>
          <w:szCs w:val="18"/>
        </w:rPr>
        <w:t>a</w:t>
      </w:r>
      <w:r w:rsidRPr="00031E0E">
        <w:rPr>
          <w:szCs w:val="18"/>
        </w:rPr>
        <w:t>ble définition du « phénomène-effet » qu’il s’agit d’expliquer ; et c’est en fait tourner la difficulté, non la réso</w:t>
      </w:r>
      <w:r w:rsidRPr="00031E0E">
        <w:rPr>
          <w:szCs w:val="18"/>
        </w:rPr>
        <w:t>u</w:t>
      </w:r>
      <w:r w:rsidRPr="00031E0E">
        <w:rPr>
          <w:szCs w:val="18"/>
        </w:rPr>
        <w:t>dre, que de retenir comme base de définition, selon la su</w:t>
      </w:r>
      <w:r w:rsidRPr="00031E0E">
        <w:rPr>
          <w:szCs w:val="18"/>
        </w:rPr>
        <w:t>g</w:t>
      </w:r>
      <w:r w:rsidRPr="00031E0E">
        <w:rPr>
          <w:szCs w:val="18"/>
        </w:rPr>
        <w:t>gestion de George Nadel (1960, p. 482), l’analogue de la r</w:t>
      </w:r>
      <w:r w:rsidRPr="00031E0E">
        <w:rPr>
          <w:szCs w:val="18"/>
        </w:rPr>
        <w:t>é</w:t>
      </w:r>
      <w:r w:rsidRPr="00031E0E">
        <w:rPr>
          <w:szCs w:val="18"/>
        </w:rPr>
        <w:t>volution, c’est-à-dire la fièvre. Le phénomène n’est donc pas assez nettement circon</w:t>
      </w:r>
      <w:r w:rsidRPr="00031E0E">
        <w:rPr>
          <w:szCs w:val="18"/>
        </w:rPr>
        <w:t>s</w:t>
      </w:r>
      <w:r w:rsidRPr="00031E0E">
        <w:rPr>
          <w:szCs w:val="18"/>
        </w:rPr>
        <w:t>crit pour qu’on en découvre les causes ; Brinton pourra, tout au plus, me</w:t>
      </w:r>
      <w:r w:rsidRPr="00031E0E">
        <w:rPr>
          <w:szCs w:val="18"/>
        </w:rPr>
        <w:t>t</w:t>
      </w:r>
      <w:r w:rsidRPr="00031E0E">
        <w:rPr>
          <w:szCs w:val="18"/>
        </w:rPr>
        <w:t>tre en évidence des conditions préalables à son émergence. Sans doute peut-il sur ces bases fonder son diagnostic de la « pathologie » révol</w:t>
      </w:r>
      <w:r w:rsidRPr="00031E0E">
        <w:rPr>
          <w:szCs w:val="18"/>
        </w:rPr>
        <w:t>u</w:t>
      </w:r>
      <w:r w:rsidRPr="00031E0E">
        <w:rPr>
          <w:szCs w:val="18"/>
        </w:rPr>
        <w:t>tionnaire ; mais il est manifeste aussi qu’il reconnaît les limites de son entr</w:t>
      </w:r>
      <w:r w:rsidRPr="00031E0E">
        <w:rPr>
          <w:szCs w:val="18"/>
        </w:rPr>
        <w:t>e</w:t>
      </w:r>
      <w:r w:rsidRPr="00031E0E">
        <w:rPr>
          <w:szCs w:val="18"/>
        </w:rPr>
        <w:t>prise, quand il l’envisage du strict point de vue de l’explication scient</w:t>
      </w:r>
      <w:r w:rsidRPr="00031E0E">
        <w:rPr>
          <w:szCs w:val="18"/>
        </w:rPr>
        <w:t>i</w:t>
      </w:r>
      <w:r w:rsidRPr="00031E0E">
        <w:rPr>
          <w:szCs w:val="18"/>
        </w:rPr>
        <w:t>fique.</w:t>
      </w:r>
    </w:p>
    <w:p w14:paraId="0D65F11B" w14:textId="77777777" w:rsidR="006C5FDB" w:rsidRDefault="006C5FDB" w:rsidP="006C5FDB">
      <w:pPr>
        <w:spacing w:before="120" w:after="120"/>
        <w:jc w:val="both"/>
        <w:rPr>
          <w:szCs w:val="18"/>
        </w:rPr>
      </w:pPr>
      <w:r w:rsidRPr="00031E0E">
        <w:rPr>
          <w:szCs w:val="18"/>
        </w:rPr>
        <w:t>En définitive il semble qu’il faille généraliser l’observation de R</w:t>
      </w:r>
      <w:r w:rsidRPr="00031E0E">
        <w:rPr>
          <w:szCs w:val="18"/>
        </w:rPr>
        <w:t>u</w:t>
      </w:r>
      <w:r w:rsidRPr="00031E0E">
        <w:rPr>
          <w:szCs w:val="18"/>
        </w:rPr>
        <w:t>le et Tilly à propos de 1830</w:t>
      </w:r>
      <w:r>
        <w:rPr>
          <w:szCs w:val="18"/>
        </w:rPr>
        <w:t> </w:t>
      </w:r>
      <w:r>
        <w:rPr>
          <w:rStyle w:val="Appelnotedebasdep"/>
          <w:szCs w:val="18"/>
        </w:rPr>
        <w:footnoteReference w:id="29"/>
      </w:r>
      <w:r w:rsidRPr="00031E0E">
        <w:rPr>
          <w:szCs w:val="18"/>
        </w:rPr>
        <w:t xml:space="preserve"> et affirmer que les révol</w:t>
      </w:r>
      <w:r w:rsidRPr="00031E0E">
        <w:rPr>
          <w:szCs w:val="18"/>
        </w:rPr>
        <w:t>u</w:t>
      </w:r>
      <w:r w:rsidRPr="00031E0E">
        <w:rPr>
          <w:szCs w:val="18"/>
        </w:rPr>
        <w:t>tions n’ont pas à passer par une série de phases soi-disant naturelles. Mais, si fo</w:t>
      </w:r>
      <w:r w:rsidRPr="00031E0E">
        <w:rPr>
          <w:szCs w:val="18"/>
        </w:rPr>
        <w:t>n</w:t>
      </w:r>
      <w:r w:rsidRPr="00031E0E">
        <w:rPr>
          <w:szCs w:val="18"/>
        </w:rPr>
        <w:t>dée que puisse être cette assertion, elle ne doit pas conduire à perdre de vue la fascination que peut encore exercer l’histoire naturelle. Le c</w:t>
      </w:r>
      <w:r w:rsidRPr="00031E0E">
        <w:rPr>
          <w:szCs w:val="18"/>
        </w:rPr>
        <w:t>a</w:t>
      </w:r>
      <w:r w:rsidRPr="00031E0E">
        <w:rPr>
          <w:szCs w:val="18"/>
        </w:rPr>
        <w:t>ractère foncièrement sommaire de ces schémas ne leur inte</w:t>
      </w:r>
      <w:r w:rsidRPr="00031E0E">
        <w:rPr>
          <w:szCs w:val="18"/>
        </w:rPr>
        <w:t>r</w:t>
      </w:r>
      <w:r w:rsidRPr="00031E0E">
        <w:rPr>
          <w:szCs w:val="18"/>
        </w:rPr>
        <w:t>dit pas toute vertu descriptive : ainsi la révolution iranienne, avec le succès initial des modérés puis leur mise à l’écart au profit de groupes « radicaux », paraît s’accorder pleinement avec le « modèle » séque</w:t>
      </w:r>
      <w:r w:rsidRPr="00031E0E">
        <w:rPr>
          <w:szCs w:val="18"/>
        </w:rPr>
        <w:t>n</w:t>
      </w:r>
      <w:r w:rsidRPr="00031E0E">
        <w:rPr>
          <w:szCs w:val="18"/>
        </w:rPr>
        <w:t>tiel d’Edwards et de Brinton. De plus, l’histoire naturelle s’accommode aisément de cadres thé</w:t>
      </w:r>
      <w:r w:rsidRPr="00031E0E">
        <w:rPr>
          <w:szCs w:val="18"/>
        </w:rPr>
        <w:t>o</w:t>
      </w:r>
      <w:r w:rsidRPr="00031E0E">
        <w:rPr>
          <w:szCs w:val="18"/>
        </w:rPr>
        <w:t>riques différents : Hopper a pu par exemple, à partir d’une perspective centrée sur les mo</w:t>
      </w:r>
      <w:r w:rsidRPr="00031E0E">
        <w:rPr>
          <w:szCs w:val="18"/>
        </w:rPr>
        <w:t>u</w:t>
      </w:r>
      <w:r w:rsidRPr="00031E0E">
        <w:rPr>
          <w:szCs w:val="18"/>
        </w:rPr>
        <w:t>vements sociaux, décomposer le « processus révol</w:t>
      </w:r>
      <w:r w:rsidRPr="00031E0E">
        <w:rPr>
          <w:szCs w:val="18"/>
        </w:rPr>
        <w:t>u</w:t>
      </w:r>
      <w:r w:rsidRPr="00031E0E">
        <w:rPr>
          <w:szCs w:val="18"/>
        </w:rPr>
        <w:t>tionnaire » en quatre phases retraçant le développement des mouvements spécifiques aux révol</w:t>
      </w:r>
      <w:r w:rsidRPr="00031E0E">
        <w:rPr>
          <w:szCs w:val="18"/>
        </w:rPr>
        <w:t>u</w:t>
      </w:r>
      <w:r w:rsidRPr="00031E0E">
        <w:rPr>
          <w:szCs w:val="18"/>
        </w:rPr>
        <w:t>tions et retrouver par là la logique de l’histoire naturelle (1950, pp. 270-279). Il faut donc tenir compte de cette fascination, quand on a à porter une appréciation globale sur cette a</w:t>
      </w:r>
      <w:r w:rsidRPr="00031E0E">
        <w:rPr>
          <w:szCs w:val="18"/>
        </w:rPr>
        <w:t>p</w:t>
      </w:r>
      <w:r w:rsidRPr="00031E0E">
        <w:rPr>
          <w:szCs w:val="18"/>
        </w:rPr>
        <w:t>proche, et il ne convient pas de lui nier tout apport, dans la mise en évidence ou plutôt dans la recherche de généralisations empir</w:t>
      </w:r>
      <w:r w:rsidRPr="00031E0E">
        <w:rPr>
          <w:szCs w:val="18"/>
        </w:rPr>
        <w:t>i</w:t>
      </w:r>
      <w:r w:rsidRPr="00031E0E">
        <w:rPr>
          <w:szCs w:val="18"/>
        </w:rPr>
        <w:t>ques</w:t>
      </w:r>
      <w:r>
        <w:rPr>
          <w:szCs w:val="18"/>
        </w:rPr>
        <w:t> </w:t>
      </w:r>
      <w:r>
        <w:rPr>
          <w:rStyle w:val="Appelnotedebasdep"/>
          <w:szCs w:val="18"/>
        </w:rPr>
        <w:footnoteReference w:id="30"/>
      </w:r>
      <w:r w:rsidRPr="00031E0E">
        <w:rPr>
          <w:szCs w:val="18"/>
        </w:rPr>
        <w:t> ; mais elle constitue, sur le plan fondamental de l’explication, une tentation qui doit être surmo</w:t>
      </w:r>
      <w:r w:rsidRPr="00031E0E">
        <w:rPr>
          <w:szCs w:val="18"/>
        </w:rPr>
        <w:t>n</w:t>
      </w:r>
      <w:r w:rsidRPr="00031E0E">
        <w:rPr>
          <w:szCs w:val="18"/>
        </w:rPr>
        <w:t>tée.</w:t>
      </w:r>
    </w:p>
    <w:p w14:paraId="1ADF5A00" w14:textId="77777777" w:rsidR="006C5FDB" w:rsidRPr="00031E0E" w:rsidRDefault="006C5FDB" w:rsidP="006C5FDB">
      <w:pPr>
        <w:spacing w:before="120" w:after="120"/>
        <w:jc w:val="both"/>
      </w:pPr>
    </w:p>
    <w:p w14:paraId="058C6687" w14:textId="77777777" w:rsidR="006C5FDB" w:rsidRPr="00031E0E" w:rsidRDefault="006C5FDB" w:rsidP="006C5FDB">
      <w:pPr>
        <w:pStyle w:val="b"/>
      </w:pPr>
      <w:r w:rsidRPr="00031E0E">
        <w:t>B. LES MODÈLES VO</w:t>
      </w:r>
      <w:r w:rsidRPr="00031E0E">
        <w:t>L</w:t>
      </w:r>
      <w:r w:rsidRPr="00031E0E">
        <w:t>CANIQUES</w:t>
      </w:r>
    </w:p>
    <w:p w14:paraId="7646092E" w14:textId="77777777" w:rsidR="006C5FDB" w:rsidRPr="00031E0E" w:rsidRDefault="006C5FDB" w:rsidP="006C5FDB">
      <w:pPr>
        <w:spacing w:before="120" w:after="120"/>
        <w:jc w:val="both"/>
        <w:rPr>
          <w:szCs w:val="18"/>
        </w:rPr>
      </w:pPr>
    </w:p>
    <w:p w14:paraId="77DB1621" w14:textId="77777777" w:rsidR="006C5FDB" w:rsidRPr="00031E0E" w:rsidRDefault="006C5FDB" w:rsidP="006C5FDB">
      <w:pPr>
        <w:spacing w:before="120" w:after="120"/>
        <w:jc w:val="both"/>
      </w:pPr>
      <w:r w:rsidRPr="00031E0E">
        <w:rPr>
          <w:szCs w:val="18"/>
        </w:rPr>
        <w:t>Cette expression étant empruntée, comme nous l’avons indiqué plus haut, à Rod Aya, il nous paraît opportun, pour ne pas dire indi</w:t>
      </w:r>
      <w:r w:rsidRPr="00031E0E">
        <w:rPr>
          <w:szCs w:val="18"/>
        </w:rPr>
        <w:t>s</w:t>
      </w:r>
      <w:r w:rsidRPr="00031E0E">
        <w:rPr>
          <w:szCs w:val="18"/>
        </w:rPr>
        <w:t>pe</w:t>
      </w:r>
      <w:r w:rsidRPr="00031E0E">
        <w:rPr>
          <w:szCs w:val="18"/>
        </w:rPr>
        <w:t>n</w:t>
      </w:r>
      <w:r w:rsidRPr="00031E0E">
        <w:rPr>
          <w:szCs w:val="18"/>
        </w:rPr>
        <w:t>sable, de nous</w:t>
      </w:r>
      <w:r>
        <w:rPr>
          <w:szCs w:val="18"/>
        </w:rPr>
        <w:t xml:space="preserve"> </w:t>
      </w:r>
      <w:r w:rsidRPr="00031E0E">
        <w:rPr>
          <w:szCs w:val="14"/>
        </w:rPr>
        <w:t>[659]</w:t>
      </w:r>
      <w:r>
        <w:rPr>
          <w:szCs w:val="14"/>
        </w:rPr>
        <w:t xml:space="preserve"> </w:t>
      </w:r>
      <w:r w:rsidRPr="00031E0E">
        <w:rPr>
          <w:szCs w:val="18"/>
        </w:rPr>
        <w:t>reporter au texte même de cet auteur pour bien faire co</w:t>
      </w:r>
      <w:r w:rsidRPr="00031E0E">
        <w:rPr>
          <w:szCs w:val="18"/>
        </w:rPr>
        <w:t>m</w:t>
      </w:r>
      <w:r w:rsidRPr="00031E0E">
        <w:rPr>
          <w:szCs w:val="18"/>
        </w:rPr>
        <w:t>prendre ce dont il est ici question. Ce qui est sous-jacent à ces théories, écrit Aya, c’est une « métaphore, (aussi) sédu</w:t>
      </w:r>
      <w:r w:rsidRPr="00031E0E">
        <w:rPr>
          <w:szCs w:val="18"/>
        </w:rPr>
        <w:t>i</w:t>
      </w:r>
      <w:r w:rsidRPr="00031E0E">
        <w:rPr>
          <w:szCs w:val="18"/>
        </w:rPr>
        <w:t>sante (que) trompeuse, qui assim</w:t>
      </w:r>
      <w:r w:rsidRPr="00031E0E">
        <w:rPr>
          <w:szCs w:val="18"/>
        </w:rPr>
        <w:t>i</w:t>
      </w:r>
      <w:r w:rsidRPr="00031E0E">
        <w:rPr>
          <w:szCs w:val="18"/>
        </w:rPr>
        <w:t xml:space="preserve">le les révolutions… à des désastres naturels – des explosions, des éruptions, des tremblements de terre… Le modèle volcanique représente (les révolutions) comme des </w:t>
      </w:r>
      <w:r w:rsidRPr="00031E0E">
        <w:rPr>
          <w:i/>
          <w:iCs/>
          <w:szCs w:val="18"/>
        </w:rPr>
        <w:t>éru</w:t>
      </w:r>
      <w:r w:rsidRPr="00031E0E">
        <w:rPr>
          <w:i/>
          <w:iCs/>
          <w:szCs w:val="18"/>
        </w:rPr>
        <w:t>p</w:t>
      </w:r>
      <w:r w:rsidRPr="00031E0E">
        <w:rPr>
          <w:i/>
          <w:iCs/>
          <w:szCs w:val="18"/>
        </w:rPr>
        <w:t>tions irrationnelles d’agression aveugle »</w:t>
      </w:r>
      <w:r>
        <w:rPr>
          <w:iCs/>
          <w:szCs w:val="18"/>
        </w:rPr>
        <w:t> </w:t>
      </w:r>
      <w:r>
        <w:rPr>
          <w:rStyle w:val="Appelnotedebasdep"/>
          <w:iCs/>
          <w:szCs w:val="18"/>
        </w:rPr>
        <w:footnoteReference w:id="31"/>
      </w:r>
      <w:r w:rsidRPr="00031E0E">
        <w:rPr>
          <w:szCs w:val="18"/>
        </w:rPr>
        <w:t xml:space="preserve"> (1979, p. 40). Cette cit</w:t>
      </w:r>
      <w:r w:rsidRPr="00031E0E">
        <w:rPr>
          <w:szCs w:val="18"/>
        </w:rPr>
        <w:t>a</w:t>
      </w:r>
      <w:r w:rsidRPr="00031E0E">
        <w:rPr>
          <w:szCs w:val="18"/>
        </w:rPr>
        <w:t>tion peut nous servir de point de départ, à cette réserve près que nous avons re</w:t>
      </w:r>
      <w:r w:rsidRPr="00031E0E">
        <w:rPr>
          <w:szCs w:val="18"/>
        </w:rPr>
        <w:t>m</w:t>
      </w:r>
      <w:r w:rsidRPr="00031E0E">
        <w:rPr>
          <w:szCs w:val="18"/>
        </w:rPr>
        <w:t>placé le singulier par le pluriel, de manière à tenir compte de différentes m</w:t>
      </w:r>
      <w:r w:rsidRPr="00031E0E">
        <w:rPr>
          <w:szCs w:val="18"/>
        </w:rPr>
        <w:t>i</w:t>
      </w:r>
      <w:r w:rsidRPr="00031E0E">
        <w:rPr>
          <w:szCs w:val="18"/>
        </w:rPr>
        <w:t>ses en œuvre de la métaphore et à ne pas réduire à une unité fa</w:t>
      </w:r>
      <w:r w:rsidRPr="00031E0E">
        <w:rPr>
          <w:szCs w:val="18"/>
        </w:rPr>
        <w:t>c</w:t>
      </w:r>
      <w:r w:rsidRPr="00031E0E">
        <w:rPr>
          <w:szCs w:val="18"/>
        </w:rPr>
        <w:t>tice les divers modes d’interprétation élaborés sur cette base. On peut ici distinguer deux grands types de constructions thé</w:t>
      </w:r>
      <w:r w:rsidRPr="00031E0E">
        <w:rPr>
          <w:szCs w:val="18"/>
        </w:rPr>
        <w:t>o</w:t>
      </w:r>
      <w:r w:rsidRPr="00031E0E">
        <w:rPr>
          <w:szCs w:val="18"/>
        </w:rPr>
        <w:t>riques dont l’une accorde la priorité aux dime</w:t>
      </w:r>
      <w:r w:rsidRPr="00031E0E">
        <w:rPr>
          <w:szCs w:val="18"/>
        </w:rPr>
        <w:t>n</w:t>
      </w:r>
      <w:r w:rsidRPr="00031E0E">
        <w:rPr>
          <w:szCs w:val="18"/>
        </w:rPr>
        <w:t>sions psycho-sociales, tandis que l’autre privilégie un cadre de référence systémique. Les travaux de James Davies, Ted Gurr et des Feierabend sont caractéri</w:t>
      </w:r>
      <w:r w:rsidRPr="00031E0E">
        <w:rPr>
          <w:szCs w:val="18"/>
        </w:rPr>
        <w:t>s</w:t>
      </w:r>
      <w:r w:rsidRPr="00031E0E">
        <w:rPr>
          <w:szCs w:val="18"/>
        </w:rPr>
        <w:t>tiques du premier type, tandis que les ouvrages de Neil Smelser et de Chalmers Johnson illustrent le second. Les outils conce</w:t>
      </w:r>
      <w:r w:rsidRPr="00031E0E">
        <w:rPr>
          <w:szCs w:val="18"/>
        </w:rPr>
        <w:t>p</w:t>
      </w:r>
      <w:r w:rsidRPr="00031E0E">
        <w:rPr>
          <w:szCs w:val="18"/>
        </w:rPr>
        <w:t>tuels et les repères théoriques varient profondément quand on passe de l’approche psych</w:t>
      </w:r>
      <w:r w:rsidRPr="00031E0E">
        <w:rPr>
          <w:szCs w:val="18"/>
        </w:rPr>
        <w:t>o</w:t>
      </w:r>
      <w:r w:rsidRPr="00031E0E">
        <w:rPr>
          <w:szCs w:val="18"/>
        </w:rPr>
        <w:t>sociale à l’approche systémique ; mais les deux types reposent sur la même idée sous-jacente de la révolution : aux r</w:t>
      </w:r>
      <w:r w:rsidRPr="00031E0E">
        <w:rPr>
          <w:szCs w:val="18"/>
        </w:rPr>
        <w:t>e</w:t>
      </w:r>
      <w:r w:rsidRPr="00031E0E">
        <w:rPr>
          <w:szCs w:val="18"/>
        </w:rPr>
        <w:t>présentants de l’un et de l’autre, « la rév</w:t>
      </w:r>
      <w:r w:rsidRPr="00031E0E">
        <w:rPr>
          <w:szCs w:val="18"/>
        </w:rPr>
        <w:t>o</w:t>
      </w:r>
      <w:r w:rsidRPr="00031E0E">
        <w:rPr>
          <w:szCs w:val="18"/>
        </w:rPr>
        <w:t xml:space="preserve">lution apparaît… comme </w:t>
      </w:r>
      <w:r w:rsidRPr="00031E0E">
        <w:rPr>
          <w:i/>
          <w:iCs/>
          <w:szCs w:val="18"/>
        </w:rPr>
        <w:t xml:space="preserve">déviance </w:t>
      </w:r>
      <w:r w:rsidRPr="00031E0E">
        <w:rPr>
          <w:szCs w:val="18"/>
        </w:rPr>
        <w:t>de l’histoire »</w:t>
      </w:r>
      <w:r>
        <w:rPr>
          <w:szCs w:val="18"/>
        </w:rPr>
        <w:t> </w:t>
      </w:r>
      <w:r>
        <w:rPr>
          <w:rStyle w:val="Appelnotedebasdep"/>
          <w:szCs w:val="18"/>
        </w:rPr>
        <w:footnoteReference w:id="32"/>
      </w:r>
      <w:r w:rsidRPr="00031E0E">
        <w:rPr>
          <w:szCs w:val="18"/>
        </w:rPr>
        <w:t> ; et c’est l’irruption de cette déviance qui est assim</w:t>
      </w:r>
      <w:r w:rsidRPr="00031E0E">
        <w:rPr>
          <w:szCs w:val="18"/>
        </w:rPr>
        <w:t>i</w:t>
      </w:r>
      <w:r w:rsidRPr="00031E0E">
        <w:rPr>
          <w:szCs w:val="18"/>
        </w:rPr>
        <w:t>lée à une éruption vo</w:t>
      </w:r>
      <w:r w:rsidRPr="00031E0E">
        <w:rPr>
          <w:szCs w:val="18"/>
        </w:rPr>
        <w:t>l</w:t>
      </w:r>
      <w:r w:rsidRPr="00031E0E">
        <w:rPr>
          <w:szCs w:val="18"/>
        </w:rPr>
        <w:t>canique, selon la métaphore mise en évidence par Aya.</w:t>
      </w:r>
    </w:p>
    <w:p w14:paraId="2AECE9E6" w14:textId="77777777" w:rsidR="006C5FDB" w:rsidRPr="00031E0E" w:rsidRDefault="006C5FDB" w:rsidP="006C5FDB">
      <w:pPr>
        <w:spacing w:before="120" w:after="120"/>
        <w:jc w:val="both"/>
      </w:pPr>
      <w:r w:rsidRPr="00031E0E">
        <w:rPr>
          <w:szCs w:val="18"/>
        </w:rPr>
        <w:t xml:space="preserve">L’ouvrage de Neil Smelser, </w:t>
      </w:r>
      <w:r w:rsidRPr="00031E0E">
        <w:rPr>
          <w:i/>
          <w:iCs/>
          <w:szCs w:val="18"/>
        </w:rPr>
        <w:t>Theory of Collective Beh</w:t>
      </w:r>
      <w:r w:rsidRPr="00031E0E">
        <w:rPr>
          <w:i/>
          <w:iCs/>
          <w:szCs w:val="18"/>
        </w:rPr>
        <w:t>a</w:t>
      </w:r>
      <w:r w:rsidRPr="00031E0E">
        <w:rPr>
          <w:i/>
          <w:iCs/>
          <w:szCs w:val="18"/>
        </w:rPr>
        <w:t xml:space="preserve">vior </w:t>
      </w:r>
      <w:r w:rsidRPr="00031E0E">
        <w:rPr>
          <w:szCs w:val="18"/>
        </w:rPr>
        <w:t>(1962) est, de ce point de vue, tout à fait significatif, m</w:t>
      </w:r>
      <w:r w:rsidRPr="00031E0E">
        <w:rPr>
          <w:szCs w:val="18"/>
        </w:rPr>
        <w:t>ê</w:t>
      </w:r>
      <w:r w:rsidRPr="00031E0E">
        <w:rPr>
          <w:szCs w:val="18"/>
        </w:rPr>
        <w:t>me si son champ d’analyse déborde de beaucoup, comme l’indique le titre, le phén</w:t>
      </w:r>
      <w:r w:rsidRPr="00031E0E">
        <w:rPr>
          <w:szCs w:val="18"/>
        </w:rPr>
        <w:t>o</w:t>
      </w:r>
      <w:r w:rsidRPr="00031E0E">
        <w:rPr>
          <w:szCs w:val="18"/>
        </w:rPr>
        <w:t>mène de la révolution. La pr</w:t>
      </w:r>
      <w:r w:rsidRPr="00031E0E">
        <w:rPr>
          <w:szCs w:val="18"/>
        </w:rPr>
        <w:t>e</w:t>
      </w:r>
      <w:r w:rsidRPr="00031E0E">
        <w:rPr>
          <w:szCs w:val="18"/>
        </w:rPr>
        <w:t>mière difficulté se situe d’ailleurs à ce niveau : dans les mouvements orientés vers les valeurs, qui consistent en « une tentative de resta</w:t>
      </w:r>
      <w:r w:rsidRPr="00031E0E">
        <w:rPr>
          <w:szCs w:val="18"/>
        </w:rPr>
        <w:t>u</w:t>
      </w:r>
      <w:r w:rsidRPr="00031E0E">
        <w:rPr>
          <w:szCs w:val="18"/>
        </w:rPr>
        <w:t>rer, de protéger, de modifier ou de créer des valeurs au nom d’une croyance généralisée » (p. 313) et qui con</w:t>
      </w:r>
      <w:r w:rsidRPr="00031E0E">
        <w:rPr>
          <w:szCs w:val="18"/>
        </w:rPr>
        <w:t>s</w:t>
      </w:r>
      <w:r w:rsidRPr="00031E0E">
        <w:rPr>
          <w:szCs w:val="18"/>
        </w:rPr>
        <w:t>tituent de ce fait le mode le plus éminent de conduites collect</w:t>
      </w:r>
      <w:r w:rsidRPr="00031E0E">
        <w:rPr>
          <w:szCs w:val="18"/>
        </w:rPr>
        <w:t>i</w:t>
      </w:r>
      <w:r w:rsidRPr="00031E0E">
        <w:rPr>
          <w:szCs w:val="18"/>
        </w:rPr>
        <w:t>ves, Smelser range pêle-mêle les nativismes, les messianismes, les mill</w:t>
      </w:r>
      <w:r w:rsidRPr="00031E0E">
        <w:rPr>
          <w:szCs w:val="18"/>
        </w:rPr>
        <w:t>é</w:t>
      </w:r>
      <w:r w:rsidRPr="00031E0E">
        <w:rPr>
          <w:szCs w:val="18"/>
        </w:rPr>
        <w:t>narismes, la formation des sectes, les mouvements nationali</w:t>
      </w:r>
      <w:r w:rsidRPr="00031E0E">
        <w:rPr>
          <w:szCs w:val="18"/>
        </w:rPr>
        <w:t>s</w:t>
      </w:r>
      <w:r w:rsidRPr="00031E0E">
        <w:rPr>
          <w:szCs w:val="18"/>
        </w:rPr>
        <w:t>tes, à côté des révolutions, qui sont envisagées sur un do</w:t>
      </w:r>
      <w:r w:rsidRPr="00031E0E">
        <w:rPr>
          <w:szCs w:val="18"/>
        </w:rPr>
        <w:t>u</w:t>
      </w:r>
      <w:r w:rsidRPr="00031E0E">
        <w:rPr>
          <w:szCs w:val="18"/>
        </w:rPr>
        <w:t>ble plan, religieux et politique. La spécif</w:t>
      </w:r>
      <w:r w:rsidRPr="00031E0E">
        <w:rPr>
          <w:szCs w:val="18"/>
        </w:rPr>
        <w:t>i</w:t>
      </w:r>
      <w:r w:rsidRPr="00031E0E">
        <w:rPr>
          <w:szCs w:val="18"/>
        </w:rPr>
        <w:t>cité des phénomènes révolutionnaires paraît en quelque sorte noyée dans cette liste rassemblant des phénomènes hét</w:t>
      </w:r>
      <w:r w:rsidRPr="00031E0E">
        <w:rPr>
          <w:szCs w:val="18"/>
        </w:rPr>
        <w:t>é</w:t>
      </w:r>
      <w:r w:rsidRPr="00031E0E">
        <w:rPr>
          <w:szCs w:val="18"/>
        </w:rPr>
        <w:t>rogènes. Ce sou</w:t>
      </w:r>
      <w:r w:rsidRPr="00031E0E">
        <w:rPr>
          <w:szCs w:val="18"/>
        </w:rPr>
        <w:t>p</w:t>
      </w:r>
      <w:r w:rsidRPr="00031E0E">
        <w:rPr>
          <w:szCs w:val="18"/>
        </w:rPr>
        <w:t>çon est d’ailleurs pleinement confirmé par la « stratégie » de recherche, particulièrement amb</w:t>
      </w:r>
      <w:r w:rsidRPr="00031E0E">
        <w:rPr>
          <w:szCs w:val="18"/>
        </w:rPr>
        <w:t>i</w:t>
      </w:r>
      <w:r w:rsidRPr="00031E0E">
        <w:rPr>
          <w:szCs w:val="18"/>
        </w:rPr>
        <w:t>tieuse, que met en œuvre Smelser : il applique en effet aux cinq formes disti</w:t>
      </w:r>
      <w:r w:rsidRPr="00031E0E">
        <w:rPr>
          <w:szCs w:val="18"/>
        </w:rPr>
        <w:t>n</w:t>
      </w:r>
      <w:r w:rsidRPr="00031E0E">
        <w:rPr>
          <w:szCs w:val="18"/>
        </w:rPr>
        <w:t xml:space="preserve">guées de comportement collectif – la panique, l’engouement </w:t>
      </w:r>
      <w:r w:rsidRPr="00031E0E">
        <w:rPr>
          <w:i/>
          <w:iCs/>
          <w:szCs w:val="18"/>
        </w:rPr>
        <w:t>(cr</w:t>
      </w:r>
      <w:r w:rsidRPr="00031E0E">
        <w:rPr>
          <w:i/>
          <w:iCs/>
          <w:szCs w:val="18"/>
        </w:rPr>
        <w:t>a</w:t>
      </w:r>
      <w:r w:rsidRPr="00031E0E">
        <w:rPr>
          <w:i/>
          <w:iCs/>
          <w:szCs w:val="18"/>
        </w:rPr>
        <w:t xml:space="preserve">ze), </w:t>
      </w:r>
      <w:r w:rsidRPr="00031E0E">
        <w:rPr>
          <w:szCs w:val="18"/>
        </w:rPr>
        <w:t>l’explosion d’hostilité, les mo</w:t>
      </w:r>
      <w:r w:rsidRPr="00031E0E">
        <w:rPr>
          <w:szCs w:val="18"/>
        </w:rPr>
        <w:t>u</w:t>
      </w:r>
      <w:r w:rsidRPr="00031E0E">
        <w:rPr>
          <w:szCs w:val="18"/>
        </w:rPr>
        <w:t>vements orientés vers les normes et les mouvements orientés vers les valeurs – un modèle unique d’interprétation, qui est en fait une log</w:t>
      </w:r>
      <w:r w:rsidRPr="00031E0E">
        <w:rPr>
          <w:szCs w:val="18"/>
        </w:rPr>
        <w:t>i</w:t>
      </w:r>
      <w:r w:rsidRPr="00031E0E">
        <w:rPr>
          <w:szCs w:val="18"/>
        </w:rPr>
        <w:t>que d’activation d’une série de déterminants</w:t>
      </w:r>
      <w:r>
        <w:rPr>
          <w:szCs w:val="18"/>
        </w:rPr>
        <w:t> </w:t>
      </w:r>
      <w:r>
        <w:rPr>
          <w:rStyle w:val="Appelnotedebasdep"/>
          <w:szCs w:val="18"/>
        </w:rPr>
        <w:footnoteReference w:id="33"/>
      </w:r>
      <w:r w:rsidRPr="00031E0E">
        <w:rPr>
          <w:szCs w:val="18"/>
        </w:rPr>
        <w:t>. Ce qui compte ici, ce n’est donc pas la simple prése</w:t>
      </w:r>
      <w:r w:rsidRPr="00031E0E">
        <w:rPr>
          <w:szCs w:val="18"/>
        </w:rPr>
        <w:t>n</w:t>
      </w:r>
      <w:r w:rsidRPr="00031E0E">
        <w:rPr>
          <w:szCs w:val="18"/>
        </w:rPr>
        <w:t>ce d’un déterminant,</w:t>
      </w:r>
      <w:r>
        <w:rPr>
          <w:szCs w:val="18"/>
        </w:rPr>
        <w:t xml:space="preserve"> </w:t>
      </w:r>
      <w:r w:rsidRPr="00031E0E">
        <w:rPr>
          <w:szCs w:val="16"/>
        </w:rPr>
        <w:t>[660]</w:t>
      </w:r>
      <w:r>
        <w:rPr>
          <w:szCs w:val="16"/>
        </w:rPr>
        <w:t xml:space="preserve"> </w:t>
      </w:r>
      <w:r w:rsidRPr="00031E0E">
        <w:rPr>
          <w:szCs w:val="18"/>
        </w:rPr>
        <w:t>qui peut rester à l’état « dormant » pe</w:t>
      </w:r>
      <w:r w:rsidRPr="00031E0E">
        <w:rPr>
          <w:szCs w:val="18"/>
        </w:rPr>
        <w:t>n</w:t>
      </w:r>
      <w:r w:rsidRPr="00031E0E">
        <w:rPr>
          <w:szCs w:val="18"/>
        </w:rPr>
        <w:t>dant un certain temps, mais son entrée en jeu à un moment donné dans une combinaison strictement définie, i</w:t>
      </w:r>
      <w:r w:rsidRPr="00031E0E">
        <w:rPr>
          <w:szCs w:val="18"/>
        </w:rPr>
        <w:t>m</w:t>
      </w:r>
      <w:r w:rsidRPr="00031E0E">
        <w:rPr>
          <w:szCs w:val="18"/>
        </w:rPr>
        <w:t>pliquant un ordre bien réglé d’intervention des divers déterminants : c’est pourquoi, lors de la pr</w:t>
      </w:r>
      <w:r w:rsidRPr="00031E0E">
        <w:rPr>
          <w:szCs w:val="18"/>
        </w:rPr>
        <w:t>é</w:t>
      </w:r>
      <w:r w:rsidRPr="00031E0E">
        <w:rPr>
          <w:szCs w:val="18"/>
        </w:rPr>
        <w:t>sentation de son modèle (p. 12-21), Smelser le désigne sous le nom de « logique de la valeur ajoutée ». Or les trois premiers déte</w:t>
      </w:r>
      <w:r w:rsidRPr="00031E0E">
        <w:rPr>
          <w:szCs w:val="18"/>
        </w:rPr>
        <w:t>r</w:t>
      </w:r>
      <w:r w:rsidRPr="00031E0E">
        <w:rPr>
          <w:szCs w:val="18"/>
        </w:rPr>
        <w:t>minants – c’est-à-dire, dans cette perspective, les déterminants majeurs – à s</w:t>
      </w:r>
      <w:r w:rsidRPr="00031E0E">
        <w:rPr>
          <w:szCs w:val="18"/>
        </w:rPr>
        <w:t>a</w:t>
      </w:r>
      <w:r w:rsidRPr="00031E0E">
        <w:rPr>
          <w:szCs w:val="18"/>
        </w:rPr>
        <w:t>voir la conductib</w:t>
      </w:r>
      <w:r w:rsidRPr="00031E0E">
        <w:rPr>
          <w:szCs w:val="18"/>
        </w:rPr>
        <w:t>i</w:t>
      </w:r>
      <w:r w:rsidRPr="00031E0E">
        <w:rPr>
          <w:szCs w:val="18"/>
        </w:rPr>
        <w:t xml:space="preserve">lité structurelle </w:t>
      </w:r>
      <w:r w:rsidRPr="00031E0E">
        <w:rPr>
          <w:i/>
          <w:iCs/>
          <w:szCs w:val="18"/>
        </w:rPr>
        <w:t>(structural conduciveness)</w:t>
      </w:r>
      <w:r w:rsidRPr="00031E0E">
        <w:rPr>
          <w:szCs w:val="18"/>
        </w:rPr>
        <w:t>, en vertu de laquelle seules certaines configurations sociales permettent la fo</w:t>
      </w:r>
      <w:r w:rsidRPr="00031E0E">
        <w:rPr>
          <w:szCs w:val="18"/>
        </w:rPr>
        <w:t>r</w:t>
      </w:r>
      <w:r w:rsidRPr="00031E0E">
        <w:rPr>
          <w:szCs w:val="18"/>
        </w:rPr>
        <w:t>mation d’un type spéc</w:t>
      </w:r>
      <w:r w:rsidRPr="00031E0E">
        <w:rPr>
          <w:szCs w:val="18"/>
        </w:rPr>
        <w:t>i</w:t>
      </w:r>
      <w:r w:rsidRPr="00031E0E">
        <w:rPr>
          <w:szCs w:val="18"/>
        </w:rPr>
        <w:t>fique de comportement collectif, la tension structurelle, se man</w:t>
      </w:r>
      <w:r w:rsidRPr="00031E0E">
        <w:rPr>
          <w:szCs w:val="18"/>
        </w:rPr>
        <w:t>i</w:t>
      </w:r>
      <w:r w:rsidRPr="00031E0E">
        <w:rPr>
          <w:szCs w:val="18"/>
        </w:rPr>
        <w:t>festant sous la forme de frustrations relatives, de conflits de rôle et de discordances au plan des valeurs, le développ</w:t>
      </w:r>
      <w:r w:rsidRPr="00031E0E">
        <w:rPr>
          <w:szCs w:val="18"/>
        </w:rPr>
        <w:t>e</w:t>
      </w:r>
      <w:r w:rsidRPr="00031E0E">
        <w:rPr>
          <w:szCs w:val="18"/>
        </w:rPr>
        <w:t>ment et la diffusion d’une croyance g</w:t>
      </w:r>
      <w:r w:rsidRPr="00031E0E">
        <w:rPr>
          <w:szCs w:val="18"/>
        </w:rPr>
        <w:t>é</w:t>
      </w:r>
      <w:r w:rsidRPr="00031E0E">
        <w:rPr>
          <w:szCs w:val="18"/>
        </w:rPr>
        <w:t>néralisée, qui donne un sens à la situation en identifiant la source de tension et en suggérant certains « remèdes », restent, même si on les envisage uniquement dans le c</w:t>
      </w:r>
      <w:r w:rsidRPr="00031E0E">
        <w:rPr>
          <w:szCs w:val="18"/>
        </w:rPr>
        <w:t>a</w:t>
      </w:r>
      <w:r w:rsidRPr="00031E0E">
        <w:rPr>
          <w:szCs w:val="18"/>
        </w:rPr>
        <w:t>dre des mouvements orientés vers les valeurs, des facteurs trop gén</w:t>
      </w:r>
      <w:r w:rsidRPr="00031E0E">
        <w:rPr>
          <w:szCs w:val="18"/>
        </w:rPr>
        <w:t>é</w:t>
      </w:r>
      <w:r w:rsidRPr="00031E0E">
        <w:rPr>
          <w:szCs w:val="18"/>
        </w:rPr>
        <w:t>raux pour servir â discriminer une situation révolutionnaire et une a</w:t>
      </w:r>
      <w:r w:rsidRPr="00031E0E">
        <w:rPr>
          <w:szCs w:val="18"/>
        </w:rPr>
        <w:t>u</w:t>
      </w:r>
      <w:r w:rsidRPr="00031E0E">
        <w:rPr>
          <w:szCs w:val="18"/>
        </w:rPr>
        <w:t xml:space="preserve">tre qui ne l’est pas : Smelser lui-même reconnaît que, quel que soit le mode de comportement collectif envisagé, ils ne </w:t>
      </w:r>
      <w:r w:rsidRPr="00031E0E">
        <w:rPr>
          <w:i/>
          <w:iCs/>
          <w:szCs w:val="18"/>
        </w:rPr>
        <w:t xml:space="preserve">suffisent </w:t>
      </w:r>
      <w:r w:rsidRPr="00031E0E">
        <w:rPr>
          <w:szCs w:val="18"/>
        </w:rPr>
        <w:t>pas à le pr</w:t>
      </w:r>
      <w:r w:rsidRPr="00031E0E">
        <w:rPr>
          <w:szCs w:val="18"/>
        </w:rPr>
        <w:t>o</w:t>
      </w:r>
      <w:r w:rsidRPr="00031E0E">
        <w:rPr>
          <w:szCs w:val="18"/>
        </w:rPr>
        <w:t xml:space="preserve">duire (p. 16), même s’ils sont </w:t>
      </w:r>
      <w:r w:rsidRPr="00031E0E">
        <w:rPr>
          <w:i/>
          <w:iCs/>
          <w:szCs w:val="18"/>
        </w:rPr>
        <w:t xml:space="preserve">nécessaires </w:t>
      </w:r>
      <w:r w:rsidRPr="00031E0E">
        <w:rPr>
          <w:szCs w:val="18"/>
        </w:rPr>
        <w:t>à sa production. Dans ces conditions, le quatrième déterminant, constitué par les « facteurs pr</w:t>
      </w:r>
      <w:r w:rsidRPr="00031E0E">
        <w:rPr>
          <w:szCs w:val="18"/>
        </w:rPr>
        <w:t>é</w:t>
      </w:r>
      <w:r w:rsidRPr="00031E0E">
        <w:rPr>
          <w:szCs w:val="18"/>
        </w:rPr>
        <w:t>cip</w:t>
      </w:r>
      <w:r w:rsidRPr="00031E0E">
        <w:rPr>
          <w:szCs w:val="18"/>
        </w:rPr>
        <w:t>i</w:t>
      </w:r>
      <w:r w:rsidRPr="00031E0E">
        <w:rPr>
          <w:szCs w:val="18"/>
        </w:rPr>
        <w:t>tants », événements qui fournissent un contexte et un substrat concrets par rapport auxquels pourront se déployer les conduites co</w:t>
      </w:r>
      <w:r w:rsidRPr="00031E0E">
        <w:rPr>
          <w:szCs w:val="18"/>
        </w:rPr>
        <w:t>l</w:t>
      </w:r>
      <w:r w:rsidRPr="00031E0E">
        <w:rPr>
          <w:szCs w:val="18"/>
        </w:rPr>
        <w:t>lectives, revêt une importance beaucoup plus grande que ne le laiss</w:t>
      </w:r>
      <w:r w:rsidRPr="00031E0E">
        <w:rPr>
          <w:szCs w:val="18"/>
        </w:rPr>
        <w:t>e</w:t>
      </w:r>
      <w:r w:rsidRPr="00031E0E">
        <w:rPr>
          <w:szCs w:val="18"/>
        </w:rPr>
        <w:t>rait penser sa place dans la hiérarchie des déterminants : il sert à r</w:t>
      </w:r>
      <w:r w:rsidRPr="00031E0E">
        <w:rPr>
          <w:szCs w:val="18"/>
        </w:rPr>
        <w:t>é</w:t>
      </w:r>
      <w:r w:rsidRPr="00031E0E">
        <w:rPr>
          <w:szCs w:val="18"/>
        </w:rPr>
        <w:t>duire, si ce n’est à combler, l’écart entre les catégories fond</w:t>
      </w:r>
      <w:r w:rsidRPr="00031E0E">
        <w:rPr>
          <w:szCs w:val="18"/>
        </w:rPr>
        <w:t>a</w:t>
      </w:r>
      <w:r w:rsidRPr="00031E0E">
        <w:rPr>
          <w:szCs w:val="18"/>
        </w:rPr>
        <w:t>mentales et la réalité empirique. De ce fait, Smelser est amené à accorder à ce facteur une place incomp</w:t>
      </w:r>
      <w:r w:rsidRPr="00031E0E">
        <w:rPr>
          <w:szCs w:val="18"/>
        </w:rPr>
        <w:t>a</w:t>
      </w:r>
      <w:r w:rsidRPr="00031E0E">
        <w:rPr>
          <w:szCs w:val="18"/>
        </w:rPr>
        <w:t>tible avec la logique même de sa démarche : on lit en particulier avec quelque étonnement, au début des paragr</w:t>
      </w:r>
      <w:r w:rsidRPr="00031E0E">
        <w:rPr>
          <w:szCs w:val="18"/>
        </w:rPr>
        <w:t>a</w:t>
      </w:r>
      <w:r w:rsidRPr="00031E0E">
        <w:rPr>
          <w:szCs w:val="18"/>
        </w:rPr>
        <w:t>phes dans le</w:t>
      </w:r>
      <w:r w:rsidRPr="00031E0E">
        <w:rPr>
          <w:szCs w:val="18"/>
        </w:rPr>
        <w:t>s</w:t>
      </w:r>
      <w:r w:rsidRPr="00031E0E">
        <w:rPr>
          <w:szCs w:val="18"/>
        </w:rPr>
        <w:t xml:space="preserve">quels Smelser traite du « rôle des facteurs précipitants dans les mouvements orientés vers les valeurs » qu’il faut entendre par là un événement susceptible de </w:t>
      </w:r>
      <w:r w:rsidRPr="00031E0E">
        <w:rPr>
          <w:i/>
          <w:iCs/>
          <w:szCs w:val="18"/>
        </w:rPr>
        <w:t xml:space="preserve">créer </w:t>
      </w:r>
      <w:r w:rsidRPr="00031E0E">
        <w:rPr>
          <w:szCs w:val="18"/>
        </w:rPr>
        <w:t>et non pas simplement d’aggraver ou de grossir une cond</w:t>
      </w:r>
      <w:r w:rsidRPr="00031E0E">
        <w:rPr>
          <w:szCs w:val="18"/>
        </w:rPr>
        <w:t>i</w:t>
      </w:r>
      <w:r w:rsidRPr="00031E0E">
        <w:rPr>
          <w:szCs w:val="18"/>
        </w:rPr>
        <w:t>tion de tension ou de conductibilité (p. 352)</w:t>
      </w:r>
      <w:r>
        <w:rPr>
          <w:szCs w:val="18"/>
        </w:rPr>
        <w:t> </w:t>
      </w:r>
      <w:r>
        <w:rPr>
          <w:rStyle w:val="Appelnotedebasdep"/>
          <w:szCs w:val="18"/>
        </w:rPr>
        <w:footnoteReference w:id="34"/>
      </w:r>
      <w:r w:rsidRPr="00031E0E">
        <w:rPr>
          <w:szCs w:val="18"/>
        </w:rPr>
        <w:t> ; tout se passe alors comme si, contrairement aux princ</w:t>
      </w:r>
      <w:r w:rsidRPr="00031E0E">
        <w:rPr>
          <w:szCs w:val="18"/>
        </w:rPr>
        <w:t>i</w:t>
      </w:r>
      <w:r w:rsidRPr="00031E0E">
        <w:rPr>
          <w:szCs w:val="18"/>
        </w:rPr>
        <w:t>pes qui ont été posés, un précip</w:t>
      </w:r>
      <w:r w:rsidRPr="00031E0E">
        <w:rPr>
          <w:szCs w:val="18"/>
        </w:rPr>
        <w:t>i</w:t>
      </w:r>
      <w:r w:rsidRPr="00031E0E">
        <w:rPr>
          <w:szCs w:val="18"/>
        </w:rPr>
        <w:t>tant, de l’ordre de l’événement, était en mesure d’activer un facteur général, d’ordre structurel. Les facteurs précip</w:t>
      </w:r>
      <w:r w:rsidRPr="00031E0E">
        <w:rPr>
          <w:szCs w:val="18"/>
        </w:rPr>
        <w:t>i</w:t>
      </w:r>
      <w:r w:rsidRPr="00031E0E">
        <w:rPr>
          <w:szCs w:val="18"/>
        </w:rPr>
        <w:t>tants se voient donc attribuer dans l’analyse un rôle quelque peu élastique ; et il faut dire que Sme</w:t>
      </w:r>
      <w:r w:rsidRPr="00031E0E">
        <w:rPr>
          <w:szCs w:val="18"/>
        </w:rPr>
        <w:t>l</w:t>
      </w:r>
      <w:r w:rsidRPr="00031E0E">
        <w:rPr>
          <w:szCs w:val="18"/>
        </w:rPr>
        <w:t>ser n’avait guère le choix. Le cinquième terme de son mod</w:t>
      </w:r>
      <w:r w:rsidRPr="00031E0E">
        <w:rPr>
          <w:szCs w:val="18"/>
        </w:rPr>
        <w:t>è</w:t>
      </w:r>
      <w:r w:rsidRPr="00031E0E">
        <w:rPr>
          <w:szCs w:val="18"/>
        </w:rPr>
        <w:t>le est en effet constitué par la « mobilisation des participants pour l’action » : or la mobilisation est moins un déterminant qu’un ingr</w:t>
      </w:r>
      <w:r w:rsidRPr="00031E0E">
        <w:rPr>
          <w:szCs w:val="18"/>
        </w:rPr>
        <w:t>é</w:t>
      </w:r>
      <w:r w:rsidRPr="00031E0E">
        <w:rPr>
          <w:szCs w:val="18"/>
        </w:rPr>
        <w:t>dient de l’action collective, même s’il importe de maintenir la distin</w:t>
      </w:r>
      <w:r w:rsidRPr="00031E0E">
        <w:rPr>
          <w:szCs w:val="18"/>
        </w:rPr>
        <w:t>c</w:t>
      </w:r>
      <w:r w:rsidRPr="00031E0E">
        <w:rPr>
          <w:szCs w:val="18"/>
        </w:rPr>
        <w:t>tion – analytique – entre l’une et l’autre. Il reste encore un sixième déterm</w:t>
      </w:r>
      <w:r w:rsidRPr="00031E0E">
        <w:rPr>
          <w:szCs w:val="18"/>
        </w:rPr>
        <w:t>i</w:t>
      </w:r>
      <w:r w:rsidRPr="00031E0E">
        <w:rPr>
          <w:szCs w:val="18"/>
        </w:rPr>
        <w:t>nant, qui consiste dans les activités entreprises par les « agences de contrôle social » pour contrecarrer les comportements collectifs ; mais en plaçant ce facteur au dernier rang, Sme</w:t>
      </w:r>
      <w:r w:rsidRPr="00031E0E">
        <w:rPr>
          <w:szCs w:val="18"/>
        </w:rPr>
        <w:t>l</w:t>
      </w:r>
      <w:r w:rsidRPr="00031E0E">
        <w:rPr>
          <w:szCs w:val="18"/>
        </w:rPr>
        <w:t>ser ne peut, dans le cadre strict de son modèle,</w:t>
      </w:r>
      <w:r>
        <w:rPr>
          <w:szCs w:val="18"/>
        </w:rPr>
        <w:t xml:space="preserve"> </w:t>
      </w:r>
      <w:r w:rsidRPr="00031E0E">
        <w:t>[661]</w:t>
      </w:r>
      <w:r>
        <w:t xml:space="preserve"> </w:t>
      </w:r>
      <w:r w:rsidRPr="00031E0E">
        <w:rPr>
          <w:szCs w:val="18"/>
        </w:rPr>
        <w:t xml:space="preserve">régi par un ordre défini d’activation des déterminants, prendre en compte que les </w:t>
      </w:r>
      <w:r w:rsidRPr="00031E0E">
        <w:rPr>
          <w:i/>
          <w:iCs/>
          <w:szCs w:val="18"/>
        </w:rPr>
        <w:t xml:space="preserve">réponses </w:t>
      </w:r>
      <w:r w:rsidRPr="00031E0E">
        <w:rPr>
          <w:szCs w:val="18"/>
        </w:rPr>
        <w:t>de ces agences aux premières manifest</w:t>
      </w:r>
      <w:r w:rsidRPr="00031E0E">
        <w:rPr>
          <w:szCs w:val="18"/>
        </w:rPr>
        <w:t>a</w:t>
      </w:r>
      <w:r w:rsidRPr="00031E0E">
        <w:rPr>
          <w:szCs w:val="18"/>
        </w:rPr>
        <w:t>tions de conduites collectives. C’est là limiter abusivement le champ de leur action ; et Smelser en est parfaitement conscient, puisque, sans paraître se re</w:t>
      </w:r>
      <w:r w:rsidRPr="00031E0E">
        <w:rPr>
          <w:szCs w:val="18"/>
        </w:rPr>
        <w:t>n</w:t>
      </w:r>
      <w:r w:rsidRPr="00031E0E">
        <w:rPr>
          <w:szCs w:val="18"/>
        </w:rPr>
        <w:t xml:space="preserve">dre compte qu’il contrevient par là aux règles mêmes de son modèle, il insiste sur l’aptitude des agences de contrôle à </w:t>
      </w:r>
      <w:r w:rsidRPr="00031E0E">
        <w:rPr>
          <w:i/>
          <w:iCs/>
          <w:szCs w:val="18"/>
        </w:rPr>
        <w:t>prév</w:t>
      </w:r>
      <w:r w:rsidRPr="00031E0E">
        <w:rPr>
          <w:i/>
          <w:iCs/>
          <w:szCs w:val="18"/>
        </w:rPr>
        <w:t>e</w:t>
      </w:r>
      <w:r w:rsidRPr="00031E0E">
        <w:rPr>
          <w:i/>
          <w:iCs/>
          <w:szCs w:val="18"/>
        </w:rPr>
        <w:t xml:space="preserve">nir, </w:t>
      </w:r>
      <w:r w:rsidRPr="00031E0E">
        <w:rPr>
          <w:szCs w:val="18"/>
        </w:rPr>
        <w:t>tout autant qu’à combattre, les comportements collectifs (p. 17). Il note également que l’inflexibilité du gouvernement con</w:t>
      </w:r>
      <w:r w:rsidRPr="00031E0E">
        <w:rPr>
          <w:szCs w:val="18"/>
        </w:rPr>
        <w:t>s</w:t>
      </w:r>
      <w:r w:rsidRPr="00031E0E">
        <w:rPr>
          <w:szCs w:val="18"/>
        </w:rPr>
        <w:t>titue un contexte propice au dévelo</w:t>
      </w:r>
      <w:r w:rsidRPr="00031E0E">
        <w:rPr>
          <w:szCs w:val="18"/>
        </w:rPr>
        <w:t>p</w:t>
      </w:r>
      <w:r w:rsidRPr="00031E0E">
        <w:rPr>
          <w:szCs w:val="18"/>
        </w:rPr>
        <w:t>pement de croyances orientées vers les valeurs et, éventuellement par là, de mouvements révol</w:t>
      </w:r>
      <w:r w:rsidRPr="00031E0E">
        <w:rPr>
          <w:szCs w:val="18"/>
        </w:rPr>
        <w:t>u</w:t>
      </w:r>
      <w:r w:rsidRPr="00031E0E">
        <w:rPr>
          <w:szCs w:val="18"/>
        </w:rPr>
        <w:t>tionnaires (pp. 330-332), vérifiant ainsi l’observation de Rod Aya selon laquelle facilitation structurelle et « contrôle » sont deux phénomènes co</w:t>
      </w:r>
      <w:r w:rsidRPr="00031E0E">
        <w:rPr>
          <w:szCs w:val="18"/>
        </w:rPr>
        <w:t>m</w:t>
      </w:r>
      <w:r w:rsidRPr="00031E0E">
        <w:rPr>
          <w:szCs w:val="18"/>
        </w:rPr>
        <w:t>plémentaires (1979, p. 60). Il paraît donc fort di</w:t>
      </w:r>
      <w:r w:rsidRPr="00031E0E">
        <w:rPr>
          <w:szCs w:val="18"/>
        </w:rPr>
        <w:t>s</w:t>
      </w:r>
      <w:r w:rsidRPr="00031E0E">
        <w:rPr>
          <w:szCs w:val="18"/>
        </w:rPr>
        <w:t>cutable – et même, quant à l’étude des révolutions, franchement inopportun – de ne faire intervenir les activités de contrôle social qu’au dernier rang des d</w:t>
      </w:r>
      <w:r w:rsidRPr="00031E0E">
        <w:rPr>
          <w:szCs w:val="18"/>
        </w:rPr>
        <w:t>é</w:t>
      </w:r>
      <w:r w:rsidRPr="00031E0E">
        <w:rPr>
          <w:szCs w:val="18"/>
        </w:rPr>
        <w:t>terminants.</w:t>
      </w:r>
    </w:p>
    <w:p w14:paraId="5DD5E469" w14:textId="77777777" w:rsidR="006C5FDB" w:rsidRPr="00031E0E" w:rsidRDefault="006C5FDB" w:rsidP="006C5FDB">
      <w:pPr>
        <w:spacing w:before="120" w:after="120"/>
        <w:jc w:val="both"/>
      </w:pPr>
      <w:r w:rsidRPr="00031E0E">
        <w:rPr>
          <w:szCs w:val="18"/>
        </w:rPr>
        <w:t>Ce n’est pourtant pas là une simple maladresse, mais un véritable choix, ajusté à l’un des objets de la recherche : dans le cas des fo</w:t>
      </w:r>
      <w:r w:rsidRPr="00031E0E">
        <w:rPr>
          <w:szCs w:val="18"/>
        </w:rPr>
        <w:t>r</w:t>
      </w:r>
      <w:r w:rsidRPr="00031E0E">
        <w:rPr>
          <w:szCs w:val="18"/>
        </w:rPr>
        <w:t>mes de comport</w:t>
      </w:r>
      <w:r w:rsidRPr="00031E0E">
        <w:rPr>
          <w:szCs w:val="18"/>
        </w:rPr>
        <w:t>e</w:t>
      </w:r>
      <w:r w:rsidRPr="00031E0E">
        <w:rPr>
          <w:szCs w:val="18"/>
        </w:rPr>
        <w:t>ment collectif qui peuvent être, comme la panique ou les brèves flambées d’hostilité, aussi soudaines que pass</w:t>
      </w:r>
      <w:r w:rsidRPr="00031E0E">
        <w:rPr>
          <w:szCs w:val="18"/>
        </w:rPr>
        <w:t>a</w:t>
      </w:r>
      <w:r w:rsidRPr="00031E0E">
        <w:rPr>
          <w:szCs w:val="18"/>
        </w:rPr>
        <w:t>gères, la tâche première, même si ce n’est pas la seule, des « agences de contrôle s</w:t>
      </w:r>
      <w:r w:rsidRPr="00031E0E">
        <w:rPr>
          <w:szCs w:val="18"/>
        </w:rPr>
        <w:t>o</w:t>
      </w:r>
      <w:r w:rsidRPr="00031E0E">
        <w:rPr>
          <w:szCs w:val="18"/>
        </w:rPr>
        <w:t>cial » est d’enrayer, de juguler le processus, éventuellement en le c</w:t>
      </w:r>
      <w:r w:rsidRPr="00031E0E">
        <w:rPr>
          <w:szCs w:val="18"/>
        </w:rPr>
        <w:t>a</w:t>
      </w:r>
      <w:r w:rsidRPr="00031E0E">
        <w:rPr>
          <w:szCs w:val="18"/>
        </w:rPr>
        <w:t>nalisant. Comme le note Smelser à propos de la panique, leur inte</w:t>
      </w:r>
      <w:r w:rsidRPr="00031E0E">
        <w:rPr>
          <w:szCs w:val="18"/>
        </w:rPr>
        <w:t>r</w:t>
      </w:r>
      <w:r w:rsidRPr="00031E0E">
        <w:rPr>
          <w:szCs w:val="18"/>
        </w:rPr>
        <w:t>vention la plus efficace se fait « sur le tas » (p. 221). Et, ultérieur</w:t>
      </w:r>
      <w:r w:rsidRPr="00031E0E">
        <w:rPr>
          <w:szCs w:val="18"/>
        </w:rPr>
        <w:t>e</w:t>
      </w:r>
      <w:r w:rsidRPr="00031E0E">
        <w:rPr>
          <w:szCs w:val="18"/>
        </w:rPr>
        <w:t>ment dans l’ouvrage, il privilégie leur rôle au niveau même des expl</w:t>
      </w:r>
      <w:r w:rsidRPr="00031E0E">
        <w:rPr>
          <w:szCs w:val="18"/>
        </w:rPr>
        <w:t>o</w:t>
      </w:r>
      <w:r w:rsidRPr="00031E0E">
        <w:rPr>
          <w:szCs w:val="18"/>
        </w:rPr>
        <w:t>sions d’hostilité (p. 261). On peut donc co</w:t>
      </w:r>
      <w:r w:rsidRPr="00031E0E">
        <w:rPr>
          <w:szCs w:val="18"/>
        </w:rPr>
        <w:t>m</w:t>
      </w:r>
      <w:r w:rsidRPr="00031E0E">
        <w:rPr>
          <w:szCs w:val="18"/>
        </w:rPr>
        <w:t>prendre pourquoi il place le contrôle s</w:t>
      </w:r>
      <w:r w:rsidRPr="00031E0E">
        <w:rPr>
          <w:szCs w:val="18"/>
        </w:rPr>
        <w:t>o</w:t>
      </w:r>
      <w:r w:rsidRPr="00031E0E">
        <w:rPr>
          <w:szCs w:val="18"/>
        </w:rPr>
        <w:t>cial au sixième rang, dans son modèle de « la valeur ajoutée ». Mais on est en même temps conduit à la conclusion qu’il a construit son modèle à partir des « explosions colle</w:t>
      </w:r>
      <w:r w:rsidRPr="00031E0E">
        <w:rPr>
          <w:szCs w:val="18"/>
        </w:rPr>
        <w:t>c</w:t>
      </w:r>
      <w:r w:rsidRPr="00031E0E">
        <w:rPr>
          <w:szCs w:val="18"/>
        </w:rPr>
        <w:t xml:space="preserve">tives », à la fois brusques et éphémères et qu’il l’a </w:t>
      </w:r>
      <w:r w:rsidRPr="00031E0E">
        <w:rPr>
          <w:i/>
          <w:iCs/>
          <w:szCs w:val="18"/>
        </w:rPr>
        <w:t xml:space="preserve">extrapolé </w:t>
      </w:r>
      <w:r w:rsidRPr="00031E0E">
        <w:rPr>
          <w:szCs w:val="18"/>
        </w:rPr>
        <w:t>– pour une bo</w:t>
      </w:r>
      <w:r w:rsidRPr="00031E0E">
        <w:rPr>
          <w:szCs w:val="18"/>
        </w:rPr>
        <w:t>n</w:t>
      </w:r>
      <w:r w:rsidRPr="00031E0E">
        <w:rPr>
          <w:szCs w:val="18"/>
        </w:rPr>
        <w:t>ne part, abusivement – aux mouvements collectifs, plus profonds et plus dur</w:t>
      </w:r>
      <w:r w:rsidRPr="00031E0E">
        <w:rPr>
          <w:szCs w:val="18"/>
        </w:rPr>
        <w:t>a</w:t>
      </w:r>
      <w:r w:rsidRPr="00031E0E">
        <w:rPr>
          <w:szCs w:val="18"/>
        </w:rPr>
        <w:t>bles, pour reprendre sa propre distinction de deux grands types de comportement collectif (p. 3). Si cette interprétation est exacte, on ne saurait trouver, pour sa théorie, une meille</w:t>
      </w:r>
      <w:r w:rsidRPr="00031E0E">
        <w:rPr>
          <w:szCs w:val="18"/>
        </w:rPr>
        <w:t>u</w:t>
      </w:r>
      <w:r w:rsidRPr="00031E0E">
        <w:rPr>
          <w:szCs w:val="18"/>
        </w:rPr>
        <w:t>re désignation que celle de « modèle volcanique ».</w:t>
      </w:r>
    </w:p>
    <w:p w14:paraId="71A87166" w14:textId="77777777" w:rsidR="006C5FDB" w:rsidRPr="00031E0E" w:rsidRDefault="006C5FDB" w:rsidP="006C5FDB">
      <w:pPr>
        <w:spacing w:before="120" w:after="120"/>
        <w:jc w:val="both"/>
      </w:pPr>
      <w:r w:rsidRPr="00031E0E">
        <w:rPr>
          <w:szCs w:val="18"/>
        </w:rPr>
        <w:t>Pour conforter ce point de vue, il est utile de se référer, par un d</w:t>
      </w:r>
      <w:r w:rsidRPr="00031E0E">
        <w:rPr>
          <w:szCs w:val="18"/>
        </w:rPr>
        <w:t>é</w:t>
      </w:r>
      <w:r w:rsidRPr="00031E0E">
        <w:rPr>
          <w:szCs w:val="18"/>
        </w:rPr>
        <w:t>tour qui n’est qu’apparent, à deux autres aspects – tout aussi centraux – de la construction smelserienne, à s</w:t>
      </w:r>
      <w:r w:rsidRPr="00031E0E">
        <w:rPr>
          <w:szCs w:val="18"/>
        </w:rPr>
        <w:t>a</w:t>
      </w:r>
      <w:r w:rsidRPr="00031E0E">
        <w:rPr>
          <w:szCs w:val="18"/>
        </w:rPr>
        <w:t>voir la nature et la fonction des croyances généralisées</w:t>
      </w:r>
      <w:r>
        <w:rPr>
          <w:szCs w:val="18"/>
        </w:rPr>
        <w:t> </w:t>
      </w:r>
      <w:r>
        <w:rPr>
          <w:rStyle w:val="Appelnotedebasdep"/>
          <w:szCs w:val="18"/>
        </w:rPr>
        <w:footnoteReference w:id="35"/>
      </w:r>
      <w:r w:rsidRPr="00031E0E">
        <w:rPr>
          <w:szCs w:val="18"/>
        </w:rPr>
        <w:t>. Smelser insiste, d’une part, sur leur caract</w:t>
      </w:r>
      <w:r w:rsidRPr="00031E0E">
        <w:rPr>
          <w:szCs w:val="18"/>
        </w:rPr>
        <w:t>è</w:t>
      </w:r>
      <w:r w:rsidRPr="00031E0E">
        <w:rPr>
          <w:szCs w:val="18"/>
        </w:rPr>
        <w:t>re profondément singulier : elles postulent « l’existence de fo</w:t>
      </w:r>
      <w:r w:rsidRPr="00031E0E">
        <w:rPr>
          <w:szCs w:val="18"/>
        </w:rPr>
        <w:t>r</w:t>
      </w:r>
      <w:r w:rsidRPr="00031E0E">
        <w:rPr>
          <w:szCs w:val="18"/>
        </w:rPr>
        <w:t>ces extraordinaires – menaces, conspirations, etc. – qui (s</w:t>
      </w:r>
      <w:r w:rsidRPr="00031E0E">
        <w:rPr>
          <w:szCs w:val="18"/>
        </w:rPr>
        <w:t>e</w:t>
      </w:r>
      <w:r w:rsidRPr="00031E0E">
        <w:rPr>
          <w:szCs w:val="18"/>
        </w:rPr>
        <w:t>raient) à l’œuvre dans l’univers », elles impliquent également que « des cons</w:t>
      </w:r>
      <w:r w:rsidRPr="00031E0E">
        <w:rPr>
          <w:szCs w:val="18"/>
        </w:rPr>
        <w:t>é</w:t>
      </w:r>
      <w:r w:rsidRPr="00031E0E">
        <w:rPr>
          <w:szCs w:val="18"/>
        </w:rPr>
        <w:t>quences extraordinaires » découl</w:t>
      </w:r>
      <w:r w:rsidRPr="00031E0E">
        <w:rPr>
          <w:szCs w:val="18"/>
        </w:rPr>
        <w:t>e</w:t>
      </w:r>
      <w:r w:rsidRPr="00031E0E">
        <w:rPr>
          <w:szCs w:val="18"/>
        </w:rPr>
        <w:t>ront de l’application des remèdes qu’elles suggèrent. Il va au terme de ce paragraphe jusqu’à soul</w:t>
      </w:r>
      <w:r w:rsidRPr="00031E0E">
        <w:rPr>
          <w:szCs w:val="18"/>
        </w:rPr>
        <w:t>i</w:t>
      </w:r>
      <w:r w:rsidRPr="00031E0E">
        <w:rPr>
          <w:szCs w:val="18"/>
        </w:rPr>
        <w:t>gner leur p</w:t>
      </w:r>
      <w:r w:rsidRPr="00031E0E">
        <w:rPr>
          <w:szCs w:val="18"/>
        </w:rPr>
        <w:t>a</w:t>
      </w:r>
      <w:r w:rsidRPr="00031E0E">
        <w:rPr>
          <w:szCs w:val="18"/>
        </w:rPr>
        <w:t>renté avec les croyances magiques (p. 8). Il leur attribue, d’autre part, un rôle esse</w:t>
      </w:r>
      <w:r w:rsidRPr="00031E0E">
        <w:rPr>
          <w:szCs w:val="18"/>
        </w:rPr>
        <w:t>n</w:t>
      </w:r>
      <w:r w:rsidRPr="00031E0E">
        <w:rPr>
          <w:szCs w:val="18"/>
        </w:rPr>
        <w:t>tiel : elles servent en effet à reconstituer les conditions de l’action sociale, lorsqu’elle a été d</w:t>
      </w:r>
      <w:r w:rsidRPr="00031E0E">
        <w:rPr>
          <w:szCs w:val="18"/>
        </w:rPr>
        <w:t>é</w:t>
      </w:r>
      <w:r w:rsidRPr="00031E0E">
        <w:rPr>
          <w:szCs w:val="18"/>
        </w:rPr>
        <w:t>sorganisée par la tension structurelle, mais elles le font par un processus orig</w:t>
      </w:r>
      <w:r w:rsidRPr="00031E0E">
        <w:rPr>
          <w:szCs w:val="18"/>
        </w:rPr>
        <w:t>i</w:t>
      </w:r>
      <w:r w:rsidRPr="00031E0E">
        <w:rPr>
          <w:szCs w:val="18"/>
        </w:rPr>
        <w:t xml:space="preserve">nal, en </w:t>
      </w:r>
      <w:r w:rsidRPr="00031E0E">
        <w:rPr>
          <w:i/>
          <w:iCs/>
          <w:szCs w:val="18"/>
        </w:rPr>
        <w:t xml:space="preserve">court-circuitant </w:t>
      </w:r>
      <w:r w:rsidRPr="00031E0E">
        <w:rPr>
          <w:szCs w:val="18"/>
        </w:rPr>
        <w:t>les différentes étapes de la spécification</w:t>
      </w:r>
      <w:r>
        <w:rPr>
          <w:szCs w:val="18"/>
        </w:rPr>
        <w:t xml:space="preserve"> </w:t>
      </w:r>
      <w:r w:rsidRPr="00031E0E">
        <w:rPr>
          <w:szCs w:val="18"/>
        </w:rPr>
        <w:t>[662]</w:t>
      </w:r>
      <w:r>
        <w:rPr>
          <w:szCs w:val="18"/>
        </w:rPr>
        <w:t xml:space="preserve"> </w:t>
      </w:r>
      <w:r w:rsidRPr="00031E0E">
        <w:rPr>
          <w:szCs w:val="18"/>
        </w:rPr>
        <w:t>pr</w:t>
      </w:r>
      <w:r w:rsidRPr="00031E0E">
        <w:rPr>
          <w:szCs w:val="18"/>
        </w:rPr>
        <w:t>o</w:t>
      </w:r>
      <w:r w:rsidRPr="00031E0E">
        <w:rPr>
          <w:szCs w:val="18"/>
        </w:rPr>
        <w:t>gressive par lesquelles passe, d’ordinaire, l’action sociale et en s’attaquant direct</w:t>
      </w:r>
      <w:r w:rsidRPr="00031E0E">
        <w:rPr>
          <w:szCs w:val="18"/>
        </w:rPr>
        <w:t>e</w:t>
      </w:r>
      <w:r w:rsidRPr="00031E0E">
        <w:rPr>
          <w:szCs w:val="18"/>
        </w:rPr>
        <w:t>ment à la source de la tension ; c’est en ce sens qu’elles m</w:t>
      </w:r>
      <w:r w:rsidRPr="00031E0E">
        <w:rPr>
          <w:szCs w:val="18"/>
        </w:rPr>
        <w:t>é</w:t>
      </w:r>
      <w:r w:rsidRPr="00031E0E">
        <w:rPr>
          <w:szCs w:val="18"/>
        </w:rPr>
        <w:t>ritent le qualificatif de « généralisé ». On voit donc que, pour Smelser, ces croya</w:t>
      </w:r>
      <w:r w:rsidRPr="00031E0E">
        <w:rPr>
          <w:szCs w:val="18"/>
        </w:rPr>
        <w:t>n</w:t>
      </w:r>
      <w:r w:rsidRPr="00031E0E">
        <w:rPr>
          <w:szCs w:val="18"/>
        </w:rPr>
        <w:t xml:space="preserve">ces sont, de façon marquée, empreintes </w:t>
      </w:r>
      <w:r w:rsidRPr="00031E0E">
        <w:rPr>
          <w:i/>
          <w:iCs/>
          <w:szCs w:val="18"/>
        </w:rPr>
        <w:t xml:space="preserve">d’irrationalité </w:t>
      </w:r>
      <w:r w:rsidRPr="00031E0E">
        <w:rPr>
          <w:szCs w:val="18"/>
        </w:rPr>
        <w:t>et que leur présence, comme leur rôle, contr</w:t>
      </w:r>
      <w:r w:rsidRPr="00031E0E">
        <w:rPr>
          <w:szCs w:val="18"/>
        </w:rPr>
        <w:t>i</w:t>
      </w:r>
      <w:r w:rsidRPr="00031E0E">
        <w:rPr>
          <w:szCs w:val="18"/>
        </w:rPr>
        <w:t xml:space="preserve">buent à séparer </w:t>
      </w:r>
      <w:r w:rsidRPr="00031E0E">
        <w:rPr>
          <w:i/>
          <w:iCs/>
          <w:szCs w:val="18"/>
        </w:rPr>
        <w:t xml:space="preserve">radicalement </w:t>
      </w:r>
      <w:r w:rsidRPr="00031E0E">
        <w:rPr>
          <w:szCs w:val="18"/>
        </w:rPr>
        <w:t>les comportements collectifs des conduites inst</w:t>
      </w:r>
      <w:r w:rsidRPr="00031E0E">
        <w:rPr>
          <w:szCs w:val="18"/>
        </w:rPr>
        <w:t>i</w:t>
      </w:r>
      <w:r w:rsidRPr="00031E0E">
        <w:rPr>
          <w:szCs w:val="18"/>
        </w:rPr>
        <w:t>tutionnalisées – ce qui est aller bien au-delà de la simple distin</w:t>
      </w:r>
      <w:r w:rsidRPr="00031E0E">
        <w:rPr>
          <w:szCs w:val="18"/>
        </w:rPr>
        <w:t>c</w:t>
      </w:r>
      <w:r w:rsidRPr="00031E0E">
        <w:rPr>
          <w:szCs w:val="18"/>
        </w:rPr>
        <w:t>tion entre « états organiques » et « états critiques » d’une s</w:t>
      </w:r>
      <w:r w:rsidRPr="00031E0E">
        <w:rPr>
          <w:szCs w:val="18"/>
        </w:rPr>
        <w:t>o</w:t>
      </w:r>
      <w:r w:rsidRPr="00031E0E">
        <w:rPr>
          <w:szCs w:val="18"/>
        </w:rPr>
        <w:t>ciété. Or ces deux traits – dont le second en particulier doit être vigoure</w:t>
      </w:r>
      <w:r w:rsidRPr="00031E0E">
        <w:rPr>
          <w:szCs w:val="18"/>
        </w:rPr>
        <w:t>u</w:t>
      </w:r>
      <w:r w:rsidRPr="00031E0E">
        <w:rPr>
          <w:szCs w:val="18"/>
        </w:rPr>
        <w:t>sement contesté – rappellent la psych</w:t>
      </w:r>
      <w:r w:rsidRPr="00031E0E">
        <w:rPr>
          <w:szCs w:val="18"/>
        </w:rPr>
        <w:t>o</w:t>
      </w:r>
      <w:r w:rsidRPr="00031E0E">
        <w:rPr>
          <w:szCs w:val="18"/>
        </w:rPr>
        <w:t>logie des foules » à la manière de Le Bon</w:t>
      </w:r>
      <w:r>
        <w:rPr>
          <w:szCs w:val="18"/>
        </w:rPr>
        <w:t> </w:t>
      </w:r>
      <w:r>
        <w:rPr>
          <w:rStyle w:val="Appelnotedebasdep"/>
          <w:szCs w:val="18"/>
        </w:rPr>
        <w:footnoteReference w:id="36"/>
      </w:r>
      <w:r w:rsidRPr="00031E0E">
        <w:rPr>
          <w:szCs w:val="18"/>
        </w:rPr>
        <w:t>, même si on ne peut nullement y réduire le livre de Sme</w:t>
      </w:r>
      <w:r w:rsidRPr="00031E0E">
        <w:rPr>
          <w:szCs w:val="18"/>
        </w:rPr>
        <w:t>l</w:t>
      </w:r>
      <w:r w:rsidRPr="00031E0E">
        <w:rPr>
          <w:szCs w:val="18"/>
        </w:rPr>
        <w:t>ser, qui prend bien soin de ne pas tomber dans ses excès et dans ses naïv</w:t>
      </w:r>
      <w:r w:rsidRPr="00031E0E">
        <w:rPr>
          <w:szCs w:val="18"/>
        </w:rPr>
        <w:t>e</w:t>
      </w:r>
      <w:r w:rsidRPr="00031E0E">
        <w:rPr>
          <w:szCs w:val="18"/>
        </w:rPr>
        <w:t>tés les plus manife</w:t>
      </w:r>
      <w:r w:rsidRPr="00031E0E">
        <w:rPr>
          <w:szCs w:val="18"/>
        </w:rPr>
        <w:t>s</w:t>
      </w:r>
      <w:r w:rsidRPr="00031E0E">
        <w:rPr>
          <w:szCs w:val="18"/>
        </w:rPr>
        <w:t>tes : on est, comme le note Aya (1979, p. 60), en présence d’« un modèle dionysien » qui ne pe</w:t>
      </w:r>
      <w:r w:rsidRPr="00031E0E">
        <w:rPr>
          <w:szCs w:val="18"/>
        </w:rPr>
        <w:t>r</w:t>
      </w:r>
      <w:r w:rsidRPr="00031E0E">
        <w:rPr>
          <w:szCs w:val="18"/>
        </w:rPr>
        <w:t>met guère de saisir les dimensions politiques des mouv</w:t>
      </w:r>
      <w:r w:rsidRPr="00031E0E">
        <w:rPr>
          <w:szCs w:val="18"/>
        </w:rPr>
        <w:t>e</w:t>
      </w:r>
      <w:r w:rsidRPr="00031E0E">
        <w:rPr>
          <w:szCs w:val="18"/>
        </w:rPr>
        <w:t>ments collectifs et, en particulier, des phénomènes révol</w:t>
      </w:r>
      <w:r w:rsidRPr="00031E0E">
        <w:rPr>
          <w:szCs w:val="18"/>
        </w:rPr>
        <w:t>u</w:t>
      </w:r>
      <w:r w:rsidRPr="00031E0E">
        <w:rPr>
          <w:szCs w:val="18"/>
        </w:rPr>
        <w:t>tionnaires.</w:t>
      </w:r>
    </w:p>
    <w:p w14:paraId="66134D6A" w14:textId="77777777" w:rsidR="006C5FDB" w:rsidRPr="00031E0E" w:rsidRDefault="006C5FDB" w:rsidP="006C5FDB">
      <w:pPr>
        <w:spacing w:before="120" w:after="120"/>
        <w:jc w:val="both"/>
      </w:pPr>
      <w:r w:rsidRPr="00031E0E">
        <w:rPr>
          <w:szCs w:val="18"/>
        </w:rPr>
        <w:t>En définitive, la construction théorique de Smelser mérite le re</w:t>
      </w:r>
      <w:r w:rsidRPr="00031E0E">
        <w:rPr>
          <w:szCs w:val="18"/>
        </w:rPr>
        <w:t>s</w:t>
      </w:r>
      <w:r w:rsidRPr="00031E0E">
        <w:rPr>
          <w:szCs w:val="18"/>
        </w:rPr>
        <w:t>pect, ne serait-ce que par l’ambition qu’elle exprime, mais elle se r</w:t>
      </w:r>
      <w:r w:rsidRPr="00031E0E">
        <w:rPr>
          <w:szCs w:val="18"/>
        </w:rPr>
        <w:t>é</w:t>
      </w:r>
      <w:r w:rsidRPr="00031E0E">
        <w:rPr>
          <w:szCs w:val="18"/>
        </w:rPr>
        <w:t xml:space="preserve">vèle foncièrement </w:t>
      </w:r>
      <w:r w:rsidRPr="00031E0E">
        <w:rPr>
          <w:i/>
          <w:iCs/>
          <w:szCs w:val="18"/>
        </w:rPr>
        <w:t xml:space="preserve">inadéquate </w:t>
      </w:r>
      <w:r w:rsidRPr="00031E0E">
        <w:rPr>
          <w:szCs w:val="18"/>
        </w:rPr>
        <w:t>à l’analyse de notre objet et de notre intérêt propres, à savoir les révolutions. Nous n’en avons pas pour a</w:t>
      </w:r>
      <w:r w:rsidRPr="00031E0E">
        <w:rPr>
          <w:szCs w:val="18"/>
        </w:rPr>
        <w:t>u</w:t>
      </w:r>
      <w:r w:rsidRPr="00031E0E">
        <w:rPr>
          <w:szCs w:val="18"/>
        </w:rPr>
        <w:t>tant fini avec la tradition fonctionnaliste et plus spécif</w:t>
      </w:r>
      <w:r w:rsidRPr="00031E0E">
        <w:rPr>
          <w:szCs w:val="18"/>
        </w:rPr>
        <w:t>i</w:t>
      </w:r>
      <w:r w:rsidRPr="00031E0E">
        <w:rPr>
          <w:szCs w:val="18"/>
        </w:rPr>
        <w:t>quement avec sa version parsonienne, puisqu’elle a inspiré deux ouvrages po</w:t>
      </w:r>
      <w:r w:rsidRPr="00031E0E">
        <w:rPr>
          <w:szCs w:val="18"/>
        </w:rPr>
        <w:t>r</w:t>
      </w:r>
      <w:r w:rsidRPr="00031E0E">
        <w:rPr>
          <w:szCs w:val="18"/>
        </w:rPr>
        <w:t xml:space="preserve">tant précisément sur ce thème, ceux de Chalmers Johnson, déjà cités, </w:t>
      </w:r>
      <w:r w:rsidRPr="00031E0E">
        <w:rPr>
          <w:i/>
          <w:iCs/>
          <w:szCs w:val="18"/>
        </w:rPr>
        <w:t>R</w:t>
      </w:r>
      <w:r w:rsidRPr="00031E0E">
        <w:rPr>
          <w:i/>
          <w:iCs/>
          <w:szCs w:val="18"/>
        </w:rPr>
        <w:t>e</w:t>
      </w:r>
      <w:r w:rsidRPr="00031E0E">
        <w:rPr>
          <w:i/>
          <w:iCs/>
          <w:szCs w:val="18"/>
        </w:rPr>
        <w:t xml:space="preserve">volution and the Social System </w:t>
      </w:r>
      <w:r w:rsidRPr="00031E0E">
        <w:rPr>
          <w:szCs w:val="18"/>
        </w:rPr>
        <w:t xml:space="preserve">(1964) et </w:t>
      </w:r>
      <w:r w:rsidRPr="00031E0E">
        <w:rPr>
          <w:i/>
          <w:iCs/>
          <w:szCs w:val="18"/>
        </w:rPr>
        <w:t>R</w:t>
      </w:r>
      <w:r w:rsidRPr="00031E0E">
        <w:rPr>
          <w:i/>
          <w:iCs/>
          <w:szCs w:val="18"/>
        </w:rPr>
        <w:t>e</w:t>
      </w:r>
      <w:r w:rsidRPr="00031E0E">
        <w:rPr>
          <w:i/>
          <w:iCs/>
          <w:szCs w:val="18"/>
        </w:rPr>
        <w:t xml:space="preserve">volutionary Change </w:t>
      </w:r>
      <w:r w:rsidRPr="00031E0E">
        <w:rPr>
          <w:szCs w:val="18"/>
        </w:rPr>
        <w:t>(1966).</w:t>
      </w:r>
    </w:p>
    <w:p w14:paraId="0D8DC2FD" w14:textId="77777777" w:rsidR="006C5FDB" w:rsidRPr="00031E0E" w:rsidRDefault="006C5FDB" w:rsidP="006C5FDB">
      <w:pPr>
        <w:spacing w:before="120" w:after="120"/>
        <w:jc w:val="both"/>
      </w:pPr>
      <w:r w:rsidRPr="00031E0E">
        <w:rPr>
          <w:szCs w:val="18"/>
        </w:rPr>
        <w:t>Du premier o</w:t>
      </w:r>
      <w:r w:rsidRPr="00031E0E">
        <w:rPr>
          <w:szCs w:val="18"/>
        </w:rPr>
        <w:t>u</w:t>
      </w:r>
      <w:r w:rsidRPr="00031E0E">
        <w:rPr>
          <w:szCs w:val="18"/>
        </w:rPr>
        <w:t>vrage – dont nous avons déjà critiqué l’esquisse de typologie – nous retiendrons essentiellement ici la formule provoca</w:t>
      </w:r>
      <w:r w:rsidRPr="00031E0E">
        <w:rPr>
          <w:szCs w:val="18"/>
        </w:rPr>
        <w:t>n</w:t>
      </w:r>
      <w:r w:rsidRPr="00031E0E">
        <w:rPr>
          <w:szCs w:val="18"/>
        </w:rPr>
        <w:t>te, dans laquelle Johnson r</w:t>
      </w:r>
      <w:r w:rsidRPr="00031E0E">
        <w:rPr>
          <w:szCs w:val="18"/>
        </w:rPr>
        <w:t>é</w:t>
      </w:r>
      <w:r w:rsidRPr="00031E0E">
        <w:rPr>
          <w:szCs w:val="18"/>
        </w:rPr>
        <w:t xml:space="preserve">sume son explication de la révolution : « Une dysfonction multiple, plus l’intransigeance de l’élite plus X produisent </w:t>
      </w:r>
      <w:r w:rsidRPr="00031E0E">
        <w:rPr>
          <w:i/>
          <w:iCs/>
          <w:szCs w:val="18"/>
        </w:rPr>
        <w:t xml:space="preserve">(equals) </w:t>
      </w:r>
      <w:r w:rsidRPr="00031E0E">
        <w:rPr>
          <w:szCs w:val="18"/>
        </w:rPr>
        <w:t>une révolution » (1964, p. 12). Une telle formul</w:t>
      </w:r>
      <w:r w:rsidRPr="00031E0E">
        <w:rPr>
          <w:szCs w:val="18"/>
        </w:rPr>
        <w:t>a</w:t>
      </w:r>
      <w:r w:rsidRPr="00031E0E">
        <w:rPr>
          <w:szCs w:val="18"/>
        </w:rPr>
        <w:t>tion appelle, à coup sûr, quelques éclaircissements, et ce d’autant plus que Johnson nous livre, à travers cette prétendue équation, les él</w:t>
      </w:r>
      <w:r w:rsidRPr="00031E0E">
        <w:rPr>
          <w:szCs w:val="18"/>
        </w:rPr>
        <w:t>é</w:t>
      </w:r>
      <w:r w:rsidRPr="00031E0E">
        <w:rPr>
          <w:szCs w:val="18"/>
        </w:rPr>
        <w:t>ments centraux de sa construction théorique : son second livre est e</w:t>
      </w:r>
      <w:r w:rsidRPr="00031E0E">
        <w:rPr>
          <w:szCs w:val="18"/>
        </w:rPr>
        <w:t>s</w:t>
      </w:r>
      <w:r w:rsidRPr="00031E0E">
        <w:rPr>
          <w:szCs w:val="18"/>
        </w:rPr>
        <w:t>sentiellement consacré à d</w:t>
      </w:r>
      <w:r w:rsidRPr="00031E0E">
        <w:rPr>
          <w:szCs w:val="18"/>
        </w:rPr>
        <w:t>é</w:t>
      </w:r>
      <w:r w:rsidRPr="00031E0E">
        <w:rPr>
          <w:szCs w:val="18"/>
        </w:rPr>
        <w:t>velopper et à affiner son « modèle », à en proposer une présentation à la fois plus riche et plus achevée. Cha</w:t>
      </w:r>
      <w:r w:rsidRPr="00031E0E">
        <w:rPr>
          <w:szCs w:val="18"/>
        </w:rPr>
        <w:t>l</w:t>
      </w:r>
      <w:r w:rsidRPr="00031E0E">
        <w:rPr>
          <w:szCs w:val="18"/>
        </w:rPr>
        <w:t>mers Johnson situe d’abord son analyse dans un cadre de référence directement emprunté à Parsons, celui d’un « système social fonctio</w:t>
      </w:r>
      <w:r w:rsidRPr="00031E0E">
        <w:rPr>
          <w:szCs w:val="18"/>
        </w:rPr>
        <w:t>n</w:t>
      </w:r>
      <w:r w:rsidRPr="00031E0E">
        <w:rPr>
          <w:szCs w:val="18"/>
        </w:rPr>
        <w:t>nellement intégré ». Dans cette perspective, toute rupture de l’équilibre du système implique l’existence d’une dysfonction ; et à une telle dysfonction, par définition génératrice de dés</w:t>
      </w:r>
      <w:r w:rsidRPr="00031E0E">
        <w:rPr>
          <w:szCs w:val="18"/>
        </w:rPr>
        <w:t>é</w:t>
      </w:r>
      <w:r w:rsidRPr="00031E0E">
        <w:rPr>
          <w:szCs w:val="18"/>
        </w:rPr>
        <w:t>quilibre, il convient de remédier par une action destinée à r</w:t>
      </w:r>
      <w:r w:rsidRPr="00031E0E">
        <w:rPr>
          <w:szCs w:val="18"/>
        </w:rPr>
        <w:t>é</w:t>
      </w:r>
      <w:r w:rsidRPr="00031E0E">
        <w:rPr>
          <w:szCs w:val="18"/>
        </w:rPr>
        <w:t>tablir l’équilibre ou à en créer un nouveau. Johnson prend c</w:t>
      </w:r>
      <w:r w:rsidRPr="00031E0E">
        <w:rPr>
          <w:szCs w:val="18"/>
        </w:rPr>
        <w:t>e</w:t>
      </w:r>
      <w:r w:rsidRPr="00031E0E">
        <w:rPr>
          <w:szCs w:val="18"/>
        </w:rPr>
        <w:t>pendant le soin de préciser que, dans le cas d’une situation pré-révolutionnaire, on n’a pas à faire à une simple dysfonction, atteignant de façon spécifique un secteur l</w:t>
      </w:r>
      <w:r w:rsidRPr="00031E0E">
        <w:rPr>
          <w:szCs w:val="18"/>
        </w:rPr>
        <w:t>i</w:t>
      </w:r>
      <w:r w:rsidRPr="00031E0E">
        <w:rPr>
          <w:szCs w:val="18"/>
        </w:rPr>
        <w:t>mité de la société : il faut au contraire qu’elle se généralise ou tout au moins qu’elle se manifeste dans une pl</w:t>
      </w:r>
      <w:r w:rsidRPr="00031E0E">
        <w:rPr>
          <w:szCs w:val="18"/>
        </w:rPr>
        <w:t>u</w:t>
      </w:r>
      <w:r w:rsidRPr="00031E0E">
        <w:rPr>
          <w:szCs w:val="18"/>
        </w:rPr>
        <w:t>ralité de secteurs (de « sous-structures ») pour constituer une menace présentant un certain degré de gravité, et c’est ce que Johnson s’efforce de désigner par l’expression de « dysfonction multiple ». Il insiste e</w:t>
      </w:r>
      <w:r w:rsidRPr="00031E0E">
        <w:rPr>
          <w:szCs w:val="18"/>
        </w:rPr>
        <w:t>n</w:t>
      </w:r>
      <w:r w:rsidRPr="00031E0E">
        <w:rPr>
          <w:szCs w:val="18"/>
        </w:rPr>
        <w:t>suite sur le rôle ce</w:t>
      </w:r>
      <w:r w:rsidRPr="00031E0E">
        <w:rPr>
          <w:szCs w:val="18"/>
        </w:rPr>
        <w:t>n</w:t>
      </w:r>
      <w:r w:rsidRPr="00031E0E">
        <w:rPr>
          <w:szCs w:val="18"/>
        </w:rPr>
        <w:t>tral des élites au pouvoir dans l’émergence ou au contraire la</w:t>
      </w:r>
      <w:r>
        <w:rPr>
          <w:szCs w:val="18"/>
        </w:rPr>
        <w:t xml:space="preserve"> </w:t>
      </w:r>
      <w:r w:rsidRPr="00031E0E">
        <w:t>[663]</w:t>
      </w:r>
      <w:r>
        <w:t xml:space="preserve"> </w:t>
      </w:r>
      <w:r w:rsidRPr="00031E0E">
        <w:rPr>
          <w:szCs w:val="18"/>
        </w:rPr>
        <w:t>prévention d’une révolution : l’intransigeance de l’élite peut se r</w:t>
      </w:r>
      <w:r w:rsidRPr="00031E0E">
        <w:rPr>
          <w:szCs w:val="18"/>
        </w:rPr>
        <w:t>é</w:t>
      </w:r>
      <w:r w:rsidRPr="00031E0E">
        <w:rPr>
          <w:szCs w:val="18"/>
        </w:rPr>
        <w:t xml:space="preserve">véler ici un facteur décisif, dans la mesure où sa crispation sur le </w:t>
      </w:r>
      <w:r w:rsidRPr="00031E0E">
        <w:rPr>
          <w:i/>
          <w:iCs/>
          <w:szCs w:val="18"/>
        </w:rPr>
        <w:t>st</w:t>
      </w:r>
      <w:r w:rsidRPr="00031E0E">
        <w:rPr>
          <w:i/>
          <w:iCs/>
          <w:szCs w:val="18"/>
        </w:rPr>
        <w:t>a</w:t>
      </w:r>
      <w:r w:rsidRPr="00031E0E">
        <w:rPr>
          <w:i/>
          <w:iCs/>
          <w:szCs w:val="18"/>
        </w:rPr>
        <w:t xml:space="preserve">tu quo </w:t>
      </w:r>
      <w:r w:rsidRPr="00031E0E">
        <w:rPr>
          <w:szCs w:val="18"/>
        </w:rPr>
        <w:t>peut interdire tout changement par des méthodes non violentes, ne laissant ainsi d’autre voie ouverte que celle de la violence. Les él</w:t>
      </w:r>
      <w:r w:rsidRPr="00031E0E">
        <w:rPr>
          <w:szCs w:val="18"/>
        </w:rPr>
        <w:t>i</w:t>
      </w:r>
      <w:r w:rsidRPr="00031E0E">
        <w:rPr>
          <w:szCs w:val="18"/>
        </w:rPr>
        <w:t>tes sont ainsi tenues, pour une large part, responsables de l’issue, révol</w:t>
      </w:r>
      <w:r w:rsidRPr="00031E0E">
        <w:rPr>
          <w:szCs w:val="18"/>
        </w:rPr>
        <w:t>u</w:t>
      </w:r>
      <w:r w:rsidRPr="00031E0E">
        <w:rPr>
          <w:szCs w:val="18"/>
        </w:rPr>
        <w:t xml:space="preserve">tionnaire ou non. Telles sont, selon Chalmers Johnson, les causes </w:t>
      </w:r>
      <w:r w:rsidRPr="00031E0E">
        <w:rPr>
          <w:i/>
          <w:iCs/>
          <w:szCs w:val="18"/>
        </w:rPr>
        <w:t>n</w:t>
      </w:r>
      <w:r w:rsidRPr="00031E0E">
        <w:rPr>
          <w:i/>
          <w:iCs/>
          <w:szCs w:val="18"/>
        </w:rPr>
        <w:t>é</w:t>
      </w:r>
      <w:r w:rsidRPr="00031E0E">
        <w:rPr>
          <w:i/>
          <w:iCs/>
          <w:szCs w:val="18"/>
        </w:rPr>
        <w:t xml:space="preserve">cessaires </w:t>
      </w:r>
      <w:r w:rsidRPr="00031E0E">
        <w:rPr>
          <w:szCs w:val="18"/>
        </w:rPr>
        <w:t xml:space="preserve">d’une révolution ; mais elles ne sont pas, par elles-mêmes, </w:t>
      </w:r>
      <w:r w:rsidRPr="00031E0E">
        <w:rPr>
          <w:i/>
          <w:iCs/>
          <w:szCs w:val="18"/>
        </w:rPr>
        <w:t xml:space="preserve">suffisantes </w:t>
      </w:r>
      <w:r w:rsidRPr="00031E0E">
        <w:rPr>
          <w:szCs w:val="18"/>
        </w:rPr>
        <w:t>à son apparition et c’est ici qu’intervient le sy</w:t>
      </w:r>
      <w:r w:rsidRPr="00031E0E">
        <w:rPr>
          <w:szCs w:val="18"/>
        </w:rPr>
        <w:t>m</w:t>
      </w:r>
      <w:r w:rsidRPr="00031E0E">
        <w:rPr>
          <w:szCs w:val="18"/>
        </w:rPr>
        <w:t>bole X. Il faut entendre par là la catégorie globale des accélérateurs, qui prése</w:t>
      </w:r>
      <w:r w:rsidRPr="00031E0E">
        <w:rPr>
          <w:szCs w:val="18"/>
        </w:rPr>
        <w:t>n</w:t>
      </w:r>
      <w:r w:rsidRPr="00031E0E">
        <w:rPr>
          <w:szCs w:val="18"/>
        </w:rPr>
        <w:t>tent deux caractéri</w:t>
      </w:r>
      <w:r w:rsidRPr="00031E0E">
        <w:rPr>
          <w:szCs w:val="18"/>
        </w:rPr>
        <w:t>s</w:t>
      </w:r>
      <w:r w:rsidRPr="00031E0E">
        <w:rPr>
          <w:szCs w:val="18"/>
        </w:rPr>
        <w:t>tiques majeures : ils sont de l’ordre de l’événement et ils se situent au niveau des causes immédiates ; leur rôle équivaut à celui d’un catalyseur, lorsque les dy</w:t>
      </w:r>
      <w:r w:rsidRPr="00031E0E">
        <w:rPr>
          <w:szCs w:val="18"/>
        </w:rPr>
        <w:t>s</w:t>
      </w:r>
      <w:r w:rsidRPr="00031E0E">
        <w:rPr>
          <w:szCs w:val="18"/>
        </w:rPr>
        <w:t>fonctions ont déjà atteint un « niveau révolutionnaire ». Il convient de noter que, parmi ces accél</w:t>
      </w:r>
      <w:r w:rsidRPr="00031E0E">
        <w:rPr>
          <w:szCs w:val="18"/>
        </w:rPr>
        <w:t>é</w:t>
      </w:r>
      <w:r w:rsidRPr="00031E0E">
        <w:rPr>
          <w:szCs w:val="18"/>
        </w:rPr>
        <w:t>rateurs, Johnson accorde une place particulière à la d</w:t>
      </w:r>
      <w:r w:rsidRPr="00031E0E">
        <w:rPr>
          <w:szCs w:val="18"/>
        </w:rPr>
        <w:t>é</w:t>
      </w:r>
      <w:r w:rsidRPr="00031E0E">
        <w:rPr>
          <w:szCs w:val="18"/>
        </w:rPr>
        <w:t>faite militaire : il souligne en ce sens « la position centrale des forces armées dans la révolution » (1964, p. 14) et ra</w:t>
      </w:r>
      <w:r w:rsidRPr="00031E0E">
        <w:rPr>
          <w:szCs w:val="18"/>
        </w:rPr>
        <w:t>p</w:t>
      </w:r>
      <w:r w:rsidRPr="00031E0E">
        <w:rPr>
          <w:szCs w:val="18"/>
        </w:rPr>
        <w:t xml:space="preserve">pelle sur ce plan les mérites du livre déjà ancien de Katherine Chorley, </w:t>
      </w:r>
      <w:r w:rsidRPr="00031E0E">
        <w:rPr>
          <w:i/>
          <w:iCs/>
          <w:szCs w:val="18"/>
        </w:rPr>
        <w:t xml:space="preserve">Armies and the Art of Revolution </w:t>
      </w:r>
      <w:r w:rsidRPr="00031E0E">
        <w:rPr>
          <w:szCs w:val="18"/>
        </w:rPr>
        <w:t>(1943). D’une m</w:t>
      </w:r>
      <w:r w:rsidRPr="00031E0E">
        <w:rPr>
          <w:szCs w:val="18"/>
        </w:rPr>
        <w:t>a</w:t>
      </w:r>
      <w:r w:rsidRPr="00031E0E">
        <w:rPr>
          <w:szCs w:val="18"/>
        </w:rPr>
        <w:t>nière plus générale, il se montre soucieux de bien dégager le « mode d’emploi » du concept d’accélérateur et, en préc</w:t>
      </w:r>
      <w:r w:rsidRPr="00031E0E">
        <w:rPr>
          <w:szCs w:val="18"/>
        </w:rPr>
        <w:t>i</w:t>
      </w:r>
      <w:r w:rsidRPr="00031E0E">
        <w:rPr>
          <w:szCs w:val="18"/>
        </w:rPr>
        <w:t>sant qu’il s’agit d’un instrument servant à penser l’éclosion d’une r</w:t>
      </w:r>
      <w:r w:rsidRPr="00031E0E">
        <w:rPr>
          <w:szCs w:val="18"/>
        </w:rPr>
        <w:t>é</w:t>
      </w:r>
      <w:r w:rsidRPr="00031E0E">
        <w:rPr>
          <w:szCs w:val="18"/>
        </w:rPr>
        <w:t>volution, sans nous renseigner pour a</w:t>
      </w:r>
      <w:r w:rsidRPr="00031E0E">
        <w:rPr>
          <w:szCs w:val="18"/>
        </w:rPr>
        <w:t>u</w:t>
      </w:r>
      <w:r w:rsidRPr="00031E0E">
        <w:rPr>
          <w:szCs w:val="18"/>
        </w:rPr>
        <w:t>tant sur ses résultats (1964, pp. 21-22), il nous éclaire sur la signification, en même temps que sur les limites, de son entreprise.</w:t>
      </w:r>
    </w:p>
    <w:p w14:paraId="127E1178" w14:textId="77777777" w:rsidR="006C5FDB" w:rsidRPr="00031E0E" w:rsidRDefault="006C5FDB" w:rsidP="006C5FDB">
      <w:pPr>
        <w:spacing w:before="120" w:after="120"/>
        <w:jc w:val="both"/>
      </w:pPr>
      <w:r w:rsidRPr="00031E0E">
        <w:rPr>
          <w:szCs w:val="18"/>
        </w:rPr>
        <w:t>Dans ce premier texte, Johnson ne va guère au-delà de cette e</w:t>
      </w:r>
      <w:r w:rsidRPr="00031E0E">
        <w:rPr>
          <w:szCs w:val="18"/>
        </w:rPr>
        <w:t>s</w:t>
      </w:r>
      <w:r w:rsidRPr="00031E0E">
        <w:rPr>
          <w:szCs w:val="18"/>
        </w:rPr>
        <w:t xml:space="preserve">quisse ; mais deux ans plus tard, dans </w:t>
      </w:r>
      <w:r w:rsidRPr="00031E0E">
        <w:rPr>
          <w:i/>
          <w:iCs/>
          <w:szCs w:val="18"/>
        </w:rPr>
        <w:t xml:space="preserve">Revolutionary Change, </w:t>
      </w:r>
      <w:r w:rsidRPr="00031E0E">
        <w:rPr>
          <w:szCs w:val="18"/>
        </w:rPr>
        <w:t>il pr</w:t>
      </w:r>
      <w:r w:rsidRPr="00031E0E">
        <w:rPr>
          <w:szCs w:val="18"/>
        </w:rPr>
        <w:t>o</w:t>
      </w:r>
      <w:r w:rsidRPr="00031E0E">
        <w:rPr>
          <w:szCs w:val="18"/>
        </w:rPr>
        <w:t>pose une version plus élaborée et plus complexe du modèle, dont ce</w:t>
      </w:r>
      <w:r w:rsidRPr="00031E0E">
        <w:rPr>
          <w:szCs w:val="18"/>
        </w:rPr>
        <w:t>r</w:t>
      </w:r>
      <w:r w:rsidRPr="00031E0E">
        <w:rPr>
          <w:szCs w:val="18"/>
        </w:rPr>
        <w:t>tains aspects méritent d’être signalés. Au niveau d’analyse le plus g</w:t>
      </w:r>
      <w:r w:rsidRPr="00031E0E">
        <w:rPr>
          <w:szCs w:val="18"/>
        </w:rPr>
        <w:t>é</w:t>
      </w:r>
      <w:r w:rsidRPr="00031E0E">
        <w:rPr>
          <w:szCs w:val="18"/>
        </w:rPr>
        <w:t>néral, il précise les « dimensions » de l’équilibre du syst</w:t>
      </w:r>
      <w:r w:rsidRPr="00031E0E">
        <w:rPr>
          <w:szCs w:val="18"/>
        </w:rPr>
        <w:t>è</w:t>
      </w:r>
      <w:r w:rsidRPr="00031E0E">
        <w:rPr>
          <w:szCs w:val="18"/>
        </w:rPr>
        <w:t xml:space="preserve">me social et se trouve ainsi à même de spécifier, </w:t>
      </w:r>
      <w:r w:rsidRPr="00031E0E">
        <w:rPr>
          <w:i/>
          <w:iCs/>
          <w:szCs w:val="18"/>
        </w:rPr>
        <w:t xml:space="preserve">a contrario, </w:t>
      </w:r>
      <w:r w:rsidRPr="00031E0E">
        <w:rPr>
          <w:szCs w:val="18"/>
        </w:rPr>
        <w:t>la condition m</w:t>
      </w:r>
      <w:r w:rsidRPr="00031E0E">
        <w:rPr>
          <w:szCs w:val="18"/>
        </w:rPr>
        <w:t>a</w:t>
      </w:r>
      <w:r w:rsidRPr="00031E0E">
        <w:rPr>
          <w:szCs w:val="18"/>
        </w:rPr>
        <w:t>jeure donnant naissance à un déséquil</w:t>
      </w:r>
      <w:r w:rsidRPr="00031E0E">
        <w:rPr>
          <w:szCs w:val="18"/>
        </w:rPr>
        <w:t>i</w:t>
      </w:r>
      <w:r w:rsidRPr="00031E0E">
        <w:rPr>
          <w:szCs w:val="18"/>
        </w:rPr>
        <w:t>bre systémique : dans les situations normales, un système social, qui par définition tire son unité de v</w:t>
      </w:r>
      <w:r w:rsidRPr="00031E0E">
        <w:rPr>
          <w:szCs w:val="18"/>
        </w:rPr>
        <w:t>a</w:t>
      </w:r>
      <w:r w:rsidRPr="00031E0E">
        <w:rPr>
          <w:szCs w:val="18"/>
        </w:rPr>
        <w:t>leurs communes, est fonctionnellement adapté à son environn</w:t>
      </w:r>
      <w:r w:rsidRPr="00031E0E">
        <w:rPr>
          <w:szCs w:val="18"/>
        </w:rPr>
        <w:t>e</w:t>
      </w:r>
      <w:r w:rsidRPr="00031E0E">
        <w:rPr>
          <w:szCs w:val="18"/>
        </w:rPr>
        <w:t>ment ; il se caractér</w:t>
      </w:r>
      <w:r w:rsidRPr="00031E0E">
        <w:rPr>
          <w:szCs w:val="18"/>
        </w:rPr>
        <w:t>i</w:t>
      </w:r>
      <w:r w:rsidRPr="00031E0E">
        <w:rPr>
          <w:szCs w:val="18"/>
        </w:rPr>
        <w:t>se donc par un fort degré d’ajustement ou, pour parler comme Johnson, de « synchronisation » entre ses valeurs et son env</w:t>
      </w:r>
      <w:r w:rsidRPr="00031E0E">
        <w:rPr>
          <w:szCs w:val="18"/>
        </w:rPr>
        <w:t>i</w:t>
      </w:r>
      <w:r w:rsidRPr="00031E0E">
        <w:rPr>
          <w:szCs w:val="18"/>
        </w:rPr>
        <w:t>ronnement, plus particulièrement la division du travail à travers l</w:t>
      </w:r>
      <w:r w:rsidRPr="00031E0E">
        <w:rPr>
          <w:szCs w:val="18"/>
        </w:rPr>
        <w:t>a</w:t>
      </w:r>
      <w:r w:rsidRPr="00031E0E">
        <w:rPr>
          <w:szCs w:val="18"/>
        </w:rPr>
        <w:t>quelle s’exprime sa relation à l’environnement. Le déséquilibre se r</w:t>
      </w:r>
      <w:r w:rsidRPr="00031E0E">
        <w:rPr>
          <w:szCs w:val="18"/>
        </w:rPr>
        <w:t>e</w:t>
      </w:r>
      <w:r w:rsidRPr="00031E0E">
        <w:rPr>
          <w:szCs w:val="18"/>
        </w:rPr>
        <w:t>connaît à une rupture de cet ajust</w:t>
      </w:r>
      <w:r w:rsidRPr="00031E0E">
        <w:rPr>
          <w:szCs w:val="18"/>
        </w:rPr>
        <w:t>e</w:t>
      </w:r>
      <w:r w:rsidRPr="00031E0E">
        <w:rPr>
          <w:szCs w:val="18"/>
        </w:rPr>
        <w:t>ment, à une « dissynchronisation » entre les deux d</w:t>
      </w:r>
      <w:r w:rsidRPr="00031E0E">
        <w:rPr>
          <w:szCs w:val="18"/>
        </w:rPr>
        <w:t>i</w:t>
      </w:r>
      <w:r w:rsidRPr="00031E0E">
        <w:rPr>
          <w:szCs w:val="18"/>
        </w:rPr>
        <w:t>mensions, dont les causes, très diverses, peuvent être aussi bien endogènes qu’exogènes. Au plan des élites et de leurs str</w:t>
      </w:r>
      <w:r w:rsidRPr="00031E0E">
        <w:rPr>
          <w:szCs w:val="18"/>
        </w:rPr>
        <w:t>a</w:t>
      </w:r>
      <w:r w:rsidRPr="00031E0E">
        <w:rPr>
          <w:szCs w:val="18"/>
        </w:rPr>
        <w:t>tégies d’action, Johnson insiste davantage sur les conséquences – à son sens, désastreuses – découlant des essais de préserv</w:t>
      </w:r>
      <w:r w:rsidRPr="00031E0E">
        <w:rPr>
          <w:szCs w:val="18"/>
        </w:rPr>
        <w:t>a</w:t>
      </w:r>
      <w:r w:rsidRPr="00031E0E">
        <w:rPr>
          <w:szCs w:val="18"/>
        </w:rPr>
        <w:t xml:space="preserve">tion crispée du </w:t>
      </w:r>
      <w:r w:rsidRPr="00031E0E">
        <w:rPr>
          <w:i/>
          <w:iCs/>
          <w:szCs w:val="18"/>
        </w:rPr>
        <w:t xml:space="preserve">statu quo </w:t>
      </w:r>
      <w:r w:rsidRPr="00031E0E">
        <w:rPr>
          <w:szCs w:val="18"/>
        </w:rPr>
        <w:t>ou de poursuite inchangée des activités routinières : d</w:t>
      </w:r>
      <w:r w:rsidRPr="00031E0E">
        <w:rPr>
          <w:szCs w:val="18"/>
        </w:rPr>
        <w:t>e</w:t>
      </w:r>
      <w:r w:rsidRPr="00031E0E">
        <w:rPr>
          <w:szCs w:val="18"/>
        </w:rPr>
        <w:t>vant le peu de succès de ces tentatives, tout à fait inappr</w:t>
      </w:r>
      <w:r w:rsidRPr="00031E0E">
        <w:rPr>
          <w:szCs w:val="18"/>
        </w:rPr>
        <w:t>o</w:t>
      </w:r>
      <w:r w:rsidRPr="00031E0E">
        <w:rPr>
          <w:szCs w:val="18"/>
        </w:rPr>
        <w:t>priées à la situation, les élites dirigeantes recourent de plus en plus fréquemment à la force, ce qui implique, selon la m</w:t>
      </w:r>
      <w:r w:rsidRPr="00031E0E">
        <w:rPr>
          <w:szCs w:val="18"/>
        </w:rPr>
        <w:t>é</w:t>
      </w:r>
      <w:r w:rsidRPr="00031E0E">
        <w:rPr>
          <w:szCs w:val="18"/>
        </w:rPr>
        <w:t>taphore empruntée à Parsons, une « déflation du po</w:t>
      </w:r>
      <w:r w:rsidRPr="00031E0E">
        <w:rPr>
          <w:szCs w:val="18"/>
        </w:rPr>
        <w:t>u</w:t>
      </w:r>
      <w:r w:rsidRPr="00031E0E">
        <w:rPr>
          <w:szCs w:val="18"/>
        </w:rPr>
        <w:t>voir »</w:t>
      </w:r>
      <w:r>
        <w:rPr>
          <w:szCs w:val="18"/>
        </w:rPr>
        <w:t> </w:t>
      </w:r>
      <w:r>
        <w:rPr>
          <w:rStyle w:val="Appelnotedebasdep"/>
          <w:szCs w:val="18"/>
        </w:rPr>
        <w:footnoteReference w:id="37"/>
      </w:r>
      <w:r w:rsidRPr="00031E0E">
        <w:rPr>
          <w:szCs w:val="18"/>
        </w:rPr>
        <w:t xml:space="preserve"> et entraîne « une perte d’autorité », c’est-à-dire en fait de légitimité ; et c’est dans ce contexte d’une aut</w:t>
      </w:r>
      <w:r w:rsidRPr="00031E0E">
        <w:rPr>
          <w:szCs w:val="18"/>
        </w:rPr>
        <w:t>o</w:t>
      </w:r>
      <w:r w:rsidRPr="00031E0E">
        <w:rPr>
          <w:szCs w:val="18"/>
        </w:rPr>
        <w:t>rité foncièrement affaiblie que se constituent des mouvements de pr</w:t>
      </w:r>
      <w:r w:rsidRPr="00031E0E">
        <w:rPr>
          <w:szCs w:val="18"/>
        </w:rPr>
        <w:t>o</w:t>
      </w:r>
      <w:r w:rsidRPr="00031E0E">
        <w:rPr>
          <w:szCs w:val="18"/>
        </w:rPr>
        <w:t>testation antagoniques, les uns ayant des o</w:t>
      </w:r>
      <w:r w:rsidRPr="00031E0E">
        <w:rPr>
          <w:szCs w:val="18"/>
        </w:rPr>
        <w:t>b</w:t>
      </w:r>
      <w:r w:rsidRPr="00031E0E">
        <w:rPr>
          <w:szCs w:val="18"/>
        </w:rPr>
        <w:t>jectifs de</w:t>
      </w:r>
      <w:r>
        <w:rPr>
          <w:szCs w:val="18"/>
        </w:rPr>
        <w:t xml:space="preserve"> </w:t>
      </w:r>
      <w:r w:rsidRPr="00031E0E">
        <w:rPr>
          <w:szCs w:val="18"/>
        </w:rPr>
        <w:t>[664]</w:t>
      </w:r>
      <w:r>
        <w:rPr>
          <w:szCs w:val="18"/>
        </w:rPr>
        <w:t xml:space="preserve"> </w:t>
      </w:r>
      <w:r w:rsidRPr="00031E0E">
        <w:rPr>
          <w:szCs w:val="18"/>
        </w:rPr>
        <w:t>« restauration », les autres au contra</w:t>
      </w:r>
      <w:r w:rsidRPr="00031E0E">
        <w:rPr>
          <w:szCs w:val="18"/>
        </w:rPr>
        <w:t>i</w:t>
      </w:r>
      <w:r w:rsidRPr="00031E0E">
        <w:rPr>
          <w:szCs w:val="18"/>
        </w:rPr>
        <w:t>re réclamant une profonde « transformation ». Ainsi l’intransigeance de l’élite est désormais an</w:t>
      </w:r>
      <w:r w:rsidRPr="00031E0E">
        <w:rPr>
          <w:szCs w:val="18"/>
        </w:rPr>
        <w:t>a</w:t>
      </w:r>
      <w:r w:rsidRPr="00031E0E">
        <w:rPr>
          <w:szCs w:val="18"/>
        </w:rPr>
        <w:t>lysée en termes de processus accél</w:t>
      </w:r>
      <w:r w:rsidRPr="00031E0E">
        <w:rPr>
          <w:szCs w:val="18"/>
        </w:rPr>
        <w:t>é</w:t>
      </w:r>
      <w:r w:rsidRPr="00031E0E">
        <w:rPr>
          <w:szCs w:val="18"/>
        </w:rPr>
        <w:t>ré de « déflation du pouvoir » et de « perte d’autorité » ; ce sont en tout cas ces deux variables qui constituent pour Johnson les causes « profondes » d’une situation r</w:t>
      </w:r>
      <w:r w:rsidRPr="00031E0E">
        <w:rPr>
          <w:szCs w:val="18"/>
        </w:rPr>
        <w:t>é</w:t>
      </w:r>
      <w:r w:rsidRPr="00031E0E">
        <w:rPr>
          <w:szCs w:val="18"/>
        </w:rPr>
        <w:t>volutionnaire (1966, p. 91). Il faut encore ajouter – et c’est là un a</w:t>
      </w:r>
      <w:r w:rsidRPr="00031E0E">
        <w:rPr>
          <w:szCs w:val="18"/>
        </w:rPr>
        <w:t>s</w:t>
      </w:r>
      <w:r w:rsidRPr="00031E0E">
        <w:rPr>
          <w:szCs w:val="18"/>
        </w:rPr>
        <w:t>pect significatif du s</w:t>
      </w:r>
      <w:r w:rsidRPr="00031E0E">
        <w:rPr>
          <w:szCs w:val="18"/>
        </w:rPr>
        <w:t>e</w:t>
      </w:r>
      <w:r w:rsidRPr="00031E0E">
        <w:rPr>
          <w:szCs w:val="18"/>
        </w:rPr>
        <w:t>cond livre – que le passage à une telle situation est préparé, si ce n’est même rendu possible, par l’émergence de sy</w:t>
      </w:r>
      <w:r w:rsidRPr="00031E0E">
        <w:rPr>
          <w:szCs w:val="18"/>
        </w:rPr>
        <w:t>s</w:t>
      </w:r>
      <w:r w:rsidRPr="00031E0E">
        <w:rPr>
          <w:szCs w:val="18"/>
        </w:rPr>
        <w:t>tèmes de valeurs alternatifs : les idéologies ne deviennent en effet sai</w:t>
      </w:r>
      <w:r w:rsidRPr="00031E0E">
        <w:rPr>
          <w:szCs w:val="18"/>
        </w:rPr>
        <w:t>l</w:t>
      </w:r>
      <w:r w:rsidRPr="00031E0E">
        <w:rPr>
          <w:szCs w:val="18"/>
        </w:rPr>
        <w:t>lantes, selon Johnson, qu’en réponse à une cond</w:t>
      </w:r>
      <w:r w:rsidRPr="00031E0E">
        <w:rPr>
          <w:szCs w:val="18"/>
        </w:rPr>
        <w:t>i</w:t>
      </w:r>
      <w:r w:rsidRPr="00031E0E">
        <w:rPr>
          <w:szCs w:val="18"/>
        </w:rPr>
        <w:t>tion de déséquilibre (1966, p. 82) et aux tensions qu’elle implique ; or elles apportent pr</w:t>
      </w:r>
      <w:r w:rsidRPr="00031E0E">
        <w:rPr>
          <w:szCs w:val="18"/>
        </w:rPr>
        <w:t>é</w:t>
      </w:r>
      <w:r w:rsidRPr="00031E0E">
        <w:rPr>
          <w:szCs w:val="18"/>
        </w:rPr>
        <w:t>cisément aux mouvements révolutionnaires les valeurs nouvelles dont ils ont besoin pour se cristalliser et pour développer leur capacité de mobilis</w:t>
      </w:r>
      <w:r w:rsidRPr="00031E0E">
        <w:rPr>
          <w:szCs w:val="18"/>
        </w:rPr>
        <w:t>a</w:t>
      </w:r>
      <w:r w:rsidRPr="00031E0E">
        <w:rPr>
          <w:szCs w:val="18"/>
        </w:rPr>
        <w:t>tion.</w:t>
      </w:r>
    </w:p>
    <w:p w14:paraId="0970ECDB" w14:textId="77777777" w:rsidR="006C5FDB" w:rsidRPr="00031E0E" w:rsidRDefault="006C5FDB" w:rsidP="006C5FDB">
      <w:pPr>
        <w:spacing w:before="120" w:after="120"/>
        <w:jc w:val="both"/>
      </w:pPr>
      <w:r w:rsidRPr="00031E0E">
        <w:rPr>
          <w:szCs w:val="18"/>
        </w:rPr>
        <w:t>Tels sont, nous semble-t-il, les pri</w:t>
      </w:r>
      <w:r w:rsidRPr="00031E0E">
        <w:rPr>
          <w:szCs w:val="18"/>
        </w:rPr>
        <w:t>n</w:t>
      </w:r>
      <w:r w:rsidRPr="00031E0E">
        <w:rPr>
          <w:szCs w:val="18"/>
        </w:rPr>
        <w:t>cipaux apports de ce second ouvrage qui contribuent, avec de multiples précisions complémenta</w:t>
      </w:r>
      <w:r w:rsidRPr="00031E0E">
        <w:rPr>
          <w:szCs w:val="18"/>
        </w:rPr>
        <w:t>i</w:t>
      </w:r>
      <w:r w:rsidRPr="00031E0E">
        <w:rPr>
          <w:szCs w:val="18"/>
        </w:rPr>
        <w:t>res</w:t>
      </w:r>
      <w:r>
        <w:rPr>
          <w:szCs w:val="18"/>
        </w:rPr>
        <w:t> </w:t>
      </w:r>
      <w:r>
        <w:rPr>
          <w:rStyle w:val="Appelnotedebasdep"/>
          <w:szCs w:val="18"/>
        </w:rPr>
        <w:footnoteReference w:id="38"/>
      </w:r>
      <w:r w:rsidRPr="00031E0E">
        <w:rPr>
          <w:szCs w:val="18"/>
        </w:rPr>
        <w:t>, à enrichir, sinon à affiner le modèle de Chalmers Johnson ; et c’est généralement sous cette dernière forme qu’il a été di</w:t>
      </w:r>
      <w:r w:rsidRPr="00031E0E">
        <w:rPr>
          <w:szCs w:val="18"/>
        </w:rPr>
        <w:t>s</w:t>
      </w:r>
      <w:r w:rsidRPr="00031E0E">
        <w:rPr>
          <w:szCs w:val="18"/>
        </w:rPr>
        <w:t>cuté. Pour notre part, nous soulignerons, en accord sur ce plan avec l’appréciation dominante, que ce modèle présente globalement de s</w:t>
      </w:r>
      <w:r w:rsidRPr="00031E0E">
        <w:rPr>
          <w:szCs w:val="18"/>
        </w:rPr>
        <w:t>é</w:t>
      </w:r>
      <w:r w:rsidRPr="00031E0E">
        <w:rPr>
          <w:szCs w:val="18"/>
        </w:rPr>
        <w:t>rieuses faiblesses ; mais nous tiendrons aussi à prendre nos dista</w:t>
      </w:r>
      <w:r w:rsidRPr="00031E0E">
        <w:rPr>
          <w:szCs w:val="18"/>
        </w:rPr>
        <w:t>n</w:t>
      </w:r>
      <w:r w:rsidRPr="00031E0E">
        <w:rPr>
          <w:szCs w:val="18"/>
        </w:rPr>
        <w:t>ces par rapport à des critiques excessives, quand elles ne sont pas fra</w:t>
      </w:r>
      <w:r w:rsidRPr="00031E0E">
        <w:rPr>
          <w:szCs w:val="18"/>
        </w:rPr>
        <w:t>n</w:t>
      </w:r>
      <w:r w:rsidRPr="00031E0E">
        <w:rPr>
          <w:szCs w:val="18"/>
        </w:rPr>
        <w:t>chement c</w:t>
      </w:r>
      <w:r w:rsidRPr="00031E0E">
        <w:rPr>
          <w:szCs w:val="18"/>
        </w:rPr>
        <w:t>a</w:t>
      </w:r>
      <w:r w:rsidRPr="00031E0E">
        <w:rPr>
          <w:szCs w:val="18"/>
        </w:rPr>
        <w:t>ricaturales.</w:t>
      </w:r>
    </w:p>
    <w:p w14:paraId="4C3B533E" w14:textId="77777777" w:rsidR="006C5FDB" w:rsidRPr="00031E0E" w:rsidRDefault="006C5FDB" w:rsidP="006C5FDB">
      <w:pPr>
        <w:spacing w:before="120" w:after="120"/>
        <w:jc w:val="both"/>
      </w:pPr>
      <w:r w:rsidRPr="00031E0E">
        <w:rPr>
          <w:szCs w:val="18"/>
        </w:rPr>
        <w:t>Le premier reproche sérieux qui ait été adressé à Cha</w:t>
      </w:r>
      <w:r w:rsidRPr="00031E0E">
        <w:rPr>
          <w:szCs w:val="18"/>
        </w:rPr>
        <w:t>l</w:t>
      </w:r>
      <w:r w:rsidRPr="00031E0E">
        <w:rPr>
          <w:szCs w:val="18"/>
        </w:rPr>
        <w:t>mers Johnson consiste à dénoncer, comme le fait par exe</w:t>
      </w:r>
      <w:r w:rsidRPr="00031E0E">
        <w:rPr>
          <w:szCs w:val="18"/>
        </w:rPr>
        <w:t>m</w:t>
      </w:r>
      <w:r w:rsidRPr="00031E0E">
        <w:rPr>
          <w:szCs w:val="18"/>
        </w:rPr>
        <w:t>ple Greene (1974, pp. 146-147), le risque de tautologie associé à sa perspective fonctionn</w:t>
      </w:r>
      <w:r w:rsidRPr="00031E0E">
        <w:rPr>
          <w:szCs w:val="18"/>
        </w:rPr>
        <w:t>a</w:t>
      </w:r>
      <w:r w:rsidRPr="00031E0E">
        <w:rPr>
          <w:szCs w:val="18"/>
        </w:rPr>
        <w:t xml:space="preserve">liste et en particulier à l’utilisation, dans ce cadre, du concept d’équilibre. Le caractère circulaire de l’argument est parfois même patent, comme dans ce passage de </w:t>
      </w:r>
      <w:r w:rsidRPr="00031E0E">
        <w:rPr>
          <w:i/>
          <w:iCs/>
          <w:szCs w:val="18"/>
        </w:rPr>
        <w:t>Revolution and the Social Sy</w:t>
      </w:r>
      <w:r w:rsidRPr="00031E0E">
        <w:rPr>
          <w:i/>
          <w:iCs/>
          <w:szCs w:val="18"/>
        </w:rPr>
        <w:t>s</w:t>
      </w:r>
      <w:r w:rsidRPr="00031E0E">
        <w:rPr>
          <w:i/>
          <w:iCs/>
          <w:szCs w:val="18"/>
        </w:rPr>
        <w:t xml:space="preserve">tem </w:t>
      </w:r>
      <w:r w:rsidRPr="00031E0E">
        <w:rPr>
          <w:szCs w:val="18"/>
        </w:rPr>
        <w:t>(1964, p. 11) où Johnson écrit : « La seule façon dont nous savons que les éléments porteurs de dysfonctions entra</w:t>
      </w:r>
      <w:r w:rsidRPr="00031E0E">
        <w:rPr>
          <w:szCs w:val="18"/>
        </w:rPr>
        <w:t>î</w:t>
      </w:r>
      <w:r w:rsidRPr="00031E0E">
        <w:rPr>
          <w:szCs w:val="18"/>
        </w:rPr>
        <w:t>nent la révolution est le fait qu’elle a effectivement eu lieu. » Les dysfon</w:t>
      </w:r>
      <w:r w:rsidRPr="00031E0E">
        <w:rPr>
          <w:szCs w:val="18"/>
        </w:rPr>
        <w:t>c</w:t>
      </w:r>
      <w:r w:rsidRPr="00031E0E">
        <w:rPr>
          <w:szCs w:val="18"/>
        </w:rPr>
        <w:t>tions – ou, dans des formulations analogues, le déséquilibre du système – s</w:t>
      </w:r>
      <w:r w:rsidRPr="00031E0E">
        <w:rPr>
          <w:szCs w:val="18"/>
        </w:rPr>
        <w:t>e</w:t>
      </w:r>
      <w:r w:rsidRPr="00031E0E">
        <w:rPr>
          <w:szCs w:val="18"/>
        </w:rPr>
        <w:t>raient ainsi « révélées » par les phénomènes révolutionnaires qu’elles sont ce</w:t>
      </w:r>
      <w:r w:rsidRPr="00031E0E">
        <w:rPr>
          <w:szCs w:val="18"/>
        </w:rPr>
        <w:t>n</w:t>
      </w:r>
      <w:r w:rsidRPr="00031E0E">
        <w:rPr>
          <w:szCs w:val="18"/>
        </w:rPr>
        <w:t>sées prov</w:t>
      </w:r>
      <w:r w:rsidRPr="00031E0E">
        <w:rPr>
          <w:szCs w:val="18"/>
        </w:rPr>
        <w:t>o</w:t>
      </w:r>
      <w:r w:rsidRPr="00031E0E">
        <w:rPr>
          <w:szCs w:val="18"/>
        </w:rPr>
        <w:t>quer</w:t>
      </w:r>
      <w:r>
        <w:rPr>
          <w:szCs w:val="18"/>
        </w:rPr>
        <w:t> </w:t>
      </w:r>
      <w:r>
        <w:rPr>
          <w:rStyle w:val="Appelnotedebasdep"/>
          <w:szCs w:val="18"/>
        </w:rPr>
        <w:footnoteReference w:id="39"/>
      </w:r>
      <w:r w:rsidRPr="00031E0E">
        <w:rPr>
          <w:szCs w:val="18"/>
        </w:rPr>
        <w:t>. Ce vice de raisonnement suffit à faire douter de la pertinence du r</w:t>
      </w:r>
      <w:r w:rsidRPr="00031E0E">
        <w:rPr>
          <w:szCs w:val="18"/>
        </w:rPr>
        <w:t>e</w:t>
      </w:r>
      <w:r w:rsidRPr="00031E0E">
        <w:rPr>
          <w:szCs w:val="18"/>
        </w:rPr>
        <w:t>cours à la notion d’équilibre ; et l’on est conforté dans ce point de vue en constatant qu’à partir du moment où un sy</w:t>
      </w:r>
      <w:r w:rsidRPr="00031E0E">
        <w:rPr>
          <w:szCs w:val="18"/>
        </w:rPr>
        <w:t>s</w:t>
      </w:r>
      <w:r w:rsidRPr="00031E0E">
        <w:rPr>
          <w:szCs w:val="18"/>
        </w:rPr>
        <w:t>tème social est a</w:t>
      </w:r>
      <w:r w:rsidRPr="00031E0E">
        <w:rPr>
          <w:szCs w:val="18"/>
        </w:rPr>
        <w:t>t</w:t>
      </w:r>
      <w:r w:rsidRPr="00031E0E">
        <w:rPr>
          <w:szCs w:val="18"/>
        </w:rPr>
        <w:t>teint de déséquilibre, interviennent des processus qui sont fort différents des mécanismes sous-jacents au fonctio</w:t>
      </w:r>
      <w:r w:rsidRPr="00031E0E">
        <w:rPr>
          <w:szCs w:val="18"/>
        </w:rPr>
        <w:t>n</w:t>
      </w:r>
      <w:r w:rsidRPr="00031E0E">
        <w:rPr>
          <w:szCs w:val="18"/>
        </w:rPr>
        <w:t>nement normal et ne sont pas clairement situés par rapport aux dimensions constitut</w:t>
      </w:r>
      <w:r w:rsidRPr="00031E0E">
        <w:rPr>
          <w:szCs w:val="18"/>
        </w:rPr>
        <w:t>i</w:t>
      </w:r>
      <w:r w:rsidRPr="00031E0E">
        <w:rPr>
          <w:szCs w:val="18"/>
        </w:rPr>
        <w:t>ves de l’équilibre initial, la symbiose valeurs-environnement : tout se passe en effet comme si une condition de déséquilibre systémique e</w:t>
      </w:r>
      <w:r w:rsidRPr="00031E0E">
        <w:rPr>
          <w:szCs w:val="18"/>
        </w:rPr>
        <w:t>n</w:t>
      </w:r>
      <w:r w:rsidRPr="00031E0E">
        <w:rPr>
          <w:szCs w:val="18"/>
        </w:rPr>
        <w:t>traînait de façon durable la mise hors jeu des mécanismes homéostat</w:t>
      </w:r>
      <w:r w:rsidRPr="00031E0E">
        <w:rPr>
          <w:szCs w:val="18"/>
        </w:rPr>
        <w:t>i</w:t>
      </w:r>
      <w:r w:rsidRPr="00031E0E">
        <w:rPr>
          <w:szCs w:val="18"/>
        </w:rPr>
        <w:t>ques permettant l’adaptation du système et impl</w:t>
      </w:r>
      <w:r w:rsidRPr="00031E0E">
        <w:rPr>
          <w:szCs w:val="18"/>
        </w:rPr>
        <w:t>i</w:t>
      </w:r>
      <w:r w:rsidRPr="00031E0E">
        <w:rPr>
          <w:szCs w:val="18"/>
        </w:rPr>
        <w:t>quait le recours à un remède à haut risque, l’action réparatrice – ou au contraire a</w:t>
      </w:r>
      <w:r w:rsidRPr="00031E0E">
        <w:rPr>
          <w:szCs w:val="18"/>
        </w:rPr>
        <w:t>g</w:t>
      </w:r>
      <w:r w:rsidRPr="00031E0E">
        <w:rPr>
          <w:szCs w:val="18"/>
        </w:rPr>
        <w:t>gravante – des autorités en place. On ne peut donc que sou</w:t>
      </w:r>
      <w:r w:rsidRPr="00031E0E">
        <w:rPr>
          <w:szCs w:val="18"/>
        </w:rPr>
        <w:t>s</w:t>
      </w:r>
      <w:r w:rsidRPr="00031E0E">
        <w:rPr>
          <w:szCs w:val="18"/>
        </w:rPr>
        <w:t>crire à l’appréciation de Michel Dobr</w:t>
      </w:r>
      <w:r>
        <w:rPr>
          <w:szCs w:val="18"/>
        </w:rPr>
        <w:t>y, pour lequel la notion d’équi</w:t>
      </w:r>
      <w:r w:rsidRPr="00031E0E">
        <w:rPr>
          <w:szCs w:val="18"/>
        </w:rPr>
        <w:t xml:space="preserve">libre </w:t>
      </w:r>
      <w:r w:rsidRPr="00031E0E">
        <w:rPr>
          <w:szCs w:val="14"/>
        </w:rPr>
        <w:t>[665]</w:t>
      </w:r>
      <w:r>
        <w:rPr>
          <w:szCs w:val="14"/>
        </w:rPr>
        <w:t xml:space="preserve"> </w:t>
      </w:r>
      <w:r w:rsidRPr="00031E0E">
        <w:rPr>
          <w:szCs w:val="18"/>
        </w:rPr>
        <w:t>se réduit ici à une « métaphore approximative » à laquelle on ne peut demander ni la clarté ni la rigueur d’un modèle.</w:t>
      </w:r>
    </w:p>
    <w:p w14:paraId="1AF54885" w14:textId="77777777" w:rsidR="006C5FDB" w:rsidRPr="00031E0E" w:rsidRDefault="006C5FDB" w:rsidP="006C5FDB">
      <w:pPr>
        <w:spacing w:before="120" w:after="120"/>
        <w:jc w:val="both"/>
      </w:pPr>
      <w:r w:rsidRPr="00031E0E">
        <w:rPr>
          <w:szCs w:val="18"/>
        </w:rPr>
        <w:t>En passant des dysfonctions à l’intransigeance de l’élite ou du d</w:t>
      </w:r>
      <w:r w:rsidRPr="00031E0E">
        <w:rPr>
          <w:szCs w:val="18"/>
        </w:rPr>
        <w:t>é</w:t>
      </w:r>
      <w:r w:rsidRPr="00031E0E">
        <w:rPr>
          <w:szCs w:val="18"/>
        </w:rPr>
        <w:t>séqu</w:t>
      </w:r>
      <w:r w:rsidRPr="00031E0E">
        <w:rPr>
          <w:szCs w:val="18"/>
        </w:rPr>
        <w:t>i</w:t>
      </w:r>
      <w:r w:rsidRPr="00031E0E">
        <w:rPr>
          <w:szCs w:val="18"/>
        </w:rPr>
        <w:t>libre à la perte d’autorité, on quitte en tout cas le plan du système pour celui des acteurs polit</w:t>
      </w:r>
      <w:r w:rsidRPr="00031E0E">
        <w:rPr>
          <w:szCs w:val="18"/>
        </w:rPr>
        <w:t>i</w:t>
      </w:r>
      <w:r w:rsidRPr="00031E0E">
        <w:rPr>
          <w:szCs w:val="18"/>
        </w:rPr>
        <w:t>ques : Johnson n’est pas ainsi à même de tenir compte de l’interdépendance entre deux niveaux d’analyse, pui</w:t>
      </w:r>
      <w:r w:rsidRPr="00031E0E">
        <w:rPr>
          <w:szCs w:val="18"/>
        </w:rPr>
        <w:t>s</w:t>
      </w:r>
      <w:r w:rsidRPr="00031E0E">
        <w:rPr>
          <w:szCs w:val="18"/>
        </w:rPr>
        <w:t>qu’il adopte successiv</w:t>
      </w:r>
      <w:r w:rsidRPr="00031E0E">
        <w:rPr>
          <w:szCs w:val="18"/>
        </w:rPr>
        <w:t>e</w:t>
      </w:r>
      <w:r w:rsidRPr="00031E0E">
        <w:rPr>
          <w:szCs w:val="18"/>
        </w:rPr>
        <w:t>ment deux cadres de référence qui restent en quelque sorte juxtaposés. En fait il semble que sa construction, app</w:t>
      </w:r>
      <w:r w:rsidRPr="00031E0E">
        <w:rPr>
          <w:szCs w:val="18"/>
        </w:rPr>
        <w:t>a</w:t>
      </w:r>
      <w:r w:rsidRPr="00031E0E">
        <w:rPr>
          <w:szCs w:val="18"/>
        </w:rPr>
        <w:t>remment plus ambitieuse, se réduise à l’esquisse d’un modèle séque</w:t>
      </w:r>
      <w:r w:rsidRPr="00031E0E">
        <w:rPr>
          <w:szCs w:val="18"/>
        </w:rPr>
        <w:t>n</w:t>
      </w:r>
      <w:r w:rsidRPr="00031E0E">
        <w:rPr>
          <w:szCs w:val="18"/>
        </w:rPr>
        <w:t>tiel : à une phase marquée par le déséquilibre du système succède une phase dans laquelle les réponses des élites à cet état de crise sont t</w:t>
      </w:r>
      <w:r w:rsidRPr="00031E0E">
        <w:rPr>
          <w:szCs w:val="18"/>
        </w:rPr>
        <w:t>e</w:t>
      </w:r>
      <w:r w:rsidRPr="00031E0E">
        <w:rPr>
          <w:szCs w:val="18"/>
        </w:rPr>
        <w:t>nues pour déterminantes puis, éventuellement, une dernière phase r</w:t>
      </w:r>
      <w:r w:rsidRPr="00031E0E">
        <w:rPr>
          <w:szCs w:val="18"/>
        </w:rPr>
        <w:t>e</w:t>
      </w:r>
      <w:r w:rsidRPr="00031E0E">
        <w:rPr>
          <w:szCs w:val="18"/>
        </w:rPr>
        <w:t>pérable à l’entrée en jeu des accélér</w:t>
      </w:r>
      <w:r w:rsidRPr="00031E0E">
        <w:rPr>
          <w:szCs w:val="18"/>
        </w:rPr>
        <w:t>a</w:t>
      </w:r>
      <w:r w:rsidRPr="00031E0E">
        <w:rPr>
          <w:szCs w:val="18"/>
        </w:rPr>
        <w:t>teurs ; et à chacune de ces phases correspondent des outils d’analyse différents. On pourrait expl</w:t>
      </w:r>
      <w:r w:rsidRPr="00031E0E">
        <w:rPr>
          <w:szCs w:val="18"/>
        </w:rPr>
        <w:t>i</w:t>
      </w:r>
      <w:r w:rsidRPr="00031E0E">
        <w:rPr>
          <w:szCs w:val="18"/>
        </w:rPr>
        <w:t>quer en ces termes – mais non pas justifier – le manque de cohérence théor</w:t>
      </w:r>
      <w:r w:rsidRPr="00031E0E">
        <w:rPr>
          <w:szCs w:val="18"/>
        </w:rPr>
        <w:t>i</w:t>
      </w:r>
      <w:r w:rsidRPr="00031E0E">
        <w:rPr>
          <w:szCs w:val="18"/>
        </w:rPr>
        <w:t>que.</w:t>
      </w:r>
    </w:p>
    <w:p w14:paraId="4EEBC55F" w14:textId="77777777" w:rsidR="006C5FDB" w:rsidRPr="00031E0E" w:rsidRDefault="006C5FDB" w:rsidP="006C5FDB">
      <w:pPr>
        <w:spacing w:before="120" w:after="120"/>
        <w:jc w:val="both"/>
      </w:pPr>
      <w:r w:rsidRPr="00031E0E">
        <w:rPr>
          <w:szCs w:val="18"/>
        </w:rPr>
        <w:t>En dehors de ces critiques portant sur l’élaboration globale du m</w:t>
      </w:r>
      <w:r w:rsidRPr="00031E0E">
        <w:rPr>
          <w:szCs w:val="18"/>
        </w:rPr>
        <w:t>o</w:t>
      </w:r>
      <w:r w:rsidRPr="00031E0E">
        <w:rPr>
          <w:szCs w:val="18"/>
        </w:rPr>
        <w:t>dèle, un second ordre de repr</w:t>
      </w:r>
      <w:r w:rsidRPr="00031E0E">
        <w:rPr>
          <w:szCs w:val="18"/>
        </w:rPr>
        <w:t>o</w:t>
      </w:r>
      <w:r w:rsidRPr="00031E0E">
        <w:rPr>
          <w:szCs w:val="18"/>
        </w:rPr>
        <w:t>ches a été adressé à Chalmers Johnson, touchant en particulier au rôle des élites et à la dimension de la légit</w:t>
      </w:r>
      <w:r w:rsidRPr="00031E0E">
        <w:rPr>
          <w:szCs w:val="18"/>
        </w:rPr>
        <w:t>i</w:t>
      </w:r>
      <w:r w:rsidRPr="00031E0E">
        <w:rPr>
          <w:szCs w:val="18"/>
        </w:rPr>
        <w:t>mité. Le poids essentiel attr</w:t>
      </w:r>
      <w:r w:rsidRPr="00031E0E">
        <w:rPr>
          <w:szCs w:val="18"/>
        </w:rPr>
        <w:t>i</w:t>
      </w:r>
      <w:r w:rsidRPr="00031E0E">
        <w:rPr>
          <w:szCs w:val="18"/>
        </w:rPr>
        <w:t>bué aux élites dans le déroulement des événements et plus spécifiquement leur prétendue capacité d’éviter une révol</w:t>
      </w:r>
      <w:r w:rsidRPr="00031E0E">
        <w:rPr>
          <w:szCs w:val="18"/>
        </w:rPr>
        <w:t>u</w:t>
      </w:r>
      <w:r w:rsidRPr="00031E0E">
        <w:rPr>
          <w:szCs w:val="18"/>
        </w:rPr>
        <w:t>tion, pour peu qu’elles prennent les mesures appropriées, ont été justement contestées : il ne su</w:t>
      </w:r>
      <w:r w:rsidRPr="00031E0E">
        <w:rPr>
          <w:szCs w:val="18"/>
        </w:rPr>
        <w:t>f</w:t>
      </w:r>
      <w:r w:rsidRPr="00031E0E">
        <w:rPr>
          <w:szCs w:val="18"/>
        </w:rPr>
        <w:t>fit pas en effet, ainsi que l’histoire l’enseigne, d’une volonté de réformes pour prévenir une r</w:t>
      </w:r>
      <w:r w:rsidRPr="00031E0E">
        <w:rPr>
          <w:szCs w:val="18"/>
        </w:rPr>
        <w:t>é</w:t>
      </w:r>
      <w:r w:rsidRPr="00031E0E">
        <w:rPr>
          <w:szCs w:val="18"/>
        </w:rPr>
        <w:t>volution. Comme le rappelle Lawrence Stone (1966, p. 167), il faut tenir le plus grand compte des conséquences non intentionnelles des actions : « des mesures conçues pour r</w:t>
      </w:r>
      <w:r w:rsidRPr="00031E0E">
        <w:rPr>
          <w:szCs w:val="18"/>
        </w:rPr>
        <w:t>é</w:t>
      </w:r>
      <w:r w:rsidRPr="00031E0E">
        <w:rPr>
          <w:szCs w:val="18"/>
        </w:rPr>
        <w:t>tablir l’équilibre (peuvent) en réalité le renverser ». Et ce n’est pas méconna</w:t>
      </w:r>
      <w:r w:rsidRPr="00031E0E">
        <w:rPr>
          <w:szCs w:val="18"/>
        </w:rPr>
        <w:t>î</w:t>
      </w:r>
      <w:r w:rsidRPr="00031E0E">
        <w:rPr>
          <w:szCs w:val="18"/>
        </w:rPr>
        <w:t>tre l’importance du rôle des élites que de souligner les lourdes limitations pesant sur l’action des autorités en place, dans le c</w:t>
      </w:r>
      <w:r w:rsidRPr="00031E0E">
        <w:rPr>
          <w:szCs w:val="18"/>
        </w:rPr>
        <w:t>a</w:t>
      </w:r>
      <w:r w:rsidRPr="00031E0E">
        <w:rPr>
          <w:szCs w:val="18"/>
        </w:rPr>
        <w:t xml:space="preserve">dre de situations pré-révolutionnaires : l’impact des conditions restrictives </w:t>
      </w:r>
      <w:r w:rsidRPr="00031E0E">
        <w:rPr>
          <w:i/>
          <w:iCs/>
          <w:szCs w:val="18"/>
        </w:rPr>
        <w:t xml:space="preserve">(confining conditions) </w:t>
      </w:r>
      <w:r w:rsidRPr="00031E0E">
        <w:rPr>
          <w:szCs w:val="18"/>
        </w:rPr>
        <w:t>ne s’exerce pas seulement sur le devenir des no</w:t>
      </w:r>
      <w:r w:rsidRPr="00031E0E">
        <w:rPr>
          <w:szCs w:val="18"/>
        </w:rPr>
        <w:t>u</w:t>
      </w:r>
      <w:r w:rsidRPr="00031E0E">
        <w:rPr>
          <w:szCs w:val="18"/>
        </w:rPr>
        <w:t>veaux régimes – révolutionnaires –, auquel s’est intéressé sous cet angle O</w:t>
      </w:r>
      <w:r w:rsidRPr="00031E0E">
        <w:rPr>
          <w:szCs w:val="18"/>
        </w:rPr>
        <w:t>t</w:t>
      </w:r>
      <w:r w:rsidRPr="00031E0E">
        <w:rPr>
          <w:szCs w:val="18"/>
        </w:rPr>
        <w:t>to Kirchheimer (1965), mais encore sur le maintien des a</w:t>
      </w:r>
      <w:r w:rsidRPr="00031E0E">
        <w:rPr>
          <w:szCs w:val="18"/>
        </w:rPr>
        <w:t>n</w:t>
      </w:r>
      <w:r w:rsidRPr="00031E0E">
        <w:rPr>
          <w:szCs w:val="18"/>
        </w:rPr>
        <w:t>ciens. On a souvent également reproché à Johnson d’accorder une place excessive dans son modèle à la perte de légitimité qui serait le signe irrécusable d’une autorité affaiblie, entraînant ainsi des risques accrus de passage à une situation révolutionnaire. En fait, n’en déplaise à Theda Sko</w:t>
      </w:r>
      <w:r w:rsidRPr="00031E0E">
        <w:rPr>
          <w:szCs w:val="18"/>
        </w:rPr>
        <w:t>c</w:t>
      </w:r>
      <w:r w:rsidRPr="00031E0E">
        <w:rPr>
          <w:szCs w:val="18"/>
        </w:rPr>
        <w:t>pol, Chalmers Johnson admet qu’un régime peut se maintenir sans véritables bases morales à condition de conserver le m</w:t>
      </w:r>
      <w:r w:rsidRPr="00031E0E">
        <w:rPr>
          <w:szCs w:val="18"/>
        </w:rPr>
        <w:t>o</w:t>
      </w:r>
      <w:r w:rsidRPr="00031E0E">
        <w:rPr>
          <w:szCs w:val="18"/>
        </w:rPr>
        <w:t>nopole de la coercition ; certes il expr</w:t>
      </w:r>
      <w:r w:rsidRPr="00031E0E">
        <w:rPr>
          <w:szCs w:val="18"/>
        </w:rPr>
        <w:t>i</w:t>
      </w:r>
      <w:r w:rsidRPr="00031E0E">
        <w:rPr>
          <w:szCs w:val="18"/>
        </w:rPr>
        <w:t>me des doutes sur le caractère durable d’un tel État-police (dont l’Afrique du Sud lui paraît être un exemple) mais il n’en reconnaît pas moins la possibil</w:t>
      </w:r>
      <w:r w:rsidRPr="00031E0E">
        <w:rPr>
          <w:szCs w:val="18"/>
        </w:rPr>
        <w:t>i</w:t>
      </w:r>
      <w:r w:rsidRPr="00031E0E">
        <w:rPr>
          <w:szCs w:val="18"/>
        </w:rPr>
        <w:t>té</w:t>
      </w:r>
      <w:r>
        <w:rPr>
          <w:szCs w:val="18"/>
        </w:rPr>
        <w:t> </w:t>
      </w:r>
      <w:r>
        <w:rPr>
          <w:rStyle w:val="Appelnotedebasdep"/>
          <w:szCs w:val="18"/>
        </w:rPr>
        <w:footnoteReference w:id="40"/>
      </w:r>
      <w:r w:rsidRPr="00031E0E">
        <w:rPr>
          <w:szCs w:val="18"/>
        </w:rPr>
        <w:t>. La caricature</w:t>
      </w:r>
      <w:r>
        <w:rPr>
          <w:szCs w:val="18"/>
        </w:rPr>
        <w:t xml:space="preserve"> </w:t>
      </w:r>
      <w:r w:rsidRPr="00031E0E">
        <w:rPr>
          <w:szCs w:val="16"/>
        </w:rPr>
        <w:t>[666]</w:t>
      </w:r>
      <w:r>
        <w:rPr>
          <w:szCs w:val="16"/>
        </w:rPr>
        <w:t xml:space="preserve"> </w:t>
      </w:r>
      <w:r w:rsidRPr="00031E0E">
        <w:rPr>
          <w:szCs w:val="18"/>
        </w:rPr>
        <w:t>ne sert pas les objectifs de la critique, qui a pourtant à sa disposition de sol</w:t>
      </w:r>
      <w:r w:rsidRPr="00031E0E">
        <w:rPr>
          <w:szCs w:val="18"/>
        </w:rPr>
        <w:t>i</w:t>
      </w:r>
      <w:r w:rsidRPr="00031E0E">
        <w:rPr>
          <w:szCs w:val="18"/>
        </w:rPr>
        <w:t>des atouts et des objections fondamentales : Johnson si</w:t>
      </w:r>
      <w:r w:rsidRPr="00031E0E">
        <w:rPr>
          <w:szCs w:val="18"/>
        </w:rPr>
        <w:t>m</w:t>
      </w:r>
      <w:r w:rsidRPr="00031E0E">
        <w:rPr>
          <w:szCs w:val="18"/>
        </w:rPr>
        <w:t>plifie en effet abusivement les relations entre l’emploi de la force et la prése</w:t>
      </w:r>
      <w:r w:rsidRPr="00031E0E">
        <w:rPr>
          <w:szCs w:val="18"/>
        </w:rPr>
        <w:t>r</w:t>
      </w:r>
      <w:r w:rsidRPr="00031E0E">
        <w:rPr>
          <w:szCs w:val="18"/>
        </w:rPr>
        <w:t>vation de la légitimité ; s’il est vrai qu’un usage accru de la fo</w:t>
      </w:r>
      <w:r w:rsidRPr="00031E0E">
        <w:rPr>
          <w:szCs w:val="18"/>
        </w:rPr>
        <w:t>r</w:t>
      </w:r>
      <w:r w:rsidRPr="00031E0E">
        <w:rPr>
          <w:szCs w:val="18"/>
        </w:rPr>
        <w:t>ce peut s’accompagner d’un effritement des bases de légitimité</w:t>
      </w:r>
      <w:r>
        <w:rPr>
          <w:szCs w:val="18"/>
        </w:rPr>
        <w:t> </w:t>
      </w:r>
      <w:r>
        <w:rPr>
          <w:rStyle w:val="Appelnotedebasdep"/>
          <w:szCs w:val="18"/>
        </w:rPr>
        <w:footnoteReference w:id="41"/>
      </w:r>
      <w:r w:rsidRPr="00031E0E">
        <w:rPr>
          <w:szCs w:val="18"/>
        </w:rPr>
        <w:t>, il faut ég</w:t>
      </w:r>
      <w:r w:rsidRPr="00031E0E">
        <w:rPr>
          <w:szCs w:val="18"/>
        </w:rPr>
        <w:t>a</w:t>
      </w:r>
      <w:r w:rsidRPr="00031E0E">
        <w:rPr>
          <w:szCs w:val="18"/>
        </w:rPr>
        <w:t>lement, comme le signale Cohan (1975, pp. 136-137), tenir compte des cas où le recours à la force sert à l’établissement ultérieur de la légitimité, qui repose souvent sur des bases nouvelles et différe</w:t>
      </w:r>
      <w:r w:rsidRPr="00031E0E">
        <w:rPr>
          <w:szCs w:val="18"/>
        </w:rPr>
        <w:t>n</w:t>
      </w:r>
      <w:r w:rsidRPr="00031E0E">
        <w:rPr>
          <w:szCs w:val="18"/>
        </w:rPr>
        <w:t>tes. Johnson ramène à un cas de figure les rapports entre force et légitim</w:t>
      </w:r>
      <w:r w:rsidRPr="00031E0E">
        <w:rPr>
          <w:szCs w:val="18"/>
        </w:rPr>
        <w:t>i</w:t>
      </w:r>
      <w:r w:rsidRPr="00031E0E">
        <w:rPr>
          <w:szCs w:val="18"/>
        </w:rPr>
        <w:t>té, alors qu’ils peuvent prendre des formes complexes et variées. Et c’est une erreur analogue qu’il commet en faisant de la perte de lég</w:t>
      </w:r>
      <w:r w:rsidRPr="00031E0E">
        <w:rPr>
          <w:szCs w:val="18"/>
        </w:rPr>
        <w:t>i</w:t>
      </w:r>
      <w:r w:rsidRPr="00031E0E">
        <w:rPr>
          <w:szCs w:val="18"/>
        </w:rPr>
        <w:t>timité une médiation obligée entre le déséqu</w:t>
      </w:r>
      <w:r w:rsidRPr="00031E0E">
        <w:rPr>
          <w:szCs w:val="18"/>
        </w:rPr>
        <w:t>i</w:t>
      </w:r>
      <w:r w:rsidRPr="00031E0E">
        <w:rPr>
          <w:szCs w:val="18"/>
        </w:rPr>
        <w:t>libre du système et le soulèvement révolutionnaire : ce discrédit des autorités survient pa</w:t>
      </w:r>
      <w:r w:rsidRPr="00031E0E">
        <w:rPr>
          <w:szCs w:val="18"/>
        </w:rPr>
        <w:t>r</w:t>
      </w:r>
      <w:r w:rsidRPr="00031E0E">
        <w:rPr>
          <w:szCs w:val="18"/>
        </w:rPr>
        <w:t>fois plus tard, au cours du déroulement de processus déjà révolutio</w:t>
      </w:r>
      <w:r w:rsidRPr="00031E0E">
        <w:rPr>
          <w:szCs w:val="18"/>
        </w:rPr>
        <w:t>n</w:t>
      </w:r>
      <w:r w:rsidRPr="00031E0E">
        <w:rPr>
          <w:szCs w:val="18"/>
        </w:rPr>
        <w:t>naires. Ce n’est donc pas de tout réduire à la question de la l</w:t>
      </w:r>
      <w:r w:rsidRPr="00031E0E">
        <w:rPr>
          <w:szCs w:val="18"/>
        </w:rPr>
        <w:t>é</w:t>
      </w:r>
      <w:r w:rsidRPr="00031E0E">
        <w:rPr>
          <w:szCs w:val="18"/>
        </w:rPr>
        <w:t>gitimité, comme on l’a abusivement prétendu, ni de s’intéresser à elle – car ce</w:t>
      </w:r>
      <w:r w:rsidRPr="00031E0E">
        <w:rPr>
          <w:szCs w:val="18"/>
        </w:rPr>
        <w:t>t</w:t>
      </w:r>
      <w:r w:rsidRPr="00031E0E">
        <w:rPr>
          <w:szCs w:val="18"/>
        </w:rPr>
        <w:t>te dimension a son importance, même si elle n’est pas toujours aussi cruciale qu’il le croit – qu’il faut blâmer Johnson, mais plutôt de pr</w:t>
      </w:r>
      <w:r w:rsidRPr="00031E0E">
        <w:rPr>
          <w:szCs w:val="18"/>
        </w:rPr>
        <w:t>é</w:t>
      </w:r>
      <w:r w:rsidRPr="00031E0E">
        <w:rPr>
          <w:szCs w:val="18"/>
        </w:rPr>
        <w:t>senter comme un modèle général ce qui n’est en fait qu’une séquence possible.</w:t>
      </w:r>
    </w:p>
    <w:p w14:paraId="45FFAA0C" w14:textId="77777777" w:rsidR="006C5FDB" w:rsidRPr="00031E0E" w:rsidRDefault="006C5FDB" w:rsidP="006C5FDB">
      <w:pPr>
        <w:spacing w:before="120" w:after="120"/>
        <w:jc w:val="both"/>
      </w:pPr>
      <w:r w:rsidRPr="00031E0E">
        <w:rPr>
          <w:szCs w:val="18"/>
        </w:rPr>
        <w:t>Il reste encore à considérer, dans la famille des modèles volcan</w:t>
      </w:r>
      <w:r w:rsidRPr="00031E0E">
        <w:rPr>
          <w:szCs w:val="18"/>
        </w:rPr>
        <w:t>i</w:t>
      </w:r>
      <w:r w:rsidRPr="00031E0E">
        <w:rPr>
          <w:szCs w:val="18"/>
        </w:rPr>
        <w:t>ques, l’autre branche formée de théories essentiellement psychosoci</w:t>
      </w:r>
      <w:r w:rsidRPr="00031E0E">
        <w:rPr>
          <w:szCs w:val="18"/>
        </w:rPr>
        <w:t>a</w:t>
      </w:r>
      <w:r w:rsidRPr="00031E0E">
        <w:rPr>
          <w:szCs w:val="18"/>
        </w:rPr>
        <w:t>les. Leur appartenance à cette famille ne nous semble guère prêter à contestation ; car elle transparaît au niveau à la fois des postulats de base et de la définition de l’objet. C’est la lia</w:t>
      </w:r>
      <w:r w:rsidRPr="00031E0E">
        <w:rPr>
          <w:szCs w:val="18"/>
        </w:rPr>
        <w:t>i</w:t>
      </w:r>
      <w:r w:rsidRPr="00031E0E">
        <w:rPr>
          <w:szCs w:val="18"/>
        </w:rPr>
        <w:t xml:space="preserve">son entre </w:t>
      </w:r>
      <w:r w:rsidRPr="00031E0E">
        <w:rPr>
          <w:i/>
          <w:iCs/>
          <w:szCs w:val="18"/>
        </w:rPr>
        <w:t xml:space="preserve">frustration </w:t>
      </w:r>
      <w:r w:rsidRPr="00031E0E">
        <w:rPr>
          <w:szCs w:val="18"/>
        </w:rPr>
        <w:t xml:space="preserve">et </w:t>
      </w:r>
      <w:r w:rsidRPr="00031E0E">
        <w:rPr>
          <w:i/>
          <w:iCs/>
          <w:szCs w:val="18"/>
        </w:rPr>
        <w:t xml:space="preserve">agression, </w:t>
      </w:r>
      <w:r w:rsidRPr="00031E0E">
        <w:rPr>
          <w:szCs w:val="18"/>
        </w:rPr>
        <w:t>posée comme fondamentale, qui sert à ces r</w:t>
      </w:r>
      <w:r w:rsidRPr="00031E0E">
        <w:rPr>
          <w:szCs w:val="18"/>
        </w:rPr>
        <w:t>e</w:t>
      </w:r>
      <w:r w:rsidRPr="00031E0E">
        <w:rPr>
          <w:szCs w:val="18"/>
        </w:rPr>
        <w:t>cherches de cadre de référence : leur point de départ consiste « essentiellement », comme le reconnaît Ted Gurr (1973, pp. 364-365), le repr</w:t>
      </w:r>
      <w:r w:rsidRPr="00031E0E">
        <w:rPr>
          <w:szCs w:val="18"/>
        </w:rPr>
        <w:t>é</w:t>
      </w:r>
      <w:r w:rsidRPr="00031E0E">
        <w:rPr>
          <w:szCs w:val="18"/>
        </w:rPr>
        <w:t>sentant le plus autorisé de cette appr</w:t>
      </w:r>
      <w:r w:rsidRPr="00031E0E">
        <w:rPr>
          <w:szCs w:val="18"/>
        </w:rPr>
        <w:t>o</w:t>
      </w:r>
      <w:r w:rsidRPr="00031E0E">
        <w:rPr>
          <w:szCs w:val="18"/>
        </w:rPr>
        <w:t>che, à « généraliser du niveau individuel au niveau social le principe de frustr</w:t>
      </w:r>
      <w:r w:rsidRPr="00031E0E">
        <w:rPr>
          <w:szCs w:val="18"/>
        </w:rPr>
        <w:t>a</w:t>
      </w:r>
      <w:r w:rsidRPr="00031E0E">
        <w:rPr>
          <w:szCs w:val="18"/>
        </w:rPr>
        <w:t xml:space="preserve">tion-colère-agression » ; le rôle accordé dans cette perspective à la </w:t>
      </w:r>
      <w:r w:rsidRPr="00031E0E">
        <w:rPr>
          <w:i/>
          <w:iCs/>
          <w:szCs w:val="18"/>
        </w:rPr>
        <w:t>col</w:t>
      </w:r>
      <w:r w:rsidRPr="00031E0E">
        <w:rPr>
          <w:i/>
          <w:iCs/>
          <w:szCs w:val="18"/>
        </w:rPr>
        <w:t>è</w:t>
      </w:r>
      <w:r w:rsidRPr="00031E0E">
        <w:rPr>
          <w:i/>
          <w:iCs/>
          <w:szCs w:val="18"/>
        </w:rPr>
        <w:t xml:space="preserve">re </w:t>
      </w:r>
      <w:r w:rsidRPr="00031E0E">
        <w:rPr>
          <w:szCs w:val="18"/>
        </w:rPr>
        <w:t>– de façon plus précise son statut de variable intermédia</w:t>
      </w:r>
      <w:r w:rsidRPr="00031E0E">
        <w:rPr>
          <w:szCs w:val="18"/>
        </w:rPr>
        <w:t>i</w:t>
      </w:r>
      <w:r w:rsidRPr="00031E0E">
        <w:rPr>
          <w:szCs w:val="18"/>
        </w:rPr>
        <w:t>re, conformément au schéma d’analyse de Berkowitz (1962, p. 1)</w:t>
      </w:r>
      <w:r>
        <w:rPr>
          <w:szCs w:val="18"/>
        </w:rPr>
        <w:t> </w:t>
      </w:r>
      <w:r>
        <w:rPr>
          <w:rStyle w:val="Appelnotedebasdep"/>
          <w:szCs w:val="18"/>
        </w:rPr>
        <w:footnoteReference w:id="42"/>
      </w:r>
      <w:r w:rsidRPr="00031E0E">
        <w:rPr>
          <w:szCs w:val="18"/>
        </w:rPr>
        <w:t xml:space="preserve"> – est, de notre point de vue, tout à fait s</w:t>
      </w:r>
      <w:r w:rsidRPr="00031E0E">
        <w:rPr>
          <w:szCs w:val="18"/>
        </w:rPr>
        <w:t>i</w:t>
      </w:r>
      <w:r w:rsidRPr="00031E0E">
        <w:rPr>
          <w:szCs w:val="18"/>
        </w:rPr>
        <w:t>gnificatif. Et il n’y a donc guère lieu de s’étonner si, à partir de telles prémisses, les auteurs de ce courant ont tendu – dans leur maj</w:t>
      </w:r>
      <w:r w:rsidRPr="00031E0E">
        <w:rPr>
          <w:szCs w:val="18"/>
        </w:rPr>
        <w:t>o</w:t>
      </w:r>
      <w:r w:rsidRPr="00031E0E">
        <w:rPr>
          <w:szCs w:val="18"/>
        </w:rPr>
        <w:t>rité – à retenir comme objet d’étude privilégié la violence collective, plus pa</w:t>
      </w:r>
      <w:r w:rsidRPr="00031E0E">
        <w:rPr>
          <w:szCs w:val="18"/>
        </w:rPr>
        <w:t>r</w:t>
      </w:r>
      <w:r w:rsidRPr="00031E0E">
        <w:rPr>
          <w:szCs w:val="18"/>
        </w:rPr>
        <w:t xml:space="preserve">ticulièrement la </w:t>
      </w:r>
      <w:r w:rsidRPr="00031E0E">
        <w:rPr>
          <w:i/>
          <w:iCs/>
          <w:szCs w:val="18"/>
        </w:rPr>
        <w:t xml:space="preserve">violence politique, </w:t>
      </w:r>
      <w:r w:rsidRPr="00031E0E">
        <w:rPr>
          <w:szCs w:val="18"/>
        </w:rPr>
        <w:t>son degré d’importance et ses di</w:t>
      </w:r>
      <w:r w:rsidRPr="00031E0E">
        <w:rPr>
          <w:szCs w:val="18"/>
        </w:rPr>
        <w:t>f</w:t>
      </w:r>
      <w:r w:rsidRPr="00031E0E">
        <w:rPr>
          <w:szCs w:val="18"/>
        </w:rPr>
        <w:t>férentes formes. Tels sont en tout cas les objets majeurs d’analyse que s’assigne Ted Gurr dans son pri</w:t>
      </w:r>
      <w:r w:rsidRPr="00031E0E">
        <w:rPr>
          <w:szCs w:val="18"/>
        </w:rPr>
        <w:t>n</w:t>
      </w:r>
      <w:r w:rsidRPr="00031E0E">
        <w:rPr>
          <w:szCs w:val="18"/>
        </w:rPr>
        <w:t xml:space="preserve">cipal ouvrage, </w:t>
      </w:r>
      <w:r w:rsidRPr="00031E0E">
        <w:rPr>
          <w:i/>
          <w:iCs/>
          <w:szCs w:val="18"/>
        </w:rPr>
        <w:t xml:space="preserve">Why Men Rebel </w:t>
      </w:r>
      <w:r w:rsidRPr="00031E0E">
        <w:rPr>
          <w:szCs w:val="18"/>
        </w:rPr>
        <w:t>(1970, p. 8). Le champ embrassé par la reche</w:t>
      </w:r>
      <w:r w:rsidRPr="00031E0E">
        <w:rPr>
          <w:szCs w:val="18"/>
        </w:rPr>
        <w:t>r</w:t>
      </w:r>
      <w:r w:rsidRPr="00031E0E">
        <w:rPr>
          <w:szCs w:val="18"/>
        </w:rPr>
        <w:t>che déborde donc de beaucoup le problème spécifique de la révolution, et ce c</w:t>
      </w:r>
      <w:r w:rsidRPr="00031E0E">
        <w:rPr>
          <w:szCs w:val="18"/>
        </w:rPr>
        <w:t>a</w:t>
      </w:r>
      <w:r w:rsidRPr="00031E0E">
        <w:rPr>
          <w:szCs w:val="18"/>
        </w:rPr>
        <w:t>dre généralisant n’est certainement pas le plus approprié à l’élucidation ou l’interprétation des phénomènes révol</w:t>
      </w:r>
      <w:r w:rsidRPr="00031E0E">
        <w:rPr>
          <w:szCs w:val="18"/>
        </w:rPr>
        <w:t>u</w:t>
      </w:r>
      <w:r w:rsidRPr="00031E0E">
        <w:rPr>
          <w:szCs w:val="18"/>
        </w:rPr>
        <w:t>tionnaires.</w:t>
      </w:r>
    </w:p>
    <w:p w14:paraId="7C2B74B5" w14:textId="77777777" w:rsidR="006C5FDB" w:rsidRPr="00031E0E" w:rsidRDefault="006C5FDB" w:rsidP="006C5FDB">
      <w:pPr>
        <w:spacing w:before="120" w:after="120"/>
        <w:jc w:val="both"/>
      </w:pPr>
      <w:r w:rsidRPr="00031E0E">
        <w:rPr>
          <w:szCs w:val="18"/>
        </w:rPr>
        <w:t>On trouve cependant, parmi les a</w:t>
      </w:r>
      <w:r w:rsidRPr="00031E0E">
        <w:rPr>
          <w:szCs w:val="18"/>
        </w:rPr>
        <w:t>u</w:t>
      </w:r>
      <w:r w:rsidRPr="00031E0E">
        <w:rPr>
          <w:szCs w:val="18"/>
        </w:rPr>
        <w:t>teurs de ce courant, un véritable spéci</w:t>
      </w:r>
      <w:r w:rsidRPr="00031E0E">
        <w:rPr>
          <w:szCs w:val="18"/>
        </w:rPr>
        <w:t>a</w:t>
      </w:r>
      <w:r w:rsidRPr="00031E0E">
        <w:rPr>
          <w:szCs w:val="18"/>
        </w:rPr>
        <w:t>liste de la révolution en James Davies, dont les articles sur ce sujet ont connu un grand retentissement, peut-être à cause de la si</w:t>
      </w:r>
      <w:r w:rsidRPr="00031E0E">
        <w:rPr>
          <w:szCs w:val="18"/>
        </w:rPr>
        <w:t>m</w:t>
      </w:r>
      <w:r w:rsidRPr="00031E0E">
        <w:rPr>
          <w:szCs w:val="18"/>
        </w:rPr>
        <w:t>plicité de la conception qu’ils mettent en œuvre. L’idée centrale de Davies peut en effet, avec son aide, être</w:t>
      </w:r>
      <w:r>
        <w:rPr>
          <w:szCs w:val="18"/>
        </w:rPr>
        <w:t xml:space="preserve"> </w:t>
      </w:r>
      <w:r w:rsidRPr="00031E0E">
        <w:rPr>
          <w:szCs w:val="14"/>
        </w:rPr>
        <w:t>[667]</w:t>
      </w:r>
      <w:r>
        <w:rPr>
          <w:szCs w:val="14"/>
        </w:rPr>
        <w:t xml:space="preserve"> </w:t>
      </w:r>
      <w:r w:rsidRPr="00031E0E">
        <w:rPr>
          <w:szCs w:val="18"/>
        </w:rPr>
        <w:t>résumée en peu de mots : « Des révolutions risquent d’éclater lorsqu’une période de pr</w:t>
      </w:r>
      <w:r w:rsidRPr="00031E0E">
        <w:rPr>
          <w:szCs w:val="18"/>
        </w:rPr>
        <w:t>o</w:t>
      </w:r>
      <w:r w:rsidRPr="00031E0E">
        <w:rPr>
          <w:szCs w:val="18"/>
        </w:rPr>
        <w:t>grès matériel, tant économique que social, est suivie d’une brève p</w:t>
      </w:r>
      <w:r w:rsidRPr="00031E0E">
        <w:rPr>
          <w:szCs w:val="18"/>
        </w:rPr>
        <w:t>é</w:t>
      </w:r>
      <w:r w:rsidRPr="00031E0E">
        <w:rPr>
          <w:szCs w:val="18"/>
        </w:rPr>
        <w:t>riode de réce</w:t>
      </w:r>
      <w:r w:rsidRPr="00031E0E">
        <w:rPr>
          <w:szCs w:val="18"/>
        </w:rPr>
        <w:t>s</w:t>
      </w:r>
      <w:r w:rsidRPr="00031E0E">
        <w:rPr>
          <w:szCs w:val="18"/>
        </w:rPr>
        <w:t>sion aiguë » (1962, p. 6 ; trad. fr., 1971, p. 256) ; et cette dernière se révèle cruciale car « le fossé entre les attentes et les sati</w:t>
      </w:r>
      <w:r w:rsidRPr="00031E0E">
        <w:rPr>
          <w:szCs w:val="18"/>
        </w:rPr>
        <w:t>s</w:t>
      </w:r>
      <w:r w:rsidRPr="00031E0E">
        <w:rPr>
          <w:szCs w:val="18"/>
        </w:rPr>
        <w:t>factions s’(y) élargit rapidement et devient int</w:t>
      </w:r>
      <w:r w:rsidRPr="00031E0E">
        <w:rPr>
          <w:szCs w:val="18"/>
        </w:rPr>
        <w:t>o</w:t>
      </w:r>
      <w:r w:rsidRPr="00031E0E">
        <w:rPr>
          <w:szCs w:val="18"/>
        </w:rPr>
        <w:t>lérable » (1969, p. 690). Les satisfactions – des besoins les plus d</w:t>
      </w:r>
      <w:r w:rsidRPr="00031E0E">
        <w:rPr>
          <w:szCs w:val="18"/>
        </w:rPr>
        <w:t>i</w:t>
      </w:r>
      <w:r w:rsidRPr="00031E0E">
        <w:rPr>
          <w:szCs w:val="18"/>
        </w:rPr>
        <w:t>vers, il faut le noter, aussi bien culturels que physiques – connaîtraient alors, après une p</w:t>
      </w:r>
      <w:r w:rsidRPr="00031E0E">
        <w:rPr>
          <w:szCs w:val="18"/>
        </w:rPr>
        <w:t>é</w:t>
      </w:r>
      <w:r w:rsidRPr="00031E0E">
        <w:rPr>
          <w:szCs w:val="18"/>
        </w:rPr>
        <w:t>riode relativement longue de croissance rég</w:t>
      </w:r>
      <w:r w:rsidRPr="00031E0E">
        <w:rPr>
          <w:szCs w:val="18"/>
        </w:rPr>
        <w:t>u</w:t>
      </w:r>
      <w:r w:rsidRPr="00031E0E">
        <w:rPr>
          <w:szCs w:val="18"/>
        </w:rPr>
        <w:t xml:space="preserve">lière, un brusque et net recul </w:t>
      </w:r>
      <w:r w:rsidRPr="00031E0E">
        <w:rPr>
          <w:i/>
          <w:iCs/>
          <w:szCs w:val="18"/>
        </w:rPr>
        <w:t xml:space="preserve">(drop) </w:t>
      </w:r>
      <w:r w:rsidRPr="00031E0E">
        <w:rPr>
          <w:szCs w:val="18"/>
        </w:rPr>
        <w:t>– ce que Davies représe</w:t>
      </w:r>
      <w:r w:rsidRPr="00031E0E">
        <w:rPr>
          <w:szCs w:val="18"/>
        </w:rPr>
        <w:t>n</w:t>
      </w:r>
      <w:r w:rsidRPr="00031E0E">
        <w:rPr>
          <w:szCs w:val="18"/>
        </w:rPr>
        <w:t xml:space="preserve">te par une courbe en J inversé (la fameuse </w:t>
      </w:r>
      <w:r w:rsidRPr="00031E0E">
        <w:rPr>
          <w:i/>
          <w:iCs/>
          <w:szCs w:val="18"/>
        </w:rPr>
        <w:t xml:space="preserve">J-curve) </w:t>
      </w:r>
      <w:r w:rsidRPr="00031E0E">
        <w:rPr>
          <w:szCs w:val="18"/>
        </w:rPr>
        <w:t>–, alors que les acteurs cont</w:t>
      </w:r>
      <w:r w:rsidRPr="00031E0E">
        <w:rPr>
          <w:szCs w:val="18"/>
        </w:rPr>
        <w:t>i</w:t>
      </w:r>
      <w:r w:rsidRPr="00031E0E">
        <w:rPr>
          <w:szCs w:val="18"/>
        </w:rPr>
        <w:t>nueraient à s’attendre à des satisfactions a</w:t>
      </w:r>
      <w:r w:rsidRPr="00031E0E">
        <w:rPr>
          <w:szCs w:val="18"/>
        </w:rPr>
        <w:t>c</w:t>
      </w:r>
      <w:r w:rsidRPr="00031E0E">
        <w:rPr>
          <w:szCs w:val="18"/>
        </w:rPr>
        <w:t>crues : la distance entre « ce que les gens désirent et ce qu’ils ont » deviendrait à ce point i</w:t>
      </w:r>
      <w:r w:rsidRPr="00031E0E">
        <w:rPr>
          <w:szCs w:val="18"/>
        </w:rPr>
        <w:t>n</w:t>
      </w:r>
      <w:r w:rsidRPr="00031E0E">
        <w:rPr>
          <w:szCs w:val="18"/>
        </w:rPr>
        <w:t>supportable qu’éclaterait une r</w:t>
      </w:r>
      <w:r w:rsidRPr="00031E0E">
        <w:rPr>
          <w:szCs w:val="18"/>
        </w:rPr>
        <w:t>é</w:t>
      </w:r>
      <w:r w:rsidRPr="00031E0E">
        <w:rPr>
          <w:szCs w:val="18"/>
        </w:rPr>
        <w:t>volution, pour peu que cette frustration des aspirations soit répandue dans la société et que se rassemblent sur cette base des gens de cond</w:t>
      </w:r>
      <w:r w:rsidRPr="00031E0E">
        <w:rPr>
          <w:szCs w:val="18"/>
        </w:rPr>
        <w:t>i</w:t>
      </w:r>
      <w:r w:rsidRPr="00031E0E">
        <w:rPr>
          <w:szCs w:val="18"/>
        </w:rPr>
        <w:t>tions très diverses. À l’appui de son hyp</w:t>
      </w:r>
      <w:r w:rsidRPr="00031E0E">
        <w:rPr>
          <w:szCs w:val="18"/>
        </w:rPr>
        <w:t>o</w:t>
      </w:r>
      <w:r w:rsidRPr="00031E0E">
        <w:rPr>
          <w:szCs w:val="18"/>
        </w:rPr>
        <w:t>thèse, Davies analyse, dans son premier article, les cas de la révol</w:t>
      </w:r>
      <w:r w:rsidRPr="00031E0E">
        <w:rPr>
          <w:szCs w:val="18"/>
        </w:rPr>
        <w:t>u</w:t>
      </w:r>
      <w:r w:rsidRPr="00031E0E">
        <w:rPr>
          <w:szCs w:val="18"/>
        </w:rPr>
        <w:t>tion russe de 1917, de la « révolution égyptienne », plus exactement du coup d’État des col</w:t>
      </w:r>
      <w:r w:rsidRPr="00031E0E">
        <w:rPr>
          <w:szCs w:val="18"/>
        </w:rPr>
        <w:t>o</w:t>
      </w:r>
      <w:r w:rsidRPr="00031E0E">
        <w:rPr>
          <w:szCs w:val="18"/>
        </w:rPr>
        <w:t>nels de 1952 mais aussi de la rébellion de Dorr en 1842, c’est-à-dire d’un pur conflit local ; et il se réfère de façon plus brève à la Révol</w:t>
      </w:r>
      <w:r w:rsidRPr="00031E0E">
        <w:rPr>
          <w:szCs w:val="18"/>
        </w:rPr>
        <w:t>u</w:t>
      </w:r>
      <w:r w:rsidRPr="00031E0E">
        <w:rPr>
          <w:szCs w:val="18"/>
        </w:rPr>
        <w:t>tion française, ainsi qu’à la Révolution amér</w:t>
      </w:r>
      <w:r w:rsidRPr="00031E0E">
        <w:rPr>
          <w:szCs w:val="18"/>
        </w:rPr>
        <w:t>i</w:t>
      </w:r>
      <w:r w:rsidRPr="00031E0E">
        <w:rPr>
          <w:szCs w:val="18"/>
        </w:rPr>
        <w:t>caine. Cette liste est déjà quelque peu disparate et les illustrations supplémentaires introduites dans l’article de 1969 – la guerre de S</w:t>
      </w:r>
      <w:r w:rsidRPr="00031E0E">
        <w:rPr>
          <w:szCs w:val="18"/>
        </w:rPr>
        <w:t>é</w:t>
      </w:r>
      <w:r w:rsidRPr="00031E0E">
        <w:rPr>
          <w:szCs w:val="18"/>
        </w:rPr>
        <w:t>cession, l’accession des nazis au pouvoir, les mo</w:t>
      </w:r>
      <w:r w:rsidRPr="00031E0E">
        <w:rPr>
          <w:szCs w:val="18"/>
        </w:rPr>
        <w:t>u</w:t>
      </w:r>
      <w:r w:rsidRPr="00031E0E">
        <w:rPr>
          <w:szCs w:val="18"/>
        </w:rPr>
        <w:t>vements étudiants des années soixante et les émeutes noires de la même époque aux États-Unis – re</w:t>
      </w:r>
      <w:r w:rsidRPr="00031E0E">
        <w:rPr>
          <w:szCs w:val="18"/>
        </w:rPr>
        <w:t>n</w:t>
      </w:r>
      <w:r w:rsidRPr="00031E0E">
        <w:rPr>
          <w:szCs w:val="18"/>
        </w:rPr>
        <w:t>forcent encore cette impression.</w:t>
      </w:r>
    </w:p>
    <w:p w14:paraId="2A29489A" w14:textId="77777777" w:rsidR="006C5FDB" w:rsidRPr="00031E0E" w:rsidRDefault="006C5FDB" w:rsidP="006C5FDB">
      <w:pPr>
        <w:spacing w:before="120" w:after="120"/>
        <w:jc w:val="both"/>
      </w:pPr>
      <w:r w:rsidRPr="00031E0E">
        <w:rPr>
          <w:szCs w:val="18"/>
        </w:rPr>
        <w:t>Ce n’est pourtant là qu’un reproche mineur, comparé aux obje</w:t>
      </w:r>
      <w:r w:rsidRPr="00031E0E">
        <w:rPr>
          <w:szCs w:val="18"/>
        </w:rPr>
        <w:t>c</w:t>
      </w:r>
      <w:r w:rsidRPr="00031E0E">
        <w:rPr>
          <w:szCs w:val="18"/>
        </w:rPr>
        <w:t>tions fondamentales que l’on peut adresser à D</w:t>
      </w:r>
      <w:r w:rsidRPr="00031E0E">
        <w:rPr>
          <w:szCs w:val="18"/>
        </w:rPr>
        <w:t>a</w:t>
      </w:r>
      <w:r w:rsidRPr="00031E0E">
        <w:rPr>
          <w:szCs w:val="18"/>
        </w:rPr>
        <w:t>vies. En particulier il ne fournit pas de critères permettant d’identifier une « marge intolér</w:t>
      </w:r>
      <w:r w:rsidRPr="00031E0E">
        <w:rPr>
          <w:szCs w:val="18"/>
        </w:rPr>
        <w:t>a</w:t>
      </w:r>
      <w:r w:rsidRPr="00031E0E">
        <w:rPr>
          <w:szCs w:val="18"/>
        </w:rPr>
        <w:t>ble » entre satisfaction escomptée et sati</w:t>
      </w:r>
      <w:r w:rsidRPr="00031E0E">
        <w:rPr>
          <w:szCs w:val="18"/>
        </w:rPr>
        <w:t>s</w:t>
      </w:r>
      <w:r w:rsidRPr="00031E0E">
        <w:rPr>
          <w:szCs w:val="18"/>
        </w:rPr>
        <w:t>faction réelle des besoins, en dehors de l’événement même constitué par le d</w:t>
      </w:r>
      <w:r w:rsidRPr="00031E0E">
        <w:rPr>
          <w:szCs w:val="18"/>
        </w:rPr>
        <w:t>é</w:t>
      </w:r>
      <w:r w:rsidRPr="00031E0E">
        <w:rPr>
          <w:szCs w:val="18"/>
        </w:rPr>
        <w:t>clenchement de la révolution, voire de la révolte : c’est un exemple manifeste de raiso</w:t>
      </w:r>
      <w:r w:rsidRPr="00031E0E">
        <w:rPr>
          <w:szCs w:val="18"/>
        </w:rPr>
        <w:t>n</w:t>
      </w:r>
      <w:r w:rsidRPr="00031E0E">
        <w:rPr>
          <w:szCs w:val="18"/>
        </w:rPr>
        <w:t>nement ci</w:t>
      </w:r>
      <w:r w:rsidRPr="00031E0E">
        <w:rPr>
          <w:szCs w:val="18"/>
        </w:rPr>
        <w:t>r</w:t>
      </w:r>
      <w:r w:rsidRPr="00031E0E">
        <w:rPr>
          <w:szCs w:val="18"/>
        </w:rPr>
        <w:t>culaire par lequel on infère le caractère intolérable de l’écart entre aspirations et satisfactions du fait qu’il n’a plus été su</w:t>
      </w:r>
      <w:r w:rsidRPr="00031E0E">
        <w:rPr>
          <w:szCs w:val="18"/>
        </w:rPr>
        <w:t>p</w:t>
      </w:r>
      <w:r w:rsidRPr="00031E0E">
        <w:rPr>
          <w:szCs w:val="18"/>
        </w:rPr>
        <w:t>porté. En outre, la variable déterm</w:t>
      </w:r>
      <w:r w:rsidRPr="00031E0E">
        <w:rPr>
          <w:szCs w:val="18"/>
        </w:rPr>
        <w:t>i</w:t>
      </w:r>
      <w:r w:rsidRPr="00031E0E">
        <w:rPr>
          <w:szCs w:val="18"/>
        </w:rPr>
        <w:t>nante, à savoir « l’état d’esprit » des gens, leurs attentes et leurs espoirs, est ici estimée de façon très indirecte, uniquement à partir d’indicateurs gl</w:t>
      </w:r>
      <w:r w:rsidRPr="00031E0E">
        <w:rPr>
          <w:szCs w:val="18"/>
        </w:rPr>
        <w:t>o</w:t>
      </w:r>
      <w:r w:rsidRPr="00031E0E">
        <w:rPr>
          <w:szCs w:val="18"/>
        </w:rPr>
        <w:t>baux, relevant d’un niveau macrosoci</w:t>
      </w:r>
      <w:r w:rsidRPr="00031E0E">
        <w:rPr>
          <w:szCs w:val="18"/>
        </w:rPr>
        <w:t>o</w:t>
      </w:r>
      <w:r w:rsidRPr="00031E0E">
        <w:rPr>
          <w:szCs w:val="18"/>
        </w:rPr>
        <w:t>logique d’analyse, « ce qui n’est pas le meilleur point de départ pour tester une théorie essentie</w:t>
      </w:r>
      <w:r w:rsidRPr="00031E0E">
        <w:rPr>
          <w:szCs w:val="18"/>
        </w:rPr>
        <w:t>l</w:t>
      </w:r>
      <w:r w:rsidRPr="00031E0E">
        <w:rPr>
          <w:szCs w:val="18"/>
        </w:rPr>
        <w:t>lement formulée en termes de caractéristiques psychologiques individue</w:t>
      </w:r>
      <w:r w:rsidRPr="00031E0E">
        <w:rPr>
          <w:szCs w:val="18"/>
        </w:rPr>
        <w:t>l</w:t>
      </w:r>
      <w:r w:rsidRPr="00031E0E">
        <w:rPr>
          <w:szCs w:val="18"/>
        </w:rPr>
        <w:t>les »</w:t>
      </w:r>
      <w:r>
        <w:rPr>
          <w:szCs w:val="18"/>
        </w:rPr>
        <w:t> </w:t>
      </w:r>
      <w:r>
        <w:rPr>
          <w:rStyle w:val="Appelnotedebasdep"/>
          <w:szCs w:val="18"/>
        </w:rPr>
        <w:footnoteReference w:id="43"/>
      </w:r>
      <w:r w:rsidRPr="00031E0E">
        <w:rPr>
          <w:szCs w:val="18"/>
        </w:rPr>
        <w:t>. Il paraît également difficile de suivre Davies dans son choix – bien r</w:t>
      </w:r>
      <w:r w:rsidRPr="00031E0E">
        <w:rPr>
          <w:szCs w:val="18"/>
        </w:rPr>
        <w:t>é</w:t>
      </w:r>
      <w:r w:rsidRPr="00031E0E">
        <w:rPr>
          <w:szCs w:val="18"/>
        </w:rPr>
        <w:t>ducteur – d’une courbe unique pour représenter le degré de satisfaction des b</w:t>
      </w:r>
      <w:r w:rsidRPr="00031E0E">
        <w:rPr>
          <w:szCs w:val="18"/>
        </w:rPr>
        <w:t>e</w:t>
      </w:r>
      <w:r w:rsidRPr="00031E0E">
        <w:rPr>
          <w:szCs w:val="18"/>
        </w:rPr>
        <w:t>soins : il aurait dû, selon la sugge</w:t>
      </w:r>
      <w:r w:rsidRPr="00031E0E">
        <w:rPr>
          <w:szCs w:val="18"/>
        </w:rPr>
        <w:t>s</w:t>
      </w:r>
      <w:r w:rsidRPr="00031E0E">
        <w:rPr>
          <w:szCs w:val="18"/>
        </w:rPr>
        <w:t>tion de Zimmermann (1983, p. 362), tenir compte de la variation des satisfactions en fon</w:t>
      </w:r>
      <w:r w:rsidRPr="00031E0E">
        <w:rPr>
          <w:szCs w:val="18"/>
        </w:rPr>
        <w:t>c</w:t>
      </w:r>
      <w:r w:rsidRPr="00031E0E">
        <w:rPr>
          <w:szCs w:val="18"/>
        </w:rPr>
        <w:t>tion des groupes sociaux et proposer un éventail de courbes – confo</w:t>
      </w:r>
      <w:r w:rsidRPr="00031E0E">
        <w:rPr>
          <w:szCs w:val="18"/>
        </w:rPr>
        <w:t>r</w:t>
      </w:r>
      <w:r w:rsidRPr="00031E0E">
        <w:rPr>
          <w:szCs w:val="18"/>
        </w:rPr>
        <w:t>mément à son assertion que les r</w:t>
      </w:r>
      <w:r w:rsidRPr="00031E0E">
        <w:rPr>
          <w:szCs w:val="18"/>
        </w:rPr>
        <w:t>é</w:t>
      </w:r>
      <w:r w:rsidRPr="00031E0E">
        <w:rPr>
          <w:szCs w:val="18"/>
        </w:rPr>
        <w:t>volutions impliquent un « effort commun d’un grand nombre de gens appartenant à tous les groupes sociaux et connaissant une frustration de besoins fondamentaux diff</w:t>
      </w:r>
      <w:r w:rsidRPr="00031E0E">
        <w:rPr>
          <w:szCs w:val="18"/>
        </w:rPr>
        <w:t>é</w:t>
      </w:r>
      <w:r w:rsidRPr="00031E0E">
        <w:rPr>
          <w:szCs w:val="18"/>
        </w:rPr>
        <w:t>rents » (1969, p. 694) ; ou bien il fallait montrer en quoi la courbe en J po</w:t>
      </w:r>
      <w:r w:rsidRPr="00031E0E">
        <w:rPr>
          <w:szCs w:val="18"/>
        </w:rPr>
        <w:t>u</w:t>
      </w:r>
      <w:r w:rsidRPr="00031E0E">
        <w:rPr>
          <w:szCs w:val="18"/>
        </w:rPr>
        <w:t>vait être tenue pour une moyenne.</w:t>
      </w:r>
      <w:r>
        <w:rPr>
          <w:szCs w:val="18"/>
        </w:rPr>
        <w:t xml:space="preserve"> </w:t>
      </w:r>
      <w:r w:rsidRPr="00031E0E">
        <w:rPr>
          <w:szCs w:val="18"/>
        </w:rPr>
        <w:t>[668]</w:t>
      </w:r>
      <w:r>
        <w:rPr>
          <w:szCs w:val="18"/>
        </w:rPr>
        <w:t xml:space="preserve"> </w:t>
      </w:r>
      <w:r w:rsidRPr="00031E0E">
        <w:rPr>
          <w:szCs w:val="18"/>
        </w:rPr>
        <w:t>Enfin, bien que Davies parle de rassemblement et d’action conjoi</w:t>
      </w:r>
      <w:r w:rsidRPr="00031E0E">
        <w:rPr>
          <w:szCs w:val="18"/>
        </w:rPr>
        <w:t>n</w:t>
      </w:r>
      <w:r w:rsidRPr="00031E0E">
        <w:rPr>
          <w:szCs w:val="18"/>
        </w:rPr>
        <w:t>te, il semble considérer qu’ils découlent quasi automatiqu</w:t>
      </w:r>
      <w:r w:rsidRPr="00031E0E">
        <w:rPr>
          <w:szCs w:val="18"/>
        </w:rPr>
        <w:t>e</w:t>
      </w:r>
      <w:r w:rsidRPr="00031E0E">
        <w:rPr>
          <w:szCs w:val="18"/>
        </w:rPr>
        <w:t>ment de « l’état d’esprit révolutionnaire » induit par le divorce entre les e</w:t>
      </w:r>
      <w:r w:rsidRPr="00031E0E">
        <w:rPr>
          <w:szCs w:val="18"/>
        </w:rPr>
        <w:t>s</w:t>
      </w:r>
      <w:r w:rsidRPr="00031E0E">
        <w:rPr>
          <w:szCs w:val="18"/>
        </w:rPr>
        <w:t>poirs et la situation réelle : or il convient d’analyser, voire d’expliquer, les processus de mobilisation et c’est même une des exigences importantes auxquelles devrait sati</w:t>
      </w:r>
      <w:r w:rsidRPr="00031E0E">
        <w:rPr>
          <w:szCs w:val="18"/>
        </w:rPr>
        <w:t>s</w:t>
      </w:r>
      <w:r w:rsidRPr="00031E0E">
        <w:rPr>
          <w:szCs w:val="18"/>
        </w:rPr>
        <w:t>faire une théorie de la r</w:t>
      </w:r>
      <w:r w:rsidRPr="00031E0E">
        <w:rPr>
          <w:szCs w:val="18"/>
        </w:rPr>
        <w:t>é</w:t>
      </w:r>
      <w:r w:rsidRPr="00031E0E">
        <w:rPr>
          <w:szCs w:val="18"/>
        </w:rPr>
        <w:t>volution.</w:t>
      </w:r>
    </w:p>
    <w:p w14:paraId="0CD317BC" w14:textId="77777777" w:rsidR="006C5FDB" w:rsidRPr="00031E0E" w:rsidRDefault="006C5FDB" w:rsidP="006C5FDB">
      <w:pPr>
        <w:spacing w:before="120" w:after="120"/>
        <w:jc w:val="both"/>
      </w:pPr>
      <w:r w:rsidRPr="00031E0E">
        <w:rPr>
          <w:szCs w:val="18"/>
        </w:rPr>
        <w:t>Plus qu’à ces faiblesses, pourtant sérieuses, certains a</w:t>
      </w:r>
      <w:r w:rsidRPr="00031E0E">
        <w:rPr>
          <w:szCs w:val="18"/>
        </w:rPr>
        <w:t>u</w:t>
      </w:r>
      <w:r w:rsidRPr="00031E0E">
        <w:rPr>
          <w:szCs w:val="18"/>
        </w:rPr>
        <w:t>teurs ont été sensibles au caractère stimulant du schéma de Davies : Tanter et M</w:t>
      </w:r>
      <w:r w:rsidRPr="00031E0E">
        <w:rPr>
          <w:szCs w:val="18"/>
        </w:rPr>
        <w:t>i</w:t>
      </w:r>
      <w:r w:rsidRPr="00031E0E">
        <w:rPr>
          <w:szCs w:val="18"/>
        </w:rPr>
        <w:t>dlarsky en part</w:t>
      </w:r>
      <w:r w:rsidRPr="00031E0E">
        <w:rPr>
          <w:szCs w:val="18"/>
        </w:rPr>
        <w:t>i</w:t>
      </w:r>
      <w:r w:rsidRPr="00031E0E">
        <w:rPr>
          <w:szCs w:val="18"/>
        </w:rPr>
        <w:t>culier ont tenté de tester son hypothèse dans un article de 1967 (pp. 264-280) mais leur étude est déparée à la fois par une définition spongieuse de la révolution – qui leur pe</w:t>
      </w:r>
      <w:r w:rsidRPr="00031E0E">
        <w:rPr>
          <w:szCs w:val="18"/>
        </w:rPr>
        <w:t>r</w:t>
      </w:r>
      <w:r w:rsidRPr="00031E0E">
        <w:rPr>
          <w:szCs w:val="18"/>
        </w:rPr>
        <w:t>met de retenir dans leur illusoire échantillon à la fois le r</w:t>
      </w:r>
      <w:r w:rsidRPr="00031E0E">
        <w:rPr>
          <w:szCs w:val="18"/>
        </w:rPr>
        <w:t>e</w:t>
      </w:r>
      <w:r w:rsidRPr="00031E0E">
        <w:rPr>
          <w:szCs w:val="18"/>
        </w:rPr>
        <w:t>tour au pouvoir du général de Gaulle en 1958 et la révolution cubaine ! – et par une application naïve du « principe » de frustration-agression, en vertu de laquelle la durée et la viole</w:t>
      </w:r>
      <w:r w:rsidRPr="00031E0E">
        <w:rPr>
          <w:szCs w:val="18"/>
        </w:rPr>
        <w:t>n</w:t>
      </w:r>
      <w:r w:rsidRPr="00031E0E">
        <w:rPr>
          <w:szCs w:val="18"/>
        </w:rPr>
        <w:t>ce de la révolution s’accroissent d’autant plus que l’écart entre aspirations et satisfactions est plus grand. Ge</w:t>
      </w:r>
      <w:r w:rsidRPr="00031E0E">
        <w:rPr>
          <w:szCs w:val="18"/>
        </w:rPr>
        <w:t>s</w:t>
      </w:r>
      <w:r w:rsidRPr="00031E0E">
        <w:rPr>
          <w:szCs w:val="18"/>
        </w:rPr>
        <w:t>chwender pour sa part, dans une entreprise qui retient d</w:t>
      </w:r>
      <w:r w:rsidRPr="00031E0E">
        <w:rPr>
          <w:szCs w:val="18"/>
        </w:rPr>
        <w:t>a</w:t>
      </w:r>
      <w:r w:rsidRPr="00031E0E">
        <w:rPr>
          <w:szCs w:val="18"/>
        </w:rPr>
        <w:t>vantage l’attention, ne serait-ce qu’en raison de ses préte</w:t>
      </w:r>
      <w:r w:rsidRPr="00031E0E">
        <w:rPr>
          <w:szCs w:val="18"/>
        </w:rPr>
        <w:t>n</w:t>
      </w:r>
      <w:r w:rsidRPr="00031E0E">
        <w:rPr>
          <w:szCs w:val="18"/>
        </w:rPr>
        <w:t>tions théoriques, propose, à partir du cas particulier, isolé par Davies, de divorce entre conditions dés</w:t>
      </w:r>
      <w:r w:rsidRPr="00031E0E">
        <w:rPr>
          <w:szCs w:val="18"/>
        </w:rPr>
        <w:t>i</w:t>
      </w:r>
      <w:r w:rsidRPr="00031E0E">
        <w:rPr>
          <w:szCs w:val="18"/>
        </w:rPr>
        <w:t>rées et circon</w:t>
      </w:r>
      <w:r w:rsidRPr="00031E0E">
        <w:rPr>
          <w:szCs w:val="18"/>
        </w:rPr>
        <w:t>s</w:t>
      </w:r>
      <w:r w:rsidRPr="00031E0E">
        <w:rPr>
          <w:szCs w:val="18"/>
        </w:rPr>
        <w:t>tances réelles, d’élargir l’analyse à l’ensemble de ces phénomènes et d’analyser les formes de participation aux mouv</w:t>
      </w:r>
      <w:r w:rsidRPr="00031E0E">
        <w:rPr>
          <w:szCs w:val="18"/>
        </w:rPr>
        <w:t>e</w:t>
      </w:r>
      <w:r w:rsidRPr="00031E0E">
        <w:rPr>
          <w:szCs w:val="18"/>
        </w:rPr>
        <w:t>ments protestataires et parfois même révolutionnaires qu’ils sont su</w:t>
      </w:r>
      <w:r w:rsidRPr="00031E0E">
        <w:rPr>
          <w:szCs w:val="18"/>
        </w:rPr>
        <w:t>s</w:t>
      </w:r>
      <w:r w:rsidRPr="00031E0E">
        <w:rPr>
          <w:szCs w:val="18"/>
        </w:rPr>
        <w:t>ceptibles d’entraîner comme autant de tentatives de rédu</w:t>
      </w:r>
      <w:r w:rsidRPr="00031E0E">
        <w:rPr>
          <w:szCs w:val="18"/>
        </w:rPr>
        <w:t>c</w:t>
      </w:r>
      <w:r w:rsidRPr="00031E0E">
        <w:rPr>
          <w:szCs w:val="18"/>
        </w:rPr>
        <w:t>tion d’une dissonance cognitive (1968, pp. 127-135). Mais en dépit de son ing</w:t>
      </w:r>
      <w:r w:rsidRPr="00031E0E">
        <w:rPr>
          <w:szCs w:val="18"/>
        </w:rPr>
        <w:t>é</w:t>
      </w:r>
      <w:r w:rsidRPr="00031E0E">
        <w:rPr>
          <w:szCs w:val="18"/>
        </w:rPr>
        <w:t>niosité, cet exercice de psychologie sociale ne nous rense</w:t>
      </w:r>
      <w:r w:rsidRPr="00031E0E">
        <w:rPr>
          <w:szCs w:val="18"/>
        </w:rPr>
        <w:t>i</w:t>
      </w:r>
      <w:r w:rsidRPr="00031E0E">
        <w:rPr>
          <w:szCs w:val="18"/>
        </w:rPr>
        <w:t>gne guère sur les conditions effectives d’émergence d’une révolution ni sur la nature des mouvements révolutionna</w:t>
      </w:r>
      <w:r w:rsidRPr="00031E0E">
        <w:rPr>
          <w:szCs w:val="18"/>
        </w:rPr>
        <w:t>i</w:t>
      </w:r>
      <w:r w:rsidRPr="00031E0E">
        <w:rPr>
          <w:szCs w:val="18"/>
        </w:rPr>
        <w:t>res.</w:t>
      </w:r>
    </w:p>
    <w:p w14:paraId="19424E55" w14:textId="77777777" w:rsidR="006C5FDB" w:rsidRPr="00031E0E" w:rsidRDefault="006C5FDB" w:rsidP="006C5FDB">
      <w:pPr>
        <w:spacing w:before="120" w:after="120"/>
        <w:jc w:val="both"/>
      </w:pPr>
      <w:r w:rsidRPr="00031E0E">
        <w:rPr>
          <w:szCs w:val="18"/>
        </w:rPr>
        <w:t>Il faut enfin s</w:t>
      </w:r>
      <w:r w:rsidRPr="00031E0E">
        <w:rPr>
          <w:szCs w:val="18"/>
        </w:rPr>
        <w:t>i</w:t>
      </w:r>
      <w:r w:rsidRPr="00031E0E">
        <w:rPr>
          <w:szCs w:val="18"/>
        </w:rPr>
        <w:t xml:space="preserve">gnaler que, dans la présentation de sa notion centrale – celle de frustration relative </w:t>
      </w:r>
      <w:r w:rsidRPr="00031E0E">
        <w:rPr>
          <w:i/>
          <w:iCs/>
          <w:szCs w:val="18"/>
        </w:rPr>
        <w:t xml:space="preserve">(relative deprivation) </w:t>
      </w:r>
      <w:r w:rsidRPr="00031E0E">
        <w:rPr>
          <w:szCs w:val="18"/>
        </w:rPr>
        <w:t>– Gurr pr</w:t>
      </w:r>
      <w:r w:rsidRPr="00031E0E">
        <w:rPr>
          <w:szCs w:val="18"/>
        </w:rPr>
        <w:t>o</w:t>
      </w:r>
      <w:r w:rsidRPr="00031E0E">
        <w:rPr>
          <w:szCs w:val="18"/>
        </w:rPr>
        <w:t>cède simplement à une extension et à une généralisation de l’intuition de Davies. La frustration relative se reconnaît en effet à « la perce</w:t>
      </w:r>
      <w:r w:rsidRPr="00031E0E">
        <w:rPr>
          <w:szCs w:val="18"/>
        </w:rPr>
        <w:t>p</w:t>
      </w:r>
      <w:r w:rsidRPr="00031E0E">
        <w:rPr>
          <w:szCs w:val="18"/>
        </w:rPr>
        <w:t xml:space="preserve">tion par les acteurs d’un décalage entre leurs attentes de biens valorisés </w:t>
      </w:r>
      <w:r w:rsidRPr="00031E0E">
        <w:rPr>
          <w:i/>
          <w:iCs/>
          <w:szCs w:val="18"/>
        </w:rPr>
        <w:t xml:space="preserve">(value expectations) </w:t>
      </w:r>
      <w:r w:rsidRPr="00031E0E">
        <w:rPr>
          <w:szCs w:val="18"/>
        </w:rPr>
        <w:t xml:space="preserve">et leurs capacités de les obtenir </w:t>
      </w:r>
      <w:r w:rsidRPr="00031E0E">
        <w:rPr>
          <w:i/>
          <w:iCs/>
          <w:szCs w:val="18"/>
        </w:rPr>
        <w:t>(value capabil</w:t>
      </w:r>
      <w:r w:rsidRPr="00031E0E">
        <w:rPr>
          <w:i/>
          <w:iCs/>
          <w:szCs w:val="18"/>
        </w:rPr>
        <w:t>i</w:t>
      </w:r>
      <w:r w:rsidRPr="00031E0E">
        <w:rPr>
          <w:i/>
          <w:iCs/>
          <w:szCs w:val="18"/>
        </w:rPr>
        <w:t>ties) »</w:t>
      </w:r>
      <w:r w:rsidRPr="00031E0E">
        <w:rPr>
          <w:szCs w:val="18"/>
        </w:rPr>
        <w:t xml:space="preserve"> (1970, p. 24)</w:t>
      </w:r>
      <w:r>
        <w:rPr>
          <w:szCs w:val="18"/>
        </w:rPr>
        <w:t> </w:t>
      </w:r>
      <w:r>
        <w:rPr>
          <w:rStyle w:val="Appelnotedebasdep"/>
          <w:szCs w:val="18"/>
        </w:rPr>
        <w:footnoteReference w:id="44"/>
      </w:r>
      <w:r w:rsidRPr="00031E0E">
        <w:rPr>
          <w:szCs w:val="18"/>
        </w:rPr>
        <w:t> ; Davies en aurait mis en évide</w:t>
      </w:r>
      <w:r w:rsidRPr="00031E0E">
        <w:rPr>
          <w:szCs w:val="18"/>
        </w:rPr>
        <w:t>n</w:t>
      </w:r>
      <w:r w:rsidRPr="00031E0E">
        <w:rPr>
          <w:szCs w:val="18"/>
        </w:rPr>
        <w:t>ce une forme intéressante, mais il convient encore, selon Gurr, de tenir com</w:t>
      </w:r>
      <w:r w:rsidRPr="00031E0E">
        <w:rPr>
          <w:szCs w:val="18"/>
        </w:rPr>
        <w:t>p</w:t>
      </w:r>
      <w:r w:rsidRPr="00031E0E">
        <w:rPr>
          <w:szCs w:val="18"/>
        </w:rPr>
        <w:t>te de deux a</w:t>
      </w:r>
      <w:r w:rsidRPr="00031E0E">
        <w:rPr>
          <w:szCs w:val="18"/>
        </w:rPr>
        <w:t>u</w:t>
      </w:r>
      <w:r w:rsidRPr="00031E0E">
        <w:rPr>
          <w:szCs w:val="18"/>
        </w:rPr>
        <w:t xml:space="preserve">tres formes, l’une constituée par les attentes croissantes </w:t>
      </w:r>
      <w:r w:rsidRPr="00031E0E">
        <w:rPr>
          <w:i/>
          <w:iCs/>
          <w:szCs w:val="18"/>
        </w:rPr>
        <w:t xml:space="preserve">(rising expectations), </w:t>
      </w:r>
      <w:r w:rsidRPr="00031E0E">
        <w:rPr>
          <w:szCs w:val="18"/>
        </w:rPr>
        <w:t>alors que le niveau de satisfaction effective ne progre</w:t>
      </w:r>
      <w:r w:rsidRPr="00031E0E">
        <w:rPr>
          <w:szCs w:val="18"/>
        </w:rPr>
        <w:t>s</w:t>
      </w:r>
      <w:r w:rsidRPr="00031E0E">
        <w:rPr>
          <w:szCs w:val="18"/>
        </w:rPr>
        <w:t xml:space="preserve">se pas, et l’autre définie par une moindre capacité </w:t>
      </w:r>
      <w:r w:rsidRPr="00031E0E">
        <w:rPr>
          <w:i/>
          <w:iCs/>
          <w:szCs w:val="18"/>
        </w:rPr>
        <w:t>(decreasing attai</w:t>
      </w:r>
      <w:r w:rsidRPr="00031E0E">
        <w:rPr>
          <w:i/>
          <w:iCs/>
          <w:szCs w:val="18"/>
        </w:rPr>
        <w:t>n</w:t>
      </w:r>
      <w:r w:rsidRPr="00031E0E">
        <w:rPr>
          <w:i/>
          <w:iCs/>
          <w:szCs w:val="18"/>
        </w:rPr>
        <w:t xml:space="preserve">ments) </w:t>
      </w:r>
      <w:r w:rsidRPr="00031E0E">
        <w:rPr>
          <w:szCs w:val="18"/>
        </w:rPr>
        <w:t>de satisfaire des attentes stables. De plus, tout en posant co</w:t>
      </w:r>
      <w:r w:rsidRPr="00031E0E">
        <w:rPr>
          <w:szCs w:val="18"/>
        </w:rPr>
        <w:t>m</w:t>
      </w:r>
      <w:r w:rsidRPr="00031E0E">
        <w:rPr>
          <w:szCs w:val="18"/>
        </w:rPr>
        <w:t>me hypothèse majeure que « le potentiel de violence collective varie fortement avec l’intensité et l’étendue de la fru</w:t>
      </w:r>
      <w:r w:rsidRPr="00031E0E">
        <w:rPr>
          <w:szCs w:val="18"/>
        </w:rPr>
        <w:t>s</w:t>
      </w:r>
      <w:r w:rsidRPr="00031E0E">
        <w:rPr>
          <w:szCs w:val="18"/>
        </w:rPr>
        <w:t>tration relative parmi les membres d’une collectivité » (1970, p. 24, p. 360), Gurr élabore un modèle complexe permettant de passer du niveau de la violence co</w:t>
      </w:r>
      <w:r w:rsidRPr="00031E0E">
        <w:rPr>
          <w:szCs w:val="18"/>
        </w:rPr>
        <w:t>l</w:t>
      </w:r>
      <w:r w:rsidRPr="00031E0E">
        <w:rPr>
          <w:szCs w:val="18"/>
        </w:rPr>
        <w:t>lective à celui de la violence proprement politique et d’un simple p</w:t>
      </w:r>
      <w:r w:rsidRPr="00031E0E">
        <w:rPr>
          <w:szCs w:val="18"/>
        </w:rPr>
        <w:t>o</w:t>
      </w:r>
      <w:r w:rsidRPr="00031E0E">
        <w:rPr>
          <w:szCs w:val="18"/>
        </w:rPr>
        <w:t>tentiel à l’actualisation de la violence politique : les variables interm</w:t>
      </w:r>
      <w:r w:rsidRPr="00031E0E">
        <w:rPr>
          <w:szCs w:val="18"/>
        </w:rPr>
        <w:t>é</w:t>
      </w:r>
      <w:r w:rsidRPr="00031E0E">
        <w:rPr>
          <w:szCs w:val="18"/>
        </w:rPr>
        <w:t>diaires ainsi introduites – l’importance de la violence p</w:t>
      </w:r>
      <w:r w:rsidRPr="00031E0E">
        <w:rPr>
          <w:szCs w:val="18"/>
        </w:rPr>
        <w:t>o</w:t>
      </w:r>
      <w:r w:rsidRPr="00031E0E">
        <w:rPr>
          <w:szCs w:val="18"/>
        </w:rPr>
        <w:t>litique dans l’histoire du pays considéré, la légitimité du régime, le degré de ma</w:t>
      </w:r>
      <w:r w:rsidRPr="00031E0E">
        <w:rPr>
          <w:szCs w:val="18"/>
        </w:rPr>
        <w:t>î</w:t>
      </w:r>
      <w:r w:rsidRPr="00031E0E">
        <w:rPr>
          <w:szCs w:val="18"/>
        </w:rPr>
        <w:t>trise de la coercition et du soutien institutionnel dont di</w:t>
      </w:r>
      <w:r w:rsidRPr="00031E0E">
        <w:rPr>
          <w:szCs w:val="18"/>
        </w:rPr>
        <w:t>s</w:t>
      </w:r>
      <w:r w:rsidRPr="00031E0E">
        <w:rPr>
          <w:szCs w:val="18"/>
        </w:rPr>
        <w:t>pose ce</w:t>
      </w:r>
      <w:r>
        <w:rPr>
          <w:szCs w:val="18"/>
        </w:rPr>
        <w:t xml:space="preserve"> </w:t>
      </w:r>
      <w:r w:rsidRPr="00031E0E">
        <w:t>[669]</w:t>
      </w:r>
      <w:r>
        <w:t xml:space="preserve"> </w:t>
      </w:r>
      <w:r w:rsidRPr="00031E0E">
        <w:rPr>
          <w:szCs w:val="18"/>
        </w:rPr>
        <w:t>dernier – décident en définitive de l’éruption ou non de la violence et, dans les cas où elle fait son apparition, de son ampleur. Gurr n’en e</w:t>
      </w:r>
      <w:r w:rsidRPr="00031E0E">
        <w:rPr>
          <w:szCs w:val="18"/>
        </w:rPr>
        <w:t>n</w:t>
      </w:r>
      <w:r w:rsidRPr="00031E0E">
        <w:rPr>
          <w:szCs w:val="18"/>
        </w:rPr>
        <w:t>court pas moins le même reproche fondamental que Davies et les a</w:t>
      </w:r>
      <w:r w:rsidRPr="00031E0E">
        <w:rPr>
          <w:szCs w:val="18"/>
        </w:rPr>
        <w:t>u</w:t>
      </w:r>
      <w:r w:rsidRPr="00031E0E">
        <w:rPr>
          <w:szCs w:val="18"/>
        </w:rPr>
        <w:t>tres représentants de cette orientation psycho-sociale : il n’éclaire en rien le passage du mécontentement à la mobilisation et à l’action co</w:t>
      </w:r>
      <w:r w:rsidRPr="00031E0E">
        <w:rPr>
          <w:szCs w:val="18"/>
        </w:rPr>
        <w:t>l</w:t>
      </w:r>
      <w:r w:rsidRPr="00031E0E">
        <w:rPr>
          <w:szCs w:val="18"/>
        </w:rPr>
        <w:t>lective, dirigées contre les autorités en place. Comme le signale Kriesberg, il ne faut pas tenir compte se</w:t>
      </w:r>
      <w:r w:rsidRPr="00031E0E">
        <w:rPr>
          <w:szCs w:val="18"/>
        </w:rPr>
        <w:t>u</w:t>
      </w:r>
      <w:r w:rsidRPr="00031E0E">
        <w:rPr>
          <w:szCs w:val="18"/>
        </w:rPr>
        <w:t>lement de l’insatisfaction et des doléances à travers lesquelles elle s’exprime, mais aussi – et plus encore – des chances de rép</w:t>
      </w:r>
      <w:r w:rsidRPr="00031E0E">
        <w:rPr>
          <w:szCs w:val="18"/>
        </w:rPr>
        <w:t>a</w:t>
      </w:r>
      <w:r w:rsidRPr="00031E0E">
        <w:rPr>
          <w:szCs w:val="18"/>
        </w:rPr>
        <w:t>rer l’injustice ou de corriger l’abus, telles qu’elles sont évaluées par les a</w:t>
      </w:r>
      <w:r w:rsidRPr="00031E0E">
        <w:rPr>
          <w:szCs w:val="18"/>
        </w:rPr>
        <w:t>c</w:t>
      </w:r>
      <w:r w:rsidRPr="00031E0E">
        <w:rPr>
          <w:szCs w:val="18"/>
        </w:rPr>
        <w:t>teurs</w:t>
      </w:r>
      <w:r>
        <w:rPr>
          <w:szCs w:val="18"/>
        </w:rPr>
        <w:t> </w:t>
      </w:r>
      <w:r>
        <w:rPr>
          <w:rStyle w:val="Appelnotedebasdep"/>
          <w:szCs w:val="18"/>
        </w:rPr>
        <w:footnoteReference w:id="45"/>
      </w:r>
      <w:r w:rsidRPr="00031E0E">
        <w:rPr>
          <w:szCs w:val="18"/>
        </w:rPr>
        <w:t>. Tout en étant plausibles, les variables privilégiées par Gurr, comme la frustration relative et le m</w:t>
      </w:r>
      <w:r w:rsidRPr="00031E0E">
        <w:rPr>
          <w:szCs w:val="18"/>
        </w:rPr>
        <w:t>é</w:t>
      </w:r>
      <w:r w:rsidRPr="00031E0E">
        <w:rPr>
          <w:szCs w:val="18"/>
        </w:rPr>
        <w:t>contentement qu’elle provoque, ne sont pas véritablement discrim</w:t>
      </w:r>
      <w:r w:rsidRPr="00031E0E">
        <w:rPr>
          <w:szCs w:val="18"/>
        </w:rPr>
        <w:t>i</w:t>
      </w:r>
      <w:r w:rsidRPr="00031E0E">
        <w:rPr>
          <w:szCs w:val="18"/>
        </w:rPr>
        <w:t xml:space="preserve">nantes quand il s’agit d’expliquer l’émergence d’un mouvement de protestation, et </w:t>
      </w:r>
      <w:r w:rsidRPr="00031E0E">
        <w:rPr>
          <w:i/>
          <w:iCs/>
          <w:szCs w:val="18"/>
        </w:rPr>
        <w:t xml:space="preserve">a fortiori </w:t>
      </w:r>
      <w:r w:rsidRPr="00031E0E">
        <w:rPr>
          <w:szCs w:val="18"/>
        </w:rPr>
        <w:t>d’une révolution. Co</w:t>
      </w:r>
      <w:r w:rsidRPr="00031E0E">
        <w:rPr>
          <w:szCs w:val="18"/>
        </w:rPr>
        <w:t>m</w:t>
      </w:r>
      <w:r w:rsidRPr="00031E0E">
        <w:rPr>
          <w:szCs w:val="18"/>
        </w:rPr>
        <w:t>parée à la « variante » systémique, la « variante » psycho-sociale par</w:t>
      </w:r>
      <w:r w:rsidRPr="00031E0E">
        <w:rPr>
          <w:szCs w:val="18"/>
        </w:rPr>
        <w:t>a</w:t>
      </w:r>
      <w:r w:rsidRPr="00031E0E">
        <w:rPr>
          <w:szCs w:val="18"/>
        </w:rPr>
        <w:t>ît plus pauvre aux plans conceptuel et théorique. Comme de surcroît elle partage les pr</w:t>
      </w:r>
      <w:r w:rsidRPr="00031E0E">
        <w:rPr>
          <w:szCs w:val="18"/>
        </w:rPr>
        <w:t>é</w:t>
      </w:r>
      <w:r w:rsidRPr="00031E0E">
        <w:rPr>
          <w:szCs w:val="18"/>
        </w:rPr>
        <w:t>supposés généraux – et peu fondés – du modèle volcanique, elle se</w:t>
      </w:r>
      <w:r w:rsidRPr="00031E0E">
        <w:rPr>
          <w:szCs w:val="18"/>
        </w:rPr>
        <w:t>m</w:t>
      </w:r>
      <w:r w:rsidRPr="00031E0E">
        <w:rPr>
          <w:szCs w:val="18"/>
        </w:rPr>
        <w:t>ble en définitive d’une utilité bien limitée pour l’élaboration d’une théorie de la révol</w:t>
      </w:r>
      <w:r w:rsidRPr="00031E0E">
        <w:rPr>
          <w:szCs w:val="18"/>
        </w:rPr>
        <w:t>u</w:t>
      </w:r>
      <w:r w:rsidRPr="00031E0E">
        <w:rPr>
          <w:szCs w:val="18"/>
        </w:rPr>
        <w:t>tion.</w:t>
      </w:r>
    </w:p>
    <w:p w14:paraId="1FC3CDDA" w14:textId="77777777" w:rsidR="006C5FDB" w:rsidRDefault="006C5FDB" w:rsidP="006C5FDB">
      <w:pPr>
        <w:spacing w:before="120" w:after="120"/>
        <w:jc w:val="both"/>
        <w:rPr>
          <w:szCs w:val="18"/>
        </w:rPr>
      </w:pPr>
    </w:p>
    <w:p w14:paraId="35BCD5CC" w14:textId="77777777" w:rsidR="006C5FDB" w:rsidRPr="00031E0E" w:rsidRDefault="006C5FDB" w:rsidP="006C5FDB">
      <w:pPr>
        <w:spacing w:before="120" w:after="120"/>
        <w:jc w:val="both"/>
        <w:rPr>
          <w:szCs w:val="18"/>
        </w:rPr>
      </w:pPr>
    </w:p>
    <w:p w14:paraId="2862D664" w14:textId="77777777" w:rsidR="006C5FDB" w:rsidRPr="00031E0E" w:rsidRDefault="006C5FDB" w:rsidP="006C5FDB">
      <w:pPr>
        <w:pStyle w:val="b"/>
      </w:pPr>
      <w:r w:rsidRPr="00031E0E">
        <w:t>C. LES ÉTUDES COMPAR</w:t>
      </w:r>
      <w:r>
        <w:t>ATIVES</w:t>
      </w:r>
      <w:r>
        <w:br/>
      </w:r>
      <w:r w:rsidRPr="00031E0E">
        <w:t>SOCIO-HISTORIQUES</w:t>
      </w:r>
    </w:p>
    <w:p w14:paraId="72C787A7" w14:textId="77777777" w:rsidR="006C5FDB" w:rsidRPr="00031E0E" w:rsidRDefault="006C5FDB" w:rsidP="006C5FDB">
      <w:pPr>
        <w:spacing w:before="120" w:after="120"/>
        <w:jc w:val="both"/>
        <w:rPr>
          <w:szCs w:val="18"/>
        </w:rPr>
      </w:pPr>
    </w:p>
    <w:p w14:paraId="6BABFCE3" w14:textId="77777777" w:rsidR="006C5FDB" w:rsidRPr="00031E0E" w:rsidRDefault="006C5FDB" w:rsidP="006C5FDB">
      <w:pPr>
        <w:spacing w:before="120" w:after="120"/>
        <w:jc w:val="both"/>
      </w:pPr>
      <w:r w:rsidRPr="00031E0E">
        <w:rPr>
          <w:szCs w:val="18"/>
        </w:rPr>
        <w:t>Il y a de multiples manières de procéder à une comparaison faisant appel à des matériaux histor</w:t>
      </w:r>
      <w:r w:rsidRPr="00031E0E">
        <w:rPr>
          <w:szCs w:val="18"/>
        </w:rPr>
        <w:t>i</w:t>
      </w:r>
      <w:r w:rsidRPr="00031E0E">
        <w:rPr>
          <w:szCs w:val="18"/>
        </w:rPr>
        <w:t>ques, même si l’objectif ultime de la comparaison est d’ordre sociologique. Notre première tâche est donc de faire ressortir, avec l’aide de ses utilisateurs, la spécificité de la démarche comparative sociohistorique qui nous intéresse ici. Ce mode d’analyse se reconnaît à trois grandes caractérist</w:t>
      </w:r>
      <w:r w:rsidRPr="00031E0E">
        <w:rPr>
          <w:szCs w:val="18"/>
        </w:rPr>
        <w:t>i</w:t>
      </w:r>
      <w:r w:rsidRPr="00031E0E">
        <w:rPr>
          <w:szCs w:val="18"/>
        </w:rPr>
        <w:t xml:space="preserve">ques : il s’applique à des </w:t>
      </w:r>
      <w:r w:rsidRPr="00031E0E">
        <w:rPr>
          <w:i/>
          <w:iCs/>
          <w:szCs w:val="18"/>
        </w:rPr>
        <w:t xml:space="preserve">unités macro-sociologiques, </w:t>
      </w:r>
      <w:r w:rsidRPr="00031E0E">
        <w:rPr>
          <w:szCs w:val="18"/>
        </w:rPr>
        <w:t>telles que les États-nations, il fait principalement porter son effort d’explication sur des événements ou stru</w:t>
      </w:r>
      <w:r w:rsidRPr="00031E0E">
        <w:rPr>
          <w:szCs w:val="18"/>
        </w:rPr>
        <w:t>c</w:t>
      </w:r>
      <w:r w:rsidRPr="00031E0E">
        <w:rPr>
          <w:szCs w:val="18"/>
        </w:rPr>
        <w:t>tures propres à ces unités et consiste essentiellement, sur ce plan, en une tent</w:t>
      </w:r>
      <w:r w:rsidRPr="00031E0E">
        <w:rPr>
          <w:szCs w:val="18"/>
        </w:rPr>
        <w:t>a</w:t>
      </w:r>
      <w:r w:rsidRPr="00031E0E">
        <w:rPr>
          <w:szCs w:val="18"/>
        </w:rPr>
        <w:t xml:space="preserve">tive de mettre en évidence des </w:t>
      </w:r>
      <w:r w:rsidRPr="00031E0E">
        <w:rPr>
          <w:i/>
          <w:iCs/>
          <w:szCs w:val="18"/>
        </w:rPr>
        <w:t xml:space="preserve">causes. </w:t>
      </w:r>
      <w:r w:rsidRPr="00031E0E">
        <w:rPr>
          <w:szCs w:val="18"/>
        </w:rPr>
        <w:t>C’est en tout cas sur ces aspects que Theda Skocpol choisit d’insister, dans la présent</w:t>
      </w:r>
      <w:r w:rsidRPr="00031E0E">
        <w:rPr>
          <w:szCs w:val="18"/>
        </w:rPr>
        <w:t>a</w:t>
      </w:r>
      <w:r w:rsidRPr="00031E0E">
        <w:rPr>
          <w:szCs w:val="18"/>
        </w:rPr>
        <w:t>tion de sa méthode (1979, p. 36), même si elle ne les différencie pas formellement. Deux d’entre eux peuvent être tenus pour ét</w:t>
      </w:r>
      <w:r w:rsidRPr="00031E0E">
        <w:rPr>
          <w:szCs w:val="18"/>
        </w:rPr>
        <w:t>a</w:t>
      </w:r>
      <w:r w:rsidRPr="00031E0E">
        <w:rPr>
          <w:szCs w:val="18"/>
        </w:rPr>
        <w:t>blis : le cadre d’analyse, nettement déterminé, et l’orientation proprement m</w:t>
      </w:r>
      <w:r w:rsidRPr="00031E0E">
        <w:rPr>
          <w:szCs w:val="18"/>
        </w:rPr>
        <w:t>é</w:t>
      </w:r>
      <w:r w:rsidRPr="00031E0E">
        <w:rPr>
          <w:szCs w:val="18"/>
        </w:rPr>
        <w:t>thodol</w:t>
      </w:r>
      <w:r w:rsidRPr="00031E0E">
        <w:rPr>
          <w:szCs w:val="18"/>
        </w:rPr>
        <w:t>o</w:t>
      </w:r>
      <w:r w:rsidRPr="00031E0E">
        <w:rPr>
          <w:szCs w:val="18"/>
        </w:rPr>
        <w:t>gique, accordant un primat à l’examen des causes. L’objet d’étude, au sens strict, reste en revanche plus incertain : certes on pe</w:t>
      </w:r>
      <w:r w:rsidRPr="00031E0E">
        <w:rPr>
          <w:szCs w:val="18"/>
        </w:rPr>
        <w:t>n</w:t>
      </w:r>
      <w:r w:rsidRPr="00031E0E">
        <w:rPr>
          <w:szCs w:val="18"/>
        </w:rPr>
        <w:t>se immédiatement, pour le thème qui nous préoccupe, à des exe</w:t>
      </w:r>
      <w:r w:rsidRPr="00031E0E">
        <w:rPr>
          <w:szCs w:val="18"/>
        </w:rPr>
        <w:t>m</w:t>
      </w:r>
      <w:r w:rsidRPr="00031E0E">
        <w:rPr>
          <w:szCs w:val="18"/>
        </w:rPr>
        <w:t>ples pertinents d’événements – comme le déclenchement d’une rév</w:t>
      </w:r>
      <w:r w:rsidRPr="00031E0E">
        <w:rPr>
          <w:szCs w:val="18"/>
        </w:rPr>
        <w:t>o</w:t>
      </w:r>
      <w:r w:rsidRPr="00031E0E">
        <w:rPr>
          <w:szCs w:val="18"/>
        </w:rPr>
        <w:t>lution – ou de structures – comme en particulier les stru</w:t>
      </w:r>
      <w:r w:rsidRPr="00031E0E">
        <w:rPr>
          <w:szCs w:val="18"/>
        </w:rPr>
        <w:t>c</w:t>
      </w:r>
      <w:r w:rsidRPr="00031E0E">
        <w:rPr>
          <w:szCs w:val="18"/>
        </w:rPr>
        <w:t>tures étatiques ; mais la juxtaposition de deux catégories aussi contrastées, les évén</w:t>
      </w:r>
      <w:r w:rsidRPr="00031E0E">
        <w:rPr>
          <w:szCs w:val="18"/>
        </w:rPr>
        <w:t>e</w:t>
      </w:r>
      <w:r w:rsidRPr="00031E0E">
        <w:rPr>
          <w:szCs w:val="18"/>
        </w:rPr>
        <w:t>ments, associés aux disciplines idi</w:t>
      </w:r>
      <w:r w:rsidRPr="00031E0E">
        <w:rPr>
          <w:szCs w:val="18"/>
        </w:rPr>
        <w:t>o</w:t>
      </w:r>
      <w:r w:rsidRPr="00031E0E">
        <w:rPr>
          <w:szCs w:val="18"/>
        </w:rPr>
        <w:t>graphiques, et les structures, plutôt rattachées aux sciences nomothétiques, semble trahir quelque hésit</w:t>
      </w:r>
      <w:r w:rsidRPr="00031E0E">
        <w:rPr>
          <w:szCs w:val="18"/>
        </w:rPr>
        <w:t>a</w:t>
      </w:r>
      <w:r w:rsidRPr="00031E0E">
        <w:rPr>
          <w:szCs w:val="18"/>
        </w:rPr>
        <w:t>tion. En fait il semble que les adeptes de cette approche visent esse</w:t>
      </w:r>
      <w:r w:rsidRPr="00031E0E">
        <w:rPr>
          <w:szCs w:val="18"/>
        </w:rPr>
        <w:t>n</w:t>
      </w:r>
      <w:r w:rsidRPr="00031E0E">
        <w:rPr>
          <w:szCs w:val="18"/>
        </w:rPr>
        <w:t xml:space="preserve">tiellement à reconstituer des </w:t>
      </w:r>
      <w:r w:rsidRPr="00031E0E">
        <w:rPr>
          <w:i/>
          <w:iCs/>
          <w:szCs w:val="18"/>
        </w:rPr>
        <w:t xml:space="preserve">trajectoires </w:t>
      </w:r>
      <w:r w:rsidRPr="00031E0E">
        <w:rPr>
          <w:szCs w:val="18"/>
        </w:rPr>
        <w:t>communes à pl</w:t>
      </w:r>
      <w:r w:rsidRPr="00031E0E">
        <w:rPr>
          <w:szCs w:val="18"/>
        </w:rPr>
        <w:t>u</w:t>
      </w:r>
      <w:r w:rsidRPr="00031E0E">
        <w:rPr>
          <w:szCs w:val="18"/>
        </w:rPr>
        <w:t>sieurs unités et conduisant par exemple, en dépit de multiples et profondes diff</w:t>
      </w:r>
      <w:r w:rsidRPr="00031E0E">
        <w:rPr>
          <w:szCs w:val="18"/>
        </w:rPr>
        <w:t>é</w:t>
      </w:r>
      <w:r w:rsidRPr="00031E0E">
        <w:rPr>
          <w:szCs w:val="18"/>
        </w:rPr>
        <w:t>rences, la France, la Russie et la Chine à passer, selon les analyses de Skocpol, d’un « État impérial » d’Ancien Régime à la con</w:t>
      </w:r>
      <w:r w:rsidRPr="00031E0E">
        <w:rPr>
          <w:szCs w:val="18"/>
        </w:rPr>
        <w:t>s</w:t>
      </w:r>
      <w:r w:rsidRPr="00031E0E">
        <w:rPr>
          <w:szCs w:val="18"/>
        </w:rPr>
        <w:t>truction d’un nouvel État plus centralisé et plus fort par le biais de « révolutions soci</w:t>
      </w:r>
      <w:r w:rsidRPr="00031E0E">
        <w:rPr>
          <w:szCs w:val="18"/>
        </w:rPr>
        <w:t>a</w:t>
      </w:r>
      <w:r w:rsidRPr="00031E0E">
        <w:rPr>
          <w:szCs w:val="18"/>
        </w:rPr>
        <w:t xml:space="preserve">les », ou des </w:t>
      </w:r>
      <w:r w:rsidRPr="00031E0E">
        <w:rPr>
          <w:i/>
          <w:iCs/>
          <w:szCs w:val="18"/>
        </w:rPr>
        <w:t>types</w:t>
      </w:r>
      <w:r>
        <w:rPr>
          <w:iCs/>
          <w:szCs w:val="18"/>
        </w:rPr>
        <w:t xml:space="preserve"> </w:t>
      </w:r>
      <w:r w:rsidRPr="00031E0E">
        <w:rPr>
          <w:szCs w:val="18"/>
        </w:rPr>
        <w:t>[670]</w:t>
      </w:r>
      <w:r>
        <w:rPr>
          <w:szCs w:val="18"/>
        </w:rPr>
        <w:t xml:space="preserve"> </w:t>
      </w:r>
      <w:r w:rsidRPr="00031E0E">
        <w:rPr>
          <w:szCs w:val="18"/>
        </w:rPr>
        <w:t xml:space="preserve">divergents </w:t>
      </w:r>
      <w:r w:rsidRPr="00031E0E">
        <w:rPr>
          <w:i/>
          <w:iCs/>
          <w:szCs w:val="18"/>
        </w:rPr>
        <w:t xml:space="preserve">de trajectoires, </w:t>
      </w:r>
      <w:r w:rsidRPr="00031E0E">
        <w:rPr>
          <w:szCs w:val="18"/>
        </w:rPr>
        <w:t>telles que les voies contrastées de passage à la modernité mises en l</w:t>
      </w:r>
      <w:r w:rsidRPr="00031E0E">
        <w:rPr>
          <w:szCs w:val="18"/>
        </w:rPr>
        <w:t>u</w:t>
      </w:r>
      <w:r w:rsidRPr="00031E0E">
        <w:rPr>
          <w:szCs w:val="18"/>
        </w:rPr>
        <w:t>mière par Barrington Moore.</w:t>
      </w:r>
    </w:p>
    <w:p w14:paraId="40118DF8" w14:textId="77777777" w:rsidR="006C5FDB" w:rsidRPr="00031E0E" w:rsidRDefault="006C5FDB" w:rsidP="006C5FDB">
      <w:pPr>
        <w:spacing w:before="120" w:after="120"/>
        <w:jc w:val="both"/>
      </w:pPr>
      <w:r w:rsidRPr="00031E0E">
        <w:rPr>
          <w:szCs w:val="18"/>
        </w:rPr>
        <w:t>On est du même coup conduit à se demander si ce mode d’analyse ne rejoint pas l’histoire naturelle, s’il n’en constitue pas au fond une reprise, sous une forme déguisée. Certes l’ambition explicat</w:t>
      </w:r>
      <w:r w:rsidRPr="00031E0E">
        <w:rPr>
          <w:szCs w:val="18"/>
        </w:rPr>
        <w:t>i</w:t>
      </w:r>
      <w:r w:rsidRPr="00031E0E">
        <w:rPr>
          <w:szCs w:val="18"/>
        </w:rPr>
        <w:t>ve est ici plus acc</w:t>
      </w:r>
      <w:r w:rsidRPr="00031E0E">
        <w:rPr>
          <w:szCs w:val="18"/>
        </w:rPr>
        <w:t>u</w:t>
      </w:r>
      <w:r w:rsidRPr="00031E0E">
        <w:rPr>
          <w:szCs w:val="18"/>
        </w:rPr>
        <w:t>sée – et il faut l’accorder à Theda Skocpol ; mais on pourrait encore pr</w:t>
      </w:r>
      <w:r w:rsidRPr="00031E0E">
        <w:rPr>
          <w:szCs w:val="18"/>
        </w:rPr>
        <w:t>é</w:t>
      </w:r>
      <w:r w:rsidRPr="00031E0E">
        <w:rPr>
          <w:szCs w:val="18"/>
        </w:rPr>
        <w:t>tendre qu’il ne s’agit que d’une différence de degré. Ce qui est peut-être plus esse</w:t>
      </w:r>
      <w:r w:rsidRPr="00031E0E">
        <w:rPr>
          <w:szCs w:val="18"/>
        </w:rPr>
        <w:t>n</w:t>
      </w:r>
      <w:r w:rsidRPr="00031E0E">
        <w:rPr>
          <w:szCs w:val="18"/>
        </w:rPr>
        <w:t>tiel, c’est la méthode concrète mise en œuvre : même quand il s’agit de dégager des trajectoires communes, on prend également en compte, à côté des cas positifs, des cas nég</w:t>
      </w:r>
      <w:r w:rsidRPr="00031E0E">
        <w:rPr>
          <w:szCs w:val="18"/>
        </w:rPr>
        <w:t>a</w:t>
      </w:r>
      <w:r w:rsidRPr="00031E0E">
        <w:rPr>
          <w:szCs w:val="18"/>
        </w:rPr>
        <w:t>tifs, dont la Prusse et plus généralement l’Allemagne peuvent constituer, dans l’argumentation de Theda Skocpol, une bonne illustration. Ainsi la comparaison est conduite à un double niveau : à l’intérieur du petit groupe de cas poss</w:t>
      </w:r>
      <w:r w:rsidRPr="00031E0E">
        <w:rPr>
          <w:szCs w:val="18"/>
        </w:rPr>
        <w:t>é</w:t>
      </w:r>
      <w:r w:rsidRPr="00031E0E">
        <w:rPr>
          <w:szCs w:val="18"/>
        </w:rPr>
        <w:t>dant les propriétés pertinentes et par opposition avec d’autres cas significatifs mais ne présentant pas ces caractérist</w:t>
      </w:r>
      <w:r w:rsidRPr="00031E0E">
        <w:rPr>
          <w:szCs w:val="18"/>
        </w:rPr>
        <w:t>i</w:t>
      </w:r>
      <w:r w:rsidRPr="00031E0E">
        <w:rPr>
          <w:szCs w:val="18"/>
        </w:rPr>
        <w:t>ques. Cette méthode permet, au moins idéalement, d’aller au-delà de la ressemblance des trajectoires vers l’établissement de la similitude des causes, comme le soul</w:t>
      </w:r>
      <w:r w:rsidRPr="00031E0E">
        <w:rPr>
          <w:szCs w:val="18"/>
        </w:rPr>
        <w:t>i</w:t>
      </w:r>
      <w:r w:rsidRPr="00031E0E">
        <w:rPr>
          <w:szCs w:val="18"/>
        </w:rPr>
        <w:t>gne Theda Skocpol (1979, p. 38). L’analyse compar</w:t>
      </w:r>
      <w:r w:rsidRPr="00031E0E">
        <w:rPr>
          <w:szCs w:val="18"/>
        </w:rPr>
        <w:t>a</w:t>
      </w:r>
      <w:r w:rsidRPr="00031E0E">
        <w:rPr>
          <w:szCs w:val="18"/>
        </w:rPr>
        <w:t>tive socio-historique ne se ramène donc pas à l’histoire naturelle ; mais, par son choix et son traitement d’unités s</w:t>
      </w:r>
      <w:r w:rsidRPr="00031E0E">
        <w:rPr>
          <w:szCs w:val="18"/>
        </w:rPr>
        <w:t>o</w:t>
      </w:r>
      <w:r w:rsidRPr="00031E0E">
        <w:rPr>
          <w:szCs w:val="18"/>
        </w:rPr>
        <w:t xml:space="preserve">cio-historiques </w:t>
      </w:r>
      <w:r w:rsidRPr="00031E0E">
        <w:rPr>
          <w:i/>
          <w:iCs/>
          <w:szCs w:val="18"/>
        </w:rPr>
        <w:t>singuli</w:t>
      </w:r>
      <w:r w:rsidRPr="00031E0E">
        <w:rPr>
          <w:i/>
          <w:iCs/>
          <w:szCs w:val="18"/>
        </w:rPr>
        <w:t>è</w:t>
      </w:r>
      <w:r w:rsidRPr="00031E0E">
        <w:rPr>
          <w:i/>
          <w:iCs/>
          <w:szCs w:val="18"/>
        </w:rPr>
        <w:t xml:space="preserve">res </w:t>
      </w:r>
      <w:r w:rsidRPr="00031E0E">
        <w:rPr>
          <w:szCs w:val="18"/>
        </w:rPr>
        <w:t xml:space="preserve">saisies dans leur </w:t>
      </w:r>
      <w:r w:rsidRPr="00031E0E">
        <w:rPr>
          <w:i/>
          <w:iCs/>
          <w:szCs w:val="18"/>
        </w:rPr>
        <w:t xml:space="preserve">globalité, </w:t>
      </w:r>
      <w:r w:rsidRPr="00031E0E">
        <w:rPr>
          <w:szCs w:val="18"/>
        </w:rPr>
        <w:t>elle peut encore en apparaître comme un approfo</w:t>
      </w:r>
      <w:r w:rsidRPr="00031E0E">
        <w:rPr>
          <w:szCs w:val="18"/>
        </w:rPr>
        <w:t>n</w:t>
      </w:r>
      <w:r w:rsidRPr="00031E0E">
        <w:rPr>
          <w:szCs w:val="18"/>
        </w:rPr>
        <w:t>dissement dans le sens de la rigueur, sinon de la « scientificité », associé à la réflexion critique de génér</w:t>
      </w:r>
      <w:r w:rsidRPr="00031E0E">
        <w:rPr>
          <w:szCs w:val="18"/>
        </w:rPr>
        <w:t>a</w:t>
      </w:r>
      <w:r w:rsidRPr="00031E0E">
        <w:rPr>
          <w:szCs w:val="18"/>
        </w:rPr>
        <w:t>tions ultérieures (r</w:t>
      </w:r>
      <w:r w:rsidRPr="00031E0E">
        <w:rPr>
          <w:szCs w:val="18"/>
        </w:rPr>
        <w:t>e</w:t>
      </w:r>
      <w:r w:rsidRPr="00031E0E">
        <w:rPr>
          <w:szCs w:val="18"/>
        </w:rPr>
        <w:t>présentées ici par Barrington Moore et ses élèves) ; à moins qu’il ne faille voir dans l’histoire nat</w:t>
      </w:r>
      <w:r w:rsidRPr="00031E0E">
        <w:rPr>
          <w:szCs w:val="18"/>
        </w:rPr>
        <w:t>u</w:t>
      </w:r>
      <w:r w:rsidRPr="00031E0E">
        <w:rPr>
          <w:szCs w:val="18"/>
        </w:rPr>
        <w:t>relle un pur sous-produit de la véritable analyse compar</w:t>
      </w:r>
      <w:r w:rsidRPr="00031E0E">
        <w:rPr>
          <w:szCs w:val="18"/>
        </w:rPr>
        <w:t>a</w:t>
      </w:r>
      <w:r w:rsidRPr="00031E0E">
        <w:rPr>
          <w:szCs w:val="18"/>
        </w:rPr>
        <w:t>tive, qui aurait été altérée par Brinton, Edwards et Pettee, en dépit du « modèle » constitué par l’œuvre de To</w:t>
      </w:r>
      <w:r w:rsidRPr="00031E0E">
        <w:rPr>
          <w:szCs w:val="18"/>
        </w:rPr>
        <w:t>c</w:t>
      </w:r>
      <w:r w:rsidRPr="00031E0E">
        <w:rPr>
          <w:szCs w:val="18"/>
        </w:rPr>
        <w:t>queville.</w:t>
      </w:r>
    </w:p>
    <w:p w14:paraId="7C804685" w14:textId="77777777" w:rsidR="006C5FDB" w:rsidRPr="00031E0E" w:rsidRDefault="006C5FDB" w:rsidP="006C5FDB">
      <w:pPr>
        <w:spacing w:before="120" w:after="120"/>
        <w:jc w:val="both"/>
      </w:pPr>
      <w:r w:rsidRPr="00031E0E">
        <w:rPr>
          <w:szCs w:val="18"/>
        </w:rPr>
        <w:t>Il semble en effet légitime de voir en Tocqueville non pas un si</w:t>
      </w:r>
      <w:r w:rsidRPr="00031E0E">
        <w:rPr>
          <w:szCs w:val="18"/>
        </w:rPr>
        <w:t>m</w:t>
      </w:r>
      <w:r w:rsidRPr="00031E0E">
        <w:rPr>
          <w:szCs w:val="18"/>
        </w:rPr>
        <w:t>ple précurseur mais encore un véritable initiateur dans la mise en œ</w:t>
      </w:r>
      <w:r w:rsidRPr="00031E0E">
        <w:rPr>
          <w:szCs w:val="18"/>
        </w:rPr>
        <w:t>u</w:t>
      </w:r>
      <w:r w:rsidRPr="00031E0E">
        <w:rPr>
          <w:szCs w:val="18"/>
        </w:rPr>
        <w:t>vre de l’analyse comparative</w:t>
      </w:r>
      <w:r>
        <w:rPr>
          <w:szCs w:val="18"/>
        </w:rPr>
        <w:t> </w:t>
      </w:r>
      <w:r>
        <w:rPr>
          <w:rStyle w:val="Appelnotedebasdep"/>
          <w:szCs w:val="18"/>
        </w:rPr>
        <w:footnoteReference w:id="46"/>
      </w:r>
      <w:r w:rsidRPr="00031E0E">
        <w:rPr>
          <w:szCs w:val="18"/>
        </w:rPr>
        <w:t> ; et peut-être vaut-il la peine de rapp</w:t>
      </w:r>
      <w:r w:rsidRPr="00031E0E">
        <w:rPr>
          <w:szCs w:val="18"/>
        </w:rPr>
        <w:t>e</w:t>
      </w:r>
      <w:r w:rsidRPr="00031E0E">
        <w:rPr>
          <w:szCs w:val="18"/>
        </w:rPr>
        <w:t>ler qu’il retrace, lui aussi, une trajectoire, celle de la centralis</w:t>
      </w:r>
      <w:r w:rsidRPr="00031E0E">
        <w:rPr>
          <w:szCs w:val="18"/>
        </w:rPr>
        <w:t>a</w:t>
      </w:r>
      <w:r w:rsidRPr="00031E0E">
        <w:rPr>
          <w:szCs w:val="18"/>
        </w:rPr>
        <w:t>tion, commencée avant la Révolution mais pou</w:t>
      </w:r>
      <w:r w:rsidRPr="00031E0E">
        <w:rPr>
          <w:szCs w:val="18"/>
        </w:rPr>
        <w:t>r</w:t>
      </w:r>
      <w:r w:rsidRPr="00031E0E">
        <w:rPr>
          <w:szCs w:val="18"/>
        </w:rPr>
        <w:t>suivie et renforcée grâce à elle. Cependant, si l’on met Tocqueville à part, le maître du genre re</w:t>
      </w:r>
      <w:r w:rsidRPr="00031E0E">
        <w:rPr>
          <w:szCs w:val="18"/>
        </w:rPr>
        <w:t>s</w:t>
      </w:r>
      <w:r w:rsidRPr="00031E0E">
        <w:rPr>
          <w:szCs w:val="18"/>
        </w:rPr>
        <w:t xml:space="preserve">te incontestablement Barrington Moore. Son livre majeur, </w:t>
      </w:r>
      <w:r w:rsidRPr="00031E0E">
        <w:rPr>
          <w:i/>
          <w:iCs/>
          <w:szCs w:val="18"/>
        </w:rPr>
        <w:t>Les orig</w:t>
      </w:r>
      <w:r w:rsidRPr="00031E0E">
        <w:rPr>
          <w:i/>
          <w:iCs/>
          <w:szCs w:val="18"/>
        </w:rPr>
        <w:t>i</w:t>
      </w:r>
      <w:r w:rsidRPr="00031E0E">
        <w:rPr>
          <w:i/>
          <w:iCs/>
          <w:szCs w:val="18"/>
        </w:rPr>
        <w:t xml:space="preserve">nes sociales de la dictature et de la démocratie </w:t>
      </w:r>
      <w:r w:rsidRPr="00031E0E">
        <w:rPr>
          <w:szCs w:val="18"/>
        </w:rPr>
        <w:t>(trad. fr., 1969), e</w:t>
      </w:r>
      <w:r w:rsidRPr="00031E0E">
        <w:rPr>
          <w:szCs w:val="18"/>
        </w:rPr>
        <w:t>m</w:t>
      </w:r>
      <w:r w:rsidRPr="00031E0E">
        <w:rPr>
          <w:szCs w:val="18"/>
        </w:rPr>
        <w:t>brasse, comme son titre seul l’atteste, un champ très vaste, que l’on ne peut réduire à la seule question de la révolution ; et il est également trop connu pour que nous lui consacrions ici une présentation détai</w:t>
      </w:r>
      <w:r w:rsidRPr="00031E0E">
        <w:rPr>
          <w:szCs w:val="18"/>
        </w:rPr>
        <w:t>l</w:t>
      </w:r>
      <w:r w:rsidRPr="00031E0E">
        <w:rPr>
          <w:szCs w:val="18"/>
        </w:rPr>
        <w:t>lée</w:t>
      </w:r>
      <w:r>
        <w:rPr>
          <w:szCs w:val="18"/>
        </w:rPr>
        <w:t> </w:t>
      </w:r>
      <w:r>
        <w:rPr>
          <w:rStyle w:val="Appelnotedebasdep"/>
          <w:szCs w:val="18"/>
        </w:rPr>
        <w:footnoteReference w:id="47"/>
      </w:r>
      <w:r w:rsidRPr="00031E0E">
        <w:rPr>
          <w:szCs w:val="18"/>
        </w:rPr>
        <w:t> ; mais il appelle, dans le cadre de cet article, quelques comme</w:t>
      </w:r>
      <w:r w:rsidRPr="00031E0E">
        <w:rPr>
          <w:szCs w:val="18"/>
        </w:rPr>
        <w:t>n</w:t>
      </w:r>
      <w:r w:rsidRPr="00031E0E">
        <w:rPr>
          <w:szCs w:val="18"/>
        </w:rPr>
        <w:t>taires qui ne sont pas seulement un témo</w:t>
      </w:r>
      <w:r w:rsidRPr="00031E0E">
        <w:rPr>
          <w:szCs w:val="18"/>
        </w:rPr>
        <w:t>i</w:t>
      </w:r>
      <w:r w:rsidRPr="00031E0E">
        <w:rPr>
          <w:szCs w:val="18"/>
        </w:rPr>
        <w:t>gnage rendu à son brio. À chacune des trois voies majeures de passage à la modern</w:t>
      </w:r>
      <w:r w:rsidRPr="00031E0E">
        <w:rPr>
          <w:szCs w:val="18"/>
        </w:rPr>
        <w:t>i</w:t>
      </w:r>
      <w:r w:rsidRPr="00031E0E">
        <w:rPr>
          <w:szCs w:val="18"/>
        </w:rPr>
        <w:t>té – « la voie démocratique », « la voie capitaliste réa</w:t>
      </w:r>
      <w:r w:rsidRPr="00031E0E">
        <w:rPr>
          <w:szCs w:val="18"/>
        </w:rPr>
        <w:t>c</w:t>
      </w:r>
      <w:r w:rsidRPr="00031E0E">
        <w:rPr>
          <w:szCs w:val="18"/>
        </w:rPr>
        <w:t>tionnaire » (p. 11), c’est-à-dire le fascisme, et enfin la voie communiste – Barrington Moore a</w:t>
      </w:r>
      <w:r w:rsidRPr="00031E0E">
        <w:rPr>
          <w:szCs w:val="18"/>
        </w:rPr>
        <w:t>s</w:t>
      </w:r>
      <w:r w:rsidRPr="00031E0E">
        <w:rPr>
          <w:szCs w:val="18"/>
        </w:rPr>
        <w:t>socie en effet une forme spécifique de révolution, à savoir respect</w:t>
      </w:r>
      <w:r w:rsidRPr="00031E0E">
        <w:rPr>
          <w:szCs w:val="18"/>
        </w:rPr>
        <w:t>i</w:t>
      </w:r>
      <w:r w:rsidRPr="00031E0E">
        <w:rPr>
          <w:szCs w:val="18"/>
        </w:rPr>
        <w:t>vement « la révolution bourgeo</w:t>
      </w:r>
      <w:r w:rsidRPr="00031E0E">
        <w:rPr>
          <w:szCs w:val="18"/>
        </w:rPr>
        <w:t>i</w:t>
      </w:r>
      <w:r w:rsidRPr="00031E0E">
        <w:rPr>
          <w:szCs w:val="18"/>
        </w:rPr>
        <w:t>se », « la révolution par le haut » et les « révolutions paysannes » aboutissant au communi</w:t>
      </w:r>
      <w:r w:rsidRPr="00031E0E">
        <w:rPr>
          <w:szCs w:val="18"/>
        </w:rPr>
        <w:t>s</w:t>
      </w:r>
      <w:r w:rsidRPr="00031E0E">
        <w:rPr>
          <w:szCs w:val="18"/>
        </w:rPr>
        <w:t>me. Le terme de révolution est manifestement pris dans pl</w:t>
      </w:r>
      <w:r w:rsidRPr="00031E0E">
        <w:rPr>
          <w:szCs w:val="18"/>
        </w:rPr>
        <w:t>u</w:t>
      </w:r>
      <w:r>
        <w:rPr>
          <w:szCs w:val="18"/>
        </w:rPr>
        <w:t>sieurs accep</w:t>
      </w:r>
      <w:r w:rsidRPr="00031E0E">
        <w:rPr>
          <w:szCs w:val="18"/>
        </w:rPr>
        <w:t xml:space="preserve">tions, </w:t>
      </w:r>
      <w:r w:rsidRPr="00031E0E">
        <w:rPr>
          <w:szCs w:val="14"/>
        </w:rPr>
        <w:t>[671]</w:t>
      </w:r>
      <w:r>
        <w:rPr>
          <w:szCs w:val="14"/>
        </w:rPr>
        <w:t xml:space="preserve"> </w:t>
      </w:r>
      <w:r w:rsidRPr="00031E0E">
        <w:rPr>
          <w:szCs w:val="18"/>
        </w:rPr>
        <w:t>fort diverses ; et l’on peut reprocher sur ce plan à Barrington Mo</w:t>
      </w:r>
      <w:r w:rsidRPr="00031E0E">
        <w:rPr>
          <w:szCs w:val="18"/>
        </w:rPr>
        <w:t>o</w:t>
      </w:r>
      <w:r w:rsidRPr="00031E0E">
        <w:rPr>
          <w:szCs w:val="18"/>
        </w:rPr>
        <w:t>re le caractère élastique de sa notion de révolution. Il paraît en partic</w:t>
      </w:r>
      <w:r w:rsidRPr="00031E0E">
        <w:rPr>
          <w:szCs w:val="18"/>
        </w:rPr>
        <w:t>u</w:t>
      </w:r>
      <w:r w:rsidRPr="00031E0E">
        <w:rPr>
          <w:szCs w:val="18"/>
        </w:rPr>
        <w:t>lier difficile de le suivre dans son choix d’englober, parmi les « révolutions bourgeoises », la Guerre de Sécession amér</w:t>
      </w:r>
      <w:r w:rsidRPr="00031E0E">
        <w:rPr>
          <w:szCs w:val="18"/>
        </w:rPr>
        <w:t>i</w:t>
      </w:r>
      <w:r w:rsidRPr="00031E0E">
        <w:rPr>
          <w:szCs w:val="18"/>
        </w:rPr>
        <w:t>caine, considérée par la plupart des spécialistes comme une guerre séparati</w:t>
      </w:r>
      <w:r w:rsidRPr="00031E0E">
        <w:rPr>
          <w:szCs w:val="18"/>
        </w:rPr>
        <w:t>s</w:t>
      </w:r>
      <w:r w:rsidRPr="00031E0E">
        <w:rPr>
          <w:szCs w:val="18"/>
        </w:rPr>
        <w:t>te et non pas comme « la dernière révolution capitaliste » (p. 99). Et, sans revenir sur ce qui a été dit pr</w:t>
      </w:r>
      <w:r w:rsidRPr="00031E0E">
        <w:rPr>
          <w:szCs w:val="18"/>
        </w:rPr>
        <w:t>é</w:t>
      </w:r>
      <w:r w:rsidRPr="00031E0E">
        <w:rPr>
          <w:szCs w:val="18"/>
        </w:rPr>
        <w:t>cédemment, il convient de rappeler que l’expression de « révolutions par le haut » pose des problèmes d</w:t>
      </w:r>
      <w:r w:rsidRPr="00031E0E">
        <w:rPr>
          <w:szCs w:val="18"/>
        </w:rPr>
        <w:t>é</w:t>
      </w:r>
      <w:r w:rsidRPr="00031E0E">
        <w:rPr>
          <w:szCs w:val="18"/>
        </w:rPr>
        <w:t>licats au niveau conceptuel d’abord, pour chaque tentative d’application ensu</w:t>
      </w:r>
      <w:r w:rsidRPr="00031E0E">
        <w:rPr>
          <w:szCs w:val="18"/>
        </w:rPr>
        <w:t>i</w:t>
      </w:r>
      <w:r w:rsidRPr="00031E0E">
        <w:rPr>
          <w:szCs w:val="18"/>
        </w:rPr>
        <w:t>te, si on décide d’en faire usage. Pour ce qui est du cas de l’Allemagne, il semble permis d’y voir d’abord le pays des r</w:t>
      </w:r>
      <w:r w:rsidRPr="00031E0E">
        <w:rPr>
          <w:szCs w:val="18"/>
        </w:rPr>
        <w:t>é</w:t>
      </w:r>
      <w:r w:rsidRPr="00031E0E">
        <w:rPr>
          <w:szCs w:val="18"/>
        </w:rPr>
        <w:t>volutions avo</w:t>
      </w:r>
      <w:r w:rsidRPr="00031E0E">
        <w:rPr>
          <w:szCs w:val="18"/>
        </w:rPr>
        <w:t>r</w:t>
      </w:r>
      <w:r w:rsidRPr="00031E0E">
        <w:rPr>
          <w:szCs w:val="18"/>
        </w:rPr>
        <w:t>tées ; et, quelle que soit l’interprétation qu’il faille en définitive retenir de la domination nazie, le qualificatif de fa</w:t>
      </w:r>
      <w:r w:rsidRPr="00031E0E">
        <w:rPr>
          <w:szCs w:val="18"/>
        </w:rPr>
        <w:t>s</w:t>
      </w:r>
      <w:r w:rsidRPr="00031E0E">
        <w:rPr>
          <w:szCs w:val="18"/>
        </w:rPr>
        <w:t>cisme n’est sans doute pas le plus a</w:t>
      </w:r>
      <w:r w:rsidRPr="00031E0E">
        <w:rPr>
          <w:szCs w:val="18"/>
        </w:rPr>
        <w:t>p</w:t>
      </w:r>
      <w:r w:rsidRPr="00031E0E">
        <w:rPr>
          <w:szCs w:val="18"/>
        </w:rPr>
        <w:t>proprié ; on peut se demander enfin, avec Bracher</w:t>
      </w:r>
      <w:r>
        <w:rPr>
          <w:szCs w:val="18"/>
        </w:rPr>
        <w:t> </w:t>
      </w:r>
      <w:r>
        <w:rPr>
          <w:rStyle w:val="Appelnotedebasdep"/>
          <w:szCs w:val="18"/>
        </w:rPr>
        <w:footnoteReference w:id="48"/>
      </w:r>
      <w:r w:rsidRPr="00031E0E">
        <w:rPr>
          <w:szCs w:val="18"/>
        </w:rPr>
        <w:t>, si ce n’est pas l’échec d’Hitler et du nati</w:t>
      </w:r>
      <w:r w:rsidRPr="00031E0E">
        <w:rPr>
          <w:szCs w:val="18"/>
        </w:rPr>
        <w:t>o</w:t>
      </w:r>
      <w:r w:rsidRPr="00031E0E">
        <w:rPr>
          <w:szCs w:val="18"/>
        </w:rPr>
        <w:t>nal-socialisme, bien plutôt que leur accès au pouvoir, qui a permis la m</w:t>
      </w:r>
      <w:r w:rsidRPr="00031E0E">
        <w:rPr>
          <w:szCs w:val="18"/>
        </w:rPr>
        <w:t>o</w:t>
      </w:r>
      <w:r w:rsidRPr="00031E0E">
        <w:rPr>
          <w:szCs w:val="18"/>
        </w:rPr>
        <w:t>dernis</w:t>
      </w:r>
      <w:r w:rsidRPr="00031E0E">
        <w:rPr>
          <w:szCs w:val="18"/>
        </w:rPr>
        <w:t>a</w:t>
      </w:r>
      <w:r w:rsidRPr="00031E0E">
        <w:rPr>
          <w:szCs w:val="18"/>
        </w:rPr>
        <w:t>tion.</w:t>
      </w:r>
    </w:p>
    <w:p w14:paraId="601E5DF1" w14:textId="77777777" w:rsidR="006C5FDB" w:rsidRPr="00031E0E" w:rsidRDefault="006C5FDB" w:rsidP="006C5FDB">
      <w:pPr>
        <w:spacing w:before="120" w:after="120"/>
        <w:jc w:val="both"/>
      </w:pPr>
      <w:r w:rsidRPr="00031E0E">
        <w:rPr>
          <w:szCs w:val="18"/>
        </w:rPr>
        <w:t>Il serait pourtant tout à fait injuste à l’égard de Barrin</w:t>
      </w:r>
      <w:r w:rsidRPr="00031E0E">
        <w:rPr>
          <w:szCs w:val="18"/>
        </w:rPr>
        <w:t>g</w:t>
      </w:r>
      <w:r w:rsidRPr="00031E0E">
        <w:rPr>
          <w:szCs w:val="18"/>
        </w:rPr>
        <w:t>ton Moore de s’en tenir à ces seules r</w:t>
      </w:r>
      <w:r w:rsidRPr="00031E0E">
        <w:rPr>
          <w:szCs w:val="18"/>
        </w:rPr>
        <w:t>e</w:t>
      </w:r>
      <w:r w:rsidRPr="00031E0E">
        <w:rPr>
          <w:szCs w:val="18"/>
        </w:rPr>
        <w:t>marques ; car, en dépit de ce flou dans l’emploi de la notion de révolution – et d’ailleurs d’autres concepts –, il n’en éclaire pas moins certaines dimensions importantes, voire e</w:t>
      </w:r>
      <w:r w:rsidRPr="00031E0E">
        <w:rPr>
          <w:szCs w:val="18"/>
        </w:rPr>
        <w:t>s</w:t>
      </w:r>
      <w:r w:rsidRPr="00031E0E">
        <w:rPr>
          <w:szCs w:val="18"/>
        </w:rPr>
        <w:t>sentielles, du phénomène. Tout d’abord son point de départ, clair</w:t>
      </w:r>
      <w:r w:rsidRPr="00031E0E">
        <w:rPr>
          <w:szCs w:val="18"/>
        </w:rPr>
        <w:t>e</w:t>
      </w:r>
      <w:r w:rsidRPr="00031E0E">
        <w:rPr>
          <w:szCs w:val="18"/>
        </w:rPr>
        <w:t xml:space="preserve">ment indiqué dans le sous-titre de l’édition originale </w:t>
      </w:r>
      <w:r w:rsidRPr="00031E0E">
        <w:rPr>
          <w:i/>
          <w:iCs/>
          <w:szCs w:val="18"/>
        </w:rPr>
        <w:t>(Lord and Pe</w:t>
      </w:r>
      <w:r w:rsidRPr="00031E0E">
        <w:rPr>
          <w:i/>
          <w:iCs/>
          <w:szCs w:val="18"/>
        </w:rPr>
        <w:t>a</w:t>
      </w:r>
      <w:r w:rsidRPr="00031E0E">
        <w:rPr>
          <w:i/>
          <w:iCs/>
          <w:szCs w:val="18"/>
        </w:rPr>
        <w:t xml:space="preserve">sant in the making of the modern world) </w:t>
      </w:r>
      <w:r w:rsidRPr="00031E0E">
        <w:rPr>
          <w:szCs w:val="18"/>
        </w:rPr>
        <w:t>et magistr</w:t>
      </w:r>
      <w:r w:rsidRPr="00031E0E">
        <w:rPr>
          <w:szCs w:val="18"/>
        </w:rPr>
        <w:t>a</w:t>
      </w:r>
      <w:r w:rsidRPr="00031E0E">
        <w:rPr>
          <w:szCs w:val="18"/>
        </w:rPr>
        <w:t>lement présenté dans la première phrase de la préface</w:t>
      </w:r>
      <w:r>
        <w:rPr>
          <w:szCs w:val="18"/>
        </w:rPr>
        <w:t> </w:t>
      </w:r>
      <w:r>
        <w:rPr>
          <w:rStyle w:val="Appelnotedebasdep"/>
          <w:szCs w:val="18"/>
        </w:rPr>
        <w:footnoteReference w:id="49"/>
      </w:r>
      <w:r w:rsidRPr="00031E0E">
        <w:rPr>
          <w:szCs w:val="18"/>
        </w:rPr>
        <w:t>, l’amène à porter une atte</w:t>
      </w:r>
      <w:r w:rsidRPr="00031E0E">
        <w:rPr>
          <w:szCs w:val="18"/>
        </w:rPr>
        <w:t>n</w:t>
      </w:r>
      <w:r w:rsidRPr="00031E0E">
        <w:rPr>
          <w:szCs w:val="18"/>
        </w:rPr>
        <w:t>tion particulière à la potentialité rév</w:t>
      </w:r>
      <w:r w:rsidRPr="00031E0E">
        <w:rPr>
          <w:szCs w:val="18"/>
        </w:rPr>
        <w:t>o</w:t>
      </w:r>
      <w:r w:rsidRPr="00031E0E">
        <w:rPr>
          <w:szCs w:val="18"/>
        </w:rPr>
        <w:t>lutionnaire de la paysannerie, qui est d’abord fonction de l’importance propre de ce groupe, mais qui d</w:t>
      </w:r>
      <w:r w:rsidRPr="00031E0E">
        <w:rPr>
          <w:szCs w:val="18"/>
        </w:rPr>
        <w:t>é</w:t>
      </w:r>
      <w:r w:rsidRPr="00031E0E">
        <w:rPr>
          <w:szCs w:val="18"/>
        </w:rPr>
        <w:t>pend surtout de l’absence ou plutôt de l’échec d’une agriculture co</w:t>
      </w:r>
      <w:r w:rsidRPr="00031E0E">
        <w:rPr>
          <w:szCs w:val="18"/>
        </w:rPr>
        <w:t>m</w:t>
      </w:r>
      <w:r w:rsidRPr="00031E0E">
        <w:rPr>
          <w:szCs w:val="18"/>
        </w:rPr>
        <w:t>me</w:t>
      </w:r>
      <w:r w:rsidRPr="00031E0E">
        <w:rPr>
          <w:szCs w:val="18"/>
        </w:rPr>
        <w:t>r</w:t>
      </w:r>
      <w:r w:rsidRPr="00031E0E">
        <w:rPr>
          <w:szCs w:val="18"/>
        </w:rPr>
        <w:t>ciale, permettant la préservation d’institutions paysannes (p. 379), de la fragilité des liens entre seigneurs et paysans (p. 373), de la sol</w:t>
      </w:r>
      <w:r w:rsidRPr="00031E0E">
        <w:rPr>
          <w:szCs w:val="18"/>
        </w:rPr>
        <w:t>i</w:t>
      </w:r>
      <w:r w:rsidRPr="00031E0E">
        <w:rPr>
          <w:szCs w:val="18"/>
        </w:rPr>
        <w:t>darité collective enfin dans l’expression des griefs (p. 377). Ces fa</w:t>
      </w:r>
      <w:r w:rsidRPr="00031E0E">
        <w:rPr>
          <w:szCs w:val="18"/>
        </w:rPr>
        <w:t>c</w:t>
      </w:r>
      <w:r w:rsidRPr="00031E0E">
        <w:rPr>
          <w:szCs w:val="18"/>
        </w:rPr>
        <w:t>teurs sont précisément réunis dans les « révolutions paysannes réu</w:t>
      </w:r>
      <w:r w:rsidRPr="00031E0E">
        <w:rPr>
          <w:szCs w:val="18"/>
        </w:rPr>
        <w:t>s</w:t>
      </w:r>
      <w:r w:rsidRPr="00031E0E">
        <w:rPr>
          <w:szCs w:val="18"/>
        </w:rPr>
        <w:t xml:space="preserve">sies » du </w:t>
      </w:r>
      <w:r w:rsidRPr="00031E0E">
        <w:rPr>
          <w:smallCaps/>
          <w:szCs w:val="18"/>
        </w:rPr>
        <w:t>xx</w:t>
      </w:r>
      <w:r w:rsidRPr="00031E0E">
        <w:rPr>
          <w:szCs w:val="18"/>
          <w:vertAlign w:val="superscript"/>
        </w:rPr>
        <w:t>e</w:t>
      </w:r>
      <w:r w:rsidRPr="00031E0E">
        <w:rPr>
          <w:szCs w:val="18"/>
        </w:rPr>
        <w:t xml:space="preserve"> siècle et, de façon indubitable, ne sont pas étrangers à leur succès.</w:t>
      </w:r>
    </w:p>
    <w:p w14:paraId="0806C9AF" w14:textId="77777777" w:rsidR="006C5FDB" w:rsidRPr="00031E0E" w:rsidRDefault="006C5FDB" w:rsidP="006C5FDB">
      <w:pPr>
        <w:spacing w:before="120" w:after="120"/>
        <w:jc w:val="both"/>
      </w:pPr>
      <w:r w:rsidRPr="00031E0E">
        <w:rPr>
          <w:szCs w:val="18"/>
        </w:rPr>
        <w:t>Mais un potentiel révolutionnaire n’est pas encore une rév</w:t>
      </w:r>
      <w:r w:rsidRPr="00031E0E">
        <w:rPr>
          <w:szCs w:val="18"/>
        </w:rPr>
        <w:t>o</w:t>
      </w:r>
      <w:r w:rsidRPr="00031E0E">
        <w:rPr>
          <w:szCs w:val="18"/>
        </w:rPr>
        <w:t>lution ; comme le note Moore, « les paysans n’ont jamais pu faire une révol</w:t>
      </w:r>
      <w:r w:rsidRPr="00031E0E">
        <w:rPr>
          <w:szCs w:val="18"/>
        </w:rPr>
        <w:t>u</w:t>
      </w:r>
      <w:r w:rsidRPr="00031E0E">
        <w:rPr>
          <w:szCs w:val="18"/>
        </w:rPr>
        <w:t>tion tout seuls » (p. 380). Tout dépend des alliances qu’ils peuvent nouer et des circonstances plus ou moins favorables qu’ils vont re</w:t>
      </w:r>
      <w:r w:rsidRPr="00031E0E">
        <w:rPr>
          <w:szCs w:val="18"/>
        </w:rPr>
        <w:t>n</w:t>
      </w:r>
      <w:r w:rsidRPr="00031E0E">
        <w:rPr>
          <w:szCs w:val="18"/>
        </w:rPr>
        <w:t>contrer. Or – et c’est là son second mérite – Barrington Moore se do</w:t>
      </w:r>
      <w:r w:rsidRPr="00031E0E">
        <w:rPr>
          <w:szCs w:val="18"/>
        </w:rPr>
        <w:t>n</w:t>
      </w:r>
      <w:r w:rsidRPr="00031E0E">
        <w:rPr>
          <w:szCs w:val="18"/>
        </w:rPr>
        <w:t>ne les moyens d’analyser la nature des coalitions qui se forment entre différents groupes en replaçant les relations sociales entre arist</w:t>
      </w:r>
      <w:r w:rsidRPr="00031E0E">
        <w:rPr>
          <w:szCs w:val="18"/>
        </w:rPr>
        <w:t>o</w:t>
      </w:r>
      <w:r w:rsidRPr="00031E0E">
        <w:rPr>
          <w:szCs w:val="18"/>
        </w:rPr>
        <w:t>cratie foncière et paysannerie dans le contexte, plus global, des rapports e</w:t>
      </w:r>
      <w:r w:rsidRPr="00031E0E">
        <w:rPr>
          <w:szCs w:val="18"/>
        </w:rPr>
        <w:t>n</w:t>
      </w:r>
      <w:r w:rsidRPr="00031E0E">
        <w:rPr>
          <w:szCs w:val="18"/>
        </w:rPr>
        <w:t>tre ville et campagne. Et cet intérêt pour le jeu des coalitions lui pe</w:t>
      </w:r>
      <w:r w:rsidRPr="00031E0E">
        <w:rPr>
          <w:szCs w:val="18"/>
        </w:rPr>
        <w:t>r</w:t>
      </w:r>
      <w:r w:rsidRPr="00031E0E">
        <w:rPr>
          <w:szCs w:val="18"/>
        </w:rPr>
        <w:t>met, en allant au-delà de la simple distinction des trois voies – dém</w:t>
      </w:r>
      <w:r w:rsidRPr="00031E0E">
        <w:rPr>
          <w:szCs w:val="18"/>
        </w:rPr>
        <w:t>o</w:t>
      </w:r>
      <w:r w:rsidRPr="00031E0E">
        <w:rPr>
          <w:szCs w:val="18"/>
        </w:rPr>
        <w:t>crat</w:t>
      </w:r>
      <w:r w:rsidRPr="00031E0E">
        <w:rPr>
          <w:szCs w:val="18"/>
        </w:rPr>
        <w:t>i</w:t>
      </w:r>
      <w:r w:rsidRPr="00031E0E">
        <w:rPr>
          <w:szCs w:val="18"/>
        </w:rPr>
        <w:t>que, réactionnaire et communiste – de faire ressortir le contraste entre l’Angleterre et la France ; alors que les gros propriétaires fo</w:t>
      </w:r>
      <w:r w:rsidRPr="00031E0E">
        <w:rPr>
          <w:szCs w:val="18"/>
        </w:rPr>
        <w:t>n</w:t>
      </w:r>
      <w:r w:rsidRPr="00031E0E">
        <w:rPr>
          <w:szCs w:val="18"/>
        </w:rPr>
        <w:t>ciers anglais, convertis à l’agriculture commerciale,</w:t>
      </w:r>
      <w:r>
        <w:rPr>
          <w:szCs w:val="18"/>
        </w:rPr>
        <w:t xml:space="preserve"> </w:t>
      </w:r>
      <w:r w:rsidRPr="00031E0E">
        <w:rPr>
          <w:szCs w:val="16"/>
        </w:rPr>
        <w:t>[672]</w:t>
      </w:r>
      <w:r>
        <w:rPr>
          <w:szCs w:val="16"/>
        </w:rPr>
        <w:t xml:space="preserve"> </w:t>
      </w:r>
      <w:r w:rsidRPr="00031E0E">
        <w:rPr>
          <w:szCs w:val="18"/>
        </w:rPr>
        <w:t>se sont a</w:t>
      </w:r>
      <w:r w:rsidRPr="00031E0E">
        <w:rPr>
          <w:szCs w:val="18"/>
        </w:rPr>
        <w:t>l</w:t>
      </w:r>
      <w:r w:rsidRPr="00031E0E">
        <w:rPr>
          <w:szCs w:val="18"/>
        </w:rPr>
        <w:t>liés à la bourgeoisie urbaine au détriment de la paysannerie, la bou</w:t>
      </w:r>
      <w:r w:rsidRPr="00031E0E">
        <w:rPr>
          <w:szCs w:val="18"/>
        </w:rPr>
        <w:t>r</w:t>
      </w:r>
      <w:r w:rsidRPr="00031E0E">
        <w:rPr>
          <w:szCs w:val="18"/>
        </w:rPr>
        <w:t>geoisie française a dû trouver en la paysannerie et en l’énergie révol</w:t>
      </w:r>
      <w:r w:rsidRPr="00031E0E">
        <w:rPr>
          <w:szCs w:val="18"/>
        </w:rPr>
        <w:t>u</w:t>
      </w:r>
      <w:r w:rsidRPr="00031E0E">
        <w:rPr>
          <w:szCs w:val="18"/>
        </w:rPr>
        <w:t>tionnaire dont elle était porteuse « un précieux aux</w:t>
      </w:r>
      <w:r w:rsidRPr="00031E0E">
        <w:rPr>
          <w:szCs w:val="18"/>
        </w:rPr>
        <w:t>i</w:t>
      </w:r>
      <w:r w:rsidRPr="00031E0E">
        <w:rPr>
          <w:szCs w:val="18"/>
        </w:rPr>
        <w:t>liaire » (p. 73) pour abattre une aristocratie foncière globalement encore « pré-commerciale », en dépit de multiples indices de pénétr</w:t>
      </w:r>
      <w:r w:rsidRPr="00031E0E">
        <w:rPr>
          <w:szCs w:val="18"/>
        </w:rPr>
        <w:t>a</w:t>
      </w:r>
      <w:r w:rsidRPr="00031E0E">
        <w:rPr>
          <w:szCs w:val="18"/>
        </w:rPr>
        <w:t>tion capitaliste dans les campagnes. Barrington Moore peut de ce fait, tout en form</w:t>
      </w:r>
      <w:r w:rsidRPr="00031E0E">
        <w:rPr>
          <w:szCs w:val="18"/>
        </w:rPr>
        <w:t>u</w:t>
      </w:r>
      <w:r w:rsidRPr="00031E0E">
        <w:rPr>
          <w:szCs w:val="18"/>
        </w:rPr>
        <w:t>lant le principe « Pas de bourgeois, pas de démocratie », prendre ses distances par rapport à l’orthodoxie marxi</w:t>
      </w:r>
      <w:r w:rsidRPr="00031E0E">
        <w:rPr>
          <w:szCs w:val="18"/>
        </w:rPr>
        <w:t>s</w:t>
      </w:r>
      <w:r w:rsidRPr="00031E0E">
        <w:rPr>
          <w:szCs w:val="18"/>
        </w:rPr>
        <w:t>te dans l’analyse des « révolutions bourgeoises » : en cho</w:t>
      </w:r>
      <w:r w:rsidRPr="00031E0E">
        <w:rPr>
          <w:szCs w:val="18"/>
        </w:rPr>
        <w:t>i</w:t>
      </w:r>
      <w:r w:rsidRPr="00031E0E">
        <w:rPr>
          <w:szCs w:val="18"/>
        </w:rPr>
        <w:t>sissant cet adjectif, il a voulu mettre l’accent sur « leurs conséquences inst</w:t>
      </w:r>
      <w:r w:rsidRPr="00031E0E">
        <w:rPr>
          <w:szCs w:val="18"/>
        </w:rPr>
        <w:t>i</w:t>
      </w:r>
      <w:r w:rsidRPr="00031E0E">
        <w:rPr>
          <w:szCs w:val="18"/>
        </w:rPr>
        <w:t>tutionnelles » (p. 343) ; mais il reconnaît les ambiguïtés d’une telle expression, avec la poss</w:t>
      </w:r>
      <w:r w:rsidRPr="00031E0E">
        <w:rPr>
          <w:szCs w:val="18"/>
        </w:rPr>
        <w:t>i</w:t>
      </w:r>
      <w:r w:rsidRPr="00031E0E">
        <w:rPr>
          <w:szCs w:val="18"/>
        </w:rPr>
        <w:t>bilité d’une confusion entre « ceux qui font (la révolution) et ceux qui en prof</w:t>
      </w:r>
      <w:r w:rsidRPr="00031E0E">
        <w:rPr>
          <w:szCs w:val="18"/>
        </w:rPr>
        <w:t>i</w:t>
      </w:r>
      <w:r w:rsidRPr="00031E0E">
        <w:rPr>
          <w:szCs w:val="18"/>
        </w:rPr>
        <w:t>tent » d’une part, entre les « résultats politiques et juridiques des révolutions (et) les groupes sociaux qui y partic</w:t>
      </w:r>
      <w:r w:rsidRPr="00031E0E">
        <w:rPr>
          <w:szCs w:val="18"/>
        </w:rPr>
        <w:t>i</w:t>
      </w:r>
      <w:r w:rsidRPr="00031E0E">
        <w:rPr>
          <w:szCs w:val="18"/>
        </w:rPr>
        <w:t>pent » d’autre part (p. 344). Il exprime en tout cas de nettes réserves, à la fois à propos de la Révolution française (p. 98) et au sujet de la voie démocratique en g</w:t>
      </w:r>
      <w:r w:rsidRPr="00031E0E">
        <w:rPr>
          <w:szCs w:val="18"/>
        </w:rPr>
        <w:t>é</w:t>
      </w:r>
      <w:r w:rsidRPr="00031E0E">
        <w:rPr>
          <w:szCs w:val="18"/>
        </w:rPr>
        <w:t>néral (p. 343), sur la vision quelque peu réductrice qui ferait de ce type de révolution l’ultime épisode, à travers la prise du pouvoir pol</w:t>
      </w:r>
      <w:r w:rsidRPr="00031E0E">
        <w:rPr>
          <w:szCs w:val="18"/>
        </w:rPr>
        <w:t>i</w:t>
      </w:r>
      <w:r w:rsidRPr="00031E0E">
        <w:rPr>
          <w:szCs w:val="18"/>
        </w:rPr>
        <w:t>tique, de l’ascension d’une bourgeoisie déjà prépondérante économ</w:t>
      </w:r>
      <w:r w:rsidRPr="00031E0E">
        <w:rPr>
          <w:szCs w:val="18"/>
        </w:rPr>
        <w:t>i</w:t>
      </w:r>
      <w:r w:rsidRPr="00031E0E">
        <w:rPr>
          <w:szCs w:val="18"/>
        </w:rPr>
        <w:t>quement par son industrie et son commerce. Compte tenu de l’ampleur des périodes et des problèmes embra</w:t>
      </w:r>
      <w:r w:rsidRPr="00031E0E">
        <w:rPr>
          <w:szCs w:val="18"/>
        </w:rPr>
        <w:t>s</w:t>
      </w:r>
      <w:r w:rsidRPr="00031E0E">
        <w:rPr>
          <w:szCs w:val="18"/>
        </w:rPr>
        <w:t>sés, Moore ne peut brosser qu’un tableau à grands traits</w:t>
      </w:r>
      <w:r>
        <w:rPr>
          <w:szCs w:val="18"/>
        </w:rPr>
        <w:t> </w:t>
      </w:r>
      <w:r>
        <w:rPr>
          <w:rStyle w:val="Appelnotedebasdep"/>
          <w:szCs w:val="18"/>
        </w:rPr>
        <w:footnoteReference w:id="50"/>
      </w:r>
      <w:r w:rsidRPr="00031E0E">
        <w:rPr>
          <w:szCs w:val="18"/>
        </w:rPr>
        <w:t xml:space="preserve"> mais il cherche à maint</w:t>
      </w:r>
      <w:r w:rsidRPr="00031E0E">
        <w:rPr>
          <w:szCs w:val="18"/>
        </w:rPr>
        <w:t>e</w:t>
      </w:r>
      <w:r w:rsidRPr="00031E0E">
        <w:rPr>
          <w:szCs w:val="18"/>
        </w:rPr>
        <w:t>nir l’équilibre entre le souci de la cohére</w:t>
      </w:r>
      <w:r w:rsidRPr="00031E0E">
        <w:rPr>
          <w:szCs w:val="18"/>
        </w:rPr>
        <w:t>n</w:t>
      </w:r>
      <w:r w:rsidRPr="00031E0E">
        <w:rPr>
          <w:szCs w:val="18"/>
        </w:rPr>
        <w:t>ce théorique et le sens de la précision analytique, ce qui l’écarte de tout do</w:t>
      </w:r>
      <w:r w:rsidRPr="00031E0E">
        <w:rPr>
          <w:szCs w:val="18"/>
        </w:rPr>
        <w:t>g</w:t>
      </w:r>
      <w:r w:rsidRPr="00031E0E">
        <w:rPr>
          <w:szCs w:val="18"/>
        </w:rPr>
        <w:t>matisme.</w:t>
      </w:r>
    </w:p>
    <w:p w14:paraId="0773FDF8" w14:textId="77777777" w:rsidR="006C5FDB" w:rsidRPr="00031E0E" w:rsidRDefault="006C5FDB" w:rsidP="006C5FDB">
      <w:pPr>
        <w:spacing w:before="120" w:after="120"/>
        <w:jc w:val="both"/>
      </w:pPr>
      <w:r w:rsidRPr="00031E0E">
        <w:rPr>
          <w:szCs w:val="18"/>
        </w:rPr>
        <w:t>Le modèle d’explication qu’il propose n’en reste pas moins unil</w:t>
      </w:r>
      <w:r w:rsidRPr="00031E0E">
        <w:rPr>
          <w:szCs w:val="18"/>
        </w:rPr>
        <w:t>a</w:t>
      </w:r>
      <w:r w:rsidRPr="00031E0E">
        <w:rPr>
          <w:szCs w:val="18"/>
        </w:rPr>
        <w:t>téral, par sa concentration quasi exclusive sur les coalitions de fo</w:t>
      </w:r>
      <w:r w:rsidRPr="00031E0E">
        <w:rPr>
          <w:szCs w:val="18"/>
        </w:rPr>
        <w:t>r</w:t>
      </w:r>
      <w:r w:rsidRPr="00031E0E">
        <w:rPr>
          <w:szCs w:val="18"/>
        </w:rPr>
        <w:t>ces sociales permettant, dans des contextes économ</w:t>
      </w:r>
      <w:r w:rsidRPr="00031E0E">
        <w:rPr>
          <w:szCs w:val="18"/>
        </w:rPr>
        <w:t>i</w:t>
      </w:r>
      <w:r w:rsidRPr="00031E0E">
        <w:rPr>
          <w:szCs w:val="18"/>
        </w:rPr>
        <w:t>ques déterminés, l’accès à la modernité. Comme l’ont noté de nombreux comment</w:t>
      </w:r>
      <w:r w:rsidRPr="00031E0E">
        <w:rPr>
          <w:szCs w:val="18"/>
        </w:rPr>
        <w:t>a</w:t>
      </w:r>
      <w:r w:rsidRPr="00031E0E">
        <w:rPr>
          <w:szCs w:val="18"/>
        </w:rPr>
        <w:t>teurs, les v</w:t>
      </w:r>
      <w:r w:rsidRPr="00031E0E">
        <w:rPr>
          <w:szCs w:val="18"/>
        </w:rPr>
        <w:t>a</w:t>
      </w:r>
      <w:r w:rsidRPr="00031E0E">
        <w:rPr>
          <w:szCs w:val="18"/>
        </w:rPr>
        <w:t>riables proprement politiques ne se voient pas accorder dans ce modèle la place qu’elles mér</w:t>
      </w:r>
      <w:r w:rsidRPr="00031E0E">
        <w:rPr>
          <w:szCs w:val="18"/>
        </w:rPr>
        <w:t>i</w:t>
      </w:r>
      <w:r w:rsidRPr="00031E0E">
        <w:rPr>
          <w:szCs w:val="18"/>
        </w:rPr>
        <w:t>tent. Sous cet angle, l’analyse critique consacrée par Theda Skocpol au livre de son maître est part</w:t>
      </w:r>
      <w:r w:rsidRPr="00031E0E">
        <w:rPr>
          <w:szCs w:val="18"/>
        </w:rPr>
        <w:t>i</w:t>
      </w:r>
      <w:r w:rsidRPr="00031E0E">
        <w:rPr>
          <w:szCs w:val="18"/>
        </w:rPr>
        <w:t>culièrement intéressante : elle lui reproche fondamental</w:t>
      </w:r>
      <w:r w:rsidRPr="00031E0E">
        <w:rPr>
          <w:szCs w:val="18"/>
        </w:rPr>
        <w:t>e</w:t>
      </w:r>
      <w:r w:rsidRPr="00031E0E">
        <w:rPr>
          <w:szCs w:val="18"/>
        </w:rPr>
        <w:t>ment de n’avoir pas tenu compte du « </w:t>
      </w:r>
      <w:r w:rsidRPr="00031E0E">
        <w:rPr>
          <w:i/>
          <w:iCs/>
          <w:szCs w:val="18"/>
        </w:rPr>
        <w:t>rôle indépe</w:t>
      </w:r>
      <w:r w:rsidRPr="00031E0E">
        <w:rPr>
          <w:i/>
          <w:iCs/>
          <w:szCs w:val="18"/>
        </w:rPr>
        <w:t>n</w:t>
      </w:r>
      <w:r w:rsidRPr="00031E0E">
        <w:rPr>
          <w:i/>
          <w:iCs/>
          <w:szCs w:val="18"/>
        </w:rPr>
        <w:t>dant</w:t>
      </w:r>
      <w:r>
        <w:rPr>
          <w:iCs/>
          <w:szCs w:val="18"/>
        </w:rPr>
        <w:t> </w:t>
      </w:r>
      <w:r>
        <w:rPr>
          <w:rStyle w:val="Appelnotedebasdep"/>
          <w:iCs/>
          <w:szCs w:val="18"/>
        </w:rPr>
        <w:footnoteReference w:id="51"/>
      </w:r>
      <w:r w:rsidRPr="00031E0E">
        <w:rPr>
          <w:i/>
          <w:iCs/>
          <w:szCs w:val="18"/>
        </w:rPr>
        <w:t xml:space="preserve"> </w:t>
      </w:r>
      <w:r w:rsidRPr="00031E0E">
        <w:rPr>
          <w:szCs w:val="18"/>
        </w:rPr>
        <w:t>de l’organisation et des élites étatiques » (1973, p. 30) dans l’élaboration des réponses aux défis de la modernisation ; et elle lui fait égal</w:t>
      </w:r>
      <w:r w:rsidRPr="00031E0E">
        <w:rPr>
          <w:szCs w:val="18"/>
        </w:rPr>
        <w:t>e</w:t>
      </w:r>
      <w:r w:rsidRPr="00031E0E">
        <w:rPr>
          <w:szCs w:val="18"/>
        </w:rPr>
        <w:t>ment grief d’avoir, en limitant son an</w:t>
      </w:r>
      <w:r w:rsidRPr="00031E0E">
        <w:rPr>
          <w:szCs w:val="18"/>
        </w:rPr>
        <w:t>a</w:t>
      </w:r>
      <w:r w:rsidRPr="00031E0E">
        <w:rPr>
          <w:szCs w:val="18"/>
        </w:rPr>
        <w:t>lyse à des facteurs internes à chaque pays, négligé du même coup le poids des conditions et des relations internationales. Telles sont en tout cas les deux d</w:t>
      </w:r>
      <w:r w:rsidRPr="00031E0E">
        <w:rPr>
          <w:szCs w:val="18"/>
        </w:rPr>
        <w:t>i</w:t>
      </w:r>
      <w:r w:rsidRPr="00031E0E">
        <w:rPr>
          <w:szCs w:val="18"/>
        </w:rPr>
        <w:t>mensions qu’elle va, pour sa part, réintr</w:t>
      </w:r>
      <w:r w:rsidRPr="00031E0E">
        <w:rPr>
          <w:szCs w:val="18"/>
        </w:rPr>
        <w:t>o</w:t>
      </w:r>
      <w:r w:rsidRPr="00031E0E">
        <w:rPr>
          <w:szCs w:val="18"/>
        </w:rPr>
        <w:t>duire dans l’analyse comparative socio-historique.</w:t>
      </w:r>
    </w:p>
    <w:p w14:paraId="07E2B9D6" w14:textId="77777777" w:rsidR="006C5FDB" w:rsidRPr="00031E0E" w:rsidRDefault="006C5FDB" w:rsidP="006C5FDB">
      <w:pPr>
        <w:spacing w:before="120" w:after="120"/>
        <w:jc w:val="both"/>
      </w:pPr>
      <w:r w:rsidRPr="00031E0E">
        <w:rPr>
          <w:szCs w:val="18"/>
        </w:rPr>
        <w:t>De façon tout à fait significative, Theda Skocpol part en effet, dans une étude consacrée pourtant à la forme la plus radicale et la plus gl</w:t>
      </w:r>
      <w:r w:rsidRPr="00031E0E">
        <w:rPr>
          <w:szCs w:val="18"/>
        </w:rPr>
        <w:t>o</w:t>
      </w:r>
      <w:r w:rsidRPr="00031E0E">
        <w:rPr>
          <w:szCs w:val="18"/>
        </w:rPr>
        <w:t>bale de révolution, c’est-à-dire les « révolutions s</w:t>
      </w:r>
      <w:r w:rsidRPr="00031E0E">
        <w:rPr>
          <w:szCs w:val="18"/>
        </w:rPr>
        <w:t>o</w:t>
      </w:r>
      <w:r w:rsidRPr="00031E0E">
        <w:rPr>
          <w:szCs w:val="18"/>
        </w:rPr>
        <w:t>ciales », des crises « spécifiquement politiques » auxque</w:t>
      </w:r>
      <w:r w:rsidRPr="00031E0E">
        <w:rPr>
          <w:szCs w:val="18"/>
        </w:rPr>
        <w:t>l</w:t>
      </w:r>
      <w:r w:rsidRPr="00031E0E">
        <w:rPr>
          <w:szCs w:val="18"/>
        </w:rPr>
        <w:t>les ont été confrontés les États d’Ancien Régime en France, en Russie</w:t>
      </w:r>
      <w:r>
        <w:rPr>
          <w:szCs w:val="18"/>
        </w:rPr>
        <w:t xml:space="preserve"> </w:t>
      </w:r>
      <w:r w:rsidRPr="00031E0E">
        <w:rPr>
          <w:szCs w:val="14"/>
        </w:rPr>
        <w:t>[673]</w:t>
      </w:r>
      <w:r>
        <w:rPr>
          <w:szCs w:val="14"/>
        </w:rPr>
        <w:t xml:space="preserve"> </w:t>
      </w:r>
      <w:r w:rsidRPr="00031E0E">
        <w:rPr>
          <w:szCs w:val="18"/>
        </w:rPr>
        <w:t>et en Chine à la veille de la révolution qui devait les emporter ; et elle insiste, à maintes repr</w:t>
      </w:r>
      <w:r w:rsidRPr="00031E0E">
        <w:rPr>
          <w:szCs w:val="18"/>
        </w:rPr>
        <w:t>i</w:t>
      </w:r>
      <w:r w:rsidRPr="00031E0E">
        <w:rPr>
          <w:szCs w:val="18"/>
        </w:rPr>
        <w:t xml:space="preserve">ses, sur le fait que ces crises sont d’abord dues à des facteurs externes </w:t>
      </w:r>
      <w:r w:rsidRPr="00031E0E">
        <w:rPr>
          <w:i/>
          <w:iCs/>
          <w:szCs w:val="18"/>
        </w:rPr>
        <w:t xml:space="preserve">(externally induced), </w:t>
      </w:r>
      <w:r w:rsidRPr="00031E0E">
        <w:rPr>
          <w:szCs w:val="18"/>
        </w:rPr>
        <w:t>constitués nota</w:t>
      </w:r>
      <w:r w:rsidRPr="00031E0E">
        <w:rPr>
          <w:szCs w:val="18"/>
        </w:rPr>
        <w:t>m</w:t>
      </w:r>
      <w:r w:rsidRPr="00031E0E">
        <w:rPr>
          <w:szCs w:val="18"/>
        </w:rPr>
        <w:t>ment par une vive compétition militaire entre États dans un contexte international marqué par la p</w:t>
      </w:r>
      <w:r w:rsidRPr="00031E0E">
        <w:rPr>
          <w:szCs w:val="18"/>
        </w:rPr>
        <w:t>é</w:t>
      </w:r>
      <w:r w:rsidRPr="00031E0E">
        <w:rPr>
          <w:szCs w:val="18"/>
        </w:rPr>
        <w:t>nétration, voire l’expansion du capitalisme : les pressions internati</w:t>
      </w:r>
      <w:r w:rsidRPr="00031E0E">
        <w:rPr>
          <w:szCs w:val="18"/>
        </w:rPr>
        <w:t>o</w:t>
      </w:r>
      <w:r w:rsidRPr="00031E0E">
        <w:rPr>
          <w:szCs w:val="18"/>
        </w:rPr>
        <w:t>nales se voient ainsi accorder un rôle non seul</w:t>
      </w:r>
      <w:r w:rsidRPr="00031E0E">
        <w:rPr>
          <w:szCs w:val="18"/>
        </w:rPr>
        <w:t>e</w:t>
      </w:r>
      <w:r w:rsidRPr="00031E0E">
        <w:rPr>
          <w:szCs w:val="18"/>
        </w:rPr>
        <w:t>ment important mais encore central – ce qui appelle peut-être quelques correctifs – dans la genèse de ces crises. De telles crises ne po</w:t>
      </w:r>
      <w:r w:rsidRPr="00031E0E">
        <w:rPr>
          <w:szCs w:val="18"/>
        </w:rPr>
        <w:t>u</w:t>
      </w:r>
      <w:r w:rsidRPr="00031E0E">
        <w:rPr>
          <w:szCs w:val="18"/>
        </w:rPr>
        <w:t>vaient être qu’aiguës, compte tenu de la nature des États d’Ancien Régime, « États imp</w:t>
      </w:r>
      <w:r w:rsidRPr="00031E0E">
        <w:rPr>
          <w:szCs w:val="18"/>
        </w:rPr>
        <w:t>é</w:t>
      </w:r>
      <w:r w:rsidRPr="00031E0E">
        <w:rPr>
          <w:szCs w:val="18"/>
        </w:rPr>
        <w:t>riaux », partiellement mais non ple</w:t>
      </w:r>
      <w:r w:rsidRPr="00031E0E">
        <w:rPr>
          <w:szCs w:val="18"/>
        </w:rPr>
        <w:t>i</w:t>
      </w:r>
      <w:r w:rsidRPr="00031E0E">
        <w:rPr>
          <w:szCs w:val="18"/>
        </w:rPr>
        <w:t>nement bureaucratiques, qui s’appuyaient sur des économies à pr</w:t>
      </w:r>
      <w:r w:rsidRPr="00031E0E">
        <w:rPr>
          <w:szCs w:val="18"/>
        </w:rPr>
        <w:t>é</w:t>
      </w:r>
      <w:r w:rsidRPr="00031E0E">
        <w:rPr>
          <w:szCs w:val="18"/>
        </w:rPr>
        <w:t>pondérance encore agraire, sans être en mesure de modifier substa</w:t>
      </w:r>
      <w:r w:rsidRPr="00031E0E">
        <w:rPr>
          <w:szCs w:val="18"/>
        </w:rPr>
        <w:t>n</w:t>
      </w:r>
      <w:r w:rsidRPr="00031E0E">
        <w:rPr>
          <w:szCs w:val="18"/>
        </w:rPr>
        <w:t>tiellement les rapports socio-économiques à la campagne. Mais elles acquirent une importance d</w:t>
      </w:r>
      <w:r w:rsidRPr="00031E0E">
        <w:rPr>
          <w:szCs w:val="18"/>
        </w:rPr>
        <w:t>é</w:t>
      </w:r>
      <w:r w:rsidRPr="00031E0E">
        <w:rPr>
          <w:szCs w:val="18"/>
        </w:rPr>
        <w:t xml:space="preserve">cisive du fait du </w:t>
      </w:r>
      <w:r w:rsidRPr="00031E0E">
        <w:rPr>
          <w:i/>
          <w:iCs/>
          <w:szCs w:val="18"/>
        </w:rPr>
        <w:t xml:space="preserve">blocage </w:t>
      </w:r>
      <w:r w:rsidRPr="00031E0E">
        <w:rPr>
          <w:szCs w:val="18"/>
        </w:rPr>
        <w:t>que la classe des grands propriétaires fo</w:t>
      </w:r>
      <w:r w:rsidRPr="00031E0E">
        <w:rPr>
          <w:szCs w:val="18"/>
        </w:rPr>
        <w:t>n</w:t>
      </w:r>
      <w:r w:rsidRPr="00031E0E">
        <w:rPr>
          <w:szCs w:val="18"/>
        </w:rPr>
        <w:t>ciers, bien établie et présente jusque dans les rouages s</w:t>
      </w:r>
      <w:r w:rsidRPr="00031E0E">
        <w:rPr>
          <w:szCs w:val="18"/>
        </w:rPr>
        <w:t>u</w:t>
      </w:r>
      <w:r w:rsidRPr="00031E0E">
        <w:rPr>
          <w:szCs w:val="18"/>
        </w:rPr>
        <w:t>périeurs de l’appareil d’État, put opposer – tout au moins en France et en Chine – aux tentatives de réformes et aux essais de m</w:t>
      </w:r>
      <w:r w:rsidRPr="00031E0E">
        <w:rPr>
          <w:szCs w:val="18"/>
        </w:rPr>
        <w:t>o</w:t>
      </w:r>
      <w:r w:rsidRPr="00031E0E">
        <w:rPr>
          <w:szCs w:val="18"/>
        </w:rPr>
        <w:t>dernisation du pouvoir monarchique. Dans ce conflit avec la classe terrienne d</w:t>
      </w:r>
      <w:r w:rsidRPr="00031E0E">
        <w:rPr>
          <w:szCs w:val="18"/>
        </w:rPr>
        <w:t>o</w:t>
      </w:r>
      <w:r w:rsidRPr="00031E0E">
        <w:rPr>
          <w:szCs w:val="18"/>
        </w:rPr>
        <w:t>minante se concrétisent l’autonomie de l’État, ainsi que la spécificité de ses int</w:t>
      </w:r>
      <w:r w:rsidRPr="00031E0E">
        <w:rPr>
          <w:szCs w:val="18"/>
        </w:rPr>
        <w:t>é</w:t>
      </w:r>
      <w:r w:rsidRPr="00031E0E">
        <w:rPr>
          <w:szCs w:val="18"/>
        </w:rPr>
        <w:t>rêts propres, révélés en quelque sorte par la pr</w:t>
      </w:r>
      <w:r w:rsidRPr="00031E0E">
        <w:rPr>
          <w:szCs w:val="18"/>
        </w:rPr>
        <w:t>o</w:t>
      </w:r>
      <w:r w:rsidRPr="00031E0E">
        <w:rPr>
          <w:szCs w:val="18"/>
        </w:rPr>
        <w:t>fondeur de la crise.</w:t>
      </w:r>
    </w:p>
    <w:p w14:paraId="1FFFF6B3" w14:textId="77777777" w:rsidR="006C5FDB" w:rsidRPr="00031E0E" w:rsidRDefault="006C5FDB" w:rsidP="006C5FDB">
      <w:pPr>
        <w:spacing w:before="120" w:after="120"/>
        <w:jc w:val="both"/>
      </w:pPr>
      <w:r w:rsidRPr="00031E0E">
        <w:rPr>
          <w:szCs w:val="18"/>
        </w:rPr>
        <w:t>Cette dimension de crise politique, si essentielle soit-elle dans l’éclosion d’une situation révolutionnaire, ne suffit pas pourtant à re</w:t>
      </w:r>
      <w:r w:rsidRPr="00031E0E">
        <w:rPr>
          <w:szCs w:val="18"/>
        </w:rPr>
        <w:t>n</w:t>
      </w:r>
      <w:r w:rsidRPr="00031E0E">
        <w:rPr>
          <w:szCs w:val="18"/>
        </w:rPr>
        <w:t>dre compte de l’explosion d’une révolution sociale, comportant, par définition, des soulèvements étendus v</w:t>
      </w:r>
      <w:r w:rsidRPr="00031E0E">
        <w:rPr>
          <w:szCs w:val="18"/>
        </w:rPr>
        <w:t>e</w:t>
      </w:r>
      <w:r w:rsidRPr="00031E0E">
        <w:rPr>
          <w:szCs w:val="18"/>
        </w:rPr>
        <w:t>nant du « bas », c’est-à-dire des classes dominées ; ce rôle primordial va être assumé par les ma</w:t>
      </w:r>
      <w:r w:rsidRPr="00031E0E">
        <w:rPr>
          <w:szCs w:val="18"/>
        </w:rPr>
        <w:t>s</w:t>
      </w:r>
      <w:r w:rsidRPr="00031E0E">
        <w:rPr>
          <w:szCs w:val="18"/>
        </w:rPr>
        <w:t>ses paysannes qui vont se dresser en de multiples régions contre les seigneurs et s’en prendre à leurs propriétés. La crise polit</w:t>
      </w:r>
      <w:r w:rsidRPr="00031E0E">
        <w:rPr>
          <w:szCs w:val="18"/>
        </w:rPr>
        <w:t>i</w:t>
      </w:r>
      <w:r w:rsidRPr="00031E0E">
        <w:rPr>
          <w:szCs w:val="18"/>
        </w:rPr>
        <w:t>que joue ici un rôle de catalyseur : les paysans s’engouffrent en quelque sorte dans la brèche ouverte par l’affaiblissement du pouvoir central et de ses c</w:t>
      </w:r>
      <w:r w:rsidRPr="00031E0E">
        <w:rPr>
          <w:szCs w:val="18"/>
        </w:rPr>
        <w:t>a</w:t>
      </w:r>
      <w:r w:rsidRPr="00031E0E">
        <w:rPr>
          <w:szCs w:val="18"/>
        </w:rPr>
        <w:t>pacités de coercition. Mais le facteur déterminant est constitué par la nature des structures agraires de l’Ancien Régime ou plus précis</w:t>
      </w:r>
      <w:r w:rsidRPr="00031E0E">
        <w:rPr>
          <w:szCs w:val="18"/>
        </w:rPr>
        <w:t>é</w:t>
      </w:r>
      <w:r w:rsidRPr="00031E0E">
        <w:rPr>
          <w:szCs w:val="18"/>
        </w:rPr>
        <w:t>ment, selon la formule de Theda Skocpol, par leur degré de « conductibilité » à des soulèvements paysans (1979, p. 111). De ce point de vue, Theda Skocpol met l’accent sur deux caractéristiques structurelles : « le degré et les formes de solidarité » paysanne d’une part, « le degré d’autonomie » des paysans à l’égard de la surveillance directe des seigneurs et de leurs agents d’autre part (p. 115). La pr</w:t>
      </w:r>
      <w:r w:rsidRPr="00031E0E">
        <w:rPr>
          <w:szCs w:val="18"/>
        </w:rPr>
        <w:t>é</w:t>
      </w:r>
      <w:r w:rsidRPr="00031E0E">
        <w:rPr>
          <w:szCs w:val="18"/>
        </w:rPr>
        <w:t>sence, sous des fo</w:t>
      </w:r>
      <w:r w:rsidRPr="00031E0E">
        <w:rPr>
          <w:szCs w:val="18"/>
        </w:rPr>
        <w:t>r</w:t>
      </w:r>
      <w:r w:rsidRPr="00031E0E">
        <w:rPr>
          <w:szCs w:val="18"/>
        </w:rPr>
        <w:t>mes différentes et à des degrés divers, de ces deux caractéri</w:t>
      </w:r>
      <w:r w:rsidRPr="00031E0E">
        <w:rPr>
          <w:szCs w:val="18"/>
        </w:rPr>
        <w:t>s</w:t>
      </w:r>
      <w:r w:rsidRPr="00031E0E">
        <w:rPr>
          <w:szCs w:val="18"/>
        </w:rPr>
        <w:t>tiques en France et en Russie a créé un terrain propice à la mobilisation paysanne sur la base des communautés trad</w:t>
      </w:r>
      <w:r w:rsidRPr="00031E0E">
        <w:rPr>
          <w:szCs w:val="18"/>
        </w:rPr>
        <w:t>i</w:t>
      </w:r>
      <w:r w:rsidRPr="00031E0E">
        <w:rPr>
          <w:szCs w:val="18"/>
        </w:rPr>
        <w:t>tionnelles, et permet de comprendre l’émergence, dans les deux cas, de r</w:t>
      </w:r>
      <w:r w:rsidRPr="00031E0E">
        <w:rPr>
          <w:szCs w:val="18"/>
        </w:rPr>
        <w:t>é</w:t>
      </w:r>
      <w:r w:rsidRPr="00031E0E">
        <w:rPr>
          <w:szCs w:val="18"/>
        </w:rPr>
        <w:t>voltes à la fois « spontanées » et « autonomes ».</w:t>
      </w:r>
    </w:p>
    <w:p w14:paraId="39A7EE18" w14:textId="77777777" w:rsidR="006C5FDB" w:rsidRPr="00031E0E" w:rsidRDefault="006C5FDB" w:rsidP="006C5FDB">
      <w:pPr>
        <w:spacing w:before="120" w:after="120"/>
        <w:jc w:val="both"/>
      </w:pPr>
      <w:r w:rsidRPr="00031E0E">
        <w:rPr>
          <w:szCs w:val="18"/>
        </w:rPr>
        <w:t>Abordant dans la seconde partie de son ouvrage les conséquences des révolutions française, russe et chinoise, Theda Skocpol les envis</w:t>
      </w:r>
      <w:r w:rsidRPr="00031E0E">
        <w:rPr>
          <w:szCs w:val="18"/>
        </w:rPr>
        <w:t>a</w:t>
      </w:r>
      <w:r w:rsidRPr="00031E0E">
        <w:rPr>
          <w:szCs w:val="18"/>
        </w:rPr>
        <w:t>ge essentiellement, comme on l’a déjà signalé, sous l’angle de la con</w:t>
      </w:r>
      <w:r w:rsidRPr="00031E0E">
        <w:rPr>
          <w:szCs w:val="18"/>
        </w:rPr>
        <w:t>s</w:t>
      </w:r>
      <w:r w:rsidRPr="00031E0E">
        <w:rPr>
          <w:szCs w:val="18"/>
        </w:rPr>
        <w:t>truction de l’État. Elle est ainsi amenée à insister sur les directions p</w:t>
      </w:r>
      <w:r w:rsidRPr="00031E0E">
        <w:rPr>
          <w:szCs w:val="18"/>
        </w:rPr>
        <w:t>o</w:t>
      </w:r>
      <w:r w:rsidRPr="00031E0E">
        <w:rPr>
          <w:szCs w:val="18"/>
        </w:rPr>
        <w:t>litiques et sur leurs luttes pour le pouvoir (pp. 164-165), en fonction de leur accès différentiel aux ressources, par un emprunt qu’elle r</w:t>
      </w:r>
      <w:r w:rsidRPr="00031E0E">
        <w:rPr>
          <w:szCs w:val="18"/>
        </w:rPr>
        <w:t>e</w:t>
      </w:r>
      <w:r w:rsidRPr="00031E0E">
        <w:rPr>
          <w:szCs w:val="18"/>
        </w:rPr>
        <w:t>connaît à la perspective du « conflit politique » (pp. 13-14), c’est-à-dire notamment celle de Tilly sur laquelle nous reviendrons. Mais elle n’en oublie pas pour autant les deux dimensions cruciales mises en évidence dans</w:t>
      </w:r>
      <w:r>
        <w:rPr>
          <w:szCs w:val="18"/>
        </w:rPr>
        <w:t xml:space="preserve"> </w:t>
      </w:r>
      <w:r w:rsidRPr="00031E0E">
        <w:rPr>
          <w:szCs w:val="16"/>
        </w:rPr>
        <w:t>[674]</w:t>
      </w:r>
      <w:r>
        <w:rPr>
          <w:szCs w:val="16"/>
        </w:rPr>
        <w:t xml:space="preserve"> </w:t>
      </w:r>
      <w:r w:rsidRPr="00031E0E">
        <w:rPr>
          <w:szCs w:val="18"/>
        </w:rPr>
        <w:t>l’analyse des causes : les crises rév</w:t>
      </w:r>
      <w:r w:rsidRPr="00031E0E">
        <w:rPr>
          <w:szCs w:val="18"/>
        </w:rPr>
        <w:t>o</w:t>
      </w:r>
      <w:r w:rsidRPr="00031E0E">
        <w:rPr>
          <w:szCs w:val="18"/>
        </w:rPr>
        <w:t>lutionnaires, avec leurs formes particulières, et les hérit</w:t>
      </w:r>
      <w:r w:rsidRPr="00031E0E">
        <w:rPr>
          <w:szCs w:val="18"/>
        </w:rPr>
        <w:t>a</w:t>
      </w:r>
      <w:r w:rsidRPr="00031E0E">
        <w:rPr>
          <w:szCs w:val="18"/>
        </w:rPr>
        <w:t>ges socio-économiques des anciens régimes, avec leur prépondérance à la fois agraire et paysa</w:t>
      </w:r>
      <w:r w:rsidRPr="00031E0E">
        <w:rPr>
          <w:szCs w:val="18"/>
        </w:rPr>
        <w:t>n</w:t>
      </w:r>
      <w:r w:rsidRPr="00031E0E">
        <w:rPr>
          <w:szCs w:val="18"/>
        </w:rPr>
        <w:t>ne ; et, conformément à son approche structurale, elle y voit essentie</w:t>
      </w:r>
      <w:r w:rsidRPr="00031E0E">
        <w:rPr>
          <w:szCs w:val="18"/>
        </w:rPr>
        <w:t>l</w:t>
      </w:r>
      <w:r w:rsidRPr="00031E0E">
        <w:rPr>
          <w:szCs w:val="18"/>
        </w:rPr>
        <w:t>lement un ensemble de contraintes pesant sur les tentatives de con</w:t>
      </w:r>
      <w:r w:rsidRPr="00031E0E">
        <w:rPr>
          <w:szCs w:val="18"/>
        </w:rPr>
        <w:t>s</w:t>
      </w:r>
      <w:r w:rsidRPr="00031E0E">
        <w:rPr>
          <w:szCs w:val="18"/>
        </w:rPr>
        <w:t>truction de l’État et créant tout à la fois des « possibilités et des i</w:t>
      </w:r>
      <w:r w:rsidRPr="00031E0E">
        <w:rPr>
          <w:szCs w:val="18"/>
        </w:rPr>
        <w:t>m</w:t>
      </w:r>
      <w:r w:rsidRPr="00031E0E">
        <w:rPr>
          <w:szCs w:val="18"/>
        </w:rPr>
        <w:t>possibilités spécif</w:t>
      </w:r>
      <w:r w:rsidRPr="00031E0E">
        <w:rPr>
          <w:szCs w:val="18"/>
        </w:rPr>
        <w:t>i</w:t>
      </w:r>
      <w:r w:rsidRPr="00031E0E">
        <w:rPr>
          <w:szCs w:val="18"/>
        </w:rPr>
        <w:t>ques » (p. 171), d’autant plus que ces contraintes sont encore aggravées par un contexte intern</w:t>
      </w:r>
      <w:r w:rsidRPr="00031E0E">
        <w:rPr>
          <w:szCs w:val="18"/>
        </w:rPr>
        <w:t>a</w:t>
      </w:r>
      <w:r w:rsidRPr="00031E0E">
        <w:rPr>
          <w:szCs w:val="18"/>
        </w:rPr>
        <w:t>tional à haut risque, avec l’obligation de faire face à l’invasion étrangère, et non seulement aux contre-révolutionnaires de l’intérieur. C’est essentiellement de cette confro</w:t>
      </w:r>
      <w:r w:rsidRPr="00031E0E">
        <w:rPr>
          <w:szCs w:val="18"/>
        </w:rPr>
        <w:t>n</w:t>
      </w:r>
      <w:r w:rsidRPr="00031E0E">
        <w:rPr>
          <w:szCs w:val="18"/>
        </w:rPr>
        <w:t>tation à « des exigences, des défis et des chances globalement sembl</w:t>
      </w:r>
      <w:r w:rsidRPr="00031E0E">
        <w:rPr>
          <w:szCs w:val="18"/>
        </w:rPr>
        <w:t>a</w:t>
      </w:r>
      <w:r w:rsidRPr="00031E0E">
        <w:rPr>
          <w:szCs w:val="18"/>
        </w:rPr>
        <w:t>bles » (p. 173) que naissent à l’issue des trois révolutions considérées des États plus forts, plus centralisés, dotés d’une burea</w:t>
      </w:r>
      <w:r w:rsidRPr="00031E0E">
        <w:rPr>
          <w:szCs w:val="18"/>
        </w:rPr>
        <w:t>u</w:t>
      </w:r>
      <w:r w:rsidRPr="00031E0E">
        <w:rPr>
          <w:szCs w:val="18"/>
        </w:rPr>
        <w:t>cratie renfo</w:t>
      </w:r>
      <w:r w:rsidRPr="00031E0E">
        <w:rPr>
          <w:szCs w:val="18"/>
        </w:rPr>
        <w:t>r</w:t>
      </w:r>
      <w:r w:rsidRPr="00031E0E">
        <w:rPr>
          <w:szCs w:val="18"/>
        </w:rPr>
        <w:t>cée et permettant, à des degrés divers, l’entrée des masses populaires (paysans et ouvriers urbains) dans la politique n</w:t>
      </w:r>
      <w:r w:rsidRPr="00031E0E">
        <w:rPr>
          <w:szCs w:val="18"/>
        </w:rPr>
        <w:t>a</w:t>
      </w:r>
      <w:r w:rsidRPr="00031E0E">
        <w:rPr>
          <w:szCs w:val="18"/>
        </w:rPr>
        <w:t>tionale. Mais, pour significatives qu’elles soient, ces parentés ne doivent pas faire oublier le caractère distinctif de chacun des trois États post-révolutionnaires, que Theda Skocpol s’efforce de faire ressortir, ju</w:t>
      </w:r>
      <w:r w:rsidRPr="00031E0E">
        <w:rPr>
          <w:szCs w:val="18"/>
        </w:rPr>
        <w:t>s</w:t>
      </w:r>
      <w:r w:rsidRPr="00031E0E">
        <w:rPr>
          <w:szCs w:val="18"/>
        </w:rPr>
        <w:t>que par les titres de chapitre choisis.</w:t>
      </w:r>
    </w:p>
    <w:p w14:paraId="7A65E9FA" w14:textId="77777777" w:rsidR="006C5FDB" w:rsidRPr="00031E0E" w:rsidRDefault="006C5FDB" w:rsidP="006C5FDB">
      <w:pPr>
        <w:spacing w:before="120" w:after="120"/>
        <w:jc w:val="both"/>
      </w:pPr>
      <w:r w:rsidRPr="00031E0E">
        <w:rPr>
          <w:szCs w:val="18"/>
        </w:rPr>
        <w:t>De cet ambitieux ouvrage, il faut d’abord retenir l’accent mis sur l’État, son effondrement et sa recon</w:t>
      </w:r>
      <w:r w:rsidRPr="00031E0E">
        <w:rPr>
          <w:szCs w:val="18"/>
        </w:rPr>
        <w:t>s</w:t>
      </w:r>
      <w:r w:rsidRPr="00031E0E">
        <w:rPr>
          <w:szCs w:val="18"/>
        </w:rPr>
        <w:t>truction ; c’est là l’aspect majeur que nous avons déjà signalé à maintes reprises et que nous nous bo</w:t>
      </w:r>
      <w:r w:rsidRPr="00031E0E">
        <w:rPr>
          <w:szCs w:val="18"/>
        </w:rPr>
        <w:t>r</w:t>
      </w:r>
      <w:r w:rsidRPr="00031E0E">
        <w:rPr>
          <w:szCs w:val="18"/>
        </w:rPr>
        <w:t>nerons ici à rappeler. Sans doute est-il permis, avec Zimmermann (1983, p. 336), de reprocher à Theda Skocpol de traiter l’État comme une entité monolith</w:t>
      </w:r>
      <w:r w:rsidRPr="00031E0E">
        <w:rPr>
          <w:szCs w:val="18"/>
        </w:rPr>
        <w:t>i</w:t>
      </w:r>
      <w:r w:rsidRPr="00031E0E">
        <w:rPr>
          <w:szCs w:val="18"/>
        </w:rPr>
        <w:t>que ; mais son livre sur ce plan n’en fait pas moins date, par l’éclairage qu’il apporte et les perspectives qu’il o</w:t>
      </w:r>
      <w:r w:rsidRPr="00031E0E">
        <w:rPr>
          <w:szCs w:val="18"/>
        </w:rPr>
        <w:t>u</w:t>
      </w:r>
      <w:r w:rsidRPr="00031E0E">
        <w:rPr>
          <w:szCs w:val="18"/>
        </w:rPr>
        <w:t>vre. C’est plutôt, à notre sens, l’analyse des relations internati</w:t>
      </w:r>
      <w:r w:rsidRPr="00031E0E">
        <w:rPr>
          <w:szCs w:val="18"/>
        </w:rPr>
        <w:t>o</w:t>
      </w:r>
      <w:r w:rsidRPr="00031E0E">
        <w:rPr>
          <w:szCs w:val="18"/>
        </w:rPr>
        <w:t>nales qui paraît sujette à caution : elles jouent en quelque sorte et en pl</w:t>
      </w:r>
      <w:r w:rsidRPr="00031E0E">
        <w:rPr>
          <w:szCs w:val="18"/>
        </w:rPr>
        <w:t>u</w:t>
      </w:r>
      <w:r w:rsidRPr="00031E0E">
        <w:rPr>
          <w:szCs w:val="18"/>
        </w:rPr>
        <w:t xml:space="preserve">sieurs points de l’ouvrage le rôle d’un </w:t>
      </w:r>
      <w:r w:rsidRPr="00031E0E">
        <w:rPr>
          <w:i/>
          <w:iCs/>
          <w:szCs w:val="18"/>
        </w:rPr>
        <w:t xml:space="preserve">deus ex machina, </w:t>
      </w:r>
      <w:r w:rsidRPr="00031E0E">
        <w:rPr>
          <w:szCs w:val="18"/>
        </w:rPr>
        <w:t>selon la fo</w:t>
      </w:r>
      <w:r w:rsidRPr="00031E0E">
        <w:rPr>
          <w:szCs w:val="18"/>
        </w:rPr>
        <w:t>r</w:t>
      </w:r>
      <w:r w:rsidRPr="00031E0E">
        <w:rPr>
          <w:szCs w:val="18"/>
        </w:rPr>
        <w:t>mule de Zimmermann (p. 336)</w:t>
      </w:r>
      <w:r>
        <w:rPr>
          <w:szCs w:val="18"/>
        </w:rPr>
        <w:t> </w:t>
      </w:r>
      <w:r>
        <w:rPr>
          <w:rStyle w:val="Appelnotedebasdep"/>
          <w:szCs w:val="18"/>
        </w:rPr>
        <w:footnoteReference w:id="52"/>
      </w:r>
      <w:r w:rsidRPr="00031E0E">
        <w:rPr>
          <w:szCs w:val="18"/>
        </w:rPr>
        <w:t>. Ainsi, m</w:t>
      </w:r>
      <w:r w:rsidRPr="00031E0E">
        <w:rPr>
          <w:szCs w:val="18"/>
        </w:rPr>
        <w:t>ê</w:t>
      </w:r>
      <w:r w:rsidRPr="00031E0E">
        <w:rPr>
          <w:szCs w:val="18"/>
        </w:rPr>
        <w:t>me s’il est vrai que la guerre d’Indépendance américaine a contribué aux difficultés fina</w:t>
      </w:r>
      <w:r w:rsidRPr="00031E0E">
        <w:rPr>
          <w:szCs w:val="18"/>
        </w:rPr>
        <w:t>n</w:t>
      </w:r>
      <w:r w:rsidRPr="00031E0E">
        <w:rPr>
          <w:szCs w:val="18"/>
        </w:rPr>
        <w:t>cières de la monarchie française, on ne tient là qu’une dimension d’un processus de crise plus complexe ; alors qu’il a été décisif pour la r</w:t>
      </w:r>
      <w:r w:rsidRPr="00031E0E">
        <w:rPr>
          <w:szCs w:val="18"/>
        </w:rPr>
        <w:t>é</w:t>
      </w:r>
      <w:r w:rsidRPr="00031E0E">
        <w:rPr>
          <w:szCs w:val="18"/>
        </w:rPr>
        <w:t>vol</w:t>
      </w:r>
      <w:r w:rsidRPr="00031E0E">
        <w:rPr>
          <w:szCs w:val="18"/>
        </w:rPr>
        <w:t>u</w:t>
      </w:r>
      <w:r w:rsidRPr="00031E0E">
        <w:rPr>
          <w:szCs w:val="18"/>
        </w:rPr>
        <w:t>tion russe, le contexte international a eu un impact plus limité sur la Révolution française, comme Theda Skocpol le reconnaît dans son t</w:t>
      </w:r>
      <w:r w:rsidRPr="00031E0E">
        <w:rPr>
          <w:szCs w:val="18"/>
        </w:rPr>
        <w:t>a</w:t>
      </w:r>
      <w:r w:rsidRPr="00031E0E">
        <w:rPr>
          <w:szCs w:val="18"/>
        </w:rPr>
        <w:t>bleau synoptique de la p. 155. Et il ne nous semble pas non plus que l’explication de la Révolution française soit enrichie par l’affirmation selon laquelle « le contrôle par l’État du développement économ</w:t>
      </w:r>
      <w:r w:rsidRPr="00031E0E">
        <w:rPr>
          <w:szCs w:val="18"/>
        </w:rPr>
        <w:t>i</w:t>
      </w:r>
      <w:r w:rsidRPr="00031E0E">
        <w:rPr>
          <w:szCs w:val="18"/>
        </w:rPr>
        <w:t>que national n’était pas encore une po</w:t>
      </w:r>
      <w:r w:rsidRPr="00031E0E">
        <w:rPr>
          <w:szCs w:val="18"/>
        </w:rPr>
        <w:t>s</w:t>
      </w:r>
      <w:r w:rsidRPr="00031E0E">
        <w:rPr>
          <w:szCs w:val="18"/>
        </w:rPr>
        <w:t>sibilité historique mondiale » (1979, p. 282).</w:t>
      </w:r>
    </w:p>
    <w:p w14:paraId="32CE252A" w14:textId="77777777" w:rsidR="006C5FDB" w:rsidRPr="00031E0E" w:rsidRDefault="006C5FDB" w:rsidP="006C5FDB">
      <w:pPr>
        <w:spacing w:before="120" w:after="120"/>
        <w:jc w:val="both"/>
      </w:pPr>
      <w:r w:rsidRPr="00031E0E">
        <w:rPr>
          <w:szCs w:val="18"/>
        </w:rPr>
        <w:t>En revanche – et c’est pour nous le second apport impo</w:t>
      </w:r>
      <w:r w:rsidRPr="00031E0E">
        <w:rPr>
          <w:szCs w:val="18"/>
        </w:rPr>
        <w:t>r</w:t>
      </w:r>
      <w:r w:rsidRPr="00031E0E">
        <w:rPr>
          <w:szCs w:val="18"/>
        </w:rPr>
        <w:t>tant de son livre – Theda Skocpol a su mettre en évidence les conditions favor</w:t>
      </w:r>
      <w:r w:rsidRPr="00031E0E">
        <w:rPr>
          <w:szCs w:val="18"/>
        </w:rPr>
        <w:t>a</w:t>
      </w:r>
      <w:r w:rsidRPr="00031E0E">
        <w:rPr>
          <w:szCs w:val="18"/>
        </w:rPr>
        <w:t>bles aux soulèv</w:t>
      </w:r>
      <w:r w:rsidRPr="00031E0E">
        <w:rPr>
          <w:szCs w:val="18"/>
        </w:rPr>
        <w:t>e</w:t>
      </w:r>
      <w:r w:rsidRPr="00031E0E">
        <w:rPr>
          <w:szCs w:val="18"/>
        </w:rPr>
        <w:t>ments paysans qui seraient, rappelons-le, au nombre de trois : la solidarité des communautés paysannes, leur a</w:t>
      </w:r>
      <w:r w:rsidRPr="00031E0E">
        <w:rPr>
          <w:szCs w:val="18"/>
        </w:rPr>
        <w:t>u</w:t>
      </w:r>
      <w:r w:rsidRPr="00031E0E">
        <w:rPr>
          <w:szCs w:val="18"/>
        </w:rPr>
        <w:t>tonomie par rapport à la surveillance directe des seigneurs, c’est-à-dire deux fa</w:t>
      </w:r>
      <w:r w:rsidRPr="00031E0E">
        <w:rPr>
          <w:szCs w:val="18"/>
        </w:rPr>
        <w:t>c</w:t>
      </w:r>
      <w:r w:rsidRPr="00031E0E">
        <w:rPr>
          <w:szCs w:val="18"/>
        </w:rPr>
        <w:t>teurs structurels, et le relâchement des c</w:t>
      </w:r>
      <w:r w:rsidRPr="00031E0E">
        <w:rPr>
          <w:szCs w:val="18"/>
        </w:rPr>
        <w:t>a</w:t>
      </w:r>
      <w:r w:rsidRPr="00031E0E">
        <w:rPr>
          <w:szCs w:val="18"/>
        </w:rPr>
        <w:t>pacités coercitives de l’État, qui représente l’aspect conjoncturel, lié à la crise pol</w:t>
      </w:r>
      <w:r w:rsidRPr="00031E0E">
        <w:rPr>
          <w:szCs w:val="18"/>
        </w:rPr>
        <w:t>i</w:t>
      </w:r>
      <w:r w:rsidRPr="00031E0E">
        <w:rPr>
          <w:szCs w:val="18"/>
        </w:rPr>
        <w:t>tique. Elle va ainsi plus loin dans le sens de la précision que l’anthropologue Eric Wolf, un autre</w:t>
      </w:r>
      <w:r>
        <w:rPr>
          <w:szCs w:val="18"/>
        </w:rPr>
        <w:t xml:space="preserve"> </w:t>
      </w:r>
      <w:r w:rsidRPr="00031E0E">
        <w:t>[675]</w:t>
      </w:r>
      <w:r>
        <w:t xml:space="preserve"> </w:t>
      </w:r>
      <w:r w:rsidRPr="00031E0E">
        <w:rPr>
          <w:szCs w:val="18"/>
        </w:rPr>
        <w:t>adepte de la m</w:t>
      </w:r>
      <w:r w:rsidRPr="00031E0E">
        <w:rPr>
          <w:szCs w:val="18"/>
        </w:rPr>
        <w:t>é</w:t>
      </w:r>
      <w:r w:rsidRPr="00031E0E">
        <w:rPr>
          <w:szCs w:val="18"/>
        </w:rPr>
        <w:t>thode comparative socio-historique</w:t>
      </w:r>
      <w:r>
        <w:rPr>
          <w:szCs w:val="18"/>
        </w:rPr>
        <w:t> </w:t>
      </w:r>
      <w:r>
        <w:rPr>
          <w:rStyle w:val="Appelnotedebasdep"/>
          <w:szCs w:val="18"/>
        </w:rPr>
        <w:footnoteReference w:id="53"/>
      </w:r>
      <w:r w:rsidRPr="00031E0E">
        <w:rPr>
          <w:szCs w:val="18"/>
        </w:rPr>
        <w:t>, qui se contente d’insister sur l’interaction entre « l’extension et la diffusion mondiale d’un système culturel partic</w:t>
      </w:r>
      <w:r w:rsidRPr="00031E0E">
        <w:rPr>
          <w:szCs w:val="18"/>
        </w:rPr>
        <w:t>u</w:t>
      </w:r>
      <w:r w:rsidRPr="00031E0E">
        <w:rPr>
          <w:szCs w:val="18"/>
        </w:rPr>
        <w:t>lier, le c</w:t>
      </w:r>
      <w:r w:rsidRPr="00031E0E">
        <w:rPr>
          <w:szCs w:val="18"/>
        </w:rPr>
        <w:t>a</w:t>
      </w:r>
      <w:r w:rsidRPr="00031E0E">
        <w:rPr>
          <w:szCs w:val="18"/>
        </w:rPr>
        <w:t>pitalisme nord-atlantique » (1974, p. 285) et les « réactions de défe</w:t>
      </w:r>
      <w:r w:rsidRPr="00031E0E">
        <w:rPr>
          <w:szCs w:val="18"/>
        </w:rPr>
        <w:t>n</w:t>
      </w:r>
      <w:r w:rsidRPr="00031E0E">
        <w:rPr>
          <w:szCs w:val="18"/>
        </w:rPr>
        <w:t>se » (p. 291) du monde paysan traditionnel</w:t>
      </w:r>
      <w:r>
        <w:rPr>
          <w:szCs w:val="18"/>
        </w:rPr>
        <w:t> </w:t>
      </w:r>
      <w:r>
        <w:rPr>
          <w:rStyle w:val="Appelnotedebasdep"/>
          <w:szCs w:val="18"/>
        </w:rPr>
        <w:footnoteReference w:id="54"/>
      </w:r>
      <w:r w:rsidRPr="00031E0E">
        <w:rPr>
          <w:szCs w:val="18"/>
        </w:rPr>
        <w:t xml:space="preserve"> ; plus encore, elle corrige le principe central d’analyse, en voyant dans la </w:t>
      </w:r>
      <w:r w:rsidRPr="00031E0E">
        <w:rPr>
          <w:i/>
          <w:iCs/>
          <w:szCs w:val="18"/>
        </w:rPr>
        <w:t>préserv</w:t>
      </w:r>
      <w:r w:rsidRPr="00031E0E">
        <w:rPr>
          <w:i/>
          <w:iCs/>
          <w:szCs w:val="18"/>
        </w:rPr>
        <w:t>a</w:t>
      </w:r>
      <w:r w:rsidRPr="00031E0E">
        <w:rPr>
          <w:i/>
          <w:iCs/>
          <w:szCs w:val="18"/>
        </w:rPr>
        <w:t xml:space="preserve">tion </w:t>
      </w:r>
      <w:r w:rsidRPr="00031E0E">
        <w:rPr>
          <w:szCs w:val="18"/>
        </w:rPr>
        <w:t>des communautés et organisations traditionnelles (le cas de l’</w:t>
      </w:r>
      <w:r w:rsidRPr="00031E0E">
        <w:rPr>
          <w:i/>
          <w:iCs/>
          <w:szCs w:val="18"/>
        </w:rPr>
        <w:t xml:space="preserve">obshchina </w:t>
      </w:r>
      <w:r w:rsidRPr="00031E0E">
        <w:rPr>
          <w:szCs w:val="18"/>
        </w:rPr>
        <w:t>russe est ici révélateur) et non plus dans leur déstabilis</w:t>
      </w:r>
      <w:r w:rsidRPr="00031E0E">
        <w:rPr>
          <w:szCs w:val="18"/>
        </w:rPr>
        <w:t>a</w:t>
      </w:r>
      <w:r w:rsidRPr="00031E0E">
        <w:rPr>
          <w:szCs w:val="18"/>
        </w:rPr>
        <w:t>tion des circonstances propices aux so</w:t>
      </w:r>
      <w:r w:rsidRPr="00031E0E">
        <w:rPr>
          <w:szCs w:val="18"/>
        </w:rPr>
        <w:t>u</w:t>
      </w:r>
      <w:r w:rsidRPr="00031E0E">
        <w:rPr>
          <w:szCs w:val="18"/>
        </w:rPr>
        <w:t>lèvements révolutionnaires de la paysannerie. De plus, cette reconnaissance de l’importance des structures agraires n’est ici ent</w:t>
      </w:r>
      <w:r w:rsidRPr="00031E0E">
        <w:rPr>
          <w:szCs w:val="18"/>
        </w:rPr>
        <w:t>a</w:t>
      </w:r>
      <w:r w:rsidRPr="00031E0E">
        <w:rPr>
          <w:szCs w:val="18"/>
        </w:rPr>
        <w:t xml:space="preserve">chée d’aucun « économisme », à la différence de Jeffery Paige qui, dans </w:t>
      </w:r>
      <w:r w:rsidRPr="00031E0E">
        <w:rPr>
          <w:i/>
          <w:iCs/>
          <w:szCs w:val="18"/>
        </w:rPr>
        <w:t xml:space="preserve">Agrarian Revolution </w:t>
      </w:r>
      <w:r w:rsidRPr="00031E0E">
        <w:rPr>
          <w:szCs w:val="18"/>
        </w:rPr>
        <w:t>(1975), s’efforce de construire un modèle original d’explication des mouv</w:t>
      </w:r>
      <w:r w:rsidRPr="00031E0E">
        <w:rPr>
          <w:szCs w:val="18"/>
        </w:rPr>
        <w:t>e</w:t>
      </w:r>
      <w:r w:rsidRPr="00031E0E">
        <w:rPr>
          <w:szCs w:val="18"/>
        </w:rPr>
        <w:t>ments paysans, et en part</w:t>
      </w:r>
      <w:r w:rsidRPr="00031E0E">
        <w:rPr>
          <w:szCs w:val="18"/>
        </w:rPr>
        <w:t>i</w:t>
      </w:r>
      <w:r w:rsidRPr="00031E0E">
        <w:rPr>
          <w:szCs w:val="18"/>
        </w:rPr>
        <w:t>culier des mouvements révolutionnaires, uniquement à partir des formes de pr</w:t>
      </w:r>
      <w:r w:rsidRPr="00031E0E">
        <w:rPr>
          <w:szCs w:val="18"/>
        </w:rPr>
        <w:t>o</w:t>
      </w:r>
      <w:r w:rsidRPr="00031E0E">
        <w:rPr>
          <w:szCs w:val="18"/>
        </w:rPr>
        <w:t>priété des terres agricoles et des types de revenus que r</w:t>
      </w:r>
      <w:r w:rsidRPr="00031E0E">
        <w:rPr>
          <w:szCs w:val="18"/>
        </w:rPr>
        <w:t>e</w:t>
      </w:r>
      <w:r w:rsidRPr="00031E0E">
        <w:rPr>
          <w:szCs w:val="18"/>
        </w:rPr>
        <w:t>çoivent les propriétaires fonciers d’une part, ceux qui cultivent la terre de l’autre</w:t>
      </w:r>
      <w:r>
        <w:rPr>
          <w:szCs w:val="18"/>
        </w:rPr>
        <w:t> </w:t>
      </w:r>
      <w:r>
        <w:rPr>
          <w:rStyle w:val="Appelnotedebasdep"/>
          <w:szCs w:val="18"/>
        </w:rPr>
        <w:footnoteReference w:id="55"/>
      </w:r>
      <w:r w:rsidRPr="00031E0E">
        <w:rPr>
          <w:szCs w:val="18"/>
        </w:rPr>
        <w:t> : Th</w:t>
      </w:r>
      <w:r w:rsidRPr="00031E0E">
        <w:rPr>
          <w:szCs w:val="18"/>
        </w:rPr>
        <w:t>e</w:t>
      </w:r>
      <w:r w:rsidRPr="00031E0E">
        <w:rPr>
          <w:szCs w:val="18"/>
        </w:rPr>
        <w:t>da Skocpol lui reproche justement, à notre sens, ce « déterminisme étroitement écon</w:t>
      </w:r>
      <w:r w:rsidRPr="00031E0E">
        <w:rPr>
          <w:szCs w:val="18"/>
        </w:rPr>
        <w:t>o</w:t>
      </w:r>
      <w:r w:rsidRPr="00031E0E">
        <w:rPr>
          <w:szCs w:val="18"/>
        </w:rPr>
        <w:t>mique », qui s’accompagne d’une réintroduction subreptice, notamment dans les études de cas en profondeur</w:t>
      </w:r>
      <w:r>
        <w:rPr>
          <w:szCs w:val="18"/>
        </w:rPr>
        <w:t> </w:t>
      </w:r>
      <w:r>
        <w:rPr>
          <w:rStyle w:val="Appelnotedebasdep"/>
          <w:szCs w:val="18"/>
        </w:rPr>
        <w:footnoteReference w:id="56"/>
      </w:r>
      <w:r w:rsidRPr="00031E0E">
        <w:rPr>
          <w:szCs w:val="18"/>
        </w:rPr>
        <w:t>, des indispensables « facteurs rel</w:t>
      </w:r>
      <w:r w:rsidRPr="00031E0E">
        <w:rPr>
          <w:szCs w:val="18"/>
        </w:rPr>
        <w:t>a</w:t>
      </w:r>
      <w:r w:rsidRPr="00031E0E">
        <w:rPr>
          <w:szCs w:val="18"/>
        </w:rPr>
        <w:t>tifs à la structure s</w:t>
      </w:r>
      <w:r w:rsidRPr="00031E0E">
        <w:rPr>
          <w:szCs w:val="18"/>
        </w:rPr>
        <w:t>o</w:t>
      </w:r>
      <w:r w:rsidRPr="00031E0E">
        <w:rPr>
          <w:szCs w:val="18"/>
        </w:rPr>
        <w:t>ciale et à l’organisation politique » (1979, p. 319, n. 11). Enfin, en soul</w:t>
      </w:r>
      <w:r w:rsidRPr="00031E0E">
        <w:rPr>
          <w:szCs w:val="18"/>
        </w:rPr>
        <w:t>i</w:t>
      </w:r>
      <w:r w:rsidRPr="00031E0E">
        <w:rPr>
          <w:szCs w:val="18"/>
        </w:rPr>
        <w:t>gnant l’importance primordiale des institutions familiales et comm</w:t>
      </w:r>
      <w:r w:rsidRPr="00031E0E">
        <w:rPr>
          <w:szCs w:val="18"/>
        </w:rPr>
        <w:t>u</w:t>
      </w:r>
      <w:r w:rsidRPr="00031E0E">
        <w:rPr>
          <w:szCs w:val="18"/>
        </w:rPr>
        <w:t>nautaires (p. 116), elle évite de s’enfermer dans le débat, en grande pa</w:t>
      </w:r>
      <w:r w:rsidRPr="00031E0E">
        <w:rPr>
          <w:szCs w:val="18"/>
        </w:rPr>
        <w:t>r</w:t>
      </w:r>
      <w:r w:rsidRPr="00031E0E">
        <w:rPr>
          <w:szCs w:val="18"/>
        </w:rPr>
        <w:t>tie illusoire, sur la question de savoir si ce sont les paysans pauvres ou au contraire les paysans moyens, comme le so</w:t>
      </w:r>
      <w:r w:rsidRPr="00031E0E">
        <w:rPr>
          <w:szCs w:val="18"/>
        </w:rPr>
        <w:t>u</w:t>
      </w:r>
      <w:r w:rsidRPr="00031E0E">
        <w:rPr>
          <w:szCs w:val="18"/>
        </w:rPr>
        <w:t>tient Eric Wolf (1974, p. 300)</w:t>
      </w:r>
      <w:r>
        <w:rPr>
          <w:szCs w:val="18"/>
        </w:rPr>
        <w:t> </w:t>
      </w:r>
      <w:r>
        <w:rPr>
          <w:rStyle w:val="Appelnotedebasdep"/>
          <w:szCs w:val="18"/>
        </w:rPr>
        <w:footnoteReference w:id="57"/>
      </w:r>
      <w:r w:rsidRPr="00031E0E">
        <w:rPr>
          <w:szCs w:val="18"/>
        </w:rPr>
        <w:t>, qui sont les plus susceptibles de d</w:t>
      </w:r>
      <w:r w:rsidRPr="00031E0E">
        <w:rPr>
          <w:szCs w:val="18"/>
        </w:rPr>
        <w:t>e</w:t>
      </w:r>
      <w:r w:rsidRPr="00031E0E">
        <w:rPr>
          <w:szCs w:val="18"/>
        </w:rPr>
        <w:t>venir révol</w:t>
      </w:r>
      <w:r w:rsidRPr="00031E0E">
        <w:rPr>
          <w:szCs w:val="18"/>
        </w:rPr>
        <w:t>u</w:t>
      </w:r>
      <w:r w:rsidRPr="00031E0E">
        <w:rPr>
          <w:szCs w:val="18"/>
        </w:rPr>
        <w:t>tionnaires : tout dépend en dernière analyse du contexte institutio</w:t>
      </w:r>
      <w:r w:rsidRPr="00031E0E">
        <w:rPr>
          <w:szCs w:val="18"/>
        </w:rPr>
        <w:t>n</w:t>
      </w:r>
      <w:r w:rsidRPr="00031E0E">
        <w:rPr>
          <w:szCs w:val="18"/>
        </w:rPr>
        <w:t>nel dans lequel les paysans se trouvent placés ainsi que du degré d’hostilité envers les seigneurs, susceptible de faire de la solid</w:t>
      </w:r>
      <w:r w:rsidRPr="00031E0E">
        <w:rPr>
          <w:szCs w:val="18"/>
        </w:rPr>
        <w:t>a</w:t>
      </w:r>
      <w:r w:rsidRPr="00031E0E">
        <w:rPr>
          <w:szCs w:val="18"/>
        </w:rPr>
        <w:t>rité paysanne, quand elle existe, une base de mobilisation contre ces derniers. En définitive Theda Sko</w:t>
      </w:r>
      <w:r w:rsidRPr="00031E0E">
        <w:rPr>
          <w:szCs w:val="18"/>
        </w:rPr>
        <w:t>c</w:t>
      </w:r>
      <w:r w:rsidRPr="00031E0E">
        <w:rPr>
          <w:szCs w:val="18"/>
        </w:rPr>
        <w:t>pol a largement contribué à mettre en évidence le fait qu’il n’est pas de grande révolution sans soulèv</w:t>
      </w:r>
      <w:r w:rsidRPr="00031E0E">
        <w:rPr>
          <w:szCs w:val="18"/>
        </w:rPr>
        <w:t>e</w:t>
      </w:r>
      <w:r w:rsidRPr="00031E0E">
        <w:rPr>
          <w:szCs w:val="18"/>
        </w:rPr>
        <w:t>ments révolutionnaires de la paysann</w:t>
      </w:r>
      <w:r w:rsidRPr="00031E0E">
        <w:rPr>
          <w:szCs w:val="18"/>
        </w:rPr>
        <w:t>e</w:t>
      </w:r>
      <w:r w:rsidRPr="00031E0E">
        <w:rPr>
          <w:szCs w:val="18"/>
        </w:rPr>
        <w:t>rie ; et, si l’on tient compte de</w:t>
      </w:r>
      <w:r>
        <w:rPr>
          <w:szCs w:val="18"/>
        </w:rPr>
        <w:t xml:space="preserve"> </w:t>
      </w:r>
      <w:r w:rsidRPr="00031E0E">
        <w:rPr>
          <w:szCs w:val="18"/>
        </w:rPr>
        <w:t>[676]</w:t>
      </w:r>
      <w:r>
        <w:rPr>
          <w:szCs w:val="18"/>
        </w:rPr>
        <w:t xml:space="preserve"> </w:t>
      </w:r>
      <w:r w:rsidRPr="00031E0E">
        <w:rPr>
          <w:szCs w:val="18"/>
        </w:rPr>
        <w:t>l’attention acco</w:t>
      </w:r>
      <w:r w:rsidRPr="00031E0E">
        <w:rPr>
          <w:szCs w:val="18"/>
        </w:rPr>
        <w:t>r</w:t>
      </w:r>
      <w:r w:rsidRPr="00031E0E">
        <w:rPr>
          <w:szCs w:val="18"/>
        </w:rPr>
        <w:t>dée par Barrington Moore aux relations entre « seigneur et paysan » comme de l’objet d’étude spéc</w:t>
      </w:r>
      <w:r w:rsidRPr="00031E0E">
        <w:rPr>
          <w:szCs w:val="18"/>
        </w:rPr>
        <w:t>i</w:t>
      </w:r>
      <w:r w:rsidRPr="00031E0E">
        <w:rPr>
          <w:szCs w:val="18"/>
        </w:rPr>
        <w:t>fique de Wolf, on doit admettre que les analyses comparat</w:t>
      </w:r>
      <w:r w:rsidRPr="00031E0E">
        <w:rPr>
          <w:szCs w:val="18"/>
        </w:rPr>
        <w:t>i</w:t>
      </w:r>
      <w:r w:rsidRPr="00031E0E">
        <w:rPr>
          <w:szCs w:val="18"/>
        </w:rPr>
        <w:t>ves socio-historiques ont aidé à mieux comprendre le rôle et l’importance de la paysannerie dans les révolutions.</w:t>
      </w:r>
    </w:p>
    <w:p w14:paraId="29749427" w14:textId="77777777" w:rsidR="006C5FDB" w:rsidRPr="00031E0E" w:rsidRDefault="006C5FDB" w:rsidP="006C5FDB">
      <w:pPr>
        <w:spacing w:before="120" w:after="120"/>
        <w:jc w:val="both"/>
      </w:pPr>
      <w:r w:rsidRPr="00031E0E">
        <w:rPr>
          <w:szCs w:val="18"/>
        </w:rPr>
        <w:t>Peut-être pourrait-on s’étonner en revanche de leur étonnante di</w:t>
      </w:r>
      <w:r w:rsidRPr="00031E0E">
        <w:rPr>
          <w:szCs w:val="18"/>
        </w:rPr>
        <w:t>s</w:t>
      </w:r>
      <w:r w:rsidRPr="00031E0E">
        <w:rPr>
          <w:szCs w:val="18"/>
        </w:rPr>
        <w:t>crétion sur les facteurs culturels, liés à l’émergence d’une révolution ou tendant au contraire à la rendre peu vraisemblable, si ce n’est qu</w:t>
      </w:r>
      <w:r w:rsidRPr="00031E0E">
        <w:rPr>
          <w:szCs w:val="18"/>
        </w:rPr>
        <w:t>a</w:t>
      </w:r>
      <w:r w:rsidRPr="00031E0E">
        <w:rPr>
          <w:szCs w:val="18"/>
        </w:rPr>
        <w:t>siment impossible ; car c’est précisément le type de question auquel la méthode comparative semble capable de répondre. Eisenstadt a fait un pas dans cette direction en analysant les modèles de chang</w:t>
      </w:r>
      <w:r w:rsidRPr="00031E0E">
        <w:rPr>
          <w:szCs w:val="18"/>
        </w:rPr>
        <w:t>e</w:t>
      </w:r>
      <w:r w:rsidRPr="00031E0E">
        <w:rPr>
          <w:szCs w:val="18"/>
        </w:rPr>
        <w:t>ment dans les sociétés traditionnelles pré-modernes et en opposant à un mod</w:t>
      </w:r>
      <w:r w:rsidRPr="00031E0E">
        <w:rPr>
          <w:szCs w:val="18"/>
        </w:rPr>
        <w:t>è</w:t>
      </w:r>
      <w:r w:rsidRPr="00031E0E">
        <w:rPr>
          <w:szCs w:val="18"/>
        </w:rPr>
        <w:t xml:space="preserve">le de changements dissociés </w:t>
      </w:r>
      <w:r w:rsidRPr="00031E0E">
        <w:rPr>
          <w:i/>
          <w:iCs/>
          <w:szCs w:val="18"/>
        </w:rPr>
        <w:t>(segregat</w:t>
      </w:r>
      <w:r w:rsidRPr="00031E0E">
        <w:rPr>
          <w:i/>
          <w:iCs/>
          <w:szCs w:val="18"/>
        </w:rPr>
        <w:t>i</w:t>
      </w:r>
      <w:r w:rsidRPr="00031E0E">
        <w:rPr>
          <w:i/>
          <w:iCs/>
          <w:szCs w:val="18"/>
        </w:rPr>
        <w:t xml:space="preserve">ve), </w:t>
      </w:r>
      <w:r w:rsidRPr="00031E0E">
        <w:rPr>
          <w:szCs w:val="18"/>
        </w:rPr>
        <w:t xml:space="preserve">caractéristique des régimes patrimoniaux, un modèle de changements conjoints </w:t>
      </w:r>
      <w:r w:rsidRPr="00031E0E">
        <w:rPr>
          <w:i/>
          <w:iCs/>
          <w:szCs w:val="18"/>
        </w:rPr>
        <w:t xml:space="preserve">(coalescent), </w:t>
      </w:r>
      <w:r w:rsidRPr="00031E0E">
        <w:rPr>
          <w:szCs w:val="18"/>
        </w:rPr>
        <w:t>t</w:t>
      </w:r>
      <w:r w:rsidRPr="00031E0E">
        <w:rPr>
          <w:szCs w:val="18"/>
        </w:rPr>
        <w:t>y</w:t>
      </w:r>
      <w:r w:rsidRPr="00031E0E">
        <w:rPr>
          <w:szCs w:val="18"/>
        </w:rPr>
        <w:t>pique des systèmes impériaux ou impériaux-féodaux et précis</w:t>
      </w:r>
      <w:r w:rsidRPr="00031E0E">
        <w:rPr>
          <w:szCs w:val="18"/>
        </w:rPr>
        <w:t>é</w:t>
      </w:r>
      <w:r w:rsidRPr="00031E0E">
        <w:rPr>
          <w:szCs w:val="18"/>
        </w:rPr>
        <w:t>ment reconnaissable à la « convergence et l’intégration pou</w:t>
      </w:r>
      <w:r w:rsidRPr="00031E0E">
        <w:rPr>
          <w:szCs w:val="18"/>
        </w:rPr>
        <w:t>s</w:t>
      </w:r>
      <w:r w:rsidRPr="00031E0E">
        <w:rPr>
          <w:szCs w:val="18"/>
        </w:rPr>
        <w:t>sées des divers mouvements de protestation et de lutte pol</w:t>
      </w:r>
      <w:r w:rsidRPr="00031E0E">
        <w:rPr>
          <w:szCs w:val="18"/>
        </w:rPr>
        <w:t>i</w:t>
      </w:r>
      <w:r w:rsidRPr="00031E0E">
        <w:rPr>
          <w:szCs w:val="18"/>
        </w:rPr>
        <w:t>tique » (1978, p. 74)</w:t>
      </w:r>
      <w:r>
        <w:rPr>
          <w:szCs w:val="18"/>
        </w:rPr>
        <w:t> </w:t>
      </w:r>
      <w:r>
        <w:rPr>
          <w:rStyle w:val="Appelnotedebasdep"/>
          <w:szCs w:val="18"/>
        </w:rPr>
        <w:footnoteReference w:id="58"/>
      </w:r>
      <w:r w:rsidRPr="00031E0E">
        <w:rPr>
          <w:szCs w:val="18"/>
        </w:rPr>
        <w:t> ; or, pour Eisenstadt, ce second modèle de changement, qui seul permet des transformations profondes aux plans social et polit</w:t>
      </w:r>
      <w:r w:rsidRPr="00031E0E">
        <w:rPr>
          <w:szCs w:val="18"/>
        </w:rPr>
        <w:t>i</w:t>
      </w:r>
      <w:r w:rsidRPr="00031E0E">
        <w:rPr>
          <w:szCs w:val="18"/>
        </w:rPr>
        <w:t>que et donc, le cas échéant, l’apparition d’une révolution, est lié à des orientations culturelles bien déterminées : la prédisposition à ce type de chang</w:t>
      </w:r>
      <w:r w:rsidRPr="00031E0E">
        <w:rPr>
          <w:szCs w:val="18"/>
        </w:rPr>
        <w:t>e</w:t>
      </w:r>
      <w:r w:rsidRPr="00031E0E">
        <w:rPr>
          <w:szCs w:val="18"/>
        </w:rPr>
        <w:t>ments gl</w:t>
      </w:r>
      <w:r w:rsidRPr="00031E0E">
        <w:rPr>
          <w:szCs w:val="18"/>
        </w:rPr>
        <w:t>o</w:t>
      </w:r>
      <w:r w:rsidRPr="00031E0E">
        <w:rPr>
          <w:szCs w:val="18"/>
        </w:rPr>
        <w:t>baux serait en effet plus marquée dans les sociétés dont l’univers culturel se caractérise par « une tension aiguë entre l’ordre transcendant et l’ordre du monde, une orientation intra-mondaine rel</w:t>
      </w:r>
      <w:r w:rsidRPr="00031E0E">
        <w:rPr>
          <w:szCs w:val="18"/>
        </w:rPr>
        <w:t>a</w:t>
      </w:r>
      <w:r w:rsidRPr="00031E0E">
        <w:rPr>
          <w:szCs w:val="18"/>
        </w:rPr>
        <w:t>tivement forte pour la résolution de cette tension et/ou un d</w:t>
      </w:r>
      <w:r w:rsidRPr="00031E0E">
        <w:rPr>
          <w:szCs w:val="18"/>
        </w:rPr>
        <w:t>e</w:t>
      </w:r>
      <w:r w:rsidRPr="00031E0E">
        <w:rPr>
          <w:szCs w:val="18"/>
        </w:rPr>
        <w:t>gré d’engagement à l’égard de ces ordres, qui ne (sont) pas considérés comme donnés » (1978, p. 100). Eisenstadt ouvre ainsi une perspect</w:t>
      </w:r>
      <w:r w:rsidRPr="00031E0E">
        <w:rPr>
          <w:szCs w:val="18"/>
        </w:rPr>
        <w:t>i</w:t>
      </w:r>
      <w:r w:rsidRPr="00031E0E">
        <w:rPr>
          <w:szCs w:val="18"/>
        </w:rPr>
        <w:t>ve d’analyse, dont l’intérêt théorique ne paraît guère discut</w:t>
      </w:r>
      <w:r w:rsidRPr="00031E0E">
        <w:rPr>
          <w:szCs w:val="18"/>
        </w:rPr>
        <w:t>a</w:t>
      </w:r>
      <w:r w:rsidRPr="00031E0E">
        <w:rPr>
          <w:szCs w:val="18"/>
        </w:rPr>
        <w:t>ble, mais dans son livre il se contente de la pr</w:t>
      </w:r>
      <w:r w:rsidRPr="00031E0E">
        <w:rPr>
          <w:szCs w:val="18"/>
        </w:rPr>
        <w:t>é</w:t>
      </w:r>
      <w:r w:rsidRPr="00031E0E">
        <w:rPr>
          <w:szCs w:val="18"/>
        </w:rPr>
        <w:t>senter à un niveau très général, en dépit de la multiplicité des illustrations prop</w:t>
      </w:r>
      <w:r w:rsidRPr="00031E0E">
        <w:rPr>
          <w:szCs w:val="18"/>
        </w:rPr>
        <w:t>o</w:t>
      </w:r>
      <w:r w:rsidRPr="00031E0E">
        <w:rPr>
          <w:szCs w:val="18"/>
        </w:rPr>
        <w:t>sées, ce qui limite son apport – actuel – à la compréhension du phénomène et lai</w:t>
      </w:r>
      <w:r w:rsidRPr="00031E0E">
        <w:rPr>
          <w:szCs w:val="18"/>
        </w:rPr>
        <w:t>s</w:t>
      </w:r>
      <w:r w:rsidRPr="00031E0E">
        <w:rPr>
          <w:szCs w:val="18"/>
        </w:rPr>
        <w:t>se même à son lecteur quelque d</w:t>
      </w:r>
      <w:r w:rsidRPr="00031E0E">
        <w:rPr>
          <w:szCs w:val="18"/>
        </w:rPr>
        <w:t>é</w:t>
      </w:r>
      <w:r w:rsidRPr="00031E0E">
        <w:rPr>
          <w:szCs w:val="18"/>
        </w:rPr>
        <w:t>ception. Eisenstadt n’en démontre pas moins la possibilité, sinon encore la pertinence, d’une étude – au moins partie</w:t>
      </w:r>
      <w:r w:rsidRPr="00031E0E">
        <w:rPr>
          <w:szCs w:val="18"/>
        </w:rPr>
        <w:t>l</w:t>
      </w:r>
      <w:r w:rsidRPr="00031E0E">
        <w:rPr>
          <w:szCs w:val="18"/>
        </w:rPr>
        <w:t>le</w:t>
      </w:r>
      <w:r>
        <w:rPr>
          <w:szCs w:val="18"/>
        </w:rPr>
        <w:t> </w:t>
      </w:r>
      <w:r>
        <w:rPr>
          <w:rStyle w:val="Appelnotedebasdep"/>
          <w:szCs w:val="18"/>
        </w:rPr>
        <w:footnoteReference w:id="59"/>
      </w:r>
      <w:r w:rsidRPr="00031E0E">
        <w:rPr>
          <w:szCs w:val="18"/>
        </w:rPr>
        <w:t xml:space="preserve"> – de la révolution en termes cult</w:t>
      </w:r>
      <w:r w:rsidRPr="00031E0E">
        <w:rPr>
          <w:szCs w:val="18"/>
        </w:rPr>
        <w:t>u</w:t>
      </w:r>
      <w:r w:rsidRPr="00031E0E">
        <w:rPr>
          <w:szCs w:val="18"/>
        </w:rPr>
        <w:t>rels ; et il est clair tout à la fois que ni Barrington Moore ni Theda Skocpol ne se sont intéressés à ce</w:t>
      </w:r>
      <w:r w:rsidRPr="00031E0E">
        <w:rPr>
          <w:szCs w:val="18"/>
        </w:rPr>
        <w:t>t</w:t>
      </w:r>
      <w:r w:rsidRPr="00031E0E">
        <w:rPr>
          <w:szCs w:val="18"/>
        </w:rPr>
        <w:t>te dimension et que leurs modèles respectifs ne se pr</w:t>
      </w:r>
      <w:r w:rsidRPr="00031E0E">
        <w:rPr>
          <w:szCs w:val="18"/>
        </w:rPr>
        <w:t>ê</w:t>
      </w:r>
      <w:r w:rsidRPr="00031E0E">
        <w:rPr>
          <w:szCs w:val="18"/>
        </w:rPr>
        <w:t>taient guère à sa pr</w:t>
      </w:r>
      <w:r w:rsidRPr="00031E0E">
        <w:rPr>
          <w:szCs w:val="18"/>
        </w:rPr>
        <w:t>i</w:t>
      </w:r>
      <w:r w:rsidRPr="00031E0E">
        <w:rPr>
          <w:szCs w:val="18"/>
        </w:rPr>
        <w:t>se en considération.</w:t>
      </w:r>
    </w:p>
    <w:p w14:paraId="7864521D" w14:textId="77777777" w:rsidR="006C5FDB" w:rsidRPr="00031E0E" w:rsidRDefault="006C5FDB" w:rsidP="006C5FDB">
      <w:pPr>
        <w:spacing w:before="120" w:after="120"/>
        <w:jc w:val="both"/>
      </w:pPr>
      <w:r w:rsidRPr="00031E0E">
        <w:rPr>
          <w:szCs w:val="18"/>
        </w:rPr>
        <w:t>C’est pourtant sur deux autres aspects que porteront nos princip</w:t>
      </w:r>
      <w:r w:rsidRPr="00031E0E">
        <w:rPr>
          <w:szCs w:val="18"/>
        </w:rPr>
        <w:t>a</w:t>
      </w:r>
      <w:r w:rsidRPr="00031E0E">
        <w:rPr>
          <w:szCs w:val="18"/>
        </w:rPr>
        <w:t>les réserves. Tout d’abord la démarche suivie n’est pas sans ambigu</w:t>
      </w:r>
      <w:r w:rsidRPr="00031E0E">
        <w:rPr>
          <w:szCs w:val="18"/>
        </w:rPr>
        <w:t>ï</w:t>
      </w:r>
      <w:r w:rsidRPr="00031E0E">
        <w:rPr>
          <w:szCs w:val="18"/>
        </w:rPr>
        <w:t>tés, dans la mesure où les auteurs présentés ici s’efforcent certes de construire un modèle d’explication appl</w:t>
      </w:r>
      <w:r w:rsidRPr="00031E0E">
        <w:rPr>
          <w:szCs w:val="18"/>
        </w:rPr>
        <w:t>i</w:t>
      </w:r>
      <w:r w:rsidRPr="00031E0E">
        <w:rPr>
          <w:szCs w:val="18"/>
        </w:rPr>
        <w:t xml:space="preserve">cable à l’ensemble des cas retenus mais aussi d’analyser historiquement chaque cas dans sa </w:t>
      </w:r>
      <w:r w:rsidRPr="00031E0E">
        <w:rPr>
          <w:i/>
          <w:iCs/>
          <w:szCs w:val="18"/>
        </w:rPr>
        <w:t>si</w:t>
      </w:r>
      <w:r w:rsidRPr="00031E0E">
        <w:rPr>
          <w:i/>
          <w:iCs/>
          <w:szCs w:val="18"/>
        </w:rPr>
        <w:t>n</w:t>
      </w:r>
      <w:r w:rsidRPr="00031E0E">
        <w:rPr>
          <w:i/>
          <w:iCs/>
          <w:szCs w:val="18"/>
        </w:rPr>
        <w:t>gul</w:t>
      </w:r>
      <w:r w:rsidRPr="00031E0E">
        <w:rPr>
          <w:i/>
          <w:iCs/>
          <w:szCs w:val="18"/>
        </w:rPr>
        <w:t>a</w:t>
      </w:r>
      <w:r w:rsidRPr="00031E0E">
        <w:rPr>
          <w:i/>
          <w:iCs/>
          <w:szCs w:val="18"/>
        </w:rPr>
        <w:t xml:space="preserve">rité. </w:t>
      </w:r>
      <w:r w:rsidRPr="00031E0E">
        <w:rPr>
          <w:szCs w:val="18"/>
        </w:rPr>
        <w:t>Il s’agit là de deux niveaux bien distincts d’analyse, entre lesquels il n’est pas facile de trouver l’équilibre. La b</w:t>
      </w:r>
      <w:r w:rsidRPr="00031E0E">
        <w:rPr>
          <w:szCs w:val="18"/>
        </w:rPr>
        <w:t>a</w:t>
      </w:r>
      <w:r w:rsidRPr="00031E0E">
        <w:rPr>
          <w:szCs w:val="18"/>
        </w:rPr>
        <w:t xml:space="preserve">lance penche souvent du côté des études de cas, comme dans l’ouvrage de Wolf ou encore dans celui de John Dunn, </w:t>
      </w:r>
      <w:r w:rsidRPr="00031E0E">
        <w:rPr>
          <w:i/>
          <w:iCs/>
          <w:szCs w:val="18"/>
        </w:rPr>
        <w:t>M</w:t>
      </w:r>
      <w:r w:rsidRPr="00031E0E">
        <w:rPr>
          <w:i/>
          <w:iCs/>
          <w:szCs w:val="18"/>
        </w:rPr>
        <w:t>o</w:t>
      </w:r>
      <w:r w:rsidRPr="00031E0E">
        <w:rPr>
          <w:i/>
          <w:iCs/>
          <w:szCs w:val="18"/>
        </w:rPr>
        <w:t xml:space="preserve">dern Revolutions </w:t>
      </w:r>
      <w:r w:rsidRPr="00031E0E">
        <w:rPr>
          <w:szCs w:val="18"/>
        </w:rPr>
        <w:t>(1972) ; et, même quand l’équilibre est mieux</w:t>
      </w:r>
      <w:r>
        <w:rPr>
          <w:szCs w:val="18"/>
        </w:rPr>
        <w:t xml:space="preserve"> </w:t>
      </w:r>
      <w:r w:rsidRPr="00031E0E">
        <w:rPr>
          <w:szCs w:val="14"/>
        </w:rPr>
        <w:t>[677]</w:t>
      </w:r>
      <w:r>
        <w:rPr>
          <w:szCs w:val="14"/>
        </w:rPr>
        <w:t xml:space="preserve"> </w:t>
      </w:r>
      <w:r w:rsidRPr="00031E0E">
        <w:rPr>
          <w:szCs w:val="18"/>
        </w:rPr>
        <w:t>respecté, la présentation du modèle global d’explication g</w:t>
      </w:r>
      <w:r w:rsidRPr="00031E0E">
        <w:rPr>
          <w:szCs w:val="18"/>
        </w:rPr>
        <w:t>a</w:t>
      </w:r>
      <w:r w:rsidRPr="00031E0E">
        <w:rPr>
          <w:szCs w:val="18"/>
        </w:rPr>
        <w:t>gnerait à être plus développée et plus rigoureuse : il ne su</w:t>
      </w:r>
      <w:r w:rsidRPr="00031E0E">
        <w:rPr>
          <w:szCs w:val="18"/>
        </w:rPr>
        <w:t>f</w:t>
      </w:r>
      <w:r w:rsidRPr="00031E0E">
        <w:rPr>
          <w:szCs w:val="18"/>
        </w:rPr>
        <w:t>fit pas en effet, comme le fait Theda Skocpol, de préciser la signification des éléments d’interprétation introduits dans chaque chapitre, il faut enc</w:t>
      </w:r>
      <w:r w:rsidRPr="00031E0E">
        <w:rPr>
          <w:szCs w:val="18"/>
        </w:rPr>
        <w:t>o</w:t>
      </w:r>
      <w:r w:rsidRPr="00031E0E">
        <w:rPr>
          <w:szCs w:val="18"/>
        </w:rPr>
        <w:t>re montrer comment ils se combinent et s’organisent en un schéma interprétatif, ce qui n’est pas toujours suff</w:t>
      </w:r>
      <w:r w:rsidRPr="00031E0E">
        <w:rPr>
          <w:szCs w:val="18"/>
        </w:rPr>
        <w:t>i</w:t>
      </w:r>
      <w:r w:rsidRPr="00031E0E">
        <w:rPr>
          <w:szCs w:val="18"/>
        </w:rPr>
        <w:t>samment explicité. C’est sans doute Ba</w:t>
      </w:r>
      <w:r w:rsidRPr="00031E0E">
        <w:rPr>
          <w:szCs w:val="18"/>
        </w:rPr>
        <w:t>r</w:t>
      </w:r>
      <w:r w:rsidRPr="00031E0E">
        <w:rPr>
          <w:szCs w:val="18"/>
        </w:rPr>
        <w:t>rington Moore qui se tire le mieux de cette ambivalence et qui marie le plus harm</w:t>
      </w:r>
      <w:r w:rsidRPr="00031E0E">
        <w:rPr>
          <w:szCs w:val="18"/>
        </w:rPr>
        <w:t>o</w:t>
      </w:r>
      <w:r w:rsidRPr="00031E0E">
        <w:rPr>
          <w:szCs w:val="18"/>
        </w:rPr>
        <w:t>nieusement les deux niveaux d’analyse ; mais peut-être faut-il voir là davantage une preuve de son talent qu’une démonstration de la validité de la méth</w:t>
      </w:r>
      <w:r w:rsidRPr="00031E0E">
        <w:rPr>
          <w:szCs w:val="18"/>
        </w:rPr>
        <w:t>o</w:t>
      </w:r>
      <w:r w:rsidRPr="00031E0E">
        <w:rPr>
          <w:szCs w:val="18"/>
        </w:rPr>
        <w:t>de. Ensuite on peut regretter, alors que cette question affleure à pl</w:t>
      </w:r>
      <w:r w:rsidRPr="00031E0E">
        <w:rPr>
          <w:szCs w:val="18"/>
        </w:rPr>
        <w:t>u</w:t>
      </w:r>
      <w:r w:rsidRPr="00031E0E">
        <w:rPr>
          <w:szCs w:val="18"/>
        </w:rPr>
        <w:t>sieurs reprises, en pa</w:t>
      </w:r>
      <w:r w:rsidRPr="00031E0E">
        <w:rPr>
          <w:szCs w:val="18"/>
        </w:rPr>
        <w:t>r</w:t>
      </w:r>
      <w:r w:rsidRPr="00031E0E">
        <w:rPr>
          <w:szCs w:val="18"/>
        </w:rPr>
        <w:t>ticulier lorsqu’il est question des soulèvements paysans, que ni Barrington Moore ni Theda Skocpol ne prêtent bea</w:t>
      </w:r>
      <w:r w:rsidRPr="00031E0E">
        <w:rPr>
          <w:szCs w:val="18"/>
        </w:rPr>
        <w:t>u</w:t>
      </w:r>
      <w:r w:rsidRPr="00031E0E">
        <w:rPr>
          <w:szCs w:val="18"/>
        </w:rPr>
        <w:t>coup d’attention à la m</w:t>
      </w:r>
      <w:r w:rsidRPr="00031E0E">
        <w:rPr>
          <w:szCs w:val="18"/>
        </w:rPr>
        <w:t>o</w:t>
      </w:r>
      <w:r w:rsidRPr="00031E0E">
        <w:rPr>
          <w:szCs w:val="18"/>
        </w:rPr>
        <w:t xml:space="preserve">bilisation elle-même et à ses </w:t>
      </w:r>
      <w:r w:rsidRPr="00031E0E">
        <w:rPr>
          <w:i/>
          <w:iCs/>
          <w:szCs w:val="18"/>
        </w:rPr>
        <w:t xml:space="preserve">processus. </w:t>
      </w:r>
      <w:r w:rsidRPr="00031E0E">
        <w:rPr>
          <w:szCs w:val="18"/>
        </w:rPr>
        <w:t>C’est, à notre sens, une indiscutable lacune de leurs travaux ; et nous essai</w:t>
      </w:r>
      <w:r w:rsidRPr="00031E0E">
        <w:rPr>
          <w:szCs w:val="18"/>
        </w:rPr>
        <w:t>e</w:t>
      </w:r>
      <w:r w:rsidRPr="00031E0E">
        <w:rPr>
          <w:szCs w:val="18"/>
        </w:rPr>
        <w:t>rons de voir co</w:t>
      </w:r>
      <w:r w:rsidRPr="00031E0E">
        <w:rPr>
          <w:szCs w:val="18"/>
        </w:rPr>
        <w:t>m</w:t>
      </w:r>
      <w:r w:rsidRPr="00031E0E">
        <w:rPr>
          <w:szCs w:val="18"/>
        </w:rPr>
        <w:t>ment elle pourrait être comblée, en passant à l’examen de la quatrième et dernière perspective théor</w:t>
      </w:r>
      <w:r w:rsidRPr="00031E0E">
        <w:rPr>
          <w:szCs w:val="18"/>
        </w:rPr>
        <w:t>i</w:t>
      </w:r>
      <w:r w:rsidRPr="00031E0E">
        <w:rPr>
          <w:szCs w:val="18"/>
        </w:rPr>
        <w:t>que retenue.</w:t>
      </w:r>
    </w:p>
    <w:p w14:paraId="3BAF1A59" w14:textId="77777777" w:rsidR="006C5FDB" w:rsidRPr="00031E0E" w:rsidRDefault="006C5FDB" w:rsidP="006C5FDB">
      <w:pPr>
        <w:spacing w:before="120" w:after="120"/>
        <w:jc w:val="both"/>
        <w:rPr>
          <w:szCs w:val="18"/>
        </w:rPr>
      </w:pPr>
    </w:p>
    <w:p w14:paraId="47928CE4" w14:textId="77777777" w:rsidR="006C5FDB" w:rsidRPr="00031E0E" w:rsidRDefault="006C5FDB" w:rsidP="006C5FDB">
      <w:pPr>
        <w:pStyle w:val="b"/>
      </w:pPr>
      <w:r w:rsidRPr="00031E0E">
        <w:t>D. LA MOBILISATION POLITIQUE</w:t>
      </w:r>
    </w:p>
    <w:p w14:paraId="5C33E862" w14:textId="77777777" w:rsidR="006C5FDB" w:rsidRPr="00031E0E" w:rsidRDefault="006C5FDB" w:rsidP="006C5FDB">
      <w:pPr>
        <w:spacing w:before="120" w:after="120"/>
        <w:jc w:val="both"/>
        <w:rPr>
          <w:szCs w:val="18"/>
        </w:rPr>
      </w:pPr>
    </w:p>
    <w:p w14:paraId="4E66E479" w14:textId="77777777" w:rsidR="006C5FDB" w:rsidRPr="00031E0E" w:rsidRDefault="006C5FDB" w:rsidP="006C5FDB">
      <w:pPr>
        <w:spacing w:before="120" w:after="120"/>
        <w:jc w:val="both"/>
      </w:pPr>
      <w:r w:rsidRPr="00031E0E">
        <w:rPr>
          <w:szCs w:val="18"/>
        </w:rPr>
        <w:t>D’entrée de jeu, nous voudrions sur ce sujet couper court à un éventuel male</w:t>
      </w:r>
      <w:r w:rsidRPr="00031E0E">
        <w:rPr>
          <w:szCs w:val="18"/>
        </w:rPr>
        <w:t>n</w:t>
      </w:r>
      <w:r w:rsidRPr="00031E0E">
        <w:rPr>
          <w:szCs w:val="18"/>
        </w:rPr>
        <w:t>tendu. En terminant notre présentation critique par l’évocation de cette approche, nous n’entendons pas en effet donner à penser qu’elle représente, pour l’étude des r</w:t>
      </w:r>
      <w:r w:rsidRPr="00031E0E">
        <w:rPr>
          <w:szCs w:val="18"/>
        </w:rPr>
        <w:t>é</w:t>
      </w:r>
      <w:r w:rsidRPr="00031E0E">
        <w:rPr>
          <w:szCs w:val="18"/>
        </w:rPr>
        <w:t>volutions, une sorte de panacée et qu’à ce titre elle constitue la voie royale d’analyse. Sans doute nous paraît-elle susceptible d’être féconde et nous e</w:t>
      </w:r>
      <w:r w:rsidRPr="00031E0E">
        <w:rPr>
          <w:szCs w:val="18"/>
        </w:rPr>
        <w:t>s</w:t>
      </w:r>
      <w:r w:rsidRPr="00031E0E">
        <w:rPr>
          <w:szCs w:val="18"/>
        </w:rPr>
        <w:t>saierons de dire pourquoi ; mais i</w:t>
      </w:r>
      <w:r w:rsidRPr="00031E0E">
        <w:rPr>
          <w:szCs w:val="18"/>
        </w:rPr>
        <w:t>n</w:t>
      </w:r>
      <w:r w:rsidRPr="00031E0E">
        <w:rPr>
          <w:szCs w:val="18"/>
        </w:rPr>
        <w:t>discutablement elle a aussi des limites, qu’il convient de reconnaître et qu’il nous paraît utile au préalable de ra</w:t>
      </w:r>
      <w:r w:rsidRPr="00031E0E">
        <w:rPr>
          <w:szCs w:val="18"/>
        </w:rPr>
        <w:t>p</w:t>
      </w:r>
      <w:r w:rsidRPr="00031E0E">
        <w:rPr>
          <w:szCs w:val="18"/>
        </w:rPr>
        <w:t>peler.</w:t>
      </w:r>
    </w:p>
    <w:p w14:paraId="5C57CCDF" w14:textId="77777777" w:rsidR="006C5FDB" w:rsidRPr="00031E0E" w:rsidRDefault="006C5FDB" w:rsidP="006C5FDB">
      <w:pPr>
        <w:spacing w:before="120" w:after="120"/>
        <w:jc w:val="both"/>
      </w:pPr>
      <w:r w:rsidRPr="00031E0E">
        <w:rPr>
          <w:szCs w:val="18"/>
        </w:rPr>
        <w:t>En premier lieu, la perspective de la mobilisation s’est progress</w:t>
      </w:r>
      <w:r w:rsidRPr="00031E0E">
        <w:rPr>
          <w:szCs w:val="18"/>
        </w:rPr>
        <w:t>i</w:t>
      </w:r>
      <w:r w:rsidRPr="00031E0E">
        <w:rPr>
          <w:szCs w:val="18"/>
        </w:rPr>
        <w:t>vement constituée</w:t>
      </w:r>
      <w:r>
        <w:rPr>
          <w:szCs w:val="18"/>
        </w:rPr>
        <w:t> </w:t>
      </w:r>
      <w:r>
        <w:rPr>
          <w:rStyle w:val="Appelnotedebasdep"/>
          <w:szCs w:val="18"/>
        </w:rPr>
        <w:footnoteReference w:id="60"/>
      </w:r>
      <w:r w:rsidRPr="00031E0E">
        <w:rPr>
          <w:szCs w:val="18"/>
        </w:rPr>
        <w:t xml:space="preserve"> pour rendre compte des mouvements s</w:t>
      </w:r>
      <w:r w:rsidRPr="00031E0E">
        <w:rPr>
          <w:szCs w:val="18"/>
        </w:rPr>
        <w:t>o</w:t>
      </w:r>
      <w:r w:rsidRPr="00031E0E">
        <w:rPr>
          <w:szCs w:val="18"/>
        </w:rPr>
        <w:t>ciaux, à l’égard desquels la décennie turbulente 1960-1970 a contribué à susc</w:t>
      </w:r>
      <w:r w:rsidRPr="00031E0E">
        <w:rPr>
          <w:szCs w:val="18"/>
        </w:rPr>
        <w:t>i</w:t>
      </w:r>
      <w:r w:rsidRPr="00031E0E">
        <w:rPr>
          <w:szCs w:val="18"/>
        </w:rPr>
        <w:t>ter un regain d’attention. Dans cette orientation, la révolution ne const</w:t>
      </w:r>
      <w:r w:rsidRPr="00031E0E">
        <w:rPr>
          <w:szCs w:val="18"/>
        </w:rPr>
        <w:t>i</w:t>
      </w:r>
      <w:r w:rsidRPr="00031E0E">
        <w:rPr>
          <w:szCs w:val="18"/>
        </w:rPr>
        <w:t xml:space="preserve">tue pas au départ un objet privilégié d’étude ; et l’intérêt pour ce problème reste généralement marginal : ainsi, dans </w:t>
      </w:r>
      <w:r w:rsidRPr="00031E0E">
        <w:rPr>
          <w:i/>
          <w:iCs/>
          <w:szCs w:val="18"/>
        </w:rPr>
        <w:t xml:space="preserve">Social Conflict and Social Movements </w:t>
      </w:r>
      <w:r w:rsidRPr="00031E0E">
        <w:rPr>
          <w:szCs w:val="18"/>
        </w:rPr>
        <w:t>(1973), un des ouvrages les plus r</w:t>
      </w:r>
      <w:r w:rsidRPr="00031E0E">
        <w:rPr>
          <w:szCs w:val="18"/>
        </w:rPr>
        <w:t>e</w:t>
      </w:r>
      <w:r w:rsidRPr="00031E0E">
        <w:rPr>
          <w:szCs w:val="18"/>
        </w:rPr>
        <w:t>présentatifs qu’ait inspirés cette appr</w:t>
      </w:r>
      <w:r w:rsidRPr="00031E0E">
        <w:rPr>
          <w:szCs w:val="18"/>
        </w:rPr>
        <w:t>o</w:t>
      </w:r>
      <w:r w:rsidRPr="00031E0E">
        <w:rPr>
          <w:szCs w:val="18"/>
        </w:rPr>
        <w:t>che, Oberschall consacre moins de dix pages au thème global de la révol</w:t>
      </w:r>
      <w:r w:rsidRPr="00031E0E">
        <w:rPr>
          <w:szCs w:val="18"/>
        </w:rPr>
        <w:t>u</w:t>
      </w:r>
      <w:r w:rsidRPr="00031E0E">
        <w:rPr>
          <w:szCs w:val="18"/>
        </w:rPr>
        <w:t>tion, même s’il lui arrive, pour illustrer son propos, de se référer à des aspects spécifiques de telle ou telle r</w:t>
      </w:r>
      <w:r w:rsidRPr="00031E0E">
        <w:rPr>
          <w:szCs w:val="18"/>
        </w:rPr>
        <w:t>é</w:t>
      </w:r>
      <w:r w:rsidRPr="00031E0E">
        <w:rPr>
          <w:szCs w:val="18"/>
        </w:rPr>
        <w:t>volution particulière</w:t>
      </w:r>
      <w:r>
        <w:rPr>
          <w:szCs w:val="18"/>
        </w:rPr>
        <w:t> </w:t>
      </w:r>
      <w:r>
        <w:rPr>
          <w:rStyle w:val="Appelnotedebasdep"/>
          <w:szCs w:val="18"/>
        </w:rPr>
        <w:footnoteReference w:id="61"/>
      </w:r>
      <w:r w:rsidRPr="00031E0E">
        <w:rPr>
          <w:szCs w:val="18"/>
        </w:rPr>
        <w:t>. Ce</w:t>
      </w:r>
      <w:r w:rsidRPr="00031E0E">
        <w:rPr>
          <w:szCs w:val="18"/>
        </w:rPr>
        <w:t>r</w:t>
      </w:r>
      <w:r w:rsidRPr="00031E0E">
        <w:rPr>
          <w:szCs w:val="18"/>
        </w:rPr>
        <w:t>tes la perspective de la mobilisation peut être légitimement appliquée à l’analyse des révolutions, comme Tilly l’a démontré avec bo</w:t>
      </w:r>
      <w:r w:rsidRPr="00031E0E">
        <w:rPr>
          <w:szCs w:val="18"/>
        </w:rPr>
        <w:t>n</w:t>
      </w:r>
      <w:r w:rsidRPr="00031E0E">
        <w:rPr>
          <w:szCs w:val="18"/>
        </w:rPr>
        <w:t>heur ; mais il n’en reste pas moins qu’elle n’a pas été initialement élaborée à cette fin et qu’elle s’est cristallisée sous la forme de modèles théoriques plus gén</w:t>
      </w:r>
      <w:r w:rsidRPr="00031E0E">
        <w:rPr>
          <w:szCs w:val="18"/>
        </w:rPr>
        <w:t>é</w:t>
      </w:r>
      <w:r w:rsidRPr="00031E0E">
        <w:rPr>
          <w:szCs w:val="18"/>
        </w:rPr>
        <w:t>raux.</w:t>
      </w:r>
    </w:p>
    <w:p w14:paraId="2F5B7BD4" w14:textId="77777777" w:rsidR="006C5FDB" w:rsidRPr="00031E0E" w:rsidRDefault="006C5FDB" w:rsidP="006C5FDB">
      <w:pPr>
        <w:spacing w:before="120" w:after="120"/>
        <w:jc w:val="both"/>
      </w:pPr>
      <w:r w:rsidRPr="00031E0E">
        <w:rPr>
          <w:szCs w:val="18"/>
        </w:rPr>
        <w:t>On soulignera ensuite qu’il faut se dégager de l’imagerie volont</w:t>
      </w:r>
      <w:r w:rsidRPr="00031E0E">
        <w:rPr>
          <w:szCs w:val="18"/>
        </w:rPr>
        <w:t>a</w:t>
      </w:r>
      <w:r w:rsidRPr="00031E0E">
        <w:rPr>
          <w:szCs w:val="18"/>
        </w:rPr>
        <w:t xml:space="preserve">riste de révolutions </w:t>
      </w:r>
      <w:r w:rsidRPr="00031E0E">
        <w:rPr>
          <w:i/>
          <w:iCs/>
          <w:szCs w:val="18"/>
        </w:rPr>
        <w:t xml:space="preserve">faites </w:t>
      </w:r>
      <w:r w:rsidRPr="00031E0E">
        <w:rPr>
          <w:szCs w:val="18"/>
        </w:rPr>
        <w:t>par des masses mobilisées visant, sous la conduite de dirigeants « éclairés », des objectifs explicitement révol</w:t>
      </w:r>
      <w:r w:rsidRPr="00031E0E">
        <w:rPr>
          <w:szCs w:val="18"/>
        </w:rPr>
        <w:t>u</w:t>
      </w:r>
      <w:r w:rsidRPr="00031E0E">
        <w:rPr>
          <w:szCs w:val="18"/>
        </w:rPr>
        <w:t>tionnaires. La mobilisation – n</w:t>
      </w:r>
      <w:r w:rsidRPr="00031E0E">
        <w:rPr>
          <w:szCs w:val="18"/>
        </w:rPr>
        <w:t>o</w:t>
      </w:r>
      <w:r w:rsidRPr="00031E0E">
        <w:rPr>
          <w:szCs w:val="18"/>
        </w:rPr>
        <w:t>tamment [678]</w:t>
      </w:r>
      <w:r>
        <w:rPr>
          <w:szCs w:val="18"/>
        </w:rPr>
        <w:t xml:space="preserve"> </w:t>
      </w:r>
      <w:r w:rsidRPr="00031E0E">
        <w:rPr>
          <w:szCs w:val="18"/>
        </w:rPr>
        <w:t>populaire – ne doit pas être conçue comme le foyer central à pa</w:t>
      </w:r>
      <w:r w:rsidRPr="00031E0E">
        <w:rPr>
          <w:szCs w:val="18"/>
        </w:rPr>
        <w:t>r</w:t>
      </w:r>
      <w:r w:rsidRPr="00031E0E">
        <w:rPr>
          <w:szCs w:val="18"/>
        </w:rPr>
        <w:t>tir duquel la révolution se développe et se propage : le plus souvent elle n’a pas pour effet de déclencher la révolution, mais bien plutôt d’aggraver une crise polit</w:t>
      </w:r>
      <w:r w:rsidRPr="00031E0E">
        <w:rPr>
          <w:szCs w:val="18"/>
        </w:rPr>
        <w:t>i</w:t>
      </w:r>
      <w:r w:rsidRPr="00031E0E">
        <w:rPr>
          <w:szCs w:val="18"/>
        </w:rPr>
        <w:t>que déjà présente, de la porter même à son paroxysme, en rendant ai</w:t>
      </w:r>
      <w:r w:rsidRPr="00031E0E">
        <w:rPr>
          <w:szCs w:val="18"/>
        </w:rPr>
        <w:t>n</w:t>
      </w:r>
      <w:r w:rsidRPr="00031E0E">
        <w:rPr>
          <w:szCs w:val="18"/>
        </w:rPr>
        <w:t>si les processus révolutionnaires irréversibles. Il n’est donc pas poss</w:t>
      </w:r>
      <w:r w:rsidRPr="00031E0E">
        <w:rPr>
          <w:szCs w:val="18"/>
        </w:rPr>
        <w:t>i</w:t>
      </w:r>
      <w:r w:rsidRPr="00031E0E">
        <w:rPr>
          <w:szCs w:val="18"/>
        </w:rPr>
        <w:t>ble de ramener les révolutions à cette dime</w:t>
      </w:r>
      <w:r w:rsidRPr="00031E0E">
        <w:rPr>
          <w:szCs w:val="18"/>
        </w:rPr>
        <w:t>n</w:t>
      </w:r>
      <w:r w:rsidRPr="00031E0E">
        <w:rPr>
          <w:szCs w:val="18"/>
        </w:rPr>
        <w:t>sion, si cruciale soit-elle : sa prise en considération ne permet pas une saisie globale du phén</w:t>
      </w:r>
      <w:r w:rsidRPr="00031E0E">
        <w:rPr>
          <w:szCs w:val="18"/>
        </w:rPr>
        <w:t>o</w:t>
      </w:r>
      <w:r w:rsidRPr="00031E0E">
        <w:rPr>
          <w:szCs w:val="18"/>
        </w:rPr>
        <w:t>mène, même si elle peut fortement contr</w:t>
      </w:r>
      <w:r w:rsidRPr="00031E0E">
        <w:rPr>
          <w:szCs w:val="18"/>
        </w:rPr>
        <w:t>i</w:t>
      </w:r>
      <w:r w:rsidRPr="00031E0E">
        <w:rPr>
          <w:szCs w:val="18"/>
        </w:rPr>
        <w:t>buer à l’éclairer.</w:t>
      </w:r>
    </w:p>
    <w:p w14:paraId="63AA2E4F" w14:textId="77777777" w:rsidR="006C5FDB" w:rsidRPr="00031E0E" w:rsidRDefault="006C5FDB" w:rsidP="006C5FDB">
      <w:pPr>
        <w:spacing w:before="120" w:after="120"/>
        <w:jc w:val="both"/>
      </w:pPr>
      <w:r w:rsidRPr="00031E0E">
        <w:rPr>
          <w:szCs w:val="18"/>
        </w:rPr>
        <w:t>Enfin les travaux dans cette direction sont – du moins si on se pl</w:t>
      </w:r>
      <w:r w:rsidRPr="00031E0E">
        <w:rPr>
          <w:szCs w:val="18"/>
        </w:rPr>
        <w:t>a</w:t>
      </w:r>
      <w:r w:rsidRPr="00031E0E">
        <w:rPr>
          <w:szCs w:val="18"/>
        </w:rPr>
        <w:t>ce à un niveau théorique – tout juste entamés : ils sont essentiellement l’œuvre de Charles Tilly et de son équ</w:t>
      </w:r>
      <w:r w:rsidRPr="00031E0E">
        <w:rPr>
          <w:szCs w:val="18"/>
        </w:rPr>
        <w:t>i</w:t>
      </w:r>
      <w:r w:rsidRPr="00031E0E">
        <w:rPr>
          <w:szCs w:val="18"/>
        </w:rPr>
        <w:t xml:space="preserve">pe de chercheurs ; et, sous leur forme actuelle, ils peuvent être discutés. Dans son ouvrage </w:t>
      </w:r>
      <w:r w:rsidRPr="00031E0E">
        <w:rPr>
          <w:i/>
          <w:iCs/>
          <w:szCs w:val="18"/>
        </w:rPr>
        <w:t>From M</w:t>
      </w:r>
      <w:r w:rsidRPr="00031E0E">
        <w:rPr>
          <w:i/>
          <w:iCs/>
          <w:szCs w:val="18"/>
        </w:rPr>
        <w:t>o</w:t>
      </w:r>
      <w:r w:rsidRPr="00031E0E">
        <w:rPr>
          <w:i/>
          <w:iCs/>
          <w:szCs w:val="18"/>
        </w:rPr>
        <w:t>bilization to R</w:t>
      </w:r>
      <w:r w:rsidRPr="00031E0E">
        <w:rPr>
          <w:i/>
          <w:iCs/>
          <w:szCs w:val="18"/>
        </w:rPr>
        <w:t>e</w:t>
      </w:r>
      <w:r w:rsidRPr="00031E0E">
        <w:rPr>
          <w:i/>
          <w:iCs/>
          <w:szCs w:val="18"/>
        </w:rPr>
        <w:t xml:space="preserve">volution </w:t>
      </w:r>
      <w:r w:rsidRPr="00031E0E">
        <w:rPr>
          <w:szCs w:val="18"/>
        </w:rPr>
        <w:t xml:space="preserve">(1978, p. 190), Tilly part d’une distinction, à la fois simple et utile, entre les </w:t>
      </w:r>
      <w:r w:rsidRPr="00031E0E">
        <w:rPr>
          <w:i/>
          <w:iCs/>
          <w:szCs w:val="18"/>
        </w:rPr>
        <w:t xml:space="preserve">situations </w:t>
      </w:r>
      <w:r w:rsidRPr="00031E0E">
        <w:rPr>
          <w:szCs w:val="18"/>
        </w:rPr>
        <w:t xml:space="preserve">révolutionnaires et les </w:t>
      </w:r>
      <w:r w:rsidRPr="00031E0E">
        <w:rPr>
          <w:i/>
          <w:iCs/>
          <w:szCs w:val="18"/>
        </w:rPr>
        <w:t>résu</w:t>
      </w:r>
      <w:r w:rsidRPr="00031E0E">
        <w:rPr>
          <w:i/>
          <w:iCs/>
          <w:szCs w:val="18"/>
        </w:rPr>
        <w:t>l</w:t>
      </w:r>
      <w:r w:rsidRPr="00031E0E">
        <w:rPr>
          <w:i/>
          <w:iCs/>
          <w:szCs w:val="18"/>
        </w:rPr>
        <w:t xml:space="preserve">tats </w:t>
      </w:r>
      <w:r w:rsidRPr="00031E0E">
        <w:rPr>
          <w:szCs w:val="18"/>
        </w:rPr>
        <w:t>révolutionnaires ; mais leur caractérisation respective susc</w:t>
      </w:r>
      <w:r w:rsidRPr="00031E0E">
        <w:rPr>
          <w:szCs w:val="18"/>
        </w:rPr>
        <w:t>i</w:t>
      </w:r>
      <w:r w:rsidRPr="00031E0E">
        <w:rPr>
          <w:szCs w:val="18"/>
        </w:rPr>
        <w:t>te quelques réserves. Si l’on s’intéresse tout d’abord aux résultats rév</w:t>
      </w:r>
      <w:r w:rsidRPr="00031E0E">
        <w:rPr>
          <w:szCs w:val="18"/>
        </w:rPr>
        <w:t>o</w:t>
      </w:r>
      <w:r w:rsidRPr="00031E0E">
        <w:rPr>
          <w:szCs w:val="18"/>
        </w:rPr>
        <w:t>lutionnaires, en négligeant momentanément la logique de la déma</w:t>
      </w:r>
      <w:r w:rsidRPr="00031E0E">
        <w:rPr>
          <w:szCs w:val="18"/>
        </w:rPr>
        <w:t>r</w:t>
      </w:r>
      <w:r w:rsidRPr="00031E0E">
        <w:rPr>
          <w:szCs w:val="18"/>
        </w:rPr>
        <w:t>che adoptée par Ti</w:t>
      </w:r>
      <w:r w:rsidRPr="00031E0E">
        <w:rPr>
          <w:szCs w:val="18"/>
        </w:rPr>
        <w:t>l</w:t>
      </w:r>
      <w:r w:rsidRPr="00031E0E">
        <w:rPr>
          <w:szCs w:val="18"/>
        </w:rPr>
        <w:t>ly, il semble bien difficile, pour ne pas dire irrecevable, de les réduire au simple « remplacement d’un ensemble de déte</w:t>
      </w:r>
      <w:r w:rsidRPr="00031E0E">
        <w:rPr>
          <w:szCs w:val="18"/>
        </w:rPr>
        <w:t>n</w:t>
      </w:r>
      <w:r w:rsidRPr="00031E0E">
        <w:rPr>
          <w:szCs w:val="18"/>
        </w:rPr>
        <w:t xml:space="preserve">teurs du pouvoir par un autre » (p. 193) ; l’autre formulation proposée, la substitution d’un ensemble de membres du système politique </w:t>
      </w:r>
      <w:r w:rsidRPr="00031E0E">
        <w:rPr>
          <w:i/>
          <w:iCs/>
          <w:szCs w:val="18"/>
        </w:rPr>
        <w:t>(pol</w:t>
      </w:r>
      <w:r w:rsidRPr="00031E0E">
        <w:rPr>
          <w:i/>
          <w:iCs/>
          <w:szCs w:val="18"/>
        </w:rPr>
        <w:t>i</w:t>
      </w:r>
      <w:r w:rsidRPr="00031E0E">
        <w:rPr>
          <w:i/>
          <w:iCs/>
          <w:szCs w:val="18"/>
        </w:rPr>
        <w:t xml:space="preserve">ty) </w:t>
      </w:r>
      <w:r w:rsidRPr="00031E0E">
        <w:rPr>
          <w:szCs w:val="18"/>
        </w:rPr>
        <w:t>à un autre, reste encore trop étroitement limitée aux a</w:t>
      </w:r>
      <w:r w:rsidRPr="00031E0E">
        <w:rPr>
          <w:szCs w:val="18"/>
        </w:rPr>
        <w:t>c</w:t>
      </w:r>
      <w:r w:rsidRPr="00031E0E">
        <w:rPr>
          <w:szCs w:val="18"/>
        </w:rPr>
        <w:t>teurs, même si elle permet de tenir en partie compte de la transformation du champ politique. Peut-être à la rigueur Tilly accepterait-il ces critiques, dans la mesure où il n’accorde aux résu</w:t>
      </w:r>
      <w:r w:rsidRPr="00031E0E">
        <w:rPr>
          <w:szCs w:val="18"/>
        </w:rPr>
        <w:t>l</w:t>
      </w:r>
      <w:r w:rsidRPr="00031E0E">
        <w:rPr>
          <w:szCs w:val="18"/>
        </w:rPr>
        <w:t>tats des révolutions pris par eux-mêmes qu’une importance relative, pour des raisons sur lesquelles nous reviendrons. Tel n’est pas le cas en revanche pour les situations révolutionnaires, auxquelles il prête une atte</w:t>
      </w:r>
      <w:r w:rsidRPr="00031E0E">
        <w:rPr>
          <w:szCs w:val="18"/>
        </w:rPr>
        <w:t>n</w:t>
      </w:r>
      <w:r w:rsidRPr="00031E0E">
        <w:rPr>
          <w:szCs w:val="18"/>
        </w:rPr>
        <w:t>tion plus soutenue : la preuve en est que le critère retenu pour l’identification des situations révolutionnaires, à savoir la souveraineté mult</w:t>
      </w:r>
      <w:r w:rsidRPr="00031E0E">
        <w:rPr>
          <w:szCs w:val="18"/>
        </w:rPr>
        <w:t>i</w:t>
      </w:r>
      <w:r w:rsidRPr="00031E0E">
        <w:rPr>
          <w:szCs w:val="18"/>
        </w:rPr>
        <w:t>ple (1978, p. 191), lui avait antérieurement servi, dans son article « Revolutions and Colle</w:t>
      </w:r>
      <w:r w:rsidRPr="00031E0E">
        <w:rPr>
          <w:szCs w:val="18"/>
        </w:rPr>
        <w:t>c</w:t>
      </w:r>
      <w:r w:rsidRPr="00031E0E">
        <w:rPr>
          <w:szCs w:val="18"/>
        </w:rPr>
        <w:t>tive Violence » (1975, p. 519), à caractériser de façon globale une r</w:t>
      </w:r>
      <w:r w:rsidRPr="00031E0E">
        <w:rPr>
          <w:szCs w:val="18"/>
        </w:rPr>
        <w:t>é</w:t>
      </w:r>
      <w:r w:rsidRPr="00031E0E">
        <w:rPr>
          <w:szCs w:val="18"/>
        </w:rPr>
        <w:t>volution ; et il s’agit manifestement là d’une définition élaborée, qui s’inscrit dans une tradition d’analyse. Comme le signale Tilly lui-même, cette définition est en quelque sorte « dérivée » de la n</w:t>
      </w:r>
      <w:r w:rsidRPr="00031E0E">
        <w:rPr>
          <w:szCs w:val="18"/>
        </w:rPr>
        <w:t>o</w:t>
      </w:r>
      <w:r w:rsidRPr="00031E0E">
        <w:rPr>
          <w:szCs w:val="18"/>
        </w:rPr>
        <w:t>tion de double souveraineté (ou pouvoir) et des dévelo</w:t>
      </w:r>
      <w:r w:rsidRPr="00031E0E">
        <w:rPr>
          <w:szCs w:val="18"/>
        </w:rPr>
        <w:t>p</w:t>
      </w:r>
      <w:r w:rsidRPr="00031E0E">
        <w:rPr>
          <w:szCs w:val="18"/>
        </w:rPr>
        <w:t>pements de Trotski sur ce thème, dont on a déjà signalé l’intérêt. Tilly se contente en quelque sorte de la corriger en insistant sur l’affrontement de blocs adverses formés de coalitions (et non plus sur la lutte d’une seule cla</w:t>
      </w:r>
      <w:r w:rsidRPr="00031E0E">
        <w:rPr>
          <w:szCs w:val="18"/>
        </w:rPr>
        <w:t>s</w:t>
      </w:r>
      <w:r w:rsidRPr="00031E0E">
        <w:rPr>
          <w:szCs w:val="18"/>
        </w:rPr>
        <w:t>se contre une autre), ainsi que sur la possibilité d’une pluralité de co</w:t>
      </w:r>
      <w:r w:rsidRPr="00031E0E">
        <w:rPr>
          <w:szCs w:val="18"/>
        </w:rPr>
        <w:t>a</w:t>
      </w:r>
      <w:r w:rsidRPr="00031E0E">
        <w:rPr>
          <w:szCs w:val="18"/>
        </w:rPr>
        <w:t>litions. Il reconnaît sur ce plan sa dette à l’égard de l’historien Peter Amann, qui a en quelque sorte joué un rôle de médiation entre Trotski et Tilly grâce à son insista</w:t>
      </w:r>
      <w:r w:rsidRPr="00031E0E">
        <w:rPr>
          <w:szCs w:val="18"/>
        </w:rPr>
        <w:t>n</w:t>
      </w:r>
      <w:r w:rsidRPr="00031E0E">
        <w:rPr>
          <w:szCs w:val="18"/>
        </w:rPr>
        <w:t>ce sur les blocs de pouvoir rivaux et à sa définition origin</w:t>
      </w:r>
      <w:r w:rsidRPr="00031E0E">
        <w:rPr>
          <w:szCs w:val="18"/>
        </w:rPr>
        <w:t>a</w:t>
      </w:r>
      <w:r w:rsidRPr="00031E0E">
        <w:rPr>
          <w:szCs w:val="18"/>
        </w:rPr>
        <w:t>le de la révolution, qui consisterait, d’après lui, en « un effondrement, momentané ou prolo</w:t>
      </w:r>
      <w:r w:rsidRPr="00031E0E">
        <w:rPr>
          <w:szCs w:val="18"/>
        </w:rPr>
        <w:t>n</w:t>
      </w:r>
      <w:r w:rsidRPr="00031E0E">
        <w:rPr>
          <w:szCs w:val="18"/>
        </w:rPr>
        <w:t>gé, du monopole de pouvoir de l’État, d’ordinaire accompagné par un affaiblissement des habit</w:t>
      </w:r>
      <w:r w:rsidRPr="00031E0E">
        <w:rPr>
          <w:szCs w:val="18"/>
        </w:rPr>
        <w:t>u</w:t>
      </w:r>
      <w:r w:rsidRPr="00031E0E">
        <w:rPr>
          <w:szCs w:val="18"/>
        </w:rPr>
        <w:t>des d’obéissance » (1962, pp. 38-39)</w:t>
      </w:r>
      <w:r>
        <w:rPr>
          <w:szCs w:val="18"/>
        </w:rPr>
        <w:t> </w:t>
      </w:r>
      <w:r>
        <w:rPr>
          <w:rStyle w:val="Appelnotedebasdep"/>
          <w:szCs w:val="18"/>
        </w:rPr>
        <w:footnoteReference w:id="62"/>
      </w:r>
      <w:r w:rsidRPr="00031E0E">
        <w:rPr>
          <w:szCs w:val="18"/>
        </w:rPr>
        <w:t>.</w:t>
      </w:r>
    </w:p>
    <w:p w14:paraId="12BF72AE" w14:textId="77777777" w:rsidR="006C5FDB" w:rsidRPr="00031E0E" w:rsidRDefault="006C5FDB" w:rsidP="006C5FDB">
      <w:pPr>
        <w:spacing w:before="120" w:after="120"/>
        <w:jc w:val="both"/>
      </w:pPr>
      <w:r w:rsidRPr="00031E0E">
        <w:t>[679]</w:t>
      </w:r>
    </w:p>
    <w:p w14:paraId="559F38DA" w14:textId="77777777" w:rsidR="006C5FDB" w:rsidRPr="00031E0E" w:rsidRDefault="006C5FDB" w:rsidP="006C5FDB">
      <w:pPr>
        <w:spacing w:before="120" w:after="120"/>
        <w:jc w:val="both"/>
      </w:pPr>
      <w:r w:rsidRPr="00031E0E">
        <w:rPr>
          <w:szCs w:val="18"/>
        </w:rPr>
        <w:t>Compte tenu de cette filiation, il n’est pas surprenant que la crit</w:t>
      </w:r>
      <w:r w:rsidRPr="00031E0E">
        <w:rPr>
          <w:szCs w:val="18"/>
        </w:rPr>
        <w:t>i</w:t>
      </w:r>
      <w:r w:rsidRPr="00031E0E">
        <w:rPr>
          <w:szCs w:val="18"/>
        </w:rPr>
        <w:t>que essentielle adressée à la définition d’Amann ait été reprise, quo</w:t>
      </w:r>
      <w:r w:rsidRPr="00031E0E">
        <w:rPr>
          <w:szCs w:val="18"/>
        </w:rPr>
        <w:t>i</w:t>
      </w:r>
      <w:r w:rsidRPr="00031E0E">
        <w:rPr>
          <w:szCs w:val="18"/>
        </w:rPr>
        <w:t>que de façon moins vive, contre la souverain</w:t>
      </w:r>
      <w:r w:rsidRPr="00031E0E">
        <w:rPr>
          <w:szCs w:val="18"/>
        </w:rPr>
        <w:t>e</w:t>
      </w:r>
      <w:r w:rsidRPr="00031E0E">
        <w:rPr>
          <w:szCs w:val="18"/>
        </w:rPr>
        <w:t>té multiple : Tilly n’a pas retenu un critère suffisamment discriminant des situations révol</w:t>
      </w:r>
      <w:r w:rsidRPr="00031E0E">
        <w:rPr>
          <w:szCs w:val="18"/>
        </w:rPr>
        <w:t>u</w:t>
      </w:r>
      <w:r w:rsidRPr="00031E0E">
        <w:rPr>
          <w:szCs w:val="18"/>
        </w:rPr>
        <w:t>tionnaires, puisqu’on pou</w:t>
      </w:r>
      <w:r w:rsidRPr="00031E0E">
        <w:rPr>
          <w:szCs w:val="18"/>
        </w:rPr>
        <w:t>r</w:t>
      </w:r>
      <w:r w:rsidRPr="00031E0E">
        <w:rPr>
          <w:szCs w:val="18"/>
        </w:rPr>
        <w:t>rait ranger sous cette rubrique, comme le note Goldstone (1980, p. 432), « les guerres périodiques de succession dans les Empires ottoman et moghol, la guerre de la Rose en Angl</w:t>
      </w:r>
      <w:r w:rsidRPr="00031E0E">
        <w:rPr>
          <w:szCs w:val="18"/>
        </w:rPr>
        <w:t>e</w:t>
      </w:r>
      <w:r w:rsidRPr="00031E0E">
        <w:rPr>
          <w:szCs w:val="18"/>
        </w:rPr>
        <w:t>terre, les guerres de Sécession aux États-Unis et au Nigeria », à côté de révolutions authentiques ; les situations identifiées par Tilly sont au mieux potentiellement révolutionna</w:t>
      </w:r>
      <w:r w:rsidRPr="00031E0E">
        <w:rPr>
          <w:szCs w:val="18"/>
        </w:rPr>
        <w:t>i</w:t>
      </w:r>
      <w:r w:rsidRPr="00031E0E">
        <w:rPr>
          <w:szCs w:val="18"/>
        </w:rPr>
        <w:t>res. Il faut également ajouter que les premiers épisodes de nature socio-politique qui surviennent au d</w:t>
      </w:r>
      <w:r w:rsidRPr="00031E0E">
        <w:rPr>
          <w:szCs w:val="18"/>
        </w:rPr>
        <w:t>é</w:t>
      </w:r>
      <w:r w:rsidRPr="00031E0E">
        <w:rPr>
          <w:szCs w:val="18"/>
        </w:rPr>
        <w:t>but d’une révolution n’ont généralement pas cette netteté de contours, ni cette transparence pour les acteurs que leur pr</w:t>
      </w:r>
      <w:r w:rsidRPr="00031E0E">
        <w:rPr>
          <w:szCs w:val="18"/>
        </w:rPr>
        <w:t>ê</w:t>
      </w:r>
      <w:r w:rsidRPr="00031E0E">
        <w:rPr>
          <w:szCs w:val="18"/>
        </w:rPr>
        <w:t>te Tilly : les enjeux ne sont vraisemblablement pas si manifestes, même pour les dir</w:t>
      </w:r>
      <w:r w:rsidRPr="00031E0E">
        <w:rPr>
          <w:szCs w:val="18"/>
        </w:rPr>
        <w:t>i</w:t>
      </w:r>
      <w:r w:rsidRPr="00031E0E">
        <w:rPr>
          <w:szCs w:val="18"/>
        </w:rPr>
        <w:t>geants des principaux groupes, et la situation ne se définit pas pour les divers secteurs de la population dans les termes d’un choix à la fois clair et décisif entre des revendications rivales. La r</w:t>
      </w:r>
      <w:r w:rsidRPr="00031E0E">
        <w:rPr>
          <w:szCs w:val="18"/>
        </w:rPr>
        <w:t>e</w:t>
      </w:r>
      <w:r w:rsidRPr="00031E0E">
        <w:rPr>
          <w:szCs w:val="18"/>
        </w:rPr>
        <w:t>marque ne vaut sans doute pas seulement pour l’appréhension d’un phénomène aussi spécifique que l’émergence de situations révolutio</w:t>
      </w:r>
      <w:r w:rsidRPr="00031E0E">
        <w:rPr>
          <w:szCs w:val="18"/>
        </w:rPr>
        <w:t>n</w:t>
      </w:r>
      <w:r w:rsidRPr="00031E0E">
        <w:rPr>
          <w:szCs w:val="18"/>
        </w:rPr>
        <w:t>naires ; ce qui est probablement ici en jeu, c’est la conception même de l’action colle</w:t>
      </w:r>
      <w:r w:rsidRPr="00031E0E">
        <w:rPr>
          <w:szCs w:val="18"/>
        </w:rPr>
        <w:t>c</w:t>
      </w:r>
      <w:r w:rsidRPr="00031E0E">
        <w:rPr>
          <w:szCs w:val="18"/>
        </w:rPr>
        <w:t>tive, à laquelle Tilly prête un caractère peut-être trop rational</w:t>
      </w:r>
      <w:r w:rsidRPr="00031E0E">
        <w:rPr>
          <w:szCs w:val="18"/>
        </w:rPr>
        <w:t>i</w:t>
      </w:r>
      <w:r w:rsidRPr="00031E0E">
        <w:rPr>
          <w:szCs w:val="18"/>
        </w:rPr>
        <w:t>sant.</w:t>
      </w:r>
    </w:p>
    <w:p w14:paraId="5854F383" w14:textId="77777777" w:rsidR="006C5FDB" w:rsidRPr="00031E0E" w:rsidRDefault="006C5FDB" w:rsidP="006C5FDB">
      <w:pPr>
        <w:spacing w:before="120" w:after="120"/>
        <w:jc w:val="both"/>
      </w:pPr>
      <w:r w:rsidRPr="00031E0E">
        <w:rPr>
          <w:szCs w:val="18"/>
        </w:rPr>
        <w:t>On ne rendrait pourtant pas justice à l’entreprise de Cha</w:t>
      </w:r>
      <w:r w:rsidRPr="00031E0E">
        <w:rPr>
          <w:szCs w:val="18"/>
        </w:rPr>
        <w:t>r</w:t>
      </w:r>
      <w:r w:rsidRPr="00031E0E">
        <w:rPr>
          <w:szCs w:val="18"/>
        </w:rPr>
        <w:t>les Tilly en insistant uniquement sur le caractère limité – dans le cas des résu</w:t>
      </w:r>
      <w:r w:rsidRPr="00031E0E">
        <w:rPr>
          <w:szCs w:val="18"/>
        </w:rPr>
        <w:t>l</w:t>
      </w:r>
      <w:r w:rsidRPr="00031E0E">
        <w:rPr>
          <w:szCs w:val="18"/>
        </w:rPr>
        <w:t>tats révolutionnaires – ou au moins contestable – pour ce qui est des situations révolutionnaires – de certaines définitions, voire même sur ce que la vision sous-jacente de la révol</w:t>
      </w:r>
      <w:r w:rsidRPr="00031E0E">
        <w:rPr>
          <w:szCs w:val="18"/>
        </w:rPr>
        <w:t>u</w:t>
      </w:r>
      <w:r w:rsidRPr="00031E0E">
        <w:rPr>
          <w:szCs w:val="18"/>
        </w:rPr>
        <w:t>tion peut avoir de réducteur, dans la mesure où elle en gomme quelque peu les ambiguïtés et la complexité ; car Ti</w:t>
      </w:r>
      <w:r w:rsidRPr="00031E0E">
        <w:rPr>
          <w:szCs w:val="18"/>
        </w:rPr>
        <w:t>l</w:t>
      </w:r>
      <w:r w:rsidRPr="00031E0E">
        <w:rPr>
          <w:szCs w:val="18"/>
        </w:rPr>
        <w:t>ly ouvre en fait une réelle voie d’analyse. L’accent n’est plus ici sur les résultats et l’analyse ne tend pas, comme chez la plupart des spécialistes, à remonter des résultats à leurs ca</w:t>
      </w:r>
      <w:r w:rsidRPr="00031E0E">
        <w:rPr>
          <w:szCs w:val="18"/>
        </w:rPr>
        <w:t>u</w:t>
      </w:r>
      <w:r w:rsidRPr="00031E0E">
        <w:rPr>
          <w:szCs w:val="18"/>
        </w:rPr>
        <w:t>ses, selon une démarche à la fois « </w:t>
      </w:r>
      <w:r w:rsidRPr="00031E0E">
        <w:rPr>
          <w:i/>
          <w:iCs/>
          <w:szCs w:val="18"/>
        </w:rPr>
        <w:t>rétrospective »</w:t>
      </w:r>
      <w:r w:rsidRPr="00031E0E">
        <w:rPr>
          <w:szCs w:val="18"/>
        </w:rPr>
        <w:t xml:space="preserve"> et causale ; le spéciali</w:t>
      </w:r>
      <w:r w:rsidRPr="00031E0E">
        <w:rPr>
          <w:szCs w:val="18"/>
        </w:rPr>
        <w:t>s</w:t>
      </w:r>
      <w:r w:rsidRPr="00031E0E">
        <w:rPr>
          <w:szCs w:val="18"/>
        </w:rPr>
        <w:t>te américain s’efforce plutôt, pour sa part, de retracer le cheminement qui conduit de situations révolutionnaires à des résultats révolutio</w:t>
      </w:r>
      <w:r w:rsidRPr="00031E0E">
        <w:rPr>
          <w:szCs w:val="18"/>
        </w:rPr>
        <w:t>n</w:t>
      </w:r>
      <w:r w:rsidRPr="00031E0E">
        <w:rPr>
          <w:szCs w:val="18"/>
        </w:rPr>
        <w:t>naires (et que</w:t>
      </w:r>
      <w:r w:rsidRPr="00031E0E">
        <w:rPr>
          <w:szCs w:val="18"/>
        </w:rPr>
        <w:t>l</w:t>
      </w:r>
      <w:r w:rsidRPr="00031E0E">
        <w:rPr>
          <w:szCs w:val="18"/>
        </w:rPr>
        <w:t>quefois à l’absence de tels résultats), c’est-à-dire d’un concours défini de circonstances à leurs conséquences – plus ou moins – probables, selon une démarche qui peut être qualifiée de dynam</w:t>
      </w:r>
      <w:r w:rsidRPr="00031E0E">
        <w:rPr>
          <w:szCs w:val="18"/>
        </w:rPr>
        <w:t>i</w:t>
      </w:r>
      <w:r w:rsidRPr="00031E0E">
        <w:rPr>
          <w:szCs w:val="18"/>
        </w:rPr>
        <w:t xml:space="preserve">que et de </w:t>
      </w:r>
      <w:r w:rsidRPr="00031E0E">
        <w:rPr>
          <w:i/>
          <w:iCs/>
          <w:szCs w:val="18"/>
        </w:rPr>
        <w:t>« prospective »</w:t>
      </w:r>
      <w:r w:rsidRPr="00031E0E">
        <w:rPr>
          <w:szCs w:val="18"/>
        </w:rPr>
        <w:t xml:space="preserve"> (1975, p. 485). L’intérêt d’une telle perspective est, nous semble-t-il, manifeste</w:t>
      </w:r>
      <w:r>
        <w:rPr>
          <w:szCs w:val="18"/>
        </w:rPr>
        <w:t> </w:t>
      </w:r>
      <w:r>
        <w:rPr>
          <w:rStyle w:val="Appelnotedebasdep"/>
          <w:szCs w:val="18"/>
        </w:rPr>
        <w:footnoteReference w:id="63"/>
      </w:r>
      <w:r w:rsidRPr="00031E0E">
        <w:rPr>
          <w:szCs w:val="18"/>
        </w:rPr>
        <w:t xml:space="preserve"> : elle privilégie l’étude des </w:t>
      </w:r>
      <w:r w:rsidRPr="00031E0E">
        <w:rPr>
          <w:i/>
          <w:iCs/>
          <w:szCs w:val="18"/>
        </w:rPr>
        <w:t>proce</w:t>
      </w:r>
      <w:r w:rsidRPr="00031E0E">
        <w:rPr>
          <w:i/>
          <w:iCs/>
          <w:szCs w:val="18"/>
        </w:rPr>
        <w:t>s</w:t>
      </w:r>
      <w:r w:rsidRPr="00031E0E">
        <w:rPr>
          <w:i/>
          <w:iCs/>
          <w:szCs w:val="18"/>
        </w:rPr>
        <w:t xml:space="preserve">sus </w:t>
      </w:r>
      <w:r w:rsidRPr="00031E0E">
        <w:rPr>
          <w:szCs w:val="18"/>
        </w:rPr>
        <w:t>révolutionnaires et de leurs enchaîn</w:t>
      </w:r>
      <w:r w:rsidRPr="00031E0E">
        <w:rPr>
          <w:szCs w:val="18"/>
        </w:rPr>
        <w:t>e</w:t>
      </w:r>
      <w:r w:rsidRPr="00031E0E">
        <w:rPr>
          <w:szCs w:val="18"/>
        </w:rPr>
        <w:t xml:space="preserve">ments et donc de ce qui se passe </w:t>
      </w:r>
      <w:r w:rsidRPr="00031E0E">
        <w:rPr>
          <w:i/>
          <w:iCs/>
          <w:szCs w:val="18"/>
        </w:rPr>
        <w:t xml:space="preserve">pendant </w:t>
      </w:r>
      <w:r w:rsidRPr="00031E0E">
        <w:rPr>
          <w:szCs w:val="18"/>
        </w:rPr>
        <w:t xml:space="preserve">une révolution, alors que les modes les plus classiques d’analyse s’intéressent surtout à ce qui se passe </w:t>
      </w:r>
      <w:r w:rsidRPr="00031E0E">
        <w:rPr>
          <w:i/>
          <w:iCs/>
          <w:szCs w:val="18"/>
        </w:rPr>
        <w:t xml:space="preserve">avant </w:t>
      </w:r>
      <w:r w:rsidRPr="00031E0E">
        <w:rPr>
          <w:szCs w:val="18"/>
        </w:rPr>
        <w:t>une révolution (les préconditions) et à ce qui en découle, c’est-à-dire à ce qui en su</w:t>
      </w:r>
      <w:r w:rsidRPr="00031E0E">
        <w:rPr>
          <w:szCs w:val="18"/>
        </w:rPr>
        <w:t>b</w:t>
      </w:r>
      <w:r w:rsidRPr="00031E0E">
        <w:rPr>
          <w:szCs w:val="18"/>
        </w:rPr>
        <w:t xml:space="preserve">siste </w:t>
      </w:r>
      <w:r w:rsidRPr="00031E0E">
        <w:rPr>
          <w:i/>
          <w:iCs/>
          <w:szCs w:val="18"/>
        </w:rPr>
        <w:t xml:space="preserve">après, </w:t>
      </w:r>
      <w:r w:rsidRPr="00031E0E">
        <w:rPr>
          <w:szCs w:val="18"/>
        </w:rPr>
        <w:t>sous forme de résu</w:t>
      </w:r>
      <w:r w:rsidRPr="00031E0E">
        <w:rPr>
          <w:szCs w:val="18"/>
        </w:rPr>
        <w:t>l</w:t>
      </w:r>
      <w:r w:rsidRPr="00031E0E">
        <w:rPr>
          <w:szCs w:val="18"/>
        </w:rPr>
        <w:t>tats. C’est dans la mesure où le modèle de Tilly – tout comme en général les théories de la mob</w:t>
      </w:r>
      <w:r w:rsidRPr="00031E0E">
        <w:rPr>
          <w:szCs w:val="18"/>
        </w:rPr>
        <w:t>i</w:t>
      </w:r>
      <w:r w:rsidRPr="00031E0E">
        <w:rPr>
          <w:szCs w:val="18"/>
        </w:rPr>
        <w:t>lisation – est un « modèle du processus politique » qu’on peut l’appliquer avec pr</w:t>
      </w:r>
      <w:r w:rsidRPr="00031E0E">
        <w:rPr>
          <w:szCs w:val="18"/>
        </w:rPr>
        <w:t>o</w:t>
      </w:r>
      <w:r w:rsidRPr="00031E0E">
        <w:rPr>
          <w:szCs w:val="18"/>
        </w:rPr>
        <w:t>fit au cas, à la fois particulier et complexe, des rév</w:t>
      </w:r>
      <w:r w:rsidRPr="00031E0E">
        <w:rPr>
          <w:szCs w:val="18"/>
        </w:rPr>
        <w:t>o</w:t>
      </w:r>
      <w:r w:rsidRPr="00031E0E">
        <w:rPr>
          <w:szCs w:val="18"/>
        </w:rPr>
        <w:t>lutions. L’attention peut ainsi se porter sur des séries de</w:t>
      </w:r>
      <w:r>
        <w:rPr>
          <w:szCs w:val="18"/>
        </w:rPr>
        <w:t xml:space="preserve"> </w:t>
      </w:r>
      <w:r w:rsidRPr="00031E0E">
        <w:rPr>
          <w:szCs w:val="16"/>
        </w:rPr>
        <w:t>[680]</w:t>
      </w:r>
      <w:r>
        <w:rPr>
          <w:szCs w:val="16"/>
        </w:rPr>
        <w:t xml:space="preserve"> </w:t>
      </w:r>
      <w:r w:rsidRPr="00031E0E">
        <w:rPr>
          <w:szCs w:val="18"/>
        </w:rPr>
        <w:t>processus liés comme la formation des coalitions ra</w:t>
      </w:r>
      <w:r w:rsidRPr="00031E0E">
        <w:rPr>
          <w:szCs w:val="18"/>
        </w:rPr>
        <w:t>s</w:t>
      </w:r>
      <w:r w:rsidRPr="00031E0E">
        <w:rPr>
          <w:szCs w:val="18"/>
        </w:rPr>
        <w:t>semblant des groupes déjà mobilisés ou en train de le faire, leur désintégration progressive, fréquente avec le d</w:t>
      </w:r>
      <w:r w:rsidRPr="00031E0E">
        <w:rPr>
          <w:szCs w:val="18"/>
        </w:rPr>
        <w:t>é</w:t>
      </w:r>
      <w:r w:rsidRPr="00031E0E">
        <w:rPr>
          <w:szCs w:val="18"/>
        </w:rPr>
        <w:t>veloppement de la révolution, et les mu</w:t>
      </w:r>
      <w:r w:rsidRPr="00031E0E">
        <w:rPr>
          <w:szCs w:val="18"/>
        </w:rPr>
        <w:t>l</w:t>
      </w:r>
      <w:r w:rsidRPr="00031E0E">
        <w:rPr>
          <w:szCs w:val="18"/>
        </w:rPr>
        <w:t>tiples conflits entre groupes qui s’ensuivent dans un contexte que personne ne maîtrise ple</w:t>
      </w:r>
      <w:r w:rsidRPr="00031E0E">
        <w:rPr>
          <w:szCs w:val="18"/>
        </w:rPr>
        <w:t>i</w:t>
      </w:r>
      <w:r w:rsidRPr="00031E0E">
        <w:rPr>
          <w:szCs w:val="18"/>
        </w:rPr>
        <w:t>nement. Ainsi que le reconnaît Skocpol (1979, p. 298, n. 44), en dépit de son d</w:t>
      </w:r>
      <w:r w:rsidRPr="00031E0E">
        <w:rPr>
          <w:szCs w:val="18"/>
        </w:rPr>
        <w:t>é</w:t>
      </w:r>
      <w:r w:rsidRPr="00031E0E">
        <w:rPr>
          <w:szCs w:val="18"/>
        </w:rPr>
        <w:t>saccord avec Tilly sur de nombreux points, un tel point de vue rend correctement compte des processus révol</w:t>
      </w:r>
      <w:r w:rsidRPr="00031E0E">
        <w:rPr>
          <w:szCs w:val="18"/>
        </w:rPr>
        <w:t>u</w:t>
      </w:r>
      <w:r w:rsidRPr="00031E0E">
        <w:rPr>
          <w:szCs w:val="18"/>
        </w:rPr>
        <w:t>tionnaires.</w:t>
      </w:r>
    </w:p>
    <w:p w14:paraId="4E0ECD25" w14:textId="77777777" w:rsidR="006C5FDB" w:rsidRPr="00031E0E" w:rsidRDefault="006C5FDB" w:rsidP="006C5FDB">
      <w:pPr>
        <w:spacing w:before="120" w:after="120"/>
        <w:jc w:val="both"/>
      </w:pPr>
      <w:r w:rsidRPr="00031E0E">
        <w:rPr>
          <w:szCs w:val="18"/>
        </w:rPr>
        <w:t>Si l’on prend maintenant quelque distance par rapport au modèle strict de Tilly, il nous semble que l’on doit faire une place, dans l’analyse de cette alternance de mobilisations et de démob</w:t>
      </w:r>
      <w:r w:rsidRPr="00031E0E">
        <w:rPr>
          <w:szCs w:val="18"/>
        </w:rPr>
        <w:t>i</w:t>
      </w:r>
      <w:r w:rsidRPr="00031E0E">
        <w:rPr>
          <w:szCs w:val="18"/>
        </w:rPr>
        <w:t>lisations, de ce jeu d’alliances et de conflits entre les groupes, aux idéol</w:t>
      </w:r>
      <w:r w:rsidRPr="00031E0E">
        <w:rPr>
          <w:szCs w:val="18"/>
        </w:rPr>
        <w:t>o</w:t>
      </w:r>
      <w:r w:rsidRPr="00031E0E">
        <w:rPr>
          <w:szCs w:val="18"/>
        </w:rPr>
        <w:t xml:space="preserve">gies que l’on peut ici saisir en situation – c’est-à-dire dans le cadre de l’interaction – et dont rien n’oblige à supposer </w:t>
      </w:r>
      <w:r w:rsidRPr="00031E0E">
        <w:rPr>
          <w:i/>
          <w:iCs/>
          <w:szCs w:val="18"/>
        </w:rPr>
        <w:t xml:space="preserve">a priori </w:t>
      </w:r>
      <w:r w:rsidRPr="00031E0E">
        <w:rPr>
          <w:szCs w:val="18"/>
        </w:rPr>
        <w:t>qu’elles sont révolutionnaires. Il conviendrait en pa</w:t>
      </w:r>
      <w:r w:rsidRPr="00031E0E">
        <w:rPr>
          <w:szCs w:val="18"/>
        </w:rPr>
        <w:t>r</w:t>
      </w:r>
      <w:r w:rsidRPr="00031E0E">
        <w:rPr>
          <w:szCs w:val="18"/>
        </w:rPr>
        <w:t>ticulier de tenir compte de « l’idéologie des protestations pop</w:t>
      </w:r>
      <w:r w:rsidRPr="00031E0E">
        <w:rPr>
          <w:szCs w:val="18"/>
        </w:rPr>
        <w:t>u</w:t>
      </w:r>
      <w:r w:rsidRPr="00031E0E">
        <w:rPr>
          <w:szCs w:val="18"/>
        </w:rPr>
        <w:t xml:space="preserve">laires » faite, selon George Rude, d’une combinaison d’éléments propres </w:t>
      </w:r>
      <w:r w:rsidRPr="00031E0E">
        <w:rPr>
          <w:i/>
          <w:iCs/>
          <w:szCs w:val="18"/>
        </w:rPr>
        <w:t xml:space="preserve">(inherent) </w:t>
      </w:r>
      <w:r w:rsidRPr="00031E0E">
        <w:rPr>
          <w:szCs w:val="18"/>
        </w:rPr>
        <w:t>et d’éléments dér</w:t>
      </w:r>
      <w:r w:rsidRPr="00031E0E">
        <w:rPr>
          <w:szCs w:val="18"/>
        </w:rPr>
        <w:t>i</w:t>
      </w:r>
      <w:r w:rsidRPr="00031E0E">
        <w:rPr>
          <w:szCs w:val="18"/>
        </w:rPr>
        <w:t>vés (1980, p. 28), qui viendraient en que</w:t>
      </w:r>
      <w:r w:rsidRPr="00031E0E">
        <w:rPr>
          <w:szCs w:val="18"/>
        </w:rPr>
        <w:t>l</w:t>
      </w:r>
      <w:r w:rsidRPr="00031E0E">
        <w:rPr>
          <w:szCs w:val="18"/>
        </w:rPr>
        <w:t>que sorte se greffer sur les premiers : cette greffe serait particulièrement rapide dans les péri</w:t>
      </w:r>
      <w:r w:rsidRPr="00031E0E">
        <w:rPr>
          <w:szCs w:val="18"/>
        </w:rPr>
        <w:t>o</w:t>
      </w:r>
      <w:r w:rsidRPr="00031E0E">
        <w:rPr>
          <w:szCs w:val="18"/>
        </w:rPr>
        <w:t>des révolutionnaires (p. 35), et l’importance des éléments dérivés en serait accrue d’autant.</w:t>
      </w:r>
    </w:p>
    <w:p w14:paraId="28E0D524" w14:textId="77777777" w:rsidR="006C5FDB" w:rsidRPr="00031E0E" w:rsidRDefault="006C5FDB" w:rsidP="006C5FDB">
      <w:pPr>
        <w:spacing w:before="120" w:after="120"/>
        <w:jc w:val="both"/>
      </w:pPr>
      <w:r w:rsidRPr="00031E0E">
        <w:rPr>
          <w:szCs w:val="18"/>
        </w:rPr>
        <w:t>Cette référence à un des grands sp</w:t>
      </w:r>
      <w:r w:rsidRPr="00031E0E">
        <w:rPr>
          <w:szCs w:val="18"/>
        </w:rPr>
        <w:t>é</w:t>
      </w:r>
      <w:r w:rsidRPr="00031E0E">
        <w:rPr>
          <w:szCs w:val="18"/>
        </w:rPr>
        <w:t>cialistes de l’ « histoire par le bas » nous permet de souligner un dernier avantage de la per</w:t>
      </w:r>
      <w:r w:rsidRPr="00031E0E">
        <w:rPr>
          <w:szCs w:val="18"/>
        </w:rPr>
        <w:t>s</w:t>
      </w:r>
      <w:r w:rsidRPr="00031E0E">
        <w:rPr>
          <w:szCs w:val="18"/>
        </w:rPr>
        <w:t>pective de la mobil</w:t>
      </w:r>
      <w:r w:rsidRPr="00031E0E">
        <w:rPr>
          <w:szCs w:val="18"/>
        </w:rPr>
        <w:t>i</w:t>
      </w:r>
      <w:r w:rsidRPr="00031E0E">
        <w:rPr>
          <w:szCs w:val="18"/>
        </w:rPr>
        <w:t>sation : elle nous paraît être la plus à même d’intégrer l’apport substantiel des travaux historiques sur les « foules révol</w:t>
      </w:r>
      <w:r w:rsidRPr="00031E0E">
        <w:rPr>
          <w:szCs w:val="18"/>
        </w:rPr>
        <w:t>u</w:t>
      </w:r>
      <w:r w:rsidRPr="00031E0E">
        <w:rPr>
          <w:szCs w:val="18"/>
        </w:rPr>
        <w:t xml:space="preserve">tionnaires » (Georges Lefebvre, </w:t>
      </w:r>
      <w:r w:rsidRPr="00031E0E">
        <w:rPr>
          <w:i/>
          <w:iCs/>
          <w:szCs w:val="18"/>
        </w:rPr>
        <w:t xml:space="preserve">Annales historiques de la Révolution française, </w:t>
      </w:r>
      <w:r w:rsidRPr="00031E0E">
        <w:rPr>
          <w:szCs w:val="18"/>
        </w:rPr>
        <w:t>1934 ; Rude, 1959, trad. fr., 1982 ; 1964), sur les « sans-culottes » (Soboul, 1958 ; To</w:t>
      </w:r>
      <w:r w:rsidRPr="00031E0E">
        <w:rPr>
          <w:szCs w:val="18"/>
        </w:rPr>
        <w:t>n</w:t>
      </w:r>
      <w:r w:rsidRPr="00031E0E">
        <w:rPr>
          <w:szCs w:val="18"/>
        </w:rPr>
        <w:t>nesson, 1959), sur les « mouvements populaires » (Gobb, 1970 ; trad. fr., 1975), ainsi que des analyses g</w:t>
      </w:r>
      <w:r w:rsidRPr="00031E0E">
        <w:rPr>
          <w:szCs w:val="18"/>
        </w:rPr>
        <w:t>é</w:t>
      </w:r>
      <w:r w:rsidRPr="00031E0E">
        <w:rPr>
          <w:szCs w:val="18"/>
        </w:rPr>
        <w:t>néral</w:t>
      </w:r>
      <w:r w:rsidRPr="00031E0E">
        <w:rPr>
          <w:szCs w:val="18"/>
        </w:rPr>
        <w:t>e</w:t>
      </w:r>
      <w:r w:rsidRPr="00031E0E">
        <w:rPr>
          <w:szCs w:val="18"/>
        </w:rPr>
        <w:t>ment plus dispersées, prenant souvent la forme d’études de cas, sur les soulèv</w:t>
      </w:r>
      <w:r w:rsidRPr="00031E0E">
        <w:rPr>
          <w:szCs w:val="18"/>
        </w:rPr>
        <w:t>e</w:t>
      </w:r>
      <w:r w:rsidRPr="00031E0E">
        <w:rPr>
          <w:szCs w:val="18"/>
        </w:rPr>
        <w:t>ments paysans, au centre desquelles il faut placer l’œuvre de pionnier accomplie par Georges Lefebvre sur la spécif</w:t>
      </w:r>
      <w:r w:rsidRPr="00031E0E">
        <w:rPr>
          <w:szCs w:val="18"/>
        </w:rPr>
        <w:t>i</w:t>
      </w:r>
      <w:r w:rsidRPr="00031E0E">
        <w:rPr>
          <w:szCs w:val="18"/>
        </w:rPr>
        <w:t>cité et la place de la révolution paysanne dans la Révolution française (1932, 1933). C’est en tout cas par l’établissement de ponts entre hi</w:t>
      </w:r>
      <w:r w:rsidRPr="00031E0E">
        <w:rPr>
          <w:szCs w:val="18"/>
        </w:rPr>
        <w:t>s</w:t>
      </w:r>
      <w:r w:rsidRPr="00031E0E">
        <w:rPr>
          <w:szCs w:val="18"/>
        </w:rPr>
        <w:t>toire et sociologie que s’accroîtra notre compréhension des révol</w:t>
      </w:r>
      <w:r w:rsidRPr="00031E0E">
        <w:rPr>
          <w:szCs w:val="18"/>
        </w:rPr>
        <w:t>u</w:t>
      </w:r>
      <w:r w:rsidRPr="00031E0E">
        <w:rPr>
          <w:szCs w:val="18"/>
        </w:rPr>
        <w:t>tions, en tant que phénomènes s</w:t>
      </w:r>
      <w:r w:rsidRPr="00031E0E">
        <w:rPr>
          <w:szCs w:val="18"/>
        </w:rPr>
        <w:t>o</w:t>
      </w:r>
      <w:r w:rsidRPr="00031E0E">
        <w:rPr>
          <w:szCs w:val="18"/>
        </w:rPr>
        <w:t>cio-politiques, et c’est de la solidité des liens ainsi établis que dépendra l’approfondissement de l’analyse.</w:t>
      </w:r>
    </w:p>
    <w:p w14:paraId="545D919B" w14:textId="77777777" w:rsidR="006C5FDB" w:rsidRDefault="006C5FDB" w:rsidP="006C5FDB">
      <w:pPr>
        <w:spacing w:before="120" w:after="120"/>
        <w:jc w:val="both"/>
      </w:pPr>
    </w:p>
    <w:p w14:paraId="24A7C4BF" w14:textId="77777777" w:rsidR="006C5FDB" w:rsidRPr="00031E0E" w:rsidRDefault="006C5FDB" w:rsidP="006C5FDB">
      <w:pPr>
        <w:spacing w:before="120" w:after="120"/>
        <w:jc w:val="both"/>
      </w:pPr>
    </w:p>
    <w:p w14:paraId="53339A45" w14:textId="77777777" w:rsidR="006C5FDB" w:rsidRPr="00031E0E" w:rsidRDefault="006C5FDB" w:rsidP="006C5FDB">
      <w:pPr>
        <w:spacing w:before="120" w:after="120"/>
        <w:jc w:val="both"/>
      </w:pPr>
      <w:r w:rsidRPr="00031E0E">
        <w:rPr>
          <w:szCs w:val="18"/>
        </w:rPr>
        <w:t>Cette présentation critique est déjà su</w:t>
      </w:r>
      <w:r w:rsidRPr="00031E0E">
        <w:rPr>
          <w:szCs w:val="18"/>
        </w:rPr>
        <w:t>f</w:t>
      </w:r>
      <w:r w:rsidRPr="00031E0E">
        <w:rPr>
          <w:szCs w:val="18"/>
        </w:rPr>
        <w:t>fisamment longue pour que nous ne l’alourdissions pas par une conclusion trop étoffée. Nous voudrions seulement répondre ici à une éventuelle objection, avant de terminer sur une note plus gén</w:t>
      </w:r>
      <w:r w:rsidRPr="00031E0E">
        <w:rPr>
          <w:szCs w:val="18"/>
        </w:rPr>
        <w:t>é</w:t>
      </w:r>
      <w:r w:rsidRPr="00031E0E">
        <w:rPr>
          <w:szCs w:val="18"/>
        </w:rPr>
        <w:t>rale.</w:t>
      </w:r>
    </w:p>
    <w:p w14:paraId="7DB21C75" w14:textId="77777777" w:rsidR="006C5FDB" w:rsidRPr="00031E0E" w:rsidRDefault="006C5FDB" w:rsidP="006C5FDB">
      <w:pPr>
        <w:spacing w:before="120" w:after="120"/>
        <w:jc w:val="both"/>
      </w:pPr>
      <w:r w:rsidRPr="00031E0E">
        <w:rPr>
          <w:szCs w:val="18"/>
        </w:rPr>
        <w:t>N’y aurait-il pas en effet un paradoxe, si ce n’est même une contradiction, à s</w:t>
      </w:r>
      <w:r w:rsidRPr="00031E0E">
        <w:rPr>
          <w:szCs w:val="18"/>
        </w:rPr>
        <w:t>i</w:t>
      </w:r>
      <w:r w:rsidRPr="00031E0E">
        <w:rPr>
          <w:szCs w:val="18"/>
        </w:rPr>
        <w:t>gnaler en première partie l’intérêt, fût-ce avec des réserves, de la définition d’Huntington et à insister, en fin de troisième partie, sur l’apport – au moins potentiel – de la perspective de la m</w:t>
      </w:r>
      <w:r w:rsidRPr="00031E0E">
        <w:rPr>
          <w:szCs w:val="18"/>
        </w:rPr>
        <w:t>o</w:t>
      </w:r>
      <w:r w:rsidRPr="00031E0E">
        <w:rPr>
          <w:szCs w:val="18"/>
        </w:rPr>
        <w:t>bilisation à la sa</w:t>
      </w:r>
      <w:r w:rsidRPr="00031E0E">
        <w:rPr>
          <w:szCs w:val="18"/>
        </w:rPr>
        <w:t>i</w:t>
      </w:r>
      <w:r w:rsidRPr="00031E0E">
        <w:rPr>
          <w:szCs w:val="18"/>
        </w:rPr>
        <w:t>sie des phénomènes révolutionnaires ? Du point de vue qui est le sien, Tilly a en effet raison de crit</w:t>
      </w:r>
      <w:r w:rsidRPr="00031E0E">
        <w:rPr>
          <w:szCs w:val="18"/>
        </w:rPr>
        <w:t>i</w:t>
      </w:r>
      <w:r w:rsidRPr="00031E0E">
        <w:rPr>
          <w:szCs w:val="18"/>
        </w:rPr>
        <w:t>quer la définition d’Huntington, qui ne convient ni à sa d</w:t>
      </w:r>
      <w:r w:rsidRPr="00031E0E">
        <w:rPr>
          <w:szCs w:val="18"/>
        </w:rPr>
        <w:t>é</w:t>
      </w:r>
      <w:r w:rsidRPr="00031E0E">
        <w:rPr>
          <w:szCs w:val="18"/>
        </w:rPr>
        <w:t>marche ni à son objet propre ; mais cela ne prouve pas pour a</w:t>
      </w:r>
      <w:r w:rsidRPr="00031E0E">
        <w:rPr>
          <w:szCs w:val="18"/>
        </w:rPr>
        <w:t>u</w:t>
      </w:r>
      <w:r w:rsidRPr="00031E0E">
        <w:rPr>
          <w:szCs w:val="18"/>
        </w:rPr>
        <w:t>tant qu’elle n’ait pas son utilité dans une</w:t>
      </w:r>
      <w:r>
        <w:rPr>
          <w:szCs w:val="18"/>
        </w:rPr>
        <w:t xml:space="preserve"> </w:t>
      </w:r>
      <w:r w:rsidRPr="00031E0E">
        <w:t>[681]</w:t>
      </w:r>
      <w:r>
        <w:t xml:space="preserve"> </w:t>
      </w:r>
      <w:r w:rsidRPr="00031E0E">
        <w:rPr>
          <w:szCs w:val="18"/>
        </w:rPr>
        <w:t xml:space="preserve">perspective différente, mettant plutôt l’accent sur les </w:t>
      </w:r>
      <w:r w:rsidRPr="00031E0E">
        <w:rPr>
          <w:i/>
          <w:iCs/>
          <w:szCs w:val="18"/>
        </w:rPr>
        <w:t>résu</w:t>
      </w:r>
      <w:r w:rsidRPr="00031E0E">
        <w:rPr>
          <w:i/>
          <w:iCs/>
          <w:szCs w:val="18"/>
        </w:rPr>
        <w:t>l</w:t>
      </w:r>
      <w:r w:rsidRPr="00031E0E">
        <w:rPr>
          <w:i/>
          <w:iCs/>
          <w:szCs w:val="18"/>
        </w:rPr>
        <w:t xml:space="preserve">tats </w:t>
      </w:r>
      <w:r w:rsidRPr="00031E0E">
        <w:rPr>
          <w:szCs w:val="18"/>
        </w:rPr>
        <w:t xml:space="preserve">des révolutions envisagés </w:t>
      </w:r>
      <w:r w:rsidRPr="00031E0E">
        <w:rPr>
          <w:i/>
          <w:iCs/>
          <w:szCs w:val="18"/>
        </w:rPr>
        <w:t xml:space="preserve">globalement. </w:t>
      </w:r>
      <w:r w:rsidRPr="00031E0E">
        <w:rPr>
          <w:szCs w:val="18"/>
        </w:rPr>
        <w:t>La pertinence de telle ou telle définition dépend en réalité, comme pour tout autre ph</w:t>
      </w:r>
      <w:r w:rsidRPr="00031E0E">
        <w:rPr>
          <w:szCs w:val="18"/>
        </w:rPr>
        <w:t>é</w:t>
      </w:r>
      <w:r w:rsidRPr="00031E0E">
        <w:rPr>
          <w:szCs w:val="18"/>
        </w:rPr>
        <w:t>nomène, de l’aspect, voire de la dime</w:t>
      </w:r>
      <w:r w:rsidRPr="00031E0E">
        <w:rPr>
          <w:szCs w:val="18"/>
        </w:rPr>
        <w:t>n</w:t>
      </w:r>
      <w:r w:rsidRPr="00031E0E">
        <w:rPr>
          <w:szCs w:val="18"/>
        </w:rPr>
        <w:t>sion, des révolutions que l’on a décidé d’étudier ; mais le fait est peut-être ici d’autant plus accusé que, comme l’a si bien dit Georges L</w:t>
      </w:r>
      <w:r w:rsidRPr="00031E0E">
        <w:rPr>
          <w:szCs w:val="18"/>
        </w:rPr>
        <w:t>e</w:t>
      </w:r>
      <w:r w:rsidRPr="00031E0E">
        <w:rPr>
          <w:szCs w:val="18"/>
        </w:rPr>
        <w:t>febvre à propos de la Révolution française (1963, p. 341), « la Révolution est un fait complexe, … il n’y a pas une Révolution, mais pl</w:t>
      </w:r>
      <w:r w:rsidRPr="00031E0E">
        <w:rPr>
          <w:szCs w:val="18"/>
        </w:rPr>
        <w:t>u</w:t>
      </w:r>
      <w:r w:rsidRPr="00031E0E">
        <w:rPr>
          <w:szCs w:val="18"/>
        </w:rPr>
        <w:t>sieurs ».</w:t>
      </w:r>
    </w:p>
    <w:p w14:paraId="34FABB13" w14:textId="77777777" w:rsidR="006C5FDB" w:rsidRPr="00031E0E" w:rsidRDefault="006C5FDB" w:rsidP="006C5FDB">
      <w:pPr>
        <w:spacing w:before="120" w:after="120"/>
        <w:jc w:val="both"/>
      </w:pPr>
      <w:r w:rsidRPr="00031E0E">
        <w:rPr>
          <w:szCs w:val="18"/>
        </w:rPr>
        <w:t>De toute façon, quelle que soit la perspective adoptée, il convient de souligner que les spéci</w:t>
      </w:r>
      <w:r w:rsidRPr="00031E0E">
        <w:rPr>
          <w:szCs w:val="18"/>
        </w:rPr>
        <w:t>a</w:t>
      </w:r>
      <w:r w:rsidRPr="00031E0E">
        <w:rPr>
          <w:szCs w:val="18"/>
        </w:rPr>
        <w:t>listes de sociologie politique sont sur ce terrain tributaires des recherches menées par les historiens, auxquels revient souvent la charge, à la fois exigeante et essentielle, de recuei</w:t>
      </w:r>
      <w:r w:rsidRPr="00031E0E">
        <w:rPr>
          <w:szCs w:val="18"/>
        </w:rPr>
        <w:t>l</w:t>
      </w:r>
      <w:r w:rsidRPr="00031E0E">
        <w:rPr>
          <w:szCs w:val="18"/>
        </w:rPr>
        <w:t>lir et d’analyser l’information de première main. Sociologues et pol</w:t>
      </w:r>
      <w:r w:rsidRPr="00031E0E">
        <w:rPr>
          <w:szCs w:val="18"/>
        </w:rPr>
        <w:t>i</w:t>
      </w:r>
      <w:r w:rsidRPr="00031E0E">
        <w:rPr>
          <w:szCs w:val="18"/>
        </w:rPr>
        <w:t>tistes bénéficient de cet indispensable travail préparatoire, ce dont ils auraient intérêt à se souvenir, avant de brocarder, comme certains ont tendance à le faire, les historiens pour leur manque de sens théor</w:t>
      </w:r>
      <w:r w:rsidRPr="00031E0E">
        <w:rPr>
          <w:szCs w:val="18"/>
        </w:rPr>
        <w:t>i</w:t>
      </w:r>
      <w:r w:rsidRPr="00031E0E">
        <w:rPr>
          <w:szCs w:val="18"/>
        </w:rPr>
        <w:t>que. La qualité des modèles interprétatifs tient certes à une pluralité de fa</w:t>
      </w:r>
      <w:r w:rsidRPr="00031E0E">
        <w:rPr>
          <w:szCs w:val="18"/>
        </w:rPr>
        <w:t>c</w:t>
      </w:r>
      <w:r w:rsidRPr="00031E0E">
        <w:rPr>
          <w:szCs w:val="18"/>
        </w:rPr>
        <w:t>teurs ; mais elle dépend, pour une part non négligeable, de la richesse des données dont le chercheur dispose et qu’il doit fréquemment, en l’occurrence, au l</w:t>
      </w:r>
      <w:r w:rsidRPr="00031E0E">
        <w:rPr>
          <w:szCs w:val="18"/>
        </w:rPr>
        <w:t>a</w:t>
      </w:r>
      <w:r w:rsidRPr="00031E0E">
        <w:rPr>
          <w:szCs w:val="18"/>
        </w:rPr>
        <w:t>beur de l’historien.</w:t>
      </w:r>
    </w:p>
    <w:p w14:paraId="11E7AA70" w14:textId="77777777" w:rsidR="006C5FDB" w:rsidRPr="00031E0E" w:rsidRDefault="006C5FDB" w:rsidP="006C5FDB">
      <w:pPr>
        <w:spacing w:before="120" w:after="120"/>
        <w:jc w:val="both"/>
      </w:pPr>
      <w:r w:rsidRPr="00031E0E">
        <w:rPr>
          <w:szCs w:val="18"/>
        </w:rPr>
        <w:t>Ce rappel à une modestie nécessaire n’interdit pas pour autant – tant s’en faut – des desseins de recherche amb</w:t>
      </w:r>
      <w:r w:rsidRPr="00031E0E">
        <w:rPr>
          <w:szCs w:val="18"/>
        </w:rPr>
        <w:t>i</w:t>
      </w:r>
      <w:r w:rsidRPr="00031E0E">
        <w:rPr>
          <w:szCs w:val="18"/>
        </w:rPr>
        <w:t>tieux. Sur ce plan, il est, à notre sens, une tâche à la fois urge</w:t>
      </w:r>
      <w:r w:rsidRPr="00031E0E">
        <w:rPr>
          <w:szCs w:val="18"/>
        </w:rPr>
        <w:t>n</w:t>
      </w:r>
      <w:r w:rsidRPr="00031E0E">
        <w:rPr>
          <w:szCs w:val="18"/>
        </w:rPr>
        <w:t>te et prioritaire : l’analyse conjoncturelle des révolutions, dans le sens d’une élucidation des pr</w:t>
      </w:r>
      <w:r w:rsidRPr="00031E0E">
        <w:rPr>
          <w:szCs w:val="18"/>
        </w:rPr>
        <w:t>o</w:t>
      </w:r>
      <w:r w:rsidRPr="00031E0E">
        <w:rPr>
          <w:szCs w:val="18"/>
        </w:rPr>
        <w:t>cessus internes aux révolutions et des modes de leur e</w:t>
      </w:r>
      <w:r w:rsidRPr="00031E0E">
        <w:rPr>
          <w:szCs w:val="18"/>
        </w:rPr>
        <w:t>n</w:t>
      </w:r>
      <w:r w:rsidRPr="00031E0E">
        <w:rPr>
          <w:szCs w:val="18"/>
        </w:rPr>
        <w:t>chaînement, mais aussi dans l’acception retenue par Theda Skocpol (1979, p. 320, n. 16), qui recommande à cet égard de prendre davantage en compte la rencontre de pr</w:t>
      </w:r>
      <w:r w:rsidRPr="00031E0E">
        <w:rPr>
          <w:szCs w:val="18"/>
        </w:rPr>
        <w:t>o</w:t>
      </w:r>
      <w:r w:rsidRPr="00031E0E">
        <w:rPr>
          <w:szCs w:val="18"/>
        </w:rPr>
        <w:t>cessus à l’origine séparés et distincts. Pour traiter de l’une et l’autre de ces dimensions, il nous semble que les s</w:t>
      </w:r>
      <w:r w:rsidRPr="00031E0E">
        <w:rPr>
          <w:szCs w:val="18"/>
        </w:rPr>
        <w:t>o</w:t>
      </w:r>
      <w:r w:rsidRPr="00031E0E">
        <w:rPr>
          <w:szCs w:val="18"/>
        </w:rPr>
        <w:t>ciologues sont désormais bien armés et qu’avec le nécessaire concours des hist</w:t>
      </w:r>
      <w:r w:rsidRPr="00031E0E">
        <w:rPr>
          <w:szCs w:val="18"/>
        </w:rPr>
        <w:t>o</w:t>
      </w:r>
      <w:r w:rsidRPr="00031E0E">
        <w:rPr>
          <w:szCs w:val="18"/>
        </w:rPr>
        <w:t>riens ce pr</w:t>
      </w:r>
      <w:r w:rsidRPr="00031E0E">
        <w:rPr>
          <w:szCs w:val="18"/>
        </w:rPr>
        <w:t>o</w:t>
      </w:r>
      <w:r w:rsidRPr="00031E0E">
        <w:rPr>
          <w:szCs w:val="18"/>
        </w:rPr>
        <w:t>gramme de travail n’est pas irréalisable. C’est en tout cas sur cette note optimiste que nous voudrions conclure.</w:t>
      </w:r>
    </w:p>
    <w:p w14:paraId="7F8238B1" w14:textId="77777777" w:rsidR="006C5FDB" w:rsidRPr="00031E0E" w:rsidRDefault="006C5FDB" w:rsidP="006C5FDB">
      <w:pPr>
        <w:spacing w:before="120" w:after="120"/>
        <w:jc w:val="both"/>
        <w:rPr>
          <w:szCs w:val="18"/>
        </w:rPr>
      </w:pPr>
    </w:p>
    <w:p w14:paraId="41C5CC5F" w14:textId="77777777" w:rsidR="006C5FDB" w:rsidRPr="00031E0E" w:rsidRDefault="006C5FDB" w:rsidP="006C5FDB">
      <w:pPr>
        <w:pStyle w:val="a"/>
      </w:pPr>
      <w:bookmarkStart w:id="6" w:name="Traite_t2_pt_2_chap_VII_biblio"/>
      <w:r w:rsidRPr="00031E0E">
        <w:t>BIBLIOGR</w:t>
      </w:r>
      <w:r w:rsidRPr="00031E0E">
        <w:t>A</w:t>
      </w:r>
      <w:r w:rsidRPr="00031E0E">
        <w:t>PHIE</w:t>
      </w:r>
    </w:p>
    <w:bookmarkEnd w:id="6"/>
    <w:p w14:paraId="5C3E2BE8" w14:textId="77777777" w:rsidR="006C5FDB" w:rsidRPr="00031E0E" w:rsidRDefault="006C5FDB" w:rsidP="006C5FDB">
      <w:pPr>
        <w:spacing w:before="120" w:after="120"/>
        <w:jc w:val="both"/>
      </w:pPr>
    </w:p>
    <w:p w14:paraId="5827437D" w14:textId="77777777" w:rsidR="006C5FDB" w:rsidRPr="00547A81" w:rsidRDefault="006C5FDB" w:rsidP="006C5FDB">
      <w:pPr>
        <w:ind w:right="90" w:firstLine="0"/>
        <w:jc w:val="both"/>
        <w:rPr>
          <w:sz w:val="20"/>
        </w:rPr>
      </w:pPr>
      <w:hyperlink w:anchor="sommaire" w:history="1">
        <w:r w:rsidRPr="00547A81">
          <w:rPr>
            <w:rStyle w:val="Hyperlien"/>
            <w:sz w:val="20"/>
          </w:rPr>
          <w:t>Retour au sommaire</w:t>
        </w:r>
      </w:hyperlink>
    </w:p>
    <w:p w14:paraId="7554F4F0" w14:textId="77777777" w:rsidR="006C5FDB" w:rsidRPr="002423EE" w:rsidRDefault="006C5FDB" w:rsidP="006C5FDB">
      <w:pPr>
        <w:pStyle w:val="biblio"/>
        <w:rPr>
          <w:i/>
        </w:rPr>
      </w:pPr>
      <w:r w:rsidRPr="00031E0E">
        <w:t xml:space="preserve">Alavi (Hamza), 1965, Peasants and Revolutions, in </w:t>
      </w:r>
      <w:r w:rsidRPr="00031E0E">
        <w:rPr>
          <w:i/>
          <w:iCs/>
        </w:rPr>
        <w:t xml:space="preserve">The Socialist Register, </w:t>
      </w:r>
      <w:r w:rsidRPr="002423EE">
        <w:rPr>
          <w:iCs/>
        </w:rPr>
        <w:t>pp</w:t>
      </w:r>
      <w:r w:rsidRPr="00031E0E">
        <w:rPr>
          <w:i/>
          <w:iCs/>
        </w:rPr>
        <w:t>.</w:t>
      </w:r>
      <w:r w:rsidRPr="00031E0E">
        <w:t xml:space="preserve"> 241-277.</w:t>
      </w:r>
    </w:p>
    <w:p w14:paraId="574595EB" w14:textId="77777777" w:rsidR="006C5FDB" w:rsidRPr="00031E0E" w:rsidRDefault="006C5FDB" w:rsidP="006C5FDB">
      <w:pPr>
        <w:pStyle w:val="biblio"/>
      </w:pPr>
      <w:r w:rsidRPr="00031E0E">
        <w:t xml:space="preserve">Amann (Peter), 1962, Revolution : A Redefinition, </w:t>
      </w:r>
      <w:r w:rsidRPr="00031E0E">
        <w:rPr>
          <w:i/>
          <w:iCs/>
        </w:rPr>
        <w:t>Political Science Quarte</w:t>
      </w:r>
      <w:r w:rsidRPr="00031E0E">
        <w:rPr>
          <w:i/>
          <w:iCs/>
        </w:rPr>
        <w:t>r</w:t>
      </w:r>
      <w:r w:rsidRPr="00031E0E">
        <w:rPr>
          <w:i/>
          <w:iCs/>
        </w:rPr>
        <w:t xml:space="preserve">ly, </w:t>
      </w:r>
      <w:r w:rsidRPr="00031E0E">
        <w:t>vol. 77, P- 36-53.</w:t>
      </w:r>
    </w:p>
    <w:p w14:paraId="23954698" w14:textId="77777777" w:rsidR="006C5FDB" w:rsidRPr="00031E0E" w:rsidRDefault="006C5FDB" w:rsidP="006C5FDB">
      <w:pPr>
        <w:pStyle w:val="biblio"/>
      </w:pPr>
      <w:r w:rsidRPr="00031E0E">
        <w:t xml:space="preserve">Arendt (Hannah), 1967, </w:t>
      </w:r>
      <w:r w:rsidRPr="00031E0E">
        <w:rPr>
          <w:i/>
          <w:iCs/>
        </w:rPr>
        <w:t xml:space="preserve">Essai sur la Révolution, </w:t>
      </w:r>
      <w:r w:rsidRPr="00031E0E">
        <w:t xml:space="preserve">Paris, Gallimard (éd. or., </w:t>
      </w:r>
      <w:r w:rsidRPr="00031E0E">
        <w:rPr>
          <w:i/>
          <w:iCs/>
        </w:rPr>
        <w:t xml:space="preserve">On Revolution, </w:t>
      </w:r>
      <w:r w:rsidRPr="00031E0E">
        <w:t>Lo</w:t>
      </w:r>
      <w:r w:rsidRPr="00031E0E">
        <w:t>n</w:t>
      </w:r>
      <w:r w:rsidRPr="00031E0E">
        <w:t>dres, Faber &amp; Faber, 1963).</w:t>
      </w:r>
    </w:p>
    <w:p w14:paraId="30C1F01D" w14:textId="77777777" w:rsidR="006C5FDB" w:rsidRPr="00031E0E" w:rsidRDefault="006C5FDB" w:rsidP="006C5FDB">
      <w:pPr>
        <w:pStyle w:val="biblio"/>
      </w:pPr>
      <w:r w:rsidRPr="00031E0E">
        <w:t xml:space="preserve">Aristote, 1973, </w:t>
      </w:r>
      <w:r w:rsidRPr="00031E0E">
        <w:rPr>
          <w:i/>
          <w:iCs/>
        </w:rPr>
        <w:t xml:space="preserve">Politique, </w:t>
      </w:r>
      <w:r w:rsidRPr="00031E0E">
        <w:t>liv. V, Paris, Les Belles-Lettres, t. II, 2</w:t>
      </w:r>
      <w:r w:rsidRPr="00031E0E">
        <w:rPr>
          <w:vertAlign w:val="superscript"/>
        </w:rPr>
        <w:t>e</w:t>
      </w:r>
      <w:r w:rsidRPr="00031E0E">
        <w:t xml:space="preserve"> pa</w:t>
      </w:r>
      <w:r w:rsidRPr="00031E0E">
        <w:t>r</w:t>
      </w:r>
      <w:r w:rsidRPr="00031E0E">
        <w:t>tie.</w:t>
      </w:r>
    </w:p>
    <w:p w14:paraId="1B255989" w14:textId="77777777" w:rsidR="006C5FDB" w:rsidRPr="00031E0E" w:rsidRDefault="006C5FDB" w:rsidP="006C5FDB">
      <w:pPr>
        <w:pStyle w:val="biblio"/>
      </w:pPr>
      <w:r w:rsidRPr="00031E0E">
        <w:t>Aya (Rod), 1979, Theories of Revolution reconsidered : Contra</w:t>
      </w:r>
      <w:r w:rsidRPr="00031E0E">
        <w:t>s</w:t>
      </w:r>
      <w:r w:rsidRPr="00031E0E">
        <w:t>ting Models of Collective Vi</w:t>
      </w:r>
      <w:r w:rsidRPr="00031E0E">
        <w:t>o</w:t>
      </w:r>
      <w:r w:rsidRPr="00031E0E">
        <w:t xml:space="preserve">lence, </w:t>
      </w:r>
      <w:r w:rsidRPr="00031E0E">
        <w:rPr>
          <w:i/>
          <w:iCs/>
        </w:rPr>
        <w:t xml:space="preserve">Theory and Society, </w:t>
      </w:r>
      <w:r w:rsidRPr="00031E0E">
        <w:t>vol. 8, pp. 39-99.</w:t>
      </w:r>
    </w:p>
    <w:p w14:paraId="02E89DD0" w14:textId="77777777" w:rsidR="006C5FDB" w:rsidRPr="00031E0E" w:rsidRDefault="006C5FDB" w:rsidP="006C5FDB">
      <w:pPr>
        <w:pStyle w:val="biblio"/>
      </w:pPr>
      <w:r w:rsidRPr="00031E0E">
        <w:t xml:space="preserve">Baechler (Jean), 1970, </w:t>
      </w:r>
      <w:r w:rsidRPr="00031E0E">
        <w:rPr>
          <w:i/>
          <w:iCs/>
        </w:rPr>
        <w:t>Les phénom</w:t>
      </w:r>
      <w:r w:rsidRPr="00031E0E">
        <w:rPr>
          <w:i/>
          <w:iCs/>
        </w:rPr>
        <w:t>è</w:t>
      </w:r>
      <w:r w:rsidRPr="00031E0E">
        <w:rPr>
          <w:i/>
          <w:iCs/>
        </w:rPr>
        <w:t xml:space="preserve">nes révolutionnaires, </w:t>
      </w:r>
      <w:r w:rsidRPr="00031E0E">
        <w:t xml:space="preserve">Paris, </w:t>
      </w:r>
      <w:r w:rsidRPr="00031E0E">
        <w:rPr>
          <w:smallCaps/>
        </w:rPr>
        <w:t>puf.</w:t>
      </w:r>
    </w:p>
    <w:p w14:paraId="30FADB27" w14:textId="77777777" w:rsidR="006C5FDB" w:rsidRPr="00031E0E" w:rsidRDefault="006C5FDB" w:rsidP="006C5FDB">
      <w:pPr>
        <w:pStyle w:val="biblio"/>
      </w:pPr>
      <w:r w:rsidRPr="00031E0E">
        <w:t xml:space="preserve">Bauer (Arthur), 1908, </w:t>
      </w:r>
      <w:r w:rsidRPr="00031E0E">
        <w:rPr>
          <w:i/>
          <w:iCs/>
        </w:rPr>
        <w:t xml:space="preserve">Essai sur les révolutions, </w:t>
      </w:r>
      <w:r w:rsidRPr="00031E0E">
        <w:t>Paris, Giard &amp; Brière.</w:t>
      </w:r>
    </w:p>
    <w:p w14:paraId="22B62F8E" w14:textId="77777777" w:rsidR="006C5FDB" w:rsidRPr="00031E0E" w:rsidRDefault="006C5FDB" w:rsidP="006C5FDB">
      <w:pPr>
        <w:pStyle w:val="biblio"/>
      </w:pPr>
      <w:r w:rsidRPr="00031E0E">
        <w:t xml:space="preserve">Birnbaum (Pierre), 1970, </w:t>
      </w:r>
      <w:r w:rsidRPr="00031E0E">
        <w:rPr>
          <w:i/>
          <w:iCs/>
        </w:rPr>
        <w:t xml:space="preserve">Sociologie de Tocqueville, </w:t>
      </w:r>
      <w:r w:rsidRPr="00031E0E">
        <w:t>P</w:t>
      </w:r>
      <w:r w:rsidRPr="00031E0E">
        <w:t>a</w:t>
      </w:r>
      <w:r w:rsidRPr="00031E0E">
        <w:t xml:space="preserve">ris, </w:t>
      </w:r>
      <w:r w:rsidRPr="00031E0E">
        <w:rPr>
          <w:smallCaps/>
        </w:rPr>
        <w:t xml:space="preserve">puf, </w:t>
      </w:r>
      <w:r w:rsidRPr="00031E0E">
        <w:t>chap. V : « Révolution et changement social ».</w:t>
      </w:r>
    </w:p>
    <w:p w14:paraId="424B1089" w14:textId="77777777" w:rsidR="006C5FDB" w:rsidRPr="00031E0E" w:rsidRDefault="006C5FDB" w:rsidP="006C5FDB">
      <w:pPr>
        <w:pStyle w:val="biblio"/>
      </w:pPr>
      <w:r w:rsidRPr="00031E0E">
        <w:t>Borkenau (Franz), 1937, State and Revolution in the Paris Co</w:t>
      </w:r>
      <w:r w:rsidRPr="00031E0E">
        <w:t>m</w:t>
      </w:r>
      <w:r w:rsidRPr="00031E0E">
        <w:t xml:space="preserve">mune, the Russian Revolution and the Spanish Civil War, </w:t>
      </w:r>
      <w:r w:rsidRPr="00031E0E">
        <w:rPr>
          <w:i/>
          <w:iCs/>
        </w:rPr>
        <w:t>Sociolog</w:t>
      </w:r>
      <w:r w:rsidRPr="00031E0E">
        <w:rPr>
          <w:i/>
          <w:iCs/>
        </w:rPr>
        <w:t>i</w:t>
      </w:r>
      <w:r w:rsidRPr="00031E0E">
        <w:rPr>
          <w:i/>
          <w:iCs/>
        </w:rPr>
        <w:t xml:space="preserve">cal Review, </w:t>
      </w:r>
      <w:r w:rsidRPr="00031E0E">
        <w:t>vol. 29, pp. 41-75.</w:t>
      </w:r>
    </w:p>
    <w:p w14:paraId="54C62937" w14:textId="77777777" w:rsidR="006C5FDB" w:rsidRPr="00031E0E" w:rsidRDefault="006C5FDB" w:rsidP="006C5FDB">
      <w:pPr>
        <w:pStyle w:val="biblio"/>
      </w:pPr>
      <w:r w:rsidRPr="00031E0E">
        <w:rPr>
          <w:bCs/>
          <w:szCs w:val="16"/>
        </w:rPr>
        <w:t>[682]</w:t>
      </w:r>
    </w:p>
    <w:p w14:paraId="51280DD4" w14:textId="77777777" w:rsidR="006C5FDB" w:rsidRPr="00031E0E" w:rsidRDefault="006C5FDB" w:rsidP="006C5FDB">
      <w:pPr>
        <w:pStyle w:val="biblio"/>
      </w:pPr>
      <w:r w:rsidRPr="00031E0E">
        <w:t xml:space="preserve">Brinton (Crane), 1965, </w:t>
      </w:r>
      <w:r w:rsidRPr="00031E0E">
        <w:rPr>
          <w:i/>
          <w:iCs/>
        </w:rPr>
        <w:t xml:space="preserve">The Anatomy of Revolution, </w:t>
      </w:r>
      <w:r w:rsidRPr="00031E0E">
        <w:t>éd. révisée, New York, Vint</w:t>
      </w:r>
      <w:r w:rsidRPr="00031E0E">
        <w:t>a</w:t>
      </w:r>
      <w:r w:rsidRPr="00031E0E">
        <w:t>ge Books (1</w:t>
      </w:r>
      <w:r w:rsidRPr="00031E0E">
        <w:rPr>
          <w:vertAlign w:val="superscript"/>
        </w:rPr>
        <w:t>re</w:t>
      </w:r>
      <w:r w:rsidRPr="00031E0E">
        <w:t xml:space="preserve"> éd., 1938).</w:t>
      </w:r>
    </w:p>
    <w:p w14:paraId="08A7589C" w14:textId="77777777" w:rsidR="006C5FDB" w:rsidRPr="00031E0E" w:rsidRDefault="006C5FDB" w:rsidP="006C5FDB">
      <w:pPr>
        <w:pStyle w:val="biblio"/>
      </w:pPr>
      <w:r w:rsidRPr="00031E0E">
        <w:t xml:space="preserve">Burke (Edmund), 1855, </w:t>
      </w:r>
      <w:r w:rsidRPr="00031E0E">
        <w:rPr>
          <w:i/>
          <w:iCs/>
        </w:rPr>
        <w:t xml:space="preserve">Reflections on the Revolution in France </w:t>
      </w:r>
      <w:r w:rsidRPr="00031E0E">
        <w:t xml:space="preserve">(1790), in </w:t>
      </w:r>
      <w:r w:rsidRPr="00031E0E">
        <w:rPr>
          <w:i/>
          <w:iCs/>
        </w:rPr>
        <w:t xml:space="preserve">Works, </w:t>
      </w:r>
      <w:r w:rsidRPr="00031E0E">
        <w:t>Londres, Henry G. Bohn, t. II, pp. 277-518. (Parmi les éditions récentes, les plus accessibles sont : Londres, Everyman’s Library, 1967, et Londres, Pe</w:t>
      </w:r>
      <w:r w:rsidRPr="00031E0E">
        <w:t>n</w:t>
      </w:r>
      <w:r w:rsidRPr="00031E0E">
        <w:t>guin English L</w:t>
      </w:r>
      <w:r w:rsidRPr="00031E0E">
        <w:t>i</w:t>
      </w:r>
      <w:r w:rsidRPr="00031E0E">
        <w:t>brary, 1982.)</w:t>
      </w:r>
    </w:p>
    <w:p w14:paraId="16FEFCF1" w14:textId="77777777" w:rsidR="006C5FDB" w:rsidRPr="00031E0E" w:rsidRDefault="006C5FDB" w:rsidP="006C5FDB">
      <w:pPr>
        <w:pStyle w:val="biblio"/>
      </w:pPr>
      <w:r w:rsidRPr="00031E0E">
        <w:t xml:space="preserve">Calvert (Peter), 1970, </w:t>
      </w:r>
      <w:r w:rsidRPr="00031E0E">
        <w:rPr>
          <w:i/>
          <w:iCs/>
        </w:rPr>
        <w:t>A Study of R</w:t>
      </w:r>
      <w:r w:rsidRPr="00031E0E">
        <w:rPr>
          <w:i/>
          <w:iCs/>
        </w:rPr>
        <w:t>e</w:t>
      </w:r>
      <w:r w:rsidRPr="00031E0E">
        <w:rPr>
          <w:i/>
          <w:iCs/>
        </w:rPr>
        <w:t xml:space="preserve">volution, </w:t>
      </w:r>
      <w:r w:rsidRPr="00031E0E">
        <w:t>Oxford, Clarendon Press.</w:t>
      </w:r>
    </w:p>
    <w:p w14:paraId="4F3A59BB" w14:textId="77777777" w:rsidR="006C5FDB" w:rsidRPr="00031E0E" w:rsidRDefault="006C5FDB" w:rsidP="006C5FDB">
      <w:pPr>
        <w:pStyle w:val="biblio"/>
      </w:pPr>
      <w:r w:rsidRPr="00031E0E">
        <w:t>Chazel (François), 1975, La m</w:t>
      </w:r>
      <w:r w:rsidRPr="00031E0E">
        <w:t>o</w:t>
      </w:r>
      <w:r w:rsidRPr="00031E0E">
        <w:t xml:space="preserve">bilisation politique : problèmes et dimensions, </w:t>
      </w:r>
      <w:r w:rsidRPr="00031E0E">
        <w:rPr>
          <w:i/>
          <w:iCs/>
        </w:rPr>
        <w:t>Revue française de Science polit</w:t>
      </w:r>
      <w:r w:rsidRPr="00031E0E">
        <w:rPr>
          <w:i/>
          <w:iCs/>
        </w:rPr>
        <w:t>i</w:t>
      </w:r>
      <w:r w:rsidRPr="00031E0E">
        <w:rPr>
          <w:i/>
          <w:iCs/>
        </w:rPr>
        <w:t xml:space="preserve">que, </w:t>
      </w:r>
      <w:r w:rsidRPr="00031E0E">
        <w:t>vol. XXV, pp. 502-516.</w:t>
      </w:r>
    </w:p>
    <w:p w14:paraId="0C912CE9" w14:textId="77777777" w:rsidR="006C5FDB" w:rsidRPr="00031E0E" w:rsidRDefault="006C5FDB" w:rsidP="006C5FDB">
      <w:pPr>
        <w:pStyle w:val="biblio"/>
      </w:pPr>
      <w:r w:rsidRPr="00031E0E">
        <w:t xml:space="preserve">Chorley (Katherine), 1973, </w:t>
      </w:r>
      <w:r w:rsidRPr="00031E0E">
        <w:rPr>
          <w:i/>
          <w:iCs/>
        </w:rPr>
        <w:t xml:space="preserve">Armies and the Art of Revolution, </w:t>
      </w:r>
      <w:r w:rsidRPr="00031E0E">
        <w:t>nouv. éd., Bo</w:t>
      </w:r>
      <w:r w:rsidRPr="00031E0E">
        <w:t>s</w:t>
      </w:r>
      <w:r w:rsidRPr="00031E0E">
        <w:t>ton, Beacon Press (1</w:t>
      </w:r>
      <w:r w:rsidRPr="00031E0E">
        <w:rPr>
          <w:vertAlign w:val="superscript"/>
        </w:rPr>
        <w:t>re</w:t>
      </w:r>
      <w:r w:rsidRPr="00031E0E">
        <w:t xml:space="preserve"> éd. 1943).</w:t>
      </w:r>
    </w:p>
    <w:p w14:paraId="38748F2E" w14:textId="77777777" w:rsidR="006C5FDB" w:rsidRPr="00031E0E" w:rsidRDefault="006C5FDB" w:rsidP="006C5FDB">
      <w:pPr>
        <w:pStyle w:val="biblio"/>
      </w:pPr>
      <w:r w:rsidRPr="00031E0E">
        <w:t xml:space="preserve">Cobb (Richard), 1975, </w:t>
      </w:r>
      <w:r w:rsidRPr="00031E0E">
        <w:rPr>
          <w:i/>
          <w:iCs/>
        </w:rPr>
        <w:t xml:space="preserve">La protestation populaire en France (1789-18S0), </w:t>
      </w:r>
      <w:r w:rsidRPr="00031E0E">
        <w:t>P</w:t>
      </w:r>
      <w:r w:rsidRPr="00031E0E">
        <w:t>a</w:t>
      </w:r>
      <w:r w:rsidRPr="00031E0E">
        <w:t xml:space="preserve">ris, Calmann-Lévy (éd. or., </w:t>
      </w:r>
      <w:r w:rsidRPr="00031E0E">
        <w:rPr>
          <w:i/>
          <w:iCs/>
        </w:rPr>
        <w:t xml:space="preserve">The police and the people, </w:t>
      </w:r>
      <w:r w:rsidRPr="00031E0E">
        <w:t>Oxford, Oxford Unive</w:t>
      </w:r>
      <w:r w:rsidRPr="00031E0E">
        <w:t>r</w:t>
      </w:r>
      <w:r w:rsidRPr="00031E0E">
        <w:t>sity Press, 1970).</w:t>
      </w:r>
    </w:p>
    <w:p w14:paraId="6AA5BBD0" w14:textId="77777777" w:rsidR="006C5FDB" w:rsidRPr="00031E0E" w:rsidRDefault="006C5FDB" w:rsidP="006C5FDB">
      <w:pPr>
        <w:pStyle w:val="biblio"/>
      </w:pPr>
      <w:r w:rsidRPr="00031E0E">
        <w:t xml:space="preserve">Cobban (Alfred), 1970, The Myth of the French Revolution, in </w:t>
      </w:r>
      <w:r w:rsidRPr="00031E0E">
        <w:rPr>
          <w:i/>
          <w:iCs/>
        </w:rPr>
        <w:t>A</w:t>
      </w:r>
      <w:r w:rsidRPr="00031E0E">
        <w:rPr>
          <w:i/>
          <w:iCs/>
        </w:rPr>
        <w:t>s</w:t>
      </w:r>
      <w:r w:rsidRPr="00031E0E">
        <w:rPr>
          <w:i/>
          <w:iCs/>
        </w:rPr>
        <w:t xml:space="preserve">pects of the French Revolution, </w:t>
      </w:r>
      <w:r w:rsidRPr="00031E0E">
        <w:t>New York, Norton, pp. 90-111 (Conférence initialement pr</w:t>
      </w:r>
      <w:r w:rsidRPr="00031E0E">
        <w:t>o</w:t>
      </w:r>
      <w:r w:rsidRPr="00031E0E">
        <w:t>noncée en 1955).</w:t>
      </w:r>
    </w:p>
    <w:p w14:paraId="73230E2D" w14:textId="77777777" w:rsidR="006C5FDB" w:rsidRPr="00031E0E" w:rsidRDefault="006C5FDB" w:rsidP="006C5FDB">
      <w:pPr>
        <w:pStyle w:val="biblio"/>
      </w:pPr>
      <w:r w:rsidRPr="00031E0E">
        <w:t xml:space="preserve">Cobban (Alfred), 1984, </w:t>
      </w:r>
      <w:r w:rsidRPr="00031E0E">
        <w:rPr>
          <w:i/>
          <w:iCs/>
        </w:rPr>
        <w:t xml:space="preserve">Le sens de la Révolution française, </w:t>
      </w:r>
      <w:r w:rsidRPr="00031E0E">
        <w:t xml:space="preserve">Paris, Julliard (éd. or. : </w:t>
      </w:r>
      <w:r w:rsidRPr="00031E0E">
        <w:rPr>
          <w:i/>
          <w:iCs/>
        </w:rPr>
        <w:t xml:space="preserve">The Social Interpretation of the French Revolution, </w:t>
      </w:r>
      <w:r w:rsidRPr="00031E0E">
        <w:t>Cambridge. Unive</w:t>
      </w:r>
      <w:r w:rsidRPr="00031E0E">
        <w:t>r</w:t>
      </w:r>
      <w:r w:rsidRPr="00031E0E">
        <w:t>sity Press, 1964).</w:t>
      </w:r>
    </w:p>
    <w:p w14:paraId="22E3B89B" w14:textId="77777777" w:rsidR="006C5FDB" w:rsidRPr="00031E0E" w:rsidRDefault="006C5FDB" w:rsidP="006C5FDB">
      <w:pPr>
        <w:pStyle w:val="biblio"/>
      </w:pPr>
      <w:r w:rsidRPr="00031E0E">
        <w:t xml:space="preserve">Cochin (Augustin), 1979, </w:t>
      </w:r>
      <w:r w:rsidRPr="00031E0E">
        <w:rPr>
          <w:i/>
          <w:iCs/>
        </w:rPr>
        <w:t xml:space="preserve">L’esprit du jacobinisme, </w:t>
      </w:r>
      <w:r w:rsidRPr="00031E0E">
        <w:t xml:space="preserve">Paris, </w:t>
      </w:r>
      <w:r w:rsidRPr="00031E0E">
        <w:rPr>
          <w:smallCaps/>
        </w:rPr>
        <w:t xml:space="preserve">puf </w:t>
      </w:r>
      <w:r w:rsidRPr="00031E0E">
        <w:t xml:space="preserve">(éd. or., </w:t>
      </w:r>
      <w:r w:rsidRPr="00031E0E">
        <w:rPr>
          <w:i/>
          <w:iCs/>
        </w:rPr>
        <w:t>Les s</w:t>
      </w:r>
      <w:r w:rsidRPr="00031E0E">
        <w:rPr>
          <w:i/>
          <w:iCs/>
        </w:rPr>
        <w:t>o</w:t>
      </w:r>
      <w:r w:rsidRPr="00031E0E">
        <w:rPr>
          <w:i/>
          <w:iCs/>
        </w:rPr>
        <w:t xml:space="preserve">ciétés de pensée et la démocratie, </w:t>
      </w:r>
      <w:r w:rsidRPr="00031E0E">
        <w:t>Paris, Pion, 1921).</w:t>
      </w:r>
    </w:p>
    <w:p w14:paraId="152DC749" w14:textId="77777777" w:rsidR="006C5FDB" w:rsidRPr="00031E0E" w:rsidRDefault="006C5FDB" w:rsidP="006C5FDB">
      <w:pPr>
        <w:pStyle w:val="biblio"/>
      </w:pPr>
      <w:r w:rsidRPr="00031E0E">
        <w:t xml:space="preserve">Cohan (A. S.), 1975, </w:t>
      </w:r>
      <w:r w:rsidRPr="00031E0E">
        <w:rPr>
          <w:i/>
          <w:iCs/>
        </w:rPr>
        <w:t xml:space="preserve">Theories of Revolution : An Introduction, </w:t>
      </w:r>
      <w:r w:rsidRPr="00031E0E">
        <w:t>Londres, Ne</w:t>
      </w:r>
      <w:r w:rsidRPr="00031E0E">
        <w:t>l</w:t>
      </w:r>
      <w:r w:rsidRPr="00031E0E">
        <w:t>son.</w:t>
      </w:r>
    </w:p>
    <w:p w14:paraId="1842FF1C" w14:textId="77777777" w:rsidR="006C5FDB" w:rsidRPr="00031E0E" w:rsidRDefault="006C5FDB" w:rsidP="006C5FDB">
      <w:pPr>
        <w:pStyle w:val="biblio"/>
      </w:pPr>
      <w:r w:rsidRPr="00031E0E">
        <w:t xml:space="preserve">Cohn (Norman), 1983, </w:t>
      </w:r>
      <w:r w:rsidRPr="00031E0E">
        <w:rPr>
          <w:i/>
          <w:iCs/>
        </w:rPr>
        <w:t xml:space="preserve">Les fanatiques de l’apocalypse, </w:t>
      </w:r>
      <w:r w:rsidRPr="00031E0E">
        <w:t xml:space="preserve">Paris, Payot </w:t>
      </w:r>
      <w:r w:rsidRPr="00031E0E">
        <w:rPr>
          <w:i/>
          <w:iCs/>
        </w:rPr>
        <w:t>(The Pu</w:t>
      </w:r>
      <w:r w:rsidRPr="00031E0E">
        <w:rPr>
          <w:i/>
          <w:iCs/>
        </w:rPr>
        <w:t>r</w:t>
      </w:r>
      <w:r w:rsidRPr="00031E0E">
        <w:rPr>
          <w:i/>
          <w:iCs/>
        </w:rPr>
        <w:t xml:space="preserve">suit of the Millenium, </w:t>
      </w:r>
      <w:r w:rsidRPr="00031E0E">
        <w:t>Londres, Temple Smith, 3</w:t>
      </w:r>
      <w:r w:rsidRPr="00031E0E">
        <w:rPr>
          <w:vertAlign w:val="superscript"/>
        </w:rPr>
        <w:t>e</w:t>
      </w:r>
      <w:r w:rsidRPr="00031E0E">
        <w:t xml:space="preserve"> éd. rev. et corr., 1970 ; 1</w:t>
      </w:r>
      <w:r w:rsidRPr="00031E0E">
        <w:rPr>
          <w:vertAlign w:val="superscript"/>
        </w:rPr>
        <w:t>re</w:t>
      </w:r>
      <w:r w:rsidRPr="00031E0E">
        <w:t xml:space="preserve"> éd., Lo</w:t>
      </w:r>
      <w:r w:rsidRPr="00031E0E">
        <w:t>n</w:t>
      </w:r>
      <w:r w:rsidRPr="00031E0E">
        <w:t>dres, Secker &amp; Warburg, 1957, avec trad. franc, en 1962).</w:t>
      </w:r>
    </w:p>
    <w:p w14:paraId="5D418281" w14:textId="77777777" w:rsidR="006C5FDB" w:rsidRPr="00031E0E" w:rsidRDefault="006C5FDB" w:rsidP="006C5FDB">
      <w:pPr>
        <w:pStyle w:val="biblio"/>
      </w:pPr>
      <w:r w:rsidRPr="00031E0E">
        <w:t>Condorcet (Antoine-Nicolas de), 1847, Sur le sens du mot révol</w:t>
      </w:r>
      <w:r w:rsidRPr="00031E0E">
        <w:t>u</w:t>
      </w:r>
      <w:r w:rsidRPr="00031E0E">
        <w:t xml:space="preserve">tionnaire (1793), dans </w:t>
      </w:r>
      <w:r w:rsidRPr="00031E0E">
        <w:rPr>
          <w:i/>
          <w:iCs/>
        </w:rPr>
        <w:t>Œ</w:t>
      </w:r>
      <w:r w:rsidRPr="00031E0E">
        <w:rPr>
          <w:i/>
          <w:iCs/>
        </w:rPr>
        <w:t>u</w:t>
      </w:r>
      <w:r w:rsidRPr="00031E0E">
        <w:rPr>
          <w:i/>
          <w:iCs/>
        </w:rPr>
        <w:t xml:space="preserve">vres, </w:t>
      </w:r>
      <w:r w:rsidRPr="00031E0E">
        <w:t>Paris, vol. 12.</w:t>
      </w:r>
    </w:p>
    <w:p w14:paraId="35386495" w14:textId="77777777" w:rsidR="006C5FDB" w:rsidRPr="00031E0E" w:rsidRDefault="006C5FDB" w:rsidP="006C5FDB">
      <w:pPr>
        <w:pStyle w:val="biblio"/>
      </w:pPr>
      <w:r w:rsidRPr="00031E0E">
        <w:t xml:space="preserve">Davies (James C.), 1962, Toward a Theory of Revolution, </w:t>
      </w:r>
      <w:r w:rsidRPr="00031E0E">
        <w:rPr>
          <w:i/>
          <w:iCs/>
        </w:rPr>
        <w:t>American Sociol</w:t>
      </w:r>
      <w:r w:rsidRPr="00031E0E">
        <w:rPr>
          <w:i/>
          <w:iCs/>
        </w:rPr>
        <w:t>o</w:t>
      </w:r>
      <w:r w:rsidRPr="00031E0E">
        <w:rPr>
          <w:i/>
          <w:iCs/>
        </w:rPr>
        <w:t xml:space="preserve">gical Review, </w:t>
      </w:r>
      <w:r w:rsidRPr="00031E0E">
        <w:t>vol. 27, pp. 5-19 (traduit dans Pierre Bir</w:t>
      </w:r>
      <w:r w:rsidRPr="00031E0E">
        <w:t>n</w:t>
      </w:r>
      <w:r w:rsidRPr="00031E0E">
        <w:t xml:space="preserve">baum et François Chazel (sous la direction de), </w:t>
      </w:r>
      <w:r w:rsidRPr="00031E0E">
        <w:rPr>
          <w:i/>
          <w:iCs/>
        </w:rPr>
        <w:t>Soci</w:t>
      </w:r>
      <w:r w:rsidRPr="00031E0E">
        <w:rPr>
          <w:i/>
          <w:iCs/>
        </w:rPr>
        <w:t>o</w:t>
      </w:r>
      <w:r w:rsidRPr="00031E0E">
        <w:rPr>
          <w:i/>
          <w:iCs/>
        </w:rPr>
        <w:t xml:space="preserve">logie politique, </w:t>
      </w:r>
      <w:r w:rsidRPr="00031E0E">
        <w:t>Paris, A. Colin, 1971, t. II, pp. 254-284).</w:t>
      </w:r>
    </w:p>
    <w:p w14:paraId="4F777A2D" w14:textId="77777777" w:rsidR="006C5FDB" w:rsidRPr="00031E0E" w:rsidRDefault="006C5FDB" w:rsidP="006C5FDB">
      <w:pPr>
        <w:pStyle w:val="biblio"/>
      </w:pPr>
      <w:r w:rsidRPr="00031E0E">
        <w:t>Davies (James C.), 1969, The J-Curve of Rising and Declining S</w:t>
      </w:r>
      <w:r w:rsidRPr="00031E0E">
        <w:t>a</w:t>
      </w:r>
      <w:r w:rsidRPr="00031E0E">
        <w:t xml:space="preserve">tisfactions as a Cause of Some Great Revolutions and a Contained Rebellion, </w:t>
      </w:r>
      <w:r w:rsidRPr="00031E0E">
        <w:rPr>
          <w:i/>
          <w:iCs/>
        </w:rPr>
        <w:t xml:space="preserve">in </w:t>
      </w:r>
      <w:r w:rsidRPr="00031E0E">
        <w:t>H. G. Gr</w:t>
      </w:r>
      <w:r w:rsidRPr="00031E0E">
        <w:t>a</w:t>
      </w:r>
      <w:r w:rsidRPr="00031E0E">
        <w:t xml:space="preserve">ham et T. R. Gurr (éd.), </w:t>
      </w:r>
      <w:r w:rsidRPr="00031E0E">
        <w:rPr>
          <w:i/>
          <w:iCs/>
        </w:rPr>
        <w:t xml:space="preserve">Violence in America, </w:t>
      </w:r>
      <w:r w:rsidRPr="00031E0E">
        <w:t>New York, Signet Books, pp. 671-709.</w:t>
      </w:r>
    </w:p>
    <w:p w14:paraId="3596E637" w14:textId="77777777" w:rsidR="006C5FDB" w:rsidRPr="00031E0E" w:rsidRDefault="006C5FDB" w:rsidP="006C5FDB">
      <w:pPr>
        <w:pStyle w:val="biblio"/>
      </w:pPr>
      <w:r w:rsidRPr="00031E0E">
        <w:t xml:space="preserve">Davies (James C.), 1974, Comments, </w:t>
      </w:r>
      <w:r w:rsidRPr="00031E0E">
        <w:rPr>
          <w:i/>
          <w:iCs/>
        </w:rPr>
        <w:t>American Sociological R</w:t>
      </w:r>
      <w:r w:rsidRPr="00031E0E">
        <w:rPr>
          <w:i/>
          <w:iCs/>
        </w:rPr>
        <w:t>e</w:t>
      </w:r>
      <w:r w:rsidRPr="00031E0E">
        <w:rPr>
          <w:i/>
          <w:iCs/>
        </w:rPr>
        <w:t xml:space="preserve">view, </w:t>
      </w:r>
      <w:r w:rsidRPr="00031E0E">
        <w:t>vol. 39, pp. 607-610.</w:t>
      </w:r>
    </w:p>
    <w:p w14:paraId="790AABF6" w14:textId="77777777" w:rsidR="006C5FDB" w:rsidRPr="00031E0E" w:rsidRDefault="006C5FDB" w:rsidP="006C5FDB">
      <w:pPr>
        <w:pStyle w:val="biblio"/>
      </w:pPr>
      <w:r w:rsidRPr="00031E0E">
        <w:t xml:space="preserve">Decouflé (André-Clément), 1968, </w:t>
      </w:r>
      <w:r w:rsidRPr="00031E0E">
        <w:rPr>
          <w:i/>
          <w:iCs/>
        </w:rPr>
        <w:t xml:space="preserve">Sociologie des révolutions, </w:t>
      </w:r>
      <w:r w:rsidRPr="00031E0E">
        <w:t>P</w:t>
      </w:r>
      <w:r w:rsidRPr="00031E0E">
        <w:t>a</w:t>
      </w:r>
      <w:r w:rsidRPr="00031E0E">
        <w:t xml:space="preserve">ris, </w:t>
      </w:r>
      <w:r w:rsidRPr="00031E0E">
        <w:rPr>
          <w:smallCaps/>
        </w:rPr>
        <w:t xml:space="preserve">puf, </w:t>
      </w:r>
      <w:r w:rsidRPr="00031E0E">
        <w:t>coll. « Que sais-je ? », 3</w:t>
      </w:r>
      <w:r w:rsidRPr="00031E0E">
        <w:rPr>
          <w:vertAlign w:val="superscript"/>
        </w:rPr>
        <w:t>e</w:t>
      </w:r>
      <w:r w:rsidRPr="00031E0E">
        <w:t xml:space="preserve"> éd., 1983.</w:t>
      </w:r>
    </w:p>
    <w:p w14:paraId="2973F05C" w14:textId="77777777" w:rsidR="006C5FDB" w:rsidRPr="00031E0E" w:rsidRDefault="006C5FDB" w:rsidP="006C5FDB">
      <w:pPr>
        <w:pStyle w:val="biblio"/>
      </w:pPr>
      <w:r w:rsidRPr="00031E0E">
        <w:t xml:space="preserve">Deutscher (Isaac), 1953, </w:t>
      </w:r>
      <w:r w:rsidRPr="00031E0E">
        <w:rPr>
          <w:i/>
          <w:iCs/>
        </w:rPr>
        <w:t xml:space="preserve">Staline : une biographie politique, </w:t>
      </w:r>
      <w:r w:rsidRPr="00031E0E">
        <w:t>trad. fr., Paris, Ga</w:t>
      </w:r>
      <w:r w:rsidRPr="00031E0E">
        <w:t>l</w:t>
      </w:r>
      <w:r w:rsidRPr="00031E0E">
        <w:t>limard.</w:t>
      </w:r>
    </w:p>
    <w:p w14:paraId="5FD8B3CA" w14:textId="77777777" w:rsidR="006C5FDB" w:rsidRPr="00031E0E" w:rsidRDefault="006C5FDB" w:rsidP="006C5FDB">
      <w:pPr>
        <w:pStyle w:val="biblio"/>
      </w:pPr>
      <w:r w:rsidRPr="00031E0E">
        <w:t xml:space="preserve">Dobry (Michel), 1984, </w:t>
      </w:r>
      <w:r w:rsidRPr="00031E0E">
        <w:rPr>
          <w:i/>
          <w:iCs/>
        </w:rPr>
        <w:t xml:space="preserve">Éléments pour une théorie des conjonctures fluides, </w:t>
      </w:r>
      <w:r w:rsidRPr="00031E0E">
        <w:t>thèse de doctorat d’État en Science politique, Paris, Institut d’Études polit</w:t>
      </w:r>
      <w:r w:rsidRPr="00031E0E">
        <w:t>i</w:t>
      </w:r>
      <w:r w:rsidRPr="00031E0E">
        <w:t>ques, janvier.</w:t>
      </w:r>
    </w:p>
    <w:p w14:paraId="17763955" w14:textId="77777777" w:rsidR="006C5FDB" w:rsidRPr="00031E0E" w:rsidRDefault="006C5FDB" w:rsidP="006C5FDB">
      <w:pPr>
        <w:pStyle w:val="biblio"/>
      </w:pPr>
      <w:r w:rsidRPr="00031E0E">
        <w:t xml:space="preserve">Draper (Hal), 1977, 1978, </w:t>
      </w:r>
      <w:r w:rsidRPr="00031E0E">
        <w:rPr>
          <w:i/>
          <w:iCs/>
        </w:rPr>
        <w:t xml:space="preserve">Karl Marx’s Theory of Revolution, </w:t>
      </w:r>
      <w:r w:rsidRPr="00031E0E">
        <w:t xml:space="preserve">New York, Monthly Review Press, t. 1 </w:t>
      </w:r>
      <w:r w:rsidRPr="00031E0E">
        <w:rPr>
          <w:i/>
          <w:iCs/>
        </w:rPr>
        <w:t xml:space="preserve">State and Bureaucracy, </w:t>
      </w:r>
      <w:r w:rsidRPr="00031E0E">
        <w:t xml:space="preserve">2 vol., t. 2 </w:t>
      </w:r>
      <w:r w:rsidRPr="00031E0E">
        <w:rPr>
          <w:i/>
          <w:iCs/>
        </w:rPr>
        <w:t>The Politics of S</w:t>
      </w:r>
      <w:r w:rsidRPr="00031E0E">
        <w:rPr>
          <w:i/>
          <w:iCs/>
        </w:rPr>
        <w:t>o</w:t>
      </w:r>
      <w:r w:rsidRPr="00031E0E">
        <w:rPr>
          <w:i/>
          <w:iCs/>
        </w:rPr>
        <w:t>cial Cla</w:t>
      </w:r>
      <w:r w:rsidRPr="00031E0E">
        <w:rPr>
          <w:i/>
          <w:iCs/>
        </w:rPr>
        <w:t>s</w:t>
      </w:r>
      <w:r w:rsidRPr="00031E0E">
        <w:rPr>
          <w:i/>
          <w:iCs/>
        </w:rPr>
        <w:t>ses.</w:t>
      </w:r>
    </w:p>
    <w:p w14:paraId="2D822967" w14:textId="77777777" w:rsidR="006C5FDB" w:rsidRPr="00031E0E" w:rsidRDefault="006C5FDB" w:rsidP="006C5FDB">
      <w:pPr>
        <w:pStyle w:val="biblio"/>
      </w:pPr>
      <w:r w:rsidRPr="00031E0E">
        <w:t>Dunn (John), 1972, modern</w:t>
      </w:r>
      <w:r w:rsidRPr="00031E0E">
        <w:rPr>
          <w:i/>
          <w:iCs/>
        </w:rPr>
        <w:t xml:space="preserve"> Revolutions : An Intr</w:t>
      </w:r>
      <w:r w:rsidRPr="00031E0E">
        <w:rPr>
          <w:i/>
          <w:iCs/>
        </w:rPr>
        <w:t>o</w:t>
      </w:r>
      <w:r w:rsidRPr="00031E0E">
        <w:rPr>
          <w:i/>
          <w:iCs/>
        </w:rPr>
        <w:t xml:space="preserve">duction to the Analysis of a Political Phenomenon, </w:t>
      </w:r>
      <w:r w:rsidRPr="00031E0E">
        <w:t>Cambridge, Cambridge Univers</w:t>
      </w:r>
      <w:r w:rsidRPr="00031E0E">
        <w:t>i</w:t>
      </w:r>
      <w:r w:rsidRPr="00031E0E">
        <w:t>ty Press.</w:t>
      </w:r>
    </w:p>
    <w:p w14:paraId="757B1EBE" w14:textId="77777777" w:rsidR="006C5FDB" w:rsidRPr="00031E0E" w:rsidRDefault="006C5FDB" w:rsidP="006C5FDB">
      <w:pPr>
        <w:pStyle w:val="biblio"/>
      </w:pPr>
      <w:r w:rsidRPr="00031E0E">
        <w:t>Eckstein (Harry), 1965, On the Etiol</w:t>
      </w:r>
      <w:r w:rsidRPr="00031E0E">
        <w:t>o</w:t>
      </w:r>
      <w:r w:rsidRPr="00031E0E">
        <w:t xml:space="preserve">gy of Internal Wars, </w:t>
      </w:r>
      <w:r w:rsidRPr="00031E0E">
        <w:rPr>
          <w:i/>
          <w:iCs/>
        </w:rPr>
        <w:t xml:space="preserve">History and Theory, </w:t>
      </w:r>
      <w:r w:rsidRPr="00031E0E">
        <w:t>vol. 4, pp. 133-163.</w:t>
      </w:r>
    </w:p>
    <w:p w14:paraId="0F57666C" w14:textId="77777777" w:rsidR="006C5FDB" w:rsidRPr="00031E0E" w:rsidRDefault="006C5FDB" w:rsidP="006C5FDB">
      <w:pPr>
        <w:pStyle w:val="biblio"/>
      </w:pPr>
      <w:r w:rsidRPr="00031E0E">
        <w:t>Eckstein (Harry), 1980, Theoretical Approaches to Explaining Collective Pol</w:t>
      </w:r>
      <w:r w:rsidRPr="00031E0E">
        <w:t>i</w:t>
      </w:r>
      <w:r w:rsidRPr="00031E0E">
        <w:t xml:space="preserve">tical Violence, </w:t>
      </w:r>
      <w:r w:rsidRPr="00031E0E">
        <w:rPr>
          <w:i/>
          <w:iCs/>
        </w:rPr>
        <w:t xml:space="preserve">in </w:t>
      </w:r>
      <w:r w:rsidRPr="00031E0E">
        <w:t xml:space="preserve">T. R. Gurr (éd.), </w:t>
      </w:r>
      <w:r w:rsidRPr="00031E0E">
        <w:rPr>
          <w:i/>
          <w:iCs/>
        </w:rPr>
        <w:t>Handbook of Political Conflict : Theory and R</w:t>
      </w:r>
      <w:r w:rsidRPr="00031E0E">
        <w:rPr>
          <w:i/>
          <w:iCs/>
        </w:rPr>
        <w:t>e</w:t>
      </w:r>
      <w:r w:rsidRPr="00031E0E">
        <w:rPr>
          <w:i/>
          <w:iCs/>
        </w:rPr>
        <w:t xml:space="preserve">search, </w:t>
      </w:r>
      <w:r w:rsidRPr="00031E0E">
        <w:t>New York, Free Press, pp. 135-166.</w:t>
      </w:r>
    </w:p>
    <w:p w14:paraId="2700F967" w14:textId="77777777" w:rsidR="006C5FDB" w:rsidRPr="00031E0E" w:rsidRDefault="006C5FDB" w:rsidP="006C5FDB">
      <w:pPr>
        <w:pStyle w:val="biblio"/>
      </w:pPr>
      <w:r w:rsidRPr="00031E0E">
        <w:t xml:space="preserve">Edwards (Lyford), 1970, </w:t>
      </w:r>
      <w:r w:rsidRPr="00031E0E">
        <w:rPr>
          <w:i/>
          <w:iCs/>
        </w:rPr>
        <w:t xml:space="preserve">The Natural History of Revolution, </w:t>
      </w:r>
      <w:r w:rsidRPr="00031E0E">
        <w:t>Chicago, Unive</w:t>
      </w:r>
      <w:r w:rsidRPr="00031E0E">
        <w:t>r</w:t>
      </w:r>
      <w:r w:rsidRPr="00031E0E">
        <w:t>sity of Chic</w:t>
      </w:r>
      <w:r w:rsidRPr="00031E0E">
        <w:t>a</w:t>
      </w:r>
      <w:r w:rsidRPr="00031E0E">
        <w:t>go Press (1</w:t>
      </w:r>
      <w:r w:rsidRPr="00031E0E">
        <w:rPr>
          <w:vertAlign w:val="superscript"/>
        </w:rPr>
        <w:t>re</w:t>
      </w:r>
      <w:r w:rsidRPr="00031E0E">
        <w:t xml:space="preserve"> éd., 1927).</w:t>
      </w:r>
    </w:p>
    <w:p w14:paraId="6B6CB8C9" w14:textId="77777777" w:rsidR="006C5FDB" w:rsidRPr="00031E0E" w:rsidRDefault="006C5FDB" w:rsidP="006C5FDB">
      <w:pPr>
        <w:pStyle w:val="biblio"/>
      </w:pPr>
      <w:r w:rsidRPr="00031E0E">
        <w:t xml:space="preserve">Eisenstadt (S. N.), 1978, </w:t>
      </w:r>
      <w:r w:rsidRPr="00031E0E">
        <w:rPr>
          <w:i/>
          <w:iCs/>
        </w:rPr>
        <w:t>Revolution and the Transformation of S</w:t>
      </w:r>
      <w:r w:rsidRPr="00031E0E">
        <w:rPr>
          <w:i/>
          <w:iCs/>
        </w:rPr>
        <w:t>o</w:t>
      </w:r>
      <w:r w:rsidRPr="00031E0E">
        <w:rPr>
          <w:i/>
          <w:iCs/>
        </w:rPr>
        <w:t>cieties : A Comparative Study of Civiliz</w:t>
      </w:r>
      <w:r w:rsidRPr="00031E0E">
        <w:rPr>
          <w:i/>
          <w:iCs/>
        </w:rPr>
        <w:t>a</w:t>
      </w:r>
      <w:r w:rsidRPr="00031E0E">
        <w:rPr>
          <w:i/>
          <w:iCs/>
        </w:rPr>
        <w:t xml:space="preserve">tions, </w:t>
      </w:r>
      <w:r w:rsidRPr="00031E0E">
        <w:t>New York, Free Press.</w:t>
      </w:r>
    </w:p>
    <w:p w14:paraId="44F9E517" w14:textId="77777777" w:rsidR="006C5FDB" w:rsidRPr="00031E0E" w:rsidRDefault="006C5FDB" w:rsidP="006C5FDB">
      <w:pPr>
        <w:pStyle w:val="biblio"/>
      </w:pPr>
      <w:r w:rsidRPr="00031E0E">
        <w:t>Feierabend (Ivo K.), Feierabend (Rosalind L.), Nesvold (Betty A.), 1969, S</w:t>
      </w:r>
      <w:r w:rsidRPr="00031E0E">
        <w:t>o</w:t>
      </w:r>
      <w:r w:rsidRPr="00031E0E">
        <w:t xml:space="preserve">cial Change and Political Violence : Cross-National Patterns, </w:t>
      </w:r>
      <w:r w:rsidRPr="00031E0E">
        <w:rPr>
          <w:i/>
          <w:iCs/>
        </w:rPr>
        <w:t xml:space="preserve">in </w:t>
      </w:r>
      <w:r w:rsidRPr="00031E0E">
        <w:t>H. D. Gr</w:t>
      </w:r>
      <w:r w:rsidRPr="00031E0E">
        <w:t>a</w:t>
      </w:r>
      <w:r w:rsidRPr="00031E0E">
        <w:t xml:space="preserve">ham et T. R. Gurr (éd.), </w:t>
      </w:r>
      <w:r w:rsidRPr="00031E0E">
        <w:rPr>
          <w:i/>
          <w:iCs/>
        </w:rPr>
        <w:t xml:space="preserve">Violence in America, </w:t>
      </w:r>
      <w:r w:rsidRPr="00031E0E">
        <w:t>New York, Signet Books, pp. 606-668.</w:t>
      </w:r>
    </w:p>
    <w:p w14:paraId="41D676C0" w14:textId="77777777" w:rsidR="006C5FDB" w:rsidRPr="00031E0E" w:rsidRDefault="006C5FDB" w:rsidP="006C5FDB">
      <w:pPr>
        <w:pStyle w:val="biblio"/>
      </w:pPr>
      <w:r w:rsidRPr="00031E0E">
        <w:t>Feierabend (Ivo K.), 1973, The Comparative Study of Revolution and Viole</w:t>
      </w:r>
      <w:r w:rsidRPr="00031E0E">
        <w:t>n</w:t>
      </w:r>
      <w:r w:rsidRPr="00031E0E">
        <w:t xml:space="preserve">ce, </w:t>
      </w:r>
      <w:r w:rsidRPr="00031E0E">
        <w:rPr>
          <w:i/>
          <w:iCs/>
        </w:rPr>
        <w:t xml:space="preserve">Comparative Politics, </w:t>
      </w:r>
      <w:r w:rsidRPr="00031E0E">
        <w:t>vol. 5, pp. 393-424.</w:t>
      </w:r>
    </w:p>
    <w:p w14:paraId="5B9683F5" w14:textId="77777777" w:rsidR="006C5FDB" w:rsidRPr="00031E0E" w:rsidRDefault="006C5FDB" w:rsidP="006C5FDB">
      <w:pPr>
        <w:pStyle w:val="biblio"/>
      </w:pPr>
      <w:r w:rsidRPr="00031E0E">
        <w:t>[683]</w:t>
      </w:r>
    </w:p>
    <w:p w14:paraId="38513089" w14:textId="77777777" w:rsidR="006C5FDB" w:rsidRPr="00031E0E" w:rsidRDefault="006C5FDB" w:rsidP="006C5FDB">
      <w:pPr>
        <w:pStyle w:val="biblio"/>
      </w:pPr>
      <w:r w:rsidRPr="00031E0E">
        <w:t xml:space="preserve">Ferro (Marc), 1967, </w:t>
      </w:r>
      <w:r w:rsidRPr="00031E0E">
        <w:rPr>
          <w:i/>
          <w:iCs/>
        </w:rPr>
        <w:t xml:space="preserve">La révolution de 1917, </w:t>
      </w:r>
      <w:r w:rsidRPr="00031E0E">
        <w:t>Paris, A</w:t>
      </w:r>
      <w:r w:rsidRPr="00031E0E">
        <w:t>u</w:t>
      </w:r>
      <w:r w:rsidRPr="00031E0E">
        <w:t>bier, 2 vol.</w:t>
      </w:r>
    </w:p>
    <w:p w14:paraId="1DBFCC24" w14:textId="77777777" w:rsidR="006C5FDB" w:rsidRPr="00031E0E" w:rsidRDefault="006C5FDB" w:rsidP="006C5FDB">
      <w:pPr>
        <w:pStyle w:val="biblio"/>
      </w:pPr>
      <w:r w:rsidRPr="00031E0E">
        <w:t xml:space="preserve">Friedrich (Carl J.) (éd.), 1966, </w:t>
      </w:r>
      <w:r w:rsidRPr="00031E0E">
        <w:rPr>
          <w:i/>
          <w:iCs/>
        </w:rPr>
        <w:t>Revol</w:t>
      </w:r>
      <w:r w:rsidRPr="00031E0E">
        <w:rPr>
          <w:i/>
          <w:iCs/>
        </w:rPr>
        <w:t>u</w:t>
      </w:r>
      <w:r w:rsidRPr="00031E0E">
        <w:rPr>
          <w:i/>
          <w:iCs/>
        </w:rPr>
        <w:t xml:space="preserve">tion (Nomos VIII), </w:t>
      </w:r>
      <w:r w:rsidRPr="00031E0E">
        <w:t>New York, Atherton Press.</w:t>
      </w:r>
    </w:p>
    <w:p w14:paraId="620748C8" w14:textId="77777777" w:rsidR="006C5FDB" w:rsidRPr="00031E0E" w:rsidRDefault="006C5FDB" w:rsidP="006C5FDB">
      <w:pPr>
        <w:pStyle w:val="biblio"/>
      </w:pPr>
      <w:r w:rsidRPr="00031E0E">
        <w:t xml:space="preserve">Furet (François), 1983, </w:t>
      </w:r>
      <w:r w:rsidRPr="00031E0E">
        <w:rPr>
          <w:i/>
          <w:iCs/>
        </w:rPr>
        <w:t xml:space="preserve">Penser la Révolution française, </w:t>
      </w:r>
      <w:r w:rsidRPr="00031E0E">
        <w:t>Paris, Ga</w:t>
      </w:r>
      <w:r w:rsidRPr="00031E0E">
        <w:t>l</w:t>
      </w:r>
      <w:r w:rsidRPr="00031E0E">
        <w:t>limard, nouv. éd. rev. et corr. (1</w:t>
      </w:r>
      <w:r w:rsidRPr="00031E0E">
        <w:rPr>
          <w:vertAlign w:val="superscript"/>
        </w:rPr>
        <w:t>re</w:t>
      </w:r>
      <w:r w:rsidRPr="00031E0E">
        <w:t xml:space="preserve"> éd., 1978).</w:t>
      </w:r>
    </w:p>
    <w:p w14:paraId="4C801A57" w14:textId="77777777" w:rsidR="006C5FDB" w:rsidRPr="00031E0E" w:rsidRDefault="006C5FDB" w:rsidP="006C5FDB">
      <w:pPr>
        <w:pStyle w:val="biblio"/>
      </w:pPr>
      <w:r w:rsidRPr="00031E0E">
        <w:t xml:space="preserve">Furet (François) et Richet (Denis), 1965-1966, </w:t>
      </w:r>
      <w:r w:rsidRPr="00031E0E">
        <w:rPr>
          <w:i/>
          <w:iCs/>
        </w:rPr>
        <w:t xml:space="preserve">La Révolution française, </w:t>
      </w:r>
      <w:r w:rsidRPr="00031E0E">
        <w:t>P</w:t>
      </w:r>
      <w:r w:rsidRPr="00031E0E">
        <w:t>a</w:t>
      </w:r>
      <w:r w:rsidRPr="00031E0E">
        <w:t>ris, Hachette, 2 vol.</w:t>
      </w:r>
    </w:p>
    <w:p w14:paraId="697F54D8" w14:textId="77777777" w:rsidR="006C5FDB" w:rsidRPr="00031E0E" w:rsidRDefault="006C5FDB" w:rsidP="006C5FDB">
      <w:pPr>
        <w:pStyle w:val="biblio"/>
      </w:pPr>
      <w:r w:rsidRPr="00031E0E">
        <w:t>Geschwender (James A.), 1968, Explorations in the Theory of Social Mov</w:t>
      </w:r>
      <w:r w:rsidRPr="00031E0E">
        <w:t>e</w:t>
      </w:r>
      <w:r w:rsidRPr="00031E0E">
        <w:t>ments and R</w:t>
      </w:r>
      <w:r w:rsidRPr="00031E0E">
        <w:t>e</w:t>
      </w:r>
      <w:r w:rsidRPr="00031E0E">
        <w:t xml:space="preserve">volutions, </w:t>
      </w:r>
      <w:r w:rsidRPr="00031E0E">
        <w:rPr>
          <w:i/>
          <w:iCs/>
        </w:rPr>
        <w:t xml:space="preserve">Social Forces, </w:t>
      </w:r>
      <w:r w:rsidRPr="00031E0E">
        <w:t>vol. 47, pp. 127-135.</w:t>
      </w:r>
    </w:p>
    <w:p w14:paraId="54E6C91F" w14:textId="77777777" w:rsidR="006C5FDB" w:rsidRPr="00031E0E" w:rsidRDefault="006C5FDB" w:rsidP="006C5FDB">
      <w:pPr>
        <w:pStyle w:val="biblio"/>
      </w:pPr>
      <w:r w:rsidRPr="00031E0E">
        <w:t>Goldfrank (Walter L.), 1979, Theories of Revolution and Revolution w</w:t>
      </w:r>
      <w:r w:rsidRPr="00031E0E">
        <w:t>i</w:t>
      </w:r>
      <w:r w:rsidRPr="00031E0E">
        <w:t xml:space="preserve">thout Theory : the case of Mexico, </w:t>
      </w:r>
      <w:r w:rsidRPr="00031E0E">
        <w:rPr>
          <w:i/>
          <w:iCs/>
        </w:rPr>
        <w:t xml:space="preserve">Theory and Society, </w:t>
      </w:r>
      <w:r w:rsidRPr="00031E0E">
        <w:t>vol. 7, pp. 135-165.</w:t>
      </w:r>
    </w:p>
    <w:p w14:paraId="34BE7E42" w14:textId="77777777" w:rsidR="006C5FDB" w:rsidRPr="00031E0E" w:rsidRDefault="006C5FDB" w:rsidP="006C5FDB">
      <w:pPr>
        <w:pStyle w:val="biblio"/>
      </w:pPr>
      <w:r w:rsidRPr="00031E0E">
        <w:t>Goldstone (Jack A.), 1980, Theories of Revolution : the Third G</w:t>
      </w:r>
      <w:r w:rsidRPr="00031E0E">
        <w:t>e</w:t>
      </w:r>
      <w:r w:rsidRPr="00031E0E">
        <w:t xml:space="preserve">neration, </w:t>
      </w:r>
      <w:r w:rsidRPr="00031E0E">
        <w:rPr>
          <w:i/>
          <w:iCs/>
        </w:rPr>
        <w:t xml:space="preserve">World Politics, </w:t>
      </w:r>
      <w:r w:rsidRPr="00031E0E">
        <w:t>vol. 32, pp. 426-453.</w:t>
      </w:r>
    </w:p>
    <w:p w14:paraId="0AFE7535" w14:textId="77777777" w:rsidR="006C5FDB" w:rsidRPr="00031E0E" w:rsidRDefault="006C5FDB" w:rsidP="006C5FDB">
      <w:pPr>
        <w:pStyle w:val="biblio"/>
      </w:pPr>
      <w:r w:rsidRPr="00031E0E">
        <w:t>Goldstone (Jack. A.), 1982, The Comparative and Historical Study of Revol</w:t>
      </w:r>
      <w:r w:rsidRPr="00031E0E">
        <w:t>u</w:t>
      </w:r>
      <w:r w:rsidRPr="00031E0E">
        <w:t xml:space="preserve">tions, </w:t>
      </w:r>
      <w:r w:rsidRPr="00031E0E">
        <w:rPr>
          <w:i/>
          <w:iCs/>
        </w:rPr>
        <w:t xml:space="preserve">Annual Review of Sociology, </w:t>
      </w:r>
      <w:r w:rsidRPr="00031E0E">
        <w:t>vol. 8, pp. 187-207.</w:t>
      </w:r>
    </w:p>
    <w:p w14:paraId="5EE333D1" w14:textId="77777777" w:rsidR="006C5FDB" w:rsidRPr="00031E0E" w:rsidRDefault="006C5FDB" w:rsidP="006C5FDB">
      <w:pPr>
        <w:pStyle w:val="biblio"/>
      </w:pPr>
      <w:r w:rsidRPr="00031E0E">
        <w:t xml:space="preserve">Greene (Thomas), 1974, </w:t>
      </w:r>
      <w:r w:rsidRPr="00031E0E">
        <w:rPr>
          <w:i/>
          <w:iCs/>
        </w:rPr>
        <w:t>Comparative Revolutionary M</w:t>
      </w:r>
      <w:r w:rsidRPr="00031E0E">
        <w:rPr>
          <w:i/>
          <w:iCs/>
        </w:rPr>
        <w:t>o</w:t>
      </w:r>
      <w:r w:rsidRPr="00031E0E">
        <w:rPr>
          <w:i/>
          <w:iCs/>
        </w:rPr>
        <w:t xml:space="preserve">vements, </w:t>
      </w:r>
      <w:r w:rsidRPr="00031E0E">
        <w:t xml:space="preserve">Englewood Cliffs, </w:t>
      </w:r>
      <w:r w:rsidRPr="00031E0E">
        <w:rPr>
          <w:smallCaps/>
        </w:rPr>
        <w:t xml:space="preserve">nj, </w:t>
      </w:r>
      <w:r w:rsidRPr="00031E0E">
        <w:t>Prentice-Hall.</w:t>
      </w:r>
    </w:p>
    <w:p w14:paraId="4D47B04B" w14:textId="77777777" w:rsidR="006C5FDB" w:rsidRPr="00031E0E" w:rsidRDefault="006C5FDB" w:rsidP="006C5FDB">
      <w:pPr>
        <w:pStyle w:val="biblio"/>
      </w:pPr>
      <w:r w:rsidRPr="00031E0E">
        <w:t xml:space="preserve">Griewank (Karl), 1955, </w:t>
      </w:r>
      <w:r w:rsidRPr="00031E0E">
        <w:rPr>
          <w:i/>
          <w:iCs/>
        </w:rPr>
        <w:t>Der Neuzeitliche Revolutionsbegriff : En</w:t>
      </w:r>
      <w:r w:rsidRPr="00031E0E">
        <w:rPr>
          <w:i/>
          <w:iCs/>
        </w:rPr>
        <w:t>s</w:t>
      </w:r>
      <w:r w:rsidRPr="00031E0E">
        <w:rPr>
          <w:i/>
          <w:iCs/>
        </w:rPr>
        <w:t xml:space="preserve">tehung und Geschichte, </w:t>
      </w:r>
      <w:r w:rsidRPr="00031E0E">
        <w:t>Weimar, Hermann Böhlaus Nachfolger (nouv. éd., Francfort, Eur</w:t>
      </w:r>
      <w:r w:rsidRPr="00031E0E">
        <w:t>o</w:t>
      </w:r>
      <w:r w:rsidRPr="00031E0E">
        <w:t>päische Verlagsan</w:t>
      </w:r>
      <w:r w:rsidRPr="00031E0E">
        <w:t>s</w:t>
      </w:r>
      <w:r w:rsidRPr="00031E0E">
        <w:t>talt, 1969).</w:t>
      </w:r>
    </w:p>
    <w:p w14:paraId="5242FF24" w14:textId="77777777" w:rsidR="006C5FDB" w:rsidRPr="00031E0E" w:rsidRDefault="006C5FDB" w:rsidP="006C5FDB">
      <w:pPr>
        <w:pStyle w:val="biblio"/>
      </w:pPr>
      <w:r w:rsidRPr="00031E0E">
        <w:t>Gurr (Ted Robert), A Causal Model of Civil Strife : A Comparat</w:t>
      </w:r>
      <w:r w:rsidRPr="00031E0E">
        <w:t>i</w:t>
      </w:r>
      <w:r w:rsidRPr="00031E0E">
        <w:t xml:space="preserve">ve Analysis Using New Indices, </w:t>
      </w:r>
      <w:r w:rsidRPr="00031E0E">
        <w:rPr>
          <w:i/>
          <w:iCs/>
        </w:rPr>
        <w:t>American Pol</w:t>
      </w:r>
      <w:r w:rsidRPr="00031E0E">
        <w:rPr>
          <w:i/>
          <w:iCs/>
        </w:rPr>
        <w:t>i</w:t>
      </w:r>
      <w:r w:rsidRPr="00031E0E">
        <w:rPr>
          <w:i/>
          <w:iCs/>
        </w:rPr>
        <w:t xml:space="preserve">tical Science Review, </w:t>
      </w:r>
      <w:r w:rsidRPr="00031E0E">
        <w:t>vol. 62, 1968, pp. 1104-1124.</w:t>
      </w:r>
    </w:p>
    <w:p w14:paraId="6F42F65F" w14:textId="77777777" w:rsidR="006C5FDB" w:rsidRPr="00031E0E" w:rsidRDefault="006C5FDB" w:rsidP="006C5FDB">
      <w:pPr>
        <w:pStyle w:val="biblio"/>
      </w:pPr>
      <w:r w:rsidRPr="00031E0E">
        <w:t xml:space="preserve">Gurr (Ted Robert), 1970, </w:t>
      </w:r>
      <w:r w:rsidRPr="00031E0E">
        <w:rPr>
          <w:i/>
          <w:iCs/>
        </w:rPr>
        <w:t xml:space="preserve">Why Men Rebel, </w:t>
      </w:r>
      <w:r w:rsidRPr="00031E0E">
        <w:t>Princeton, Princeton Un</w:t>
      </w:r>
      <w:r w:rsidRPr="00031E0E">
        <w:t>i</w:t>
      </w:r>
      <w:r w:rsidRPr="00031E0E">
        <w:t>versity Press.</w:t>
      </w:r>
    </w:p>
    <w:p w14:paraId="76F282BC" w14:textId="77777777" w:rsidR="006C5FDB" w:rsidRPr="00031E0E" w:rsidRDefault="006C5FDB" w:rsidP="006C5FDB">
      <w:pPr>
        <w:pStyle w:val="biblio"/>
      </w:pPr>
      <w:r w:rsidRPr="00031E0E">
        <w:t>Gurr (Ted Robert), 1973, The R</w:t>
      </w:r>
      <w:r w:rsidRPr="00031E0E">
        <w:t>e</w:t>
      </w:r>
      <w:r w:rsidRPr="00031E0E">
        <w:t xml:space="preserve">volution – Social Change Nexus : Some Old Theories and New Hypotheses, </w:t>
      </w:r>
      <w:r w:rsidRPr="00031E0E">
        <w:rPr>
          <w:i/>
          <w:iCs/>
        </w:rPr>
        <w:t>Comparative Pol</w:t>
      </w:r>
      <w:r w:rsidRPr="00031E0E">
        <w:rPr>
          <w:i/>
          <w:iCs/>
        </w:rPr>
        <w:t>i</w:t>
      </w:r>
      <w:r w:rsidRPr="00031E0E">
        <w:rPr>
          <w:i/>
          <w:iCs/>
        </w:rPr>
        <w:t xml:space="preserve">tics, </w:t>
      </w:r>
      <w:r w:rsidRPr="00031E0E">
        <w:t>vol. 5, pp. 359-392.</w:t>
      </w:r>
    </w:p>
    <w:p w14:paraId="508E599C" w14:textId="77777777" w:rsidR="006C5FDB" w:rsidRPr="00031E0E" w:rsidRDefault="006C5FDB" w:rsidP="006C5FDB">
      <w:pPr>
        <w:pStyle w:val="biblio"/>
      </w:pPr>
      <w:r w:rsidRPr="00031E0E">
        <w:t xml:space="preserve">Hagopian (Mark N.), 1975, </w:t>
      </w:r>
      <w:r w:rsidRPr="00031E0E">
        <w:rPr>
          <w:i/>
          <w:iCs/>
        </w:rPr>
        <w:t>The Phenomenon of Revol</w:t>
      </w:r>
      <w:r w:rsidRPr="00031E0E">
        <w:rPr>
          <w:i/>
          <w:iCs/>
        </w:rPr>
        <w:t>u</w:t>
      </w:r>
      <w:r w:rsidRPr="00031E0E">
        <w:rPr>
          <w:i/>
          <w:iCs/>
        </w:rPr>
        <w:t xml:space="preserve">tion, </w:t>
      </w:r>
      <w:r w:rsidRPr="00031E0E">
        <w:t>New York, Dodd, Mead &amp; Co.</w:t>
      </w:r>
    </w:p>
    <w:p w14:paraId="0010A47F" w14:textId="77777777" w:rsidR="006C5FDB" w:rsidRPr="00031E0E" w:rsidRDefault="006C5FDB" w:rsidP="006C5FDB">
      <w:pPr>
        <w:pStyle w:val="biblio"/>
      </w:pPr>
      <w:r w:rsidRPr="00031E0E">
        <w:t xml:space="preserve">Hartz (Louis), 1964, </w:t>
      </w:r>
      <w:r w:rsidRPr="00031E0E">
        <w:rPr>
          <w:i/>
          <w:iCs/>
        </w:rPr>
        <w:t xml:space="preserve">The Founding of New Societies, </w:t>
      </w:r>
      <w:r w:rsidRPr="00031E0E">
        <w:t>New York, Harcourt, Brace &amp; World.</w:t>
      </w:r>
    </w:p>
    <w:p w14:paraId="1983420E" w14:textId="77777777" w:rsidR="006C5FDB" w:rsidRPr="00031E0E" w:rsidRDefault="006C5FDB" w:rsidP="006C5FDB">
      <w:pPr>
        <w:pStyle w:val="biblio"/>
      </w:pPr>
      <w:r w:rsidRPr="00031E0E">
        <w:t>Hatto (Arthur), 1949, Revolution : An Enquiry into the Usefulness of an Hi</w:t>
      </w:r>
      <w:r w:rsidRPr="00031E0E">
        <w:t>s</w:t>
      </w:r>
      <w:r w:rsidRPr="00031E0E">
        <w:t>tor</w:t>
      </w:r>
      <w:r w:rsidRPr="00031E0E">
        <w:t>i</w:t>
      </w:r>
      <w:r w:rsidRPr="00031E0E">
        <w:t xml:space="preserve">cal Term, </w:t>
      </w:r>
      <w:r w:rsidRPr="00031E0E">
        <w:rPr>
          <w:i/>
          <w:iCs/>
        </w:rPr>
        <w:t xml:space="preserve">Mind, </w:t>
      </w:r>
      <w:r w:rsidRPr="00031E0E">
        <w:t>vol. 58, pp. 495-517.</w:t>
      </w:r>
    </w:p>
    <w:p w14:paraId="5B89C31D" w14:textId="77777777" w:rsidR="006C5FDB" w:rsidRPr="00031E0E" w:rsidRDefault="006C5FDB" w:rsidP="006C5FDB">
      <w:pPr>
        <w:pStyle w:val="biblio"/>
      </w:pPr>
      <w:r w:rsidRPr="00031E0E">
        <w:t xml:space="preserve">Hermassi (Elbaki), 1976, Toward a Comparative Study of Revolutions, </w:t>
      </w:r>
      <w:r w:rsidRPr="00031E0E">
        <w:rPr>
          <w:i/>
          <w:iCs/>
        </w:rPr>
        <w:t>Co</w:t>
      </w:r>
      <w:r w:rsidRPr="00031E0E">
        <w:rPr>
          <w:i/>
          <w:iCs/>
        </w:rPr>
        <w:t>m</w:t>
      </w:r>
      <w:r w:rsidRPr="00031E0E">
        <w:rPr>
          <w:i/>
          <w:iCs/>
        </w:rPr>
        <w:t>parative Studies in Society and Hist</w:t>
      </w:r>
      <w:r w:rsidRPr="00031E0E">
        <w:rPr>
          <w:i/>
          <w:iCs/>
        </w:rPr>
        <w:t>o</w:t>
      </w:r>
      <w:r w:rsidRPr="00031E0E">
        <w:rPr>
          <w:i/>
          <w:iCs/>
        </w:rPr>
        <w:t xml:space="preserve">ry, </w:t>
      </w:r>
      <w:r w:rsidRPr="00031E0E">
        <w:t>vol. 18, pp. 211-235.</w:t>
      </w:r>
    </w:p>
    <w:p w14:paraId="4F0F2797" w14:textId="77777777" w:rsidR="006C5FDB" w:rsidRPr="00031E0E" w:rsidRDefault="006C5FDB" w:rsidP="006C5FDB">
      <w:pPr>
        <w:pStyle w:val="biblio"/>
      </w:pPr>
      <w:r w:rsidRPr="00031E0E">
        <w:t xml:space="preserve">Hobsbawm (Eric J.), 1969, </w:t>
      </w:r>
      <w:r w:rsidRPr="00031E0E">
        <w:rPr>
          <w:i/>
          <w:iCs/>
        </w:rPr>
        <w:t xml:space="preserve">L’ère des révolutions, </w:t>
      </w:r>
      <w:r w:rsidRPr="00031E0E">
        <w:t xml:space="preserve">Paris, Fayard (éd. or., </w:t>
      </w:r>
      <w:r w:rsidRPr="00031E0E">
        <w:rPr>
          <w:i/>
          <w:iCs/>
        </w:rPr>
        <w:t xml:space="preserve">The Age of Revolution 1789-1848, </w:t>
      </w:r>
      <w:r w:rsidRPr="00031E0E">
        <w:t>Londres, Weidenfeld &amp; Nico</w:t>
      </w:r>
      <w:r w:rsidRPr="00031E0E">
        <w:t>l</w:t>
      </w:r>
      <w:r w:rsidRPr="00031E0E">
        <w:t>son, 1962).</w:t>
      </w:r>
    </w:p>
    <w:p w14:paraId="136E9D61" w14:textId="77777777" w:rsidR="006C5FDB" w:rsidRPr="00031E0E" w:rsidRDefault="006C5FDB" w:rsidP="006C5FDB">
      <w:pPr>
        <w:pStyle w:val="biblio"/>
      </w:pPr>
      <w:r w:rsidRPr="00031E0E">
        <w:t xml:space="preserve">Hopper (Rex D.), 1950, Revolutionary Process, </w:t>
      </w:r>
      <w:r w:rsidRPr="00031E0E">
        <w:rPr>
          <w:i/>
          <w:iCs/>
        </w:rPr>
        <w:t>Social Fo</w:t>
      </w:r>
      <w:r w:rsidRPr="00031E0E">
        <w:rPr>
          <w:i/>
          <w:iCs/>
        </w:rPr>
        <w:t>r</w:t>
      </w:r>
      <w:r w:rsidRPr="00031E0E">
        <w:rPr>
          <w:i/>
          <w:iCs/>
        </w:rPr>
        <w:t xml:space="preserve">ces, </w:t>
      </w:r>
      <w:r w:rsidRPr="00031E0E">
        <w:t>vol. 28, pp. 270-279.</w:t>
      </w:r>
    </w:p>
    <w:p w14:paraId="15985DB2" w14:textId="77777777" w:rsidR="006C5FDB" w:rsidRPr="00031E0E" w:rsidRDefault="006C5FDB" w:rsidP="006C5FDB">
      <w:pPr>
        <w:pStyle w:val="biblio"/>
      </w:pPr>
      <w:r w:rsidRPr="00031E0E">
        <w:t xml:space="preserve">Huntington (Samuel P.), 1968, </w:t>
      </w:r>
      <w:r w:rsidRPr="00031E0E">
        <w:rPr>
          <w:i/>
          <w:iCs/>
        </w:rPr>
        <w:t>Political Order in Changing Soci</w:t>
      </w:r>
      <w:r w:rsidRPr="00031E0E">
        <w:rPr>
          <w:i/>
          <w:iCs/>
        </w:rPr>
        <w:t>e</w:t>
      </w:r>
      <w:r w:rsidRPr="00031E0E">
        <w:rPr>
          <w:i/>
          <w:iCs/>
        </w:rPr>
        <w:t xml:space="preserve">ties, </w:t>
      </w:r>
      <w:r w:rsidRPr="00031E0E">
        <w:t>New Haven, Yale Unive</w:t>
      </w:r>
      <w:r w:rsidRPr="00031E0E">
        <w:t>r</w:t>
      </w:r>
      <w:r w:rsidRPr="00031E0E">
        <w:t>sity Press.</w:t>
      </w:r>
    </w:p>
    <w:p w14:paraId="114F25C5" w14:textId="77777777" w:rsidR="006C5FDB" w:rsidRPr="00031E0E" w:rsidRDefault="006C5FDB" w:rsidP="006C5FDB">
      <w:pPr>
        <w:pStyle w:val="biblio"/>
      </w:pPr>
      <w:r w:rsidRPr="00031E0E">
        <w:t xml:space="preserve">Johnson (Chalmers), 1964, </w:t>
      </w:r>
      <w:r w:rsidRPr="00031E0E">
        <w:rPr>
          <w:i/>
          <w:iCs/>
        </w:rPr>
        <w:t xml:space="preserve">Revolution and the Social System, </w:t>
      </w:r>
      <w:r w:rsidRPr="00031E0E">
        <w:t>Stanford, Ho</w:t>
      </w:r>
      <w:r w:rsidRPr="00031E0E">
        <w:t>o</w:t>
      </w:r>
      <w:r w:rsidRPr="00031E0E">
        <w:t>ver Institution Studies, Stanford University.</w:t>
      </w:r>
    </w:p>
    <w:p w14:paraId="2468C192" w14:textId="77777777" w:rsidR="006C5FDB" w:rsidRPr="00031E0E" w:rsidRDefault="006C5FDB" w:rsidP="006C5FDB">
      <w:pPr>
        <w:pStyle w:val="biblio"/>
      </w:pPr>
      <w:r w:rsidRPr="00031E0E">
        <w:t xml:space="preserve">Johnson (Chalmers), 1966, </w:t>
      </w:r>
      <w:r w:rsidRPr="00031E0E">
        <w:rPr>
          <w:i/>
          <w:iCs/>
        </w:rPr>
        <w:t>Revol</w:t>
      </w:r>
      <w:r w:rsidRPr="00031E0E">
        <w:rPr>
          <w:i/>
          <w:iCs/>
        </w:rPr>
        <w:t>u</w:t>
      </w:r>
      <w:r w:rsidRPr="00031E0E">
        <w:rPr>
          <w:i/>
          <w:iCs/>
        </w:rPr>
        <w:t xml:space="preserve">tionary Change, </w:t>
      </w:r>
      <w:r w:rsidRPr="00031E0E">
        <w:t xml:space="preserve">Boston, Little, Brown &amp; Co. (trad. fr. abrégée, </w:t>
      </w:r>
      <w:r w:rsidRPr="00031E0E">
        <w:rPr>
          <w:i/>
          <w:iCs/>
        </w:rPr>
        <w:t xml:space="preserve">Déséquilibre social et révolution, </w:t>
      </w:r>
      <w:r w:rsidRPr="00031E0E">
        <w:t>P</w:t>
      </w:r>
      <w:r w:rsidRPr="00031E0E">
        <w:t>a</w:t>
      </w:r>
      <w:r w:rsidRPr="00031E0E">
        <w:t>ris, Istra, 1972) ; 1982, nouv. éd., Stanford, Sta</w:t>
      </w:r>
      <w:r w:rsidRPr="00031E0E">
        <w:t>n</w:t>
      </w:r>
      <w:r w:rsidRPr="00031E0E">
        <w:t>ford University Press.</w:t>
      </w:r>
    </w:p>
    <w:p w14:paraId="61D6D10F" w14:textId="77777777" w:rsidR="006C5FDB" w:rsidRPr="00031E0E" w:rsidRDefault="006C5FDB" w:rsidP="006C5FDB">
      <w:pPr>
        <w:pStyle w:val="biblio"/>
      </w:pPr>
      <w:r w:rsidRPr="00031E0E">
        <w:t xml:space="preserve">Kamenka (Eugène), 1966, The Concept of a Political Revolution, </w:t>
      </w:r>
      <w:r w:rsidRPr="00031E0E">
        <w:rPr>
          <w:i/>
          <w:iCs/>
        </w:rPr>
        <w:t xml:space="preserve">in </w:t>
      </w:r>
      <w:r w:rsidRPr="00031E0E">
        <w:t>Carl J. Fri</w:t>
      </w:r>
      <w:r w:rsidRPr="00031E0E">
        <w:t>e</w:t>
      </w:r>
      <w:r w:rsidRPr="00031E0E">
        <w:t xml:space="preserve">drich (éd.), </w:t>
      </w:r>
      <w:r w:rsidRPr="00031E0E">
        <w:rPr>
          <w:i/>
          <w:iCs/>
        </w:rPr>
        <w:t>Revolution, pp.</w:t>
      </w:r>
      <w:r w:rsidRPr="00031E0E">
        <w:t xml:space="preserve"> 122-135.</w:t>
      </w:r>
    </w:p>
    <w:p w14:paraId="091F102F" w14:textId="77777777" w:rsidR="006C5FDB" w:rsidRPr="00031E0E" w:rsidRDefault="006C5FDB" w:rsidP="006C5FDB">
      <w:pPr>
        <w:pStyle w:val="biblio"/>
      </w:pPr>
      <w:r w:rsidRPr="00031E0E">
        <w:t>Kirchheimer (Otto), 1965, Confining Conditions and Revolutionary Brea</w:t>
      </w:r>
      <w:r w:rsidRPr="00031E0E">
        <w:t>k</w:t>
      </w:r>
      <w:r w:rsidRPr="00031E0E">
        <w:t xml:space="preserve">throughs, </w:t>
      </w:r>
      <w:r w:rsidRPr="00031E0E">
        <w:rPr>
          <w:i/>
          <w:iCs/>
        </w:rPr>
        <w:t>American Political Science R</w:t>
      </w:r>
      <w:r w:rsidRPr="00031E0E">
        <w:rPr>
          <w:i/>
          <w:iCs/>
        </w:rPr>
        <w:t>e</w:t>
      </w:r>
      <w:r w:rsidRPr="00031E0E">
        <w:rPr>
          <w:i/>
          <w:iCs/>
        </w:rPr>
        <w:t xml:space="preserve">view, </w:t>
      </w:r>
      <w:r w:rsidRPr="00031E0E">
        <w:t>vol. 59, pp. 964-974.</w:t>
      </w:r>
    </w:p>
    <w:p w14:paraId="07BC857D" w14:textId="77777777" w:rsidR="006C5FDB" w:rsidRPr="00031E0E" w:rsidRDefault="006C5FDB" w:rsidP="006C5FDB">
      <w:pPr>
        <w:pStyle w:val="biblio"/>
      </w:pPr>
      <w:r w:rsidRPr="00031E0E">
        <w:t>Kramnick (Isaac), 1972, Reflections on Revolution : Definition and Explan</w:t>
      </w:r>
      <w:r w:rsidRPr="00031E0E">
        <w:t>a</w:t>
      </w:r>
      <w:r w:rsidRPr="00031E0E">
        <w:t>tion in Recent Scholar</w:t>
      </w:r>
      <w:r w:rsidRPr="00031E0E">
        <w:t>s</w:t>
      </w:r>
      <w:r w:rsidRPr="00031E0E">
        <w:t xml:space="preserve">hip, </w:t>
      </w:r>
      <w:r w:rsidRPr="00031E0E">
        <w:rPr>
          <w:i/>
          <w:iCs/>
        </w:rPr>
        <w:t xml:space="preserve">History and Theory, </w:t>
      </w:r>
      <w:r w:rsidRPr="00031E0E">
        <w:t>vol. 11, pp. 26-63.</w:t>
      </w:r>
    </w:p>
    <w:p w14:paraId="6659B88A" w14:textId="77777777" w:rsidR="006C5FDB" w:rsidRPr="00031E0E" w:rsidRDefault="006C5FDB" w:rsidP="006C5FDB">
      <w:pPr>
        <w:pStyle w:val="biblio"/>
      </w:pPr>
      <w:r w:rsidRPr="00031E0E">
        <w:t xml:space="preserve">Lanternari (Vittorio), 1962, </w:t>
      </w:r>
      <w:r w:rsidRPr="00031E0E">
        <w:rPr>
          <w:i/>
          <w:iCs/>
        </w:rPr>
        <w:t>Les mo</w:t>
      </w:r>
      <w:r w:rsidRPr="00031E0E">
        <w:rPr>
          <w:i/>
          <w:iCs/>
        </w:rPr>
        <w:t>u</w:t>
      </w:r>
      <w:r w:rsidRPr="00031E0E">
        <w:rPr>
          <w:i/>
          <w:iCs/>
        </w:rPr>
        <w:t xml:space="preserve">vements religieux de liberté et de salut des peuples opprimés, </w:t>
      </w:r>
      <w:r w:rsidRPr="00031E0E">
        <w:t>Paris, Maspero (éd. or., Milan, Feltrine</w:t>
      </w:r>
      <w:r w:rsidRPr="00031E0E">
        <w:t>l</w:t>
      </w:r>
      <w:r w:rsidRPr="00031E0E">
        <w:t>li, 1960).</w:t>
      </w:r>
    </w:p>
    <w:p w14:paraId="1B0985D0" w14:textId="77777777" w:rsidR="006C5FDB" w:rsidRPr="00031E0E" w:rsidRDefault="006C5FDB" w:rsidP="006C5FDB">
      <w:pPr>
        <w:pStyle w:val="biblio"/>
      </w:pPr>
      <w:r w:rsidRPr="00031E0E">
        <w:t xml:space="preserve">Lasky (Melvin J.), 1976, </w:t>
      </w:r>
      <w:r w:rsidRPr="00031E0E">
        <w:rPr>
          <w:i/>
          <w:iCs/>
        </w:rPr>
        <w:t>Utopia and Revolution : On the Origins of a Met</w:t>
      </w:r>
      <w:r w:rsidRPr="00031E0E">
        <w:rPr>
          <w:i/>
          <w:iCs/>
        </w:rPr>
        <w:t>a</w:t>
      </w:r>
      <w:r w:rsidRPr="00031E0E">
        <w:rPr>
          <w:i/>
          <w:iCs/>
        </w:rPr>
        <w:t xml:space="preserve">phor, </w:t>
      </w:r>
      <w:r w:rsidRPr="00031E0E">
        <w:t>Chicago, Ch</w:t>
      </w:r>
      <w:r w:rsidRPr="00031E0E">
        <w:t>i</w:t>
      </w:r>
      <w:r w:rsidRPr="00031E0E">
        <w:t>cago University Press.</w:t>
      </w:r>
    </w:p>
    <w:p w14:paraId="575F43D1" w14:textId="77777777" w:rsidR="006C5FDB" w:rsidRPr="00031E0E" w:rsidRDefault="006C5FDB" w:rsidP="006C5FDB">
      <w:pPr>
        <w:pStyle w:val="biblio"/>
      </w:pPr>
      <w:r w:rsidRPr="00031E0E">
        <w:t xml:space="preserve">Lefebvre (Georges), 1932, </w:t>
      </w:r>
      <w:r w:rsidRPr="00031E0E">
        <w:rPr>
          <w:i/>
          <w:iCs/>
        </w:rPr>
        <w:t xml:space="preserve">La Grande Peur de 1789, </w:t>
      </w:r>
      <w:r w:rsidRPr="00031E0E">
        <w:t>Paris, A. C</w:t>
      </w:r>
      <w:r w:rsidRPr="00031E0E">
        <w:t>o</w:t>
      </w:r>
      <w:r w:rsidRPr="00031E0E">
        <w:t>lin.</w:t>
      </w:r>
    </w:p>
    <w:p w14:paraId="7CB99F29" w14:textId="77777777" w:rsidR="006C5FDB" w:rsidRPr="00031E0E" w:rsidRDefault="006C5FDB" w:rsidP="006C5FDB">
      <w:pPr>
        <w:pStyle w:val="biblio"/>
      </w:pPr>
      <w:r w:rsidRPr="00031E0E">
        <w:t>Lefebvre (Georges), 1933, La Rév</w:t>
      </w:r>
      <w:r w:rsidRPr="00031E0E">
        <w:t>o</w:t>
      </w:r>
      <w:r w:rsidRPr="00031E0E">
        <w:t xml:space="preserve">lution française et les paysans, </w:t>
      </w:r>
      <w:r w:rsidRPr="00031E0E">
        <w:rPr>
          <w:i/>
          <w:iCs/>
        </w:rPr>
        <w:t>Annales historiques de la Révolution française, pp.</w:t>
      </w:r>
      <w:r w:rsidRPr="00031E0E">
        <w:t xml:space="preserve"> 97-128. Repris dans </w:t>
      </w:r>
      <w:r w:rsidRPr="00031E0E">
        <w:rPr>
          <w:i/>
          <w:iCs/>
        </w:rPr>
        <w:t>Études sur la R</w:t>
      </w:r>
      <w:r w:rsidRPr="00031E0E">
        <w:rPr>
          <w:i/>
          <w:iCs/>
        </w:rPr>
        <w:t>é</w:t>
      </w:r>
      <w:r w:rsidRPr="00031E0E">
        <w:rPr>
          <w:i/>
          <w:iCs/>
        </w:rPr>
        <w:t>vol</w:t>
      </w:r>
      <w:r w:rsidRPr="00031E0E">
        <w:rPr>
          <w:i/>
          <w:iCs/>
        </w:rPr>
        <w:t>u</w:t>
      </w:r>
      <w:r w:rsidRPr="00031E0E">
        <w:rPr>
          <w:i/>
          <w:iCs/>
        </w:rPr>
        <w:t xml:space="preserve">tion française, </w:t>
      </w:r>
      <w:r w:rsidRPr="00031E0E">
        <w:t>2</w:t>
      </w:r>
      <w:r w:rsidRPr="00031E0E">
        <w:rPr>
          <w:vertAlign w:val="superscript"/>
        </w:rPr>
        <w:t>e</w:t>
      </w:r>
      <w:r w:rsidRPr="00031E0E">
        <w:t xml:space="preserve"> éd., Paris, </w:t>
      </w:r>
      <w:r w:rsidRPr="00031E0E">
        <w:rPr>
          <w:smallCaps/>
        </w:rPr>
        <w:t xml:space="preserve">puf, </w:t>
      </w:r>
      <w:r w:rsidRPr="00031E0E">
        <w:t>1963, pp. 338-367.</w:t>
      </w:r>
    </w:p>
    <w:p w14:paraId="781BD9DB" w14:textId="77777777" w:rsidR="006C5FDB" w:rsidRPr="00031E0E" w:rsidRDefault="006C5FDB" w:rsidP="006C5FDB">
      <w:pPr>
        <w:pStyle w:val="biblio"/>
      </w:pPr>
      <w:r w:rsidRPr="00031E0E">
        <w:t xml:space="preserve">Lefebvre (Georges), 1934, Foules révolutionnaires, </w:t>
      </w:r>
      <w:r w:rsidRPr="00031E0E">
        <w:rPr>
          <w:i/>
          <w:iCs/>
        </w:rPr>
        <w:t>Annales hist</w:t>
      </w:r>
      <w:r w:rsidRPr="00031E0E">
        <w:rPr>
          <w:i/>
          <w:iCs/>
        </w:rPr>
        <w:t>o</w:t>
      </w:r>
      <w:r w:rsidRPr="00031E0E">
        <w:rPr>
          <w:i/>
          <w:iCs/>
        </w:rPr>
        <w:t>riques de la R</w:t>
      </w:r>
      <w:r w:rsidRPr="00031E0E">
        <w:rPr>
          <w:i/>
          <w:iCs/>
        </w:rPr>
        <w:t>é</w:t>
      </w:r>
      <w:r w:rsidRPr="00031E0E">
        <w:rPr>
          <w:i/>
          <w:iCs/>
        </w:rPr>
        <w:t>volution française, pp.</w:t>
      </w:r>
      <w:r w:rsidRPr="00031E0E">
        <w:t xml:space="preserve"> 1-26. Repris dans </w:t>
      </w:r>
      <w:r w:rsidRPr="00031E0E">
        <w:rPr>
          <w:i/>
          <w:iCs/>
        </w:rPr>
        <w:t xml:space="preserve">Études sur la Révolution française, </w:t>
      </w:r>
      <w:r w:rsidRPr="00031E0E">
        <w:t>2</w:t>
      </w:r>
      <w:r w:rsidRPr="00031E0E">
        <w:rPr>
          <w:vertAlign w:val="superscript"/>
        </w:rPr>
        <w:t>e</w:t>
      </w:r>
      <w:r w:rsidRPr="00031E0E">
        <w:t xml:space="preserve"> éd., pp. 371-392.</w:t>
      </w:r>
    </w:p>
    <w:p w14:paraId="5F81B166" w14:textId="77777777" w:rsidR="006C5FDB" w:rsidRPr="00031E0E" w:rsidRDefault="006C5FDB" w:rsidP="006C5FDB">
      <w:pPr>
        <w:pStyle w:val="biblio"/>
      </w:pPr>
      <w:r w:rsidRPr="00031E0E">
        <w:rPr>
          <w:bCs/>
          <w:szCs w:val="16"/>
        </w:rPr>
        <w:t>[684]</w:t>
      </w:r>
    </w:p>
    <w:p w14:paraId="0D7F863A" w14:textId="77777777" w:rsidR="006C5FDB" w:rsidRPr="00031E0E" w:rsidRDefault="006C5FDB" w:rsidP="006C5FDB">
      <w:pPr>
        <w:pStyle w:val="biblio"/>
      </w:pPr>
      <w:r w:rsidRPr="00031E0E">
        <w:t xml:space="preserve">Lefebvre (Georges), 1956, Le mythe de la Révolution française, </w:t>
      </w:r>
      <w:r w:rsidRPr="00031E0E">
        <w:rPr>
          <w:i/>
          <w:iCs/>
        </w:rPr>
        <w:t>Annales hi</w:t>
      </w:r>
      <w:r w:rsidRPr="00031E0E">
        <w:rPr>
          <w:i/>
          <w:iCs/>
        </w:rPr>
        <w:t>s</w:t>
      </w:r>
      <w:r w:rsidRPr="00031E0E">
        <w:rPr>
          <w:i/>
          <w:iCs/>
        </w:rPr>
        <w:t>toriques de la R</w:t>
      </w:r>
      <w:r w:rsidRPr="00031E0E">
        <w:rPr>
          <w:i/>
          <w:iCs/>
        </w:rPr>
        <w:t>é</w:t>
      </w:r>
      <w:r w:rsidRPr="00031E0E">
        <w:rPr>
          <w:i/>
          <w:iCs/>
        </w:rPr>
        <w:t>volution française, pp.</w:t>
      </w:r>
      <w:r w:rsidRPr="00031E0E">
        <w:t xml:space="preserve"> 337-345.</w:t>
      </w:r>
    </w:p>
    <w:p w14:paraId="704D0F52" w14:textId="77777777" w:rsidR="006C5FDB" w:rsidRPr="00031E0E" w:rsidRDefault="006C5FDB" w:rsidP="006C5FDB">
      <w:pPr>
        <w:pStyle w:val="biblio"/>
      </w:pPr>
      <w:r w:rsidRPr="00031E0E">
        <w:t xml:space="preserve">Lénine (Vladimir Ilitch), 1971, </w:t>
      </w:r>
      <w:hyperlink r:id="rId20" w:history="1">
        <w:r w:rsidRPr="00687D5A">
          <w:rPr>
            <w:rStyle w:val="Hyperlien"/>
            <w:i/>
            <w:iCs/>
          </w:rPr>
          <w:t>Que faire ?</w:t>
        </w:r>
      </w:hyperlink>
      <w:r w:rsidRPr="00031E0E">
        <w:rPr>
          <w:i/>
          <w:iCs/>
        </w:rPr>
        <w:t xml:space="preserve"> </w:t>
      </w:r>
      <w:r w:rsidRPr="00031E0E">
        <w:t>(1902), Paris, Éditions Sociales.</w:t>
      </w:r>
    </w:p>
    <w:p w14:paraId="5751BC17" w14:textId="77777777" w:rsidR="006C5FDB" w:rsidRPr="00031E0E" w:rsidRDefault="006C5FDB" w:rsidP="006C5FDB">
      <w:pPr>
        <w:pStyle w:val="biblio"/>
      </w:pPr>
      <w:r w:rsidRPr="00031E0E">
        <w:t xml:space="preserve">Lénine (Vladimir Ilitch), 1971, </w:t>
      </w:r>
      <w:r w:rsidRPr="00031E0E">
        <w:rPr>
          <w:i/>
          <w:iCs/>
        </w:rPr>
        <w:t>Deux tactiques de la s</w:t>
      </w:r>
      <w:r w:rsidRPr="00031E0E">
        <w:rPr>
          <w:i/>
          <w:iCs/>
        </w:rPr>
        <w:t>o</w:t>
      </w:r>
      <w:r w:rsidRPr="00031E0E">
        <w:rPr>
          <w:i/>
          <w:iCs/>
        </w:rPr>
        <w:t xml:space="preserve">cial-démocratie dans la révolution démocratique </w:t>
      </w:r>
      <w:r w:rsidRPr="00031E0E">
        <w:t>(1905), Paris, Éditions Soci</w:t>
      </w:r>
      <w:r w:rsidRPr="00031E0E">
        <w:t>a</w:t>
      </w:r>
      <w:r w:rsidRPr="00031E0E">
        <w:t>les.</w:t>
      </w:r>
    </w:p>
    <w:p w14:paraId="75A9AF92" w14:textId="77777777" w:rsidR="006C5FDB" w:rsidRPr="00031E0E" w:rsidRDefault="006C5FDB" w:rsidP="006C5FDB">
      <w:pPr>
        <w:pStyle w:val="biblio"/>
      </w:pPr>
      <w:r w:rsidRPr="00031E0E">
        <w:t xml:space="preserve">Lénine (Vladimir Ilitch), 1966, </w:t>
      </w:r>
      <w:r w:rsidRPr="00031E0E">
        <w:rPr>
          <w:i/>
          <w:iCs/>
        </w:rPr>
        <w:t xml:space="preserve">Œuvres, </w:t>
      </w:r>
      <w:r w:rsidRPr="00031E0E">
        <w:t>t. XXIV (avril-juin 1917), Paris, Éd</w:t>
      </w:r>
      <w:r w:rsidRPr="00031E0E">
        <w:t>i</w:t>
      </w:r>
      <w:r w:rsidRPr="00031E0E">
        <w:t>tions Sociales, notamment « Les tâches du prolétariat dans la présente r</w:t>
      </w:r>
      <w:r w:rsidRPr="00031E0E">
        <w:t>é</w:t>
      </w:r>
      <w:r w:rsidRPr="00031E0E">
        <w:t>volution : les thèses d’Avril », pp. 11-16 ; « Sur la dualité du pouvoir », pp. 28-31 ; « Lettres sur la tactique », pp. 32-45.</w:t>
      </w:r>
    </w:p>
    <w:p w14:paraId="09C15F7D" w14:textId="77777777" w:rsidR="006C5FDB" w:rsidRPr="00031E0E" w:rsidRDefault="006C5FDB" w:rsidP="006C5FDB">
      <w:pPr>
        <w:pStyle w:val="biblio"/>
      </w:pPr>
      <w:r w:rsidRPr="00031E0E">
        <w:t xml:space="preserve">Linton (Ralph), 1943, Nativistic Movements, </w:t>
      </w:r>
      <w:r w:rsidRPr="00031E0E">
        <w:rPr>
          <w:i/>
          <w:iCs/>
        </w:rPr>
        <w:t>American Anthrop</w:t>
      </w:r>
      <w:r w:rsidRPr="00031E0E">
        <w:rPr>
          <w:i/>
          <w:iCs/>
        </w:rPr>
        <w:t>o</w:t>
      </w:r>
      <w:r w:rsidRPr="00031E0E">
        <w:rPr>
          <w:i/>
          <w:iCs/>
        </w:rPr>
        <w:t xml:space="preserve">logist, </w:t>
      </w:r>
      <w:r w:rsidRPr="00031E0E">
        <w:t>vol.</w:t>
      </w:r>
      <w:r>
        <w:t> </w:t>
      </w:r>
      <w:r w:rsidRPr="00031E0E">
        <w:t xml:space="preserve">45, pp. 230-240 (Texte cité d’après le recueil de W. A. Lessa et E. Z. Vogt (éd.), </w:t>
      </w:r>
      <w:r w:rsidRPr="00031E0E">
        <w:rPr>
          <w:i/>
          <w:iCs/>
        </w:rPr>
        <w:t>Reader in Comparative Rel</w:t>
      </w:r>
      <w:r w:rsidRPr="00031E0E">
        <w:rPr>
          <w:i/>
          <w:iCs/>
        </w:rPr>
        <w:t>i</w:t>
      </w:r>
      <w:r w:rsidRPr="00031E0E">
        <w:rPr>
          <w:i/>
          <w:iCs/>
        </w:rPr>
        <w:t xml:space="preserve">gion, </w:t>
      </w:r>
      <w:r w:rsidRPr="00031E0E">
        <w:t>Evanston, Ill</w:t>
      </w:r>
      <w:r w:rsidRPr="00031E0E">
        <w:rPr>
          <w:bCs/>
        </w:rPr>
        <w:t xml:space="preserve">., </w:t>
      </w:r>
      <w:r w:rsidRPr="00031E0E">
        <w:t>Row, Peterson, 1958).</w:t>
      </w:r>
    </w:p>
    <w:p w14:paraId="5A79042B" w14:textId="77777777" w:rsidR="006C5FDB" w:rsidRPr="00031E0E" w:rsidRDefault="006C5FDB" w:rsidP="006C5FDB">
      <w:pPr>
        <w:pStyle w:val="biblio"/>
      </w:pPr>
      <w:r w:rsidRPr="00031E0E">
        <w:t xml:space="preserve">Malia (Martin), 1980, </w:t>
      </w:r>
      <w:r w:rsidRPr="00031E0E">
        <w:rPr>
          <w:i/>
          <w:iCs/>
        </w:rPr>
        <w:t xml:space="preserve">Comprendre la révolution russe, </w:t>
      </w:r>
      <w:r w:rsidRPr="00031E0E">
        <w:t>Paris, Le Seuil.</w:t>
      </w:r>
    </w:p>
    <w:p w14:paraId="6FA1C394" w14:textId="77777777" w:rsidR="006C5FDB" w:rsidRPr="00031E0E" w:rsidRDefault="006C5FDB" w:rsidP="006C5FDB">
      <w:pPr>
        <w:pStyle w:val="biblio"/>
      </w:pPr>
      <w:r w:rsidRPr="00031E0E">
        <w:t xml:space="preserve">Malloy (James M.), 1970, </w:t>
      </w:r>
      <w:r w:rsidRPr="00031E0E">
        <w:rPr>
          <w:i/>
          <w:iCs/>
        </w:rPr>
        <w:t xml:space="preserve">Bolivia : The Uncompleted Revolution, </w:t>
      </w:r>
      <w:r w:rsidRPr="00031E0E">
        <w:t>Pit</w:t>
      </w:r>
      <w:r w:rsidRPr="00031E0E">
        <w:t>t</w:t>
      </w:r>
      <w:r w:rsidRPr="00031E0E">
        <w:t>sburgh, University of Pittsburgh Press.</w:t>
      </w:r>
    </w:p>
    <w:p w14:paraId="2BD8FC6D" w14:textId="77777777" w:rsidR="006C5FDB" w:rsidRPr="00031E0E" w:rsidRDefault="006C5FDB" w:rsidP="006C5FDB">
      <w:pPr>
        <w:pStyle w:val="biblio"/>
      </w:pPr>
      <w:r w:rsidRPr="00031E0E">
        <w:t>Mao Tsé-toung, 1966, Rapport sur l’enquête menée dans le Ho</w:t>
      </w:r>
      <w:r w:rsidRPr="00031E0E">
        <w:t>u</w:t>
      </w:r>
      <w:r w:rsidRPr="00031E0E">
        <w:t>nan à propos du mouv</w:t>
      </w:r>
      <w:r w:rsidRPr="00031E0E">
        <w:t>e</w:t>
      </w:r>
      <w:r w:rsidRPr="00031E0E">
        <w:t xml:space="preserve">ment paysan (1927), in </w:t>
      </w:r>
      <w:r w:rsidRPr="00031E0E">
        <w:rPr>
          <w:i/>
          <w:iCs/>
        </w:rPr>
        <w:t xml:space="preserve">Œuvres choisies, </w:t>
      </w:r>
      <w:r w:rsidRPr="00031E0E">
        <w:t>t. I, Pékin, Éditions en langues étrang</w:t>
      </w:r>
      <w:r w:rsidRPr="00031E0E">
        <w:t>è</w:t>
      </w:r>
      <w:r w:rsidRPr="00031E0E">
        <w:t>res, pp. 21-62.</w:t>
      </w:r>
    </w:p>
    <w:p w14:paraId="3E58BE96" w14:textId="77777777" w:rsidR="006C5FDB" w:rsidRPr="00031E0E" w:rsidRDefault="006C5FDB" w:rsidP="006C5FDB">
      <w:pPr>
        <w:pStyle w:val="biblio"/>
      </w:pPr>
      <w:r w:rsidRPr="00031E0E">
        <w:t xml:space="preserve">Mao Tsé-toung, 1967, Sur la démocratie nouvelle, in </w:t>
      </w:r>
      <w:r w:rsidRPr="00031E0E">
        <w:rPr>
          <w:i/>
          <w:iCs/>
        </w:rPr>
        <w:t>Œuvres cho</w:t>
      </w:r>
      <w:r w:rsidRPr="00031E0E">
        <w:rPr>
          <w:i/>
          <w:iCs/>
        </w:rPr>
        <w:t>i</w:t>
      </w:r>
      <w:r w:rsidRPr="00031E0E">
        <w:rPr>
          <w:i/>
          <w:iCs/>
        </w:rPr>
        <w:t xml:space="preserve">sies, </w:t>
      </w:r>
      <w:r w:rsidRPr="00031E0E">
        <w:t>t. II, pp. 363-411.</w:t>
      </w:r>
    </w:p>
    <w:p w14:paraId="6D9443ED" w14:textId="77777777" w:rsidR="006C5FDB" w:rsidRPr="00031E0E" w:rsidRDefault="006C5FDB" w:rsidP="006C5FDB">
      <w:pPr>
        <w:pStyle w:val="biblio"/>
      </w:pPr>
      <w:r w:rsidRPr="00031E0E">
        <w:t xml:space="preserve">Marx (Karl), 1967, </w:t>
      </w:r>
      <w:hyperlink r:id="rId21" w:history="1">
        <w:r w:rsidRPr="00BB18E5">
          <w:rPr>
            <w:rStyle w:val="Hyperlien"/>
            <w:i/>
            <w:iCs/>
          </w:rPr>
          <w:t>Les luttes de classes en France, 1848-1850</w:t>
        </w:r>
      </w:hyperlink>
      <w:r w:rsidRPr="00031E0E">
        <w:rPr>
          <w:i/>
          <w:iCs/>
        </w:rPr>
        <w:t xml:space="preserve">, </w:t>
      </w:r>
      <w:r w:rsidRPr="00031E0E">
        <w:t>P</w:t>
      </w:r>
      <w:r w:rsidRPr="00031E0E">
        <w:t>a</w:t>
      </w:r>
      <w:r w:rsidRPr="00031E0E">
        <w:t>ris, Éditions Sociales.</w:t>
      </w:r>
    </w:p>
    <w:p w14:paraId="6BFEC738" w14:textId="77777777" w:rsidR="006C5FDB" w:rsidRPr="00031E0E" w:rsidRDefault="006C5FDB" w:rsidP="006C5FDB">
      <w:pPr>
        <w:pStyle w:val="biblio"/>
      </w:pPr>
      <w:r w:rsidRPr="00031E0E">
        <w:t xml:space="preserve">Marx (Karl), 1963, </w:t>
      </w:r>
      <w:hyperlink r:id="rId22" w:history="1">
        <w:r w:rsidRPr="006260B8">
          <w:rPr>
            <w:rStyle w:val="Hyperlien"/>
            <w:i/>
            <w:iCs/>
          </w:rPr>
          <w:t>Le 18 brumaire de Louis-Napoléon Bonaparte</w:t>
        </w:r>
      </w:hyperlink>
      <w:r w:rsidRPr="00031E0E">
        <w:rPr>
          <w:i/>
          <w:iCs/>
        </w:rPr>
        <w:t xml:space="preserve">, </w:t>
      </w:r>
      <w:r w:rsidRPr="00031E0E">
        <w:t>Paris, Éd</w:t>
      </w:r>
      <w:r w:rsidRPr="00031E0E">
        <w:t>i</w:t>
      </w:r>
      <w:r w:rsidRPr="00031E0E">
        <w:t>tions Sociales.</w:t>
      </w:r>
    </w:p>
    <w:p w14:paraId="282D8D61" w14:textId="77777777" w:rsidR="006C5FDB" w:rsidRPr="00031E0E" w:rsidRDefault="006C5FDB" w:rsidP="006C5FDB">
      <w:pPr>
        <w:pStyle w:val="biblio"/>
      </w:pPr>
      <w:r w:rsidRPr="00031E0E">
        <w:t xml:space="preserve">Marx (Karl), 1967, </w:t>
      </w:r>
      <w:hyperlink r:id="rId23" w:history="1">
        <w:r w:rsidRPr="006260B8">
          <w:rPr>
            <w:rStyle w:val="Hyperlien"/>
            <w:i/>
            <w:iCs/>
          </w:rPr>
          <w:t>La guerre civile en France</w:t>
        </w:r>
      </w:hyperlink>
      <w:r w:rsidRPr="00031E0E">
        <w:rPr>
          <w:i/>
          <w:iCs/>
        </w:rPr>
        <w:t xml:space="preserve">, </w:t>
      </w:r>
      <w:r w:rsidRPr="00031E0E">
        <w:t>Paris, Éditions S</w:t>
      </w:r>
      <w:r w:rsidRPr="00031E0E">
        <w:t>o</w:t>
      </w:r>
      <w:r w:rsidRPr="00031E0E">
        <w:t>ciales.</w:t>
      </w:r>
    </w:p>
    <w:p w14:paraId="76959A93" w14:textId="77777777" w:rsidR="006C5FDB" w:rsidRPr="00031E0E" w:rsidRDefault="006C5FDB" w:rsidP="006C5FDB">
      <w:pPr>
        <w:pStyle w:val="biblio"/>
      </w:pPr>
      <w:r w:rsidRPr="00031E0E">
        <w:t xml:space="preserve">Marx (Karl), 1963, 1968, </w:t>
      </w:r>
      <w:r w:rsidRPr="00031E0E">
        <w:rPr>
          <w:i/>
          <w:iCs/>
        </w:rPr>
        <w:t xml:space="preserve">Œuvres, </w:t>
      </w:r>
      <w:r w:rsidRPr="00031E0E">
        <w:t>éd. établie par Maximilien R</w:t>
      </w:r>
      <w:r w:rsidRPr="00031E0E">
        <w:t>u</w:t>
      </w:r>
      <w:r w:rsidRPr="00031E0E">
        <w:t>bel, Paris, Gall</w:t>
      </w:r>
      <w:r w:rsidRPr="00031E0E">
        <w:t>i</w:t>
      </w:r>
      <w:r w:rsidRPr="00031E0E">
        <w:t>mard, Économie I et II.</w:t>
      </w:r>
    </w:p>
    <w:p w14:paraId="6457FF86" w14:textId="77777777" w:rsidR="006C5FDB" w:rsidRPr="00031E0E" w:rsidRDefault="006C5FDB" w:rsidP="006C5FDB">
      <w:pPr>
        <w:pStyle w:val="biblio"/>
      </w:pPr>
      <w:r w:rsidRPr="00031E0E">
        <w:t xml:space="preserve">Mazauric (Claude), 1970, </w:t>
      </w:r>
      <w:r w:rsidRPr="00031E0E">
        <w:rPr>
          <w:i/>
          <w:iCs/>
        </w:rPr>
        <w:t>Sur la R</w:t>
      </w:r>
      <w:r w:rsidRPr="00031E0E">
        <w:rPr>
          <w:i/>
          <w:iCs/>
        </w:rPr>
        <w:t>é</w:t>
      </w:r>
      <w:r w:rsidRPr="00031E0E">
        <w:rPr>
          <w:i/>
          <w:iCs/>
        </w:rPr>
        <w:t xml:space="preserve">volution française, </w:t>
      </w:r>
      <w:r w:rsidRPr="00031E0E">
        <w:t>Paris, Éd. Sociales.</w:t>
      </w:r>
    </w:p>
    <w:p w14:paraId="1EF296EA" w14:textId="77777777" w:rsidR="006C5FDB" w:rsidRPr="00031E0E" w:rsidRDefault="006C5FDB" w:rsidP="006C5FDB">
      <w:pPr>
        <w:pStyle w:val="biblio"/>
      </w:pPr>
      <w:r w:rsidRPr="00031E0E">
        <w:t xml:space="preserve">Moore (Barrington), 1969, </w:t>
      </w:r>
      <w:r w:rsidRPr="00031E0E">
        <w:rPr>
          <w:i/>
          <w:iCs/>
        </w:rPr>
        <w:t>Les origines sociales de la dictature et de la dém</w:t>
      </w:r>
      <w:r w:rsidRPr="00031E0E">
        <w:rPr>
          <w:i/>
          <w:iCs/>
        </w:rPr>
        <w:t>o</w:t>
      </w:r>
      <w:r w:rsidRPr="00031E0E">
        <w:rPr>
          <w:i/>
          <w:iCs/>
        </w:rPr>
        <w:t xml:space="preserve">cratie, </w:t>
      </w:r>
      <w:r w:rsidRPr="00031E0E">
        <w:t xml:space="preserve">Paris, Maspero (éd. or. : </w:t>
      </w:r>
      <w:r w:rsidRPr="00031E0E">
        <w:rPr>
          <w:i/>
          <w:iCs/>
        </w:rPr>
        <w:t>Social Origins of Dict</w:t>
      </w:r>
      <w:r w:rsidRPr="00031E0E">
        <w:rPr>
          <w:i/>
          <w:iCs/>
        </w:rPr>
        <w:t>a</w:t>
      </w:r>
      <w:r w:rsidRPr="00031E0E">
        <w:rPr>
          <w:i/>
          <w:iCs/>
        </w:rPr>
        <w:t>torship and Democracy : Lords and Peasants in the Making of the m</w:t>
      </w:r>
      <w:r w:rsidRPr="00031E0E">
        <w:rPr>
          <w:i/>
          <w:iCs/>
        </w:rPr>
        <w:t>o</w:t>
      </w:r>
      <w:r w:rsidRPr="00031E0E">
        <w:rPr>
          <w:i/>
          <w:iCs/>
        </w:rPr>
        <w:t xml:space="preserve">dern World, </w:t>
      </w:r>
      <w:r w:rsidRPr="00031E0E">
        <w:t>Boston, Beacon Press, 1966).</w:t>
      </w:r>
    </w:p>
    <w:p w14:paraId="5B9463AD" w14:textId="77777777" w:rsidR="006C5FDB" w:rsidRPr="00031E0E" w:rsidRDefault="006C5FDB" w:rsidP="006C5FDB">
      <w:pPr>
        <w:pStyle w:val="biblio"/>
      </w:pPr>
      <w:r w:rsidRPr="00031E0E">
        <w:t>Mousnier (R</w:t>
      </w:r>
      <w:r w:rsidRPr="00031E0E">
        <w:t>o</w:t>
      </w:r>
      <w:r w:rsidRPr="00031E0E">
        <w:t xml:space="preserve">land), 1967, </w:t>
      </w:r>
      <w:r w:rsidRPr="00031E0E">
        <w:rPr>
          <w:i/>
          <w:iCs/>
        </w:rPr>
        <w:t xml:space="preserve">Fureurs paysannes. Les paysans dans les révoltes du </w:t>
      </w:r>
      <w:r w:rsidRPr="00031E0E">
        <w:rPr>
          <w:i/>
          <w:iCs/>
          <w:smallCaps/>
        </w:rPr>
        <w:t>xvii</w:t>
      </w:r>
      <w:r w:rsidRPr="00031E0E">
        <w:rPr>
          <w:i/>
          <w:iCs/>
          <w:vertAlign w:val="superscript"/>
        </w:rPr>
        <w:t>e</w:t>
      </w:r>
      <w:r w:rsidRPr="00031E0E">
        <w:rPr>
          <w:i/>
          <w:iCs/>
        </w:rPr>
        <w:t xml:space="preserve"> siècle (France, Russie, Chine), </w:t>
      </w:r>
      <w:r w:rsidRPr="00031E0E">
        <w:t>Paris, Ca</w:t>
      </w:r>
      <w:r w:rsidRPr="00031E0E">
        <w:t>l</w:t>
      </w:r>
      <w:r w:rsidRPr="00031E0E">
        <w:t>mann-Lévy.</w:t>
      </w:r>
    </w:p>
    <w:p w14:paraId="66C0C76D" w14:textId="77777777" w:rsidR="006C5FDB" w:rsidRPr="00031E0E" w:rsidRDefault="006C5FDB" w:rsidP="006C5FDB">
      <w:pPr>
        <w:pStyle w:val="biblio"/>
      </w:pPr>
      <w:r w:rsidRPr="00031E0E">
        <w:t xml:space="preserve">Muhlmann (Wilhelm E.), 1968, </w:t>
      </w:r>
      <w:r w:rsidRPr="00031E0E">
        <w:rPr>
          <w:i/>
          <w:iCs/>
        </w:rPr>
        <w:t>Messianismes révolutionnaires du Tiers Mo</w:t>
      </w:r>
      <w:r w:rsidRPr="00031E0E">
        <w:rPr>
          <w:i/>
          <w:iCs/>
        </w:rPr>
        <w:t>n</w:t>
      </w:r>
      <w:r w:rsidRPr="00031E0E">
        <w:rPr>
          <w:i/>
          <w:iCs/>
        </w:rPr>
        <w:t xml:space="preserve">de, </w:t>
      </w:r>
      <w:r w:rsidRPr="00031E0E">
        <w:t xml:space="preserve">Paris, Gallimard (éd. or. : </w:t>
      </w:r>
      <w:r w:rsidRPr="00031E0E">
        <w:rPr>
          <w:i/>
          <w:iCs/>
        </w:rPr>
        <w:t>Chiliasmus und Nat</w:t>
      </w:r>
      <w:r w:rsidRPr="00031E0E">
        <w:rPr>
          <w:i/>
          <w:iCs/>
        </w:rPr>
        <w:t>i</w:t>
      </w:r>
      <w:r w:rsidRPr="00031E0E">
        <w:rPr>
          <w:i/>
          <w:iCs/>
        </w:rPr>
        <w:t xml:space="preserve">vismus, </w:t>
      </w:r>
      <w:r w:rsidRPr="00031E0E">
        <w:t>Berlin, D. Reimer, 1961).</w:t>
      </w:r>
    </w:p>
    <w:p w14:paraId="0CAF89CD" w14:textId="77777777" w:rsidR="006C5FDB" w:rsidRPr="00031E0E" w:rsidRDefault="006C5FDB" w:rsidP="006C5FDB">
      <w:pPr>
        <w:pStyle w:val="biblio"/>
      </w:pPr>
      <w:r w:rsidRPr="00031E0E">
        <w:t xml:space="preserve">Muller (Edward N.), 1972, A Test of a Partial Theory of Potential for Political Violence, </w:t>
      </w:r>
      <w:r w:rsidRPr="00031E0E">
        <w:rPr>
          <w:i/>
          <w:iCs/>
        </w:rPr>
        <w:t>American Political Science R</w:t>
      </w:r>
      <w:r w:rsidRPr="00031E0E">
        <w:rPr>
          <w:i/>
          <w:iCs/>
        </w:rPr>
        <w:t>e</w:t>
      </w:r>
      <w:r w:rsidRPr="00031E0E">
        <w:rPr>
          <w:i/>
          <w:iCs/>
        </w:rPr>
        <w:t xml:space="preserve">view, </w:t>
      </w:r>
      <w:r w:rsidRPr="00031E0E">
        <w:t>vol. 66, pp. 928-959.</w:t>
      </w:r>
    </w:p>
    <w:p w14:paraId="454631D9" w14:textId="77777777" w:rsidR="006C5FDB" w:rsidRPr="00031E0E" w:rsidRDefault="006C5FDB" w:rsidP="006C5FDB">
      <w:pPr>
        <w:pStyle w:val="biblio"/>
      </w:pPr>
      <w:r w:rsidRPr="00031E0E">
        <w:t xml:space="preserve">Nadel (George), 1960, The Logic of the </w:t>
      </w:r>
      <w:r w:rsidRPr="00031E0E">
        <w:rPr>
          <w:i/>
          <w:iCs/>
        </w:rPr>
        <w:t xml:space="preserve">Anatomy of Revolution, </w:t>
      </w:r>
      <w:r w:rsidRPr="00031E0E">
        <w:t>with refere</w:t>
      </w:r>
      <w:r w:rsidRPr="00031E0E">
        <w:t>n</w:t>
      </w:r>
      <w:r w:rsidRPr="00031E0E">
        <w:t xml:space="preserve">ce to the Netherlands Revolt, </w:t>
      </w:r>
      <w:r w:rsidRPr="00031E0E">
        <w:rPr>
          <w:i/>
          <w:iCs/>
        </w:rPr>
        <w:t>Comparative Studies in S</w:t>
      </w:r>
      <w:r w:rsidRPr="00031E0E">
        <w:rPr>
          <w:i/>
          <w:iCs/>
        </w:rPr>
        <w:t>o</w:t>
      </w:r>
      <w:r w:rsidRPr="00031E0E">
        <w:rPr>
          <w:i/>
          <w:iCs/>
        </w:rPr>
        <w:t xml:space="preserve">ciety and History, </w:t>
      </w:r>
      <w:r w:rsidRPr="00031E0E">
        <w:t>vol. 2, pp. 473-484.</w:t>
      </w:r>
    </w:p>
    <w:p w14:paraId="30F32A66" w14:textId="77777777" w:rsidR="006C5FDB" w:rsidRPr="00031E0E" w:rsidRDefault="006C5FDB" w:rsidP="006C5FDB">
      <w:pPr>
        <w:pStyle w:val="biblio"/>
      </w:pPr>
      <w:r w:rsidRPr="00031E0E">
        <w:t xml:space="preserve">Neumann (Sigmund), 1949, The international civil war, </w:t>
      </w:r>
      <w:r w:rsidRPr="00031E0E">
        <w:rPr>
          <w:i/>
          <w:iCs/>
        </w:rPr>
        <w:t>World P</w:t>
      </w:r>
      <w:r w:rsidRPr="00031E0E">
        <w:rPr>
          <w:i/>
          <w:iCs/>
        </w:rPr>
        <w:t>o</w:t>
      </w:r>
      <w:r w:rsidRPr="00031E0E">
        <w:rPr>
          <w:i/>
          <w:iCs/>
        </w:rPr>
        <w:t xml:space="preserve">litics, </w:t>
      </w:r>
      <w:r w:rsidRPr="00031E0E">
        <w:t>vol. 1, pp. 333-350.</w:t>
      </w:r>
    </w:p>
    <w:p w14:paraId="7BAE595A" w14:textId="77777777" w:rsidR="006C5FDB" w:rsidRPr="00031E0E" w:rsidRDefault="006C5FDB" w:rsidP="006C5FDB">
      <w:pPr>
        <w:pStyle w:val="biblio"/>
      </w:pPr>
      <w:r w:rsidRPr="00031E0E">
        <w:t xml:space="preserve">Oberschall (Anthony), 1973, </w:t>
      </w:r>
      <w:r w:rsidRPr="00031E0E">
        <w:rPr>
          <w:i/>
          <w:iCs/>
        </w:rPr>
        <w:t xml:space="preserve">Social Conflict and Social Movements, </w:t>
      </w:r>
      <w:r w:rsidRPr="00031E0E">
        <w:t>Engl</w:t>
      </w:r>
      <w:r w:rsidRPr="00031E0E">
        <w:t>e</w:t>
      </w:r>
      <w:r w:rsidRPr="00031E0E">
        <w:t xml:space="preserve">wood Cliffs, </w:t>
      </w:r>
      <w:r w:rsidRPr="00031E0E">
        <w:rPr>
          <w:smallCaps/>
        </w:rPr>
        <w:t xml:space="preserve">nj, </w:t>
      </w:r>
      <w:r w:rsidRPr="00031E0E">
        <w:t>Prentice-Hall.</w:t>
      </w:r>
    </w:p>
    <w:p w14:paraId="6AA6CAC7" w14:textId="77777777" w:rsidR="006C5FDB" w:rsidRPr="00031E0E" w:rsidRDefault="006C5FDB" w:rsidP="006C5FDB">
      <w:pPr>
        <w:pStyle w:val="biblio"/>
      </w:pPr>
      <w:r w:rsidRPr="00031E0E">
        <w:t xml:space="preserve">Paige (Jeffery), 1975, </w:t>
      </w:r>
      <w:r w:rsidRPr="00031E0E">
        <w:rPr>
          <w:i/>
          <w:iCs/>
        </w:rPr>
        <w:t>Agrarian R</w:t>
      </w:r>
      <w:r w:rsidRPr="00031E0E">
        <w:rPr>
          <w:i/>
          <w:iCs/>
        </w:rPr>
        <w:t>e</w:t>
      </w:r>
      <w:r w:rsidRPr="00031E0E">
        <w:rPr>
          <w:i/>
          <w:iCs/>
        </w:rPr>
        <w:t>volution : Social Movements and Export Agr</w:t>
      </w:r>
      <w:r w:rsidRPr="00031E0E">
        <w:rPr>
          <w:i/>
          <w:iCs/>
        </w:rPr>
        <w:t>i</w:t>
      </w:r>
      <w:r w:rsidRPr="00031E0E">
        <w:rPr>
          <w:i/>
          <w:iCs/>
        </w:rPr>
        <w:t xml:space="preserve">culture in the Underdeveloped World, </w:t>
      </w:r>
      <w:r w:rsidRPr="00031E0E">
        <w:t>New York, Free Press.</w:t>
      </w:r>
    </w:p>
    <w:p w14:paraId="1BBE2284" w14:textId="77777777" w:rsidR="006C5FDB" w:rsidRPr="00031E0E" w:rsidRDefault="006C5FDB" w:rsidP="006C5FDB">
      <w:pPr>
        <w:pStyle w:val="biblio"/>
      </w:pPr>
      <w:r w:rsidRPr="00031E0E">
        <w:t xml:space="preserve">Pereira de Queiroz (Maria Isaura), 1968, </w:t>
      </w:r>
      <w:r w:rsidRPr="00031E0E">
        <w:rPr>
          <w:i/>
          <w:iCs/>
        </w:rPr>
        <w:t>Réforme et révolution dans les soci</w:t>
      </w:r>
      <w:r w:rsidRPr="00031E0E">
        <w:rPr>
          <w:i/>
          <w:iCs/>
        </w:rPr>
        <w:t>é</w:t>
      </w:r>
      <w:r w:rsidRPr="00031E0E">
        <w:rPr>
          <w:i/>
          <w:iCs/>
        </w:rPr>
        <w:t xml:space="preserve">tés traditionnelles : histoire et ethnologie des mouvements messianiques, </w:t>
      </w:r>
      <w:r w:rsidRPr="00031E0E">
        <w:t>Paris, A</w:t>
      </w:r>
      <w:r w:rsidRPr="00031E0E">
        <w:t>n</w:t>
      </w:r>
      <w:r w:rsidRPr="00031E0E">
        <w:t>thropos.</w:t>
      </w:r>
    </w:p>
    <w:p w14:paraId="683EDCD8" w14:textId="77777777" w:rsidR="006C5FDB" w:rsidRPr="00031E0E" w:rsidRDefault="006C5FDB" w:rsidP="006C5FDB">
      <w:pPr>
        <w:pStyle w:val="biblio"/>
      </w:pPr>
      <w:r w:rsidRPr="00031E0E">
        <w:t xml:space="preserve">Pettee (George Sawyer), 1938, </w:t>
      </w:r>
      <w:r w:rsidRPr="00031E0E">
        <w:rPr>
          <w:i/>
          <w:iCs/>
        </w:rPr>
        <w:t>The Process of Revol</w:t>
      </w:r>
      <w:r w:rsidRPr="00031E0E">
        <w:rPr>
          <w:i/>
          <w:iCs/>
        </w:rPr>
        <w:t>u</w:t>
      </w:r>
      <w:r w:rsidRPr="00031E0E">
        <w:rPr>
          <w:i/>
          <w:iCs/>
        </w:rPr>
        <w:t xml:space="preserve">tion, </w:t>
      </w:r>
      <w:r w:rsidRPr="00031E0E">
        <w:t>New York, Harper &amp; Brothers.</w:t>
      </w:r>
    </w:p>
    <w:p w14:paraId="4EAB41D4" w14:textId="77777777" w:rsidR="006C5FDB" w:rsidRPr="00031E0E" w:rsidRDefault="006C5FDB" w:rsidP="006C5FDB">
      <w:pPr>
        <w:pStyle w:val="biblio"/>
      </w:pPr>
      <w:r w:rsidRPr="00031E0E">
        <w:t>Pettee (George Sawyer), 1966, R</w:t>
      </w:r>
      <w:r w:rsidRPr="00031E0E">
        <w:t>e</w:t>
      </w:r>
      <w:r w:rsidRPr="00031E0E">
        <w:t xml:space="preserve">volution : Typology and Process, </w:t>
      </w:r>
      <w:r w:rsidRPr="00031E0E">
        <w:rPr>
          <w:i/>
          <w:iCs/>
        </w:rPr>
        <w:t xml:space="preserve">in </w:t>
      </w:r>
      <w:r w:rsidRPr="00031E0E">
        <w:t xml:space="preserve">Carl J. Friedrich (éd.), </w:t>
      </w:r>
      <w:r w:rsidRPr="00031E0E">
        <w:rPr>
          <w:i/>
          <w:iCs/>
        </w:rPr>
        <w:t>Revolution, pp.</w:t>
      </w:r>
      <w:r w:rsidRPr="00031E0E">
        <w:t xml:space="preserve"> 10-33.</w:t>
      </w:r>
    </w:p>
    <w:p w14:paraId="1B09496B" w14:textId="77777777" w:rsidR="006C5FDB" w:rsidRPr="00031E0E" w:rsidRDefault="006C5FDB" w:rsidP="006C5FDB">
      <w:pPr>
        <w:pStyle w:val="biblio"/>
      </w:pPr>
      <w:r w:rsidRPr="00031E0E">
        <w:t xml:space="preserve">Polybe, 1970, </w:t>
      </w:r>
      <w:r w:rsidRPr="00031E0E">
        <w:rPr>
          <w:i/>
          <w:iCs/>
        </w:rPr>
        <w:t xml:space="preserve">Histoires, </w:t>
      </w:r>
      <w:r w:rsidRPr="00031E0E">
        <w:t>Texte trad., prés, et ann. par Denis Rou</w:t>
      </w:r>
      <w:r w:rsidRPr="00031E0E">
        <w:t>s</w:t>
      </w:r>
      <w:r w:rsidRPr="00031E0E">
        <w:t>sel, Paris, La Pléiade.</w:t>
      </w:r>
    </w:p>
    <w:p w14:paraId="4E525AD2" w14:textId="77777777" w:rsidR="006C5FDB" w:rsidRPr="00031E0E" w:rsidRDefault="006C5FDB" w:rsidP="006C5FDB">
      <w:pPr>
        <w:pStyle w:val="biblio"/>
      </w:pPr>
      <w:r w:rsidRPr="00031E0E">
        <w:t xml:space="preserve">Porchnev (Boris), 1963, </w:t>
      </w:r>
      <w:r w:rsidRPr="00031E0E">
        <w:rPr>
          <w:i/>
          <w:iCs/>
        </w:rPr>
        <w:t>Les soulèv</w:t>
      </w:r>
      <w:r w:rsidRPr="00031E0E">
        <w:rPr>
          <w:i/>
          <w:iCs/>
        </w:rPr>
        <w:t>e</w:t>
      </w:r>
      <w:r w:rsidRPr="00031E0E">
        <w:rPr>
          <w:i/>
          <w:iCs/>
        </w:rPr>
        <w:t xml:space="preserve">ments populaires en France de 1623 à 1648, </w:t>
      </w:r>
      <w:r w:rsidRPr="00031E0E">
        <w:t>Paris, Mouton.</w:t>
      </w:r>
    </w:p>
    <w:p w14:paraId="48731908" w14:textId="77777777" w:rsidR="006C5FDB" w:rsidRPr="00031E0E" w:rsidRDefault="006C5FDB" w:rsidP="006C5FDB">
      <w:pPr>
        <w:pStyle w:val="biblio"/>
      </w:pPr>
      <w:r w:rsidRPr="00031E0E">
        <w:t>Richter (Melvin), 1966, Tocqueville’s Contributions to the Theory of Revol</w:t>
      </w:r>
      <w:r w:rsidRPr="00031E0E">
        <w:t>u</w:t>
      </w:r>
      <w:r w:rsidRPr="00031E0E">
        <w:t xml:space="preserve">tion, </w:t>
      </w:r>
      <w:r w:rsidRPr="00031E0E">
        <w:rPr>
          <w:i/>
          <w:iCs/>
        </w:rPr>
        <w:t xml:space="preserve">in </w:t>
      </w:r>
      <w:r w:rsidRPr="00031E0E">
        <w:t xml:space="preserve">Carl J. Friedrich (éd.), </w:t>
      </w:r>
      <w:r w:rsidRPr="00031E0E">
        <w:rPr>
          <w:i/>
          <w:iCs/>
        </w:rPr>
        <w:t>Revol</w:t>
      </w:r>
      <w:r w:rsidRPr="00031E0E">
        <w:rPr>
          <w:i/>
          <w:iCs/>
        </w:rPr>
        <w:t>u</w:t>
      </w:r>
      <w:r w:rsidRPr="00031E0E">
        <w:rPr>
          <w:i/>
          <w:iCs/>
        </w:rPr>
        <w:t>tion</w:t>
      </w:r>
      <w:r w:rsidRPr="00031E0E">
        <w:t>, pp. 75-121.</w:t>
      </w:r>
    </w:p>
    <w:p w14:paraId="02943395" w14:textId="77777777" w:rsidR="006C5FDB" w:rsidRPr="00031E0E" w:rsidRDefault="006C5FDB" w:rsidP="006C5FDB">
      <w:pPr>
        <w:pStyle w:val="biblio"/>
      </w:pPr>
      <w:r w:rsidRPr="00031E0E">
        <w:t>Rosenstock-Huessy (Eugen), 1931, Revolution als politischer B</w:t>
      </w:r>
      <w:r w:rsidRPr="00031E0E">
        <w:t>e</w:t>
      </w:r>
      <w:r w:rsidRPr="00031E0E">
        <w:t xml:space="preserve">griff in der Neuzeit, in </w:t>
      </w:r>
      <w:r w:rsidRPr="00031E0E">
        <w:rPr>
          <w:i/>
          <w:iCs/>
        </w:rPr>
        <w:t>Festgabe der rechts- und staatswissenschaftl</w:t>
      </w:r>
      <w:r w:rsidRPr="00031E0E">
        <w:rPr>
          <w:i/>
          <w:iCs/>
        </w:rPr>
        <w:t>i</w:t>
      </w:r>
      <w:r w:rsidRPr="00031E0E">
        <w:rPr>
          <w:i/>
          <w:iCs/>
        </w:rPr>
        <w:t xml:space="preserve">chen Fakultät in Breslau für Paul Heilborn, </w:t>
      </w:r>
      <w:r w:rsidRPr="00031E0E">
        <w:t>Breslau, M. &amp; H. Marcus, pp. 83-124.</w:t>
      </w:r>
    </w:p>
    <w:p w14:paraId="0A8B8F48" w14:textId="77777777" w:rsidR="006C5FDB" w:rsidRPr="00031E0E" w:rsidRDefault="006C5FDB" w:rsidP="006C5FDB">
      <w:pPr>
        <w:pStyle w:val="biblio"/>
      </w:pPr>
      <w:r w:rsidRPr="00031E0E">
        <w:t xml:space="preserve">Rude (George), 1959, </w:t>
      </w:r>
      <w:r w:rsidRPr="00031E0E">
        <w:rPr>
          <w:i/>
          <w:iCs/>
        </w:rPr>
        <w:t xml:space="preserve">The Crowd in the French Revolution, </w:t>
      </w:r>
      <w:r w:rsidRPr="00031E0E">
        <w:t>Oxford, Clare</w:t>
      </w:r>
      <w:r w:rsidRPr="00031E0E">
        <w:t>n</w:t>
      </w:r>
      <w:r w:rsidRPr="00031E0E">
        <w:t>don Press ; trad. fr. avec une préface de Georges Lefe</w:t>
      </w:r>
      <w:r w:rsidRPr="00031E0E">
        <w:t>b</w:t>
      </w:r>
      <w:r w:rsidRPr="00031E0E">
        <w:t>vre, Paris, Maspero, 1982.</w:t>
      </w:r>
    </w:p>
    <w:p w14:paraId="270480D2" w14:textId="77777777" w:rsidR="006C5FDB" w:rsidRPr="00031E0E" w:rsidRDefault="006C5FDB" w:rsidP="006C5FDB">
      <w:pPr>
        <w:pStyle w:val="biblio"/>
      </w:pPr>
      <w:r w:rsidRPr="00031E0E">
        <w:t xml:space="preserve">Rude (George), 1964, </w:t>
      </w:r>
      <w:r w:rsidRPr="00031E0E">
        <w:rPr>
          <w:i/>
          <w:iCs/>
        </w:rPr>
        <w:t xml:space="preserve">The Crowd in History, </w:t>
      </w:r>
      <w:r w:rsidRPr="00031E0E">
        <w:t>1730-1848, New York, John W</w:t>
      </w:r>
      <w:r w:rsidRPr="00031E0E">
        <w:t>i</w:t>
      </w:r>
      <w:r w:rsidRPr="00031E0E">
        <w:t>ley &amp; Sons.</w:t>
      </w:r>
    </w:p>
    <w:p w14:paraId="72CEC394" w14:textId="77777777" w:rsidR="006C5FDB" w:rsidRPr="00031E0E" w:rsidRDefault="006C5FDB" w:rsidP="006C5FDB">
      <w:pPr>
        <w:pStyle w:val="biblio"/>
      </w:pPr>
      <w:r w:rsidRPr="00031E0E">
        <w:t>[685]</w:t>
      </w:r>
    </w:p>
    <w:p w14:paraId="01320AC7" w14:textId="77777777" w:rsidR="006C5FDB" w:rsidRPr="00031E0E" w:rsidRDefault="006C5FDB" w:rsidP="006C5FDB">
      <w:pPr>
        <w:pStyle w:val="biblio"/>
      </w:pPr>
      <w:r w:rsidRPr="00031E0E">
        <w:t xml:space="preserve">Rude (George), 1980, </w:t>
      </w:r>
      <w:r w:rsidRPr="00031E0E">
        <w:rPr>
          <w:i/>
          <w:iCs/>
        </w:rPr>
        <w:t xml:space="preserve">Ideology and Popular Protest, </w:t>
      </w:r>
      <w:r w:rsidRPr="00031E0E">
        <w:t>New York, Pantheon Books.</w:t>
      </w:r>
    </w:p>
    <w:p w14:paraId="77D435DA" w14:textId="77777777" w:rsidR="006C5FDB" w:rsidRPr="00031E0E" w:rsidRDefault="006C5FDB" w:rsidP="006C5FDB">
      <w:pPr>
        <w:pStyle w:val="biblio"/>
      </w:pPr>
      <w:r w:rsidRPr="00031E0E">
        <w:t>Rule (James), Tilly (Charles), 1972, 1830 and the Unnatural History of Rev</w:t>
      </w:r>
      <w:r w:rsidRPr="00031E0E">
        <w:t>o</w:t>
      </w:r>
      <w:r w:rsidRPr="00031E0E">
        <w:t>l</w:t>
      </w:r>
      <w:r w:rsidRPr="00031E0E">
        <w:t>u</w:t>
      </w:r>
      <w:r w:rsidRPr="00031E0E">
        <w:t xml:space="preserve">tion, </w:t>
      </w:r>
      <w:r w:rsidRPr="00031E0E">
        <w:rPr>
          <w:i/>
          <w:iCs/>
        </w:rPr>
        <w:t xml:space="preserve">Journal of Social Issues, </w:t>
      </w:r>
      <w:r w:rsidRPr="00031E0E">
        <w:t>vol. 28, pp. 49-76.</w:t>
      </w:r>
    </w:p>
    <w:p w14:paraId="2322E9EE" w14:textId="77777777" w:rsidR="006C5FDB" w:rsidRPr="00031E0E" w:rsidRDefault="006C5FDB" w:rsidP="006C5FDB">
      <w:pPr>
        <w:pStyle w:val="biblio"/>
      </w:pPr>
      <w:r w:rsidRPr="00031E0E">
        <w:t xml:space="preserve">Runciman (W. G.), 1983, Unnecessary Revolution : the case of France, </w:t>
      </w:r>
      <w:r w:rsidRPr="00031E0E">
        <w:rPr>
          <w:i/>
          <w:iCs/>
        </w:rPr>
        <w:t>Arch</w:t>
      </w:r>
      <w:r w:rsidRPr="00031E0E">
        <w:rPr>
          <w:i/>
          <w:iCs/>
        </w:rPr>
        <w:t>i</w:t>
      </w:r>
      <w:r w:rsidRPr="00031E0E">
        <w:rPr>
          <w:i/>
          <w:iCs/>
        </w:rPr>
        <w:t xml:space="preserve">ves européennes de Sociologie, </w:t>
      </w:r>
      <w:r w:rsidRPr="00031E0E">
        <w:t>vol. XXIV, pp. 291-318.</w:t>
      </w:r>
    </w:p>
    <w:p w14:paraId="0D750689" w14:textId="77777777" w:rsidR="006C5FDB" w:rsidRPr="00031E0E" w:rsidRDefault="006C5FDB" w:rsidP="006C5FDB">
      <w:pPr>
        <w:pStyle w:val="biblio"/>
      </w:pPr>
      <w:r w:rsidRPr="00031E0E">
        <w:t xml:space="preserve">Salert (Barbara), 1976, </w:t>
      </w:r>
      <w:r w:rsidRPr="00031E0E">
        <w:rPr>
          <w:i/>
          <w:iCs/>
        </w:rPr>
        <w:t xml:space="preserve">Revolutions and Revolutionaries : Four Theories, </w:t>
      </w:r>
      <w:r w:rsidRPr="00031E0E">
        <w:t>New York, Elsevier.</w:t>
      </w:r>
    </w:p>
    <w:p w14:paraId="5D887CA6" w14:textId="77777777" w:rsidR="006C5FDB" w:rsidRPr="00031E0E" w:rsidRDefault="006C5FDB" w:rsidP="006C5FDB">
      <w:pPr>
        <w:pStyle w:val="biblio"/>
      </w:pPr>
      <w:r w:rsidRPr="00031E0E">
        <w:t>Schrecker (Paul), 1966, Revolution as a Problem in the Ph</w:t>
      </w:r>
      <w:r w:rsidRPr="00031E0E">
        <w:t>i</w:t>
      </w:r>
      <w:r w:rsidRPr="00031E0E">
        <w:t xml:space="preserve">losophy of History, </w:t>
      </w:r>
      <w:r w:rsidRPr="00031E0E">
        <w:rPr>
          <w:i/>
          <w:iCs/>
        </w:rPr>
        <w:t xml:space="preserve">in </w:t>
      </w:r>
      <w:r w:rsidRPr="00031E0E">
        <w:t xml:space="preserve">Carl J. Friedrich (éd.), </w:t>
      </w:r>
      <w:r w:rsidRPr="00031E0E">
        <w:rPr>
          <w:i/>
          <w:iCs/>
        </w:rPr>
        <w:t>Revolution, pp.</w:t>
      </w:r>
      <w:r w:rsidRPr="00031E0E">
        <w:t xml:space="preserve"> 34-52.</w:t>
      </w:r>
    </w:p>
    <w:p w14:paraId="5822E610" w14:textId="77777777" w:rsidR="006C5FDB" w:rsidRPr="00031E0E" w:rsidRDefault="006C5FDB" w:rsidP="006C5FDB">
      <w:pPr>
        <w:pStyle w:val="biblio"/>
      </w:pPr>
      <w:r w:rsidRPr="00031E0E">
        <w:t xml:space="preserve">Schurmann (Franz), 1968, </w:t>
      </w:r>
      <w:r w:rsidRPr="00031E0E">
        <w:rPr>
          <w:i/>
          <w:iCs/>
        </w:rPr>
        <w:t>Ideology and Organization in Comm</w:t>
      </w:r>
      <w:r w:rsidRPr="00031E0E">
        <w:rPr>
          <w:i/>
          <w:iCs/>
        </w:rPr>
        <w:t>u</w:t>
      </w:r>
      <w:r w:rsidRPr="00031E0E">
        <w:rPr>
          <w:i/>
          <w:iCs/>
        </w:rPr>
        <w:t xml:space="preserve">nist China, </w:t>
      </w:r>
      <w:r w:rsidRPr="00031E0E">
        <w:t>2</w:t>
      </w:r>
      <w:r w:rsidRPr="00031E0E">
        <w:rPr>
          <w:vertAlign w:val="superscript"/>
        </w:rPr>
        <w:t>0</w:t>
      </w:r>
      <w:r w:rsidRPr="00031E0E">
        <w:t xml:space="preserve"> éd., Berk</w:t>
      </w:r>
      <w:r w:rsidRPr="00031E0E">
        <w:t>e</w:t>
      </w:r>
      <w:r w:rsidRPr="00031E0E">
        <w:t>ley, University of California Press.</w:t>
      </w:r>
    </w:p>
    <w:p w14:paraId="4DE0D405" w14:textId="77777777" w:rsidR="006C5FDB" w:rsidRPr="00031E0E" w:rsidRDefault="006C5FDB" w:rsidP="006C5FDB">
      <w:pPr>
        <w:pStyle w:val="biblio"/>
      </w:pPr>
      <w:r w:rsidRPr="00031E0E">
        <w:t xml:space="preserve">Skocpol (Theda), 1973, A Critical Review of Barrington Moore’s </w:t>
      </w:r>
      <w:r w:rsidRPr="00031E0E">
        <w:rPr>
          <w:i/>
          <w:iCs/>
        </w:rPr>
        <w:t>Social Or</w:t>
      </w:r>
      <w:r w:rsidRPr="00031E0E">
        <w:rPr>
          <w:i/>
          <w:iCs/>
        </w:rPr>
        <w:t>i</w:t>
      </w:r>
      <w:r w:rsidRPr="00031E0E">
        <w:rPr>
          <w:i/>
          <w:iCs/>
        </w:rPr>
        <w:t>gins of Dictatorship and Democracy, P</w:t>
      </w:r>
      <w:r w:rsidRPr="00031E0E">
        <w:rPr>
          <w:i/>
          <w:iCs/>
        </w:rPr>
        <w:t>o</w:t>
      </w:r>
      <w:r w:rsidRPr="00031E0E">
        <w:rPr>
          <w:i/>
          <w:iCs/>
        </w:rPr>
        <w:t xml:space="preserve">litics and Society, </w:t>
      </w:r>
      <w:r w:rsidRPr="00031E0E">
        <w:t>vol. 4, pp. 1-34.</w:t>
      </w:r>
    </w:p>
    <w:p w14:paraId="4532A659" w14:textId="77777777" w:rsidR="006C5FDB" w:rsidRPr="00031E0E" w:rsidRDefault="006C5FDB" w:rsidP="006C5FDB">
      <w:pPr>
        <w:pStyle w:val="biblio"/>
      </w:pPr>
      <w:r w:rsidRPr="00031E0E">
        <w:t>Skocpol (Theda), 1976, Explaining Revolutions : In Quest of a S</w:t>
      </w:r>
      <w:r w:rsidRPr="00031E0E">
        <w:t>o</w:t>
      </w:r>
      <w:r w:rsidRPr="00031E0E">
        <w:t xml:space="preserve">cial-Structural Approach, </w:t>
      </w:r>
      <w:r w:rsidRPr="00031E0E">
        <w:rPr>
          <w:i/>
          <w:iCs/>
        </w:rPr>
        <w:t xml:space="preserve">in </w:t>
      </w:r>
      <w:r w:rsidRPr="00031E0E">
        <w:t xml:space="preserve">Lewis A. Coser et Otto N. Larsen (éd.), </w:t>
      </w:r>
      <w:r w:rsidRPr="00031E0E">
        <w:rPr>
          <w:i/>
          <w:iCs/>
        </w:rPr>
        <w:t>The Uses of Contr</w:t>
      </w:r>
      <w:r w:rsidRPr="00031E0E">
        <w:rPr>
          <w:i/>
          <w:iCs/>
        </w:rPr>
        <w:t>o</w:t>
      </w:r>
      <w:r w:rsidRPr="00031E0E">
        <w:rPr>
          <w:i/>
          <w:iCs/>
        </w:rPr>
        <w:t xml:space="preserve">versy in Sociology, </w:t>
      </w:r>
      <w:r w:rsidRPr="00031E0E">
        <w:t>New York, Free Press, pp. 155-175.</w:t>
      </w:r>
    </w:p>
    <w:p w14:paraId="432478B4" w14:textId="77777777" w:rsidR="006C5FDB" w:rsidRPr="00031E0E" w:rsidRDefault="006C5FDB" w:rsidP="006C5FDB">
      <w:pPr>
        <w:pStyle w:val="biblio"/>
      </w:pPr>
      <w:r w:rsidRPr="00031E0E">
        <w:t>Skocpol (Theda), 1976, France, Russia, China : A Structural Analysis of S</w:t>
      </w:r>
      <w:r w:rsidRPr="00031E0E">
        <w:t>o</w:t>
      </w:r>
      <w:r w:rsidRPr="00031E0E">
        <w:t xml:space="preserve">cial Revolutions, </w:t>
      </w:r>
      <w:r w:rsidRPr="00031E0E">
        <w:rPr>
          <w:i/>
          <w:iCs/>
        </w:rPr>
        <w:t>Comparative Studies in Society and Hi</w:t>
      </w:r>
      <w:r w:rsidRPr="00031E0E">
        <w:rPr>
          <w:i/>
          <w:iCs/>
        </w:rPr>
        <w:t>s</w:t>
      </w:r>
      <w:r w:rsidRPr="00031E0E">
        <w:rPr>
          <w:i/>
          <w:iCs/>
        </w:rPr>
        <w:t xml:space="preserve">tory, </w:t>
      </w:r>
      <w:r w:rsidRPr="00031E0E">
        <w:t>vol. 18, pp. 175-210.</w:t>
      </w:r>
    </w:p>
    <w:p w14:paraId="69375918" w14:textId="77777777" w:rsidR="006C5FDB" w:rsidRPr="00031E0E" w:rsidRDefault="006C5FDB" w:rsidP="006C5FDB">
      <w:pPr>
        <w:pStyle w:val="biblio"/>
      </w:pPr>
      <w:r w:rsidRPr="00031E0E">
        <w:t xml:space="preserve">Skocpol (Theda), 1979, </w:t>
      </w:r>
      <w:r w:rsidRPr="00031E0E">
        <w:rPr>
          <w:i/>
          <w:iCs/>
        </w:rPr>
        <w:t>States and Social Revolutions : A Comparative Anal</w:t>
      </w:r>
      <w:r w:rsidRPr="00031E0E">
        <w:rPr>
          <w:i/>
          <w:iCs/>
        </w:rPr>
        <w:t>y</w:t>
      </w:r>
      <w:r w:rsidRPr="00031E0E">
        <w:rPr>
          <w:i/>
          <w:iCs/>
        </w:rPr>
        <w:t xml:space="preserve">sis of France, Russia and China, </w:t>
      </w:r>
      <w:r w:rsidRPr="00031E0E">
        <w:t>Ca</w:t>
      </w:r>
      <w:r w:rsidRPr="00031E0E">
        <w:t>m</w:t>
      </w:r>
      <w:r w:rsidRPr="00031E0E">
        <w:t>bridge, Cambridge University Press.</w:t>
      </w:r>
    </w:p>
    <w:p w14:paraId="0B61E768" w14:textId="77777777" w:rsidR="006C5FDB" w:rsidRPr="00031E0E" w:rsidRDefault="006C5FDB" w:rsidP="006C5FDB">
      <w:pPr>
        <w:pStyle w:val="biblio"/>
      </w:pPr>
      <w:r w:rsidRPr="00031E0E">
        <w:t>Skocpol (Theda), 1982, Rentier State and Shi’ a Islam in the Iranian Revol</w:t>
      </w:r>
      <w:r w:rsidRPr="00031E0E">
        <w:t>u</w:t>
      </w:r>
      <w:r w:rsidRPr="00031E0E">
        <w:t xml:space="preserve">tion, </w:t>
      </w:r>
      <w:r w:rsidRPr="00031E0E">
        <w:rPr>
          <w:i/>
          <w:iCs/>
        </w:rPr>
        <w:t>Theory and S</w:t>
      </w:r>
      <w:r w:rsidRPr="00031E0E">
        <w:rPr>
          <w:i/>
          <w:iCs/>
        </w:rPr>
        <w:t>o</w:t>
      </w:r>
      <w:r w:rsidRPr="00031E0E">
        <w:rPr>
          <w:i/>
          <w:iCs/>
        </w:rPr>
        <w:t xml:space="preserve">ciety, </w:t>
      </w:r>
      <w:r w:rsidRPr="00031E0E">
        <w:t>vol. II, pp. 265-283.</w:t>
      </w:r>
    </w:p>
    <w:p w14:paraId="45F733A8" w14:textId="77777777" w:rsidR="006C5FDB" w:rsidRPr="00031E0E" w:rsidRDefault="006C5FDB" w:rsidP="006C5FDB">
      <w:pPr>
        <w:pStyle w:val="biblio"/>
      </w:pPr>
      <w:r w:rsidRPr="00031E0E">
        <w:t xml:space="preserve">Smelser (Neil J.), 1963, </w:t>
      </w:r>
      <w:r w:rsidRPr="00031E0E">
        <w:rPr>
          <w:i/>
          <w:iCs/>
        </w:rPr>
        <w:t>Theory of Co</w:t>
      </w:r>
      <w:r w:rsidRPr="00031E0E">
        <w:rPr>
          <w:i/>
          <w:iCs/>
        </w:rPr>
        <w:t>l</w:t>
      </w:r>
      <w:r w:rsidRPr="00031E0E">
        <w:rPr>
          <w:i/>
          <w:iCs/>
        </w:rPr>
        <w:t xml:space="preserve">lective Behavior, </w:t>
      </w:r>
      <w:r w:rsidRPr="00031E0E">
        <w:t>New York, The Free Press.</w:t>
      </w:r>
    </w:p>
    <w:p w14:paraId="37859AAF" w14:textId="77777777" w:rsidR="006C5FDB" w:rsidRPr="00031E0E" w:rsidRDefault="006C5FDB" w:rsidP="006C5FDB">
      <w:pPr>
        <w:pStyle w:val="biblio"/>
      </w:pPr>
      <w:r w:rsidRPr="00031E0E">
        <w:t xml:space="preserve">Soboul (Albert), 1958, </w:t>
      </w:r>
      <w:r w:rsidRPr="00031E0E">
        <w:rPr>
          <w:i/>
          <w:iCs/>
        </w:rPr>
        <w:t xml:space="preserve">Les sans-culottes parisiens de l’an II, </w:t>
      </w:r>
      <w:r w:rsidRPr="00031E0E">
        <w:t>La Roche-sur-Yon, Potier (r</w:t>
      </w:r>
      <w:r w:rsidRPr="00031E0E">
        <w:t>é</w:t>
      </w:r>
      <w:r w:rsidRPr="00031E0E">
        <w:t>éd., Paris, Le Seuil, 1968).</w:t>
      </w:r>
    </w:p>
    <w:p w14:paraId="1B8BFF92" w14:textId="77777777" w:rsidR="006C5FDB" w:rsidRPr="00031E0E" w:rsidRDefault="006C5FDB" w:rsidP="006C5FDB">
      <w:pPr>
        <w:pStyle w:val="biblio"/>
      </w:pPr>
      <w:r w:rsidRPr="00031E0E">
        <w:t xml:space="preserve">Soboul (Albert), 1962, </w:t>
      </w:r>
      <w:r w:rsidRPr="00031E0E">
        <w:rPr>
          <w:i/>
          <w:iCs/>
        </w:rPr>
        <w:t>Précis d’histoire de la Révolution frança</w:t>
      </w:r>
      <w:r w:rsidRPr="00031E0E">
        <w:rPr>
          <w:i/>
          <w:iCs/>
        </w:rPr>
        <w:t>i</w:t>
      </w:r>
      <w:r w:rsidRPr="00031E0E">
        <w:rPr>
          <w:i/>
          <w:iCs/>
        </w:rPr>
        <w:t xml:space="preserve">se, </w:t>
      </w:r>
      <w:r w:rsidRPr="00031E0E">
        <w:t>Paris, Éd. S</w:t>
      </w:r>
      <w:r w:rsidRPr="00031E0E">
        <w:t>o</w:t>
      </w:r>
      <w:r w:rsidRPr="00031E0E">
        <w:t>ciales.</w:t>
      </w:r>
    </w:p>
    <w:p w14:paraId="64D84F44" w14:textId="77777777" w:rsidR="006C5FDB" w:rsidRPr="00031E0E" w:rsidRDefault="006C5FDB" w:rsidP="006C5FDB">
      <w:pPr>
        <w:pStyle w:val="biblio"/>
      </w:pPr>
      <w:r w:rsidRPr="00031E0E">
        <w:t>Stinchcombe (Arthur), 1965, Social Structure and Org</w:t>
      </w:r>
      <w:r w:rsidRPr="00031E0E">
        <w:t>a</w:t>
      </w:r>
      <w:r w:rsidRPr="00031E0E">
        <w:t xml:space="preserve">nizations, </w:t>
      </w:r>
      <w:r w:rsidRPr="00031E0E">
        <w:rPr>
          <w:i/>
          <w:iCs/>
        </w:rPr>
        <w:t xml:space="preserve">in </w:t>
      </w:r>
      <w:r w:rsidRPr="00031E0E">
        <w:t xml:space="preserve">James March (éd.), </w:t>
      </w:r>
      <w:r w:rsidRPr="00031E0E">
        <w:rPr>
          <w:i/>
          <w:iCs/>
        </w:rPr>
        <w:t>Handbook of Organiz</w:t>
      </w:r>
      <w:r w:rsidRPr="00031E0E">
        <w:rPr>
          <w:i/>
          <w:iCs/>
        </w:rPr>
        <w:t>a</w:t>
      </w:r>
      <w:r w:rsidRPr="00031E0E">
        <w:rPr>
          <w:i/>
          <w:iCs/>
        </w:rPr>
        <w:t xml:space="preserve">tions, </w:t>
      </w:r>
      <w:r w:rsidRPr="00031E0E">
        <w:t>Chicago, Rand McNally, pp. 169-180. (Nous ne citons ici que la partie de l’article intitulée « Stratification among Org</w:t>
      </w:r>
      <w:r w:rsidRPr="00031E0E">
        <w:t>a</w:t>
      </w:r>
      <w:r w:rsidRPr="00031E0E">
        <w:t>nizations and the Sociology of Revol</w:t>
      </w:r>
      <w:r w:rsidRPr="00031E0E">
        <w:t>u</w:t>
      </w:r>
      <w:r w:rsidRPr="00031E0E">
        <w:t>tion ».)</w:t>
      </w:r>
    </w:p>
    <w:p w14:paraId="5965CBA1" w14:textId="77777777" w:rsidR="006C5FDB" w:rsidRPr="00031E0E" w:rsidRDefault="006C5FDB" w:rsidP="006C5FDB">
      <w:pPr>
        <w:pStyle w:val="biblio"/>
      </w:pPr>
      <w:r w:rsidRPr="00031E0E">
        <w:t>Stone (Lawre</w:t>
      </w:r>
      <w:r w:rsidRPr="00031E0E">
        <w:t>n</w:t>
      </w:r>
      <w:r w:rsidRPr="00031E0E">
        <w:t xml:space="preserve">ce), 1966, Theories of Revolution, </w:t>
      </w:r>
      <w:r w:rsidRPr="00031E0E">
        <w:rPr>
          <w:i/>
          <w:iCs/>
        </w:rPr>
        <w:t xml:space="preserve">World Politics, </w:t>
      </w:r>
      <w:r w:rsidRPr="00031E0E">
        <w:t>vol. 18, pp. 159-176.</w:t>
      </w:r>
    </w:p>
    <w:p w14:paraId="3141B6DB" w14:textId="77777777" w:rsidR="006C5FDB" w:rsidRPr="00031E0E" w:rsidRDefault="006C5FDB" w:rsidP="006C5FDB">
      <w:pPr>
        <w:pStyle w:val="biblio"/>
      </w:pPr>
      <w:r w:rsidRPr="00031E0E">
        <w:t xml:space="preserve">Stone (Lawrence), 1974, </w:t>
      </w:r>
      <w:r w:rsidRPr="00031E0E">
        <w:rPr>
          <w:i/>
          <w:iCs/>
        </w:rPr>
        <w:t xml:space="preserve">Les causes de la révolution anglaise, 1529-1642, </w:t>
      </w:r>
      <w:r w:rsidRPr="00031E0E">
        <w:t>P</w:t>
      </w:r>
      <w:r w:rsidRPr="00031E0E">
        <w:t>a</w:t>
      </w:r>
      <w:r w:rsidRPr="00031E0E">
        <w:t>ris, Flammarion (éd. or. : Londres, Routledge &amp; Kegan, 1972).</w:t>
      </w:r>
    </w:p>
    <w:p w14:paraId="4110C175" w14:textId="77777777" w:rsidR="006C5FDB" w:rsidRPr="00031E0E" w:rsidRDefault="006C5FDB" w:rsidP="006C5FDB">
      <w:pPr>
        <w:pStyle w:val="biblio"/>
      </w:pPr>
      <w:r w:rsidRPr="00031E0E">
        <w:t xml:space="preserve">Tanter (Raymond), Midlarsky (Manus), 1967, A Theory of Revolution, </w:t>
      </w:r>
      <w:r w:rsidRPr="00031E0E">
        <w:rPr>
          <w:i/>
          <w:iCs/>
        </w:rPr>
        <w:t>Jou</w:t>
      </w:r>
      <w:r w:rsidRPr="00031E0E">
        <w:rPr>
          <w:i/>
          <w:iCs/>
        </w:rPr>
        <w:t>r</w:t>
      </w:r>
      <w:r w:rsidRPr="00031E0E">
        <w:rPr>
          <w:i/>
          <w:iCs/>
        </w:rPr>
        <w:t>nal of Conflict Resol</w:t>
      </w:r>
      <w:r w:rsidRPr="00031E0E">
        <w:rPr>
          <w:i/>
          <w:iCs/>
        </w:rPr>
        <w:t>u</w:t>
      </w:r>
      <w:r w:rsidRPr="00031E0E">
        <w:rPr>
          <w:i/>
          <w:iCs/>
        </w:rPr>
        <w:t xml:space="preserve">tion, </w:t>
      </w:r>
      <w:r w:rsidRPr="00031E0E">
        <w:t>vol. 11, pp. 264-280.</w:t>
      </w:r>
    </w:p>
    <w:p w14:paraId="3ADA6D70" w14:textId="77777777" w:rsidR="006C5FDB" w:rsidRPr="00031E0E" w:rsidRDefault="006C5FDB" w:rsidP="006C5FDB">
      <w:pPr>
        <w:pStyle w:val="biblio"/>
      </w:pPr>
      <w:r w:rsidRPr="00031E0E">
        <w:t xml:space="preserve">Tilly (Charles), 1970, </w:t>
      </w:r>
      <w:r w:rsidRPr="00031E0E">
        <w:rPr>
          <w:i/>
          <w:iCs/>
        </w:rPr>
        <w:t xml:space="preserve">La Vendée : révolution et contre-révolution, </w:t>
      </w:r>
      <w:r w:rsidRPr="00031E0E">
        <w:t>Paris, Fayard (éd. or. : Cambridge, Harvard University Press, 1964).</w:t>
      </w:r>
    </w:p>
    <w:p w14:paraId="68A5238C" w14:textId="77777777" w:rsidR="006C5FDB" w:rsidRPr="00031E0E" w:rsidRDefault="006C5FDB" w:rsidP="006C5FDB">
      <w:pPr>
        <w:pStyle w:val="biblio"/>
      </w:pPr>
      <w:r w:rsidRPr="00031E0E">
        <w:t>Tilly (Charles), 1973, Does Modernization Breed Rev</w:t>
      </w:r>
      <w:r w:rsidRPr="00031E0E">
        <w:t>o</w:t>
      </w:r>
      <w:r w:rsidRPr="00031E0E">
        <w:t xml:space="preserve">lution, </w:t>
      </w:r>
      <w:r w:rsidRPr="00031E0E">
        <w:rPr>
          <w:i/>
          <w:iCs/>
        </w:rPr>
        <w:t>Comparative Pol</w:t>
      </w:r>
      <w:r w:rsidRPr="00031E0E">
        <w:rPr>
          <w:i/>
          <w:iCs/>
        </w:rPr>
        <w:t>i</w:t>
      </w:r>
      <w:r w:rsidRPr="00031E0E">
        <w:rPr>
          <w:i/>
          <w:iCs/>
        </w:rPr>
        <w:t xml:space="preserve">tics, </w:t>
      </w:r>
      <w:r w:rsidRPr="00031E0E">
        <w:t>vol. 5, pp. 425-447.</w:t>
      </w:r>
    </w:p>
    <w:p w14:paraId="2251A51A" w14:textId="77777777" w:rsidR="006C5FDB" w:rsidRPr="00031E0E" w:rsidRDefault="006C5FDB" w:rsidP="006C5FDB">
      <w:pPr>
        <w:pStyle w:val="biblio"/>
      </w:pPr>
      <w:r w:rsidRPr="00031E0E">
        <w:t xml:space="preserve">Tilly (Charles), 1975, Revolutions and Collective Violence, </w:t>
      </w:r>
      <w:r w:rsidRPr="00031E0E">
        <w:rPr>
          <w:i/>
          <w:iCs/>
        </w:rPr>
        <w:t xml:space="preserve">in </w:t>
      </w:r>
      <w:r w:rsidRPr="00031E0E">
        <w:t>Fred Green</w:t>
      </w:r>
      <w:r w:rsidRPr="00031E0E">
        <w:t>s</w:t>
      </w:r>
      <w:r w:rsidRPr="00031E0E">
        <w:t xml:space="preserve">tein et Nelson Polsby (eds.), </w:t>
      </w:r>
      <w:r w:rsidRPr="00031E0E">
        <w:rPr>
          <w:i/>
          <w:iCs/>
        </w:rPr>
        <w:t>Handbook of Political Scie</w:t>
      </w:r>
      <w:r w:rsidRPr="00031E0E">
        <w:rPr>
          <w:i/>
          <w:iCs/>
        </w:rPr>
        <w:t>n</w:t>
      </w:r>
      <w:r w:rsidRPr="00031E0E">
        <w:rPr>
          <w:i/>
          <w:iCs/>
        </w:rPr>
        <w:t xml:space="preserve">ce, </w:t>
      </w:r>
      <w:r w:rsidRPr="00031E0E">
        <w:t xml:space="preserve">vol. 3, </w:t>
      </w:r>
      <w:r w:rsidRPr="00031E0E">
        <w:rPr>
          <w:i/>
          <w:iCs/>
        </w:rPr>
        <w:t xml:space="preserve">Macropolitical Theory, </w:t>
      </w:r>
      <w:r w:rsidRPr="00031E0E">
        <w:t>Reading, Mass., A</w:t>
      </w:r>
      <w:r w:rsidRPr="00031E0E">
        <w:t>d</w:t>
      </w:r>
      <w:r w:rsidRPr="00031E0E">
        <w:t>dison-Wesley, pp. 483-555.</w:t>
      </w:r>
    </w:p>
    <w:p w14:paraId="313797DC" w14:textId="77777777" w:rsidR="006C5FDB" w:rsidRPr="00031E0E" w:rsidRDefault="006C5FDB" w:rsidP="006C5FDB">
      <w:pPr>
        <w:pStyle w:val="biblio"/>
      </w:pPr>
      <w:r w:rsidRPr="00031E0E">
        <w:t xml:space="preserve">Tilly (Charles), 1978, </w:t>
      </w:r>
      <w:r w:rsidRPr="00031E0E">
        <w:rPr>
          <w:i/>
          <w:iCs/>
        </w:rPr>
        <w:t xml:space="preserve">From Mobilization to Revolution, </w:t>
      </w:r>
      <w:r w:rsidRPr="00031E0E">
        <w:t>Reading, Mass., A</w:t>
      </w:r>
      <w:r w:rsidRPr="00031E0E">
        <w:t>d</w:t>
      </w:r>
      <w:r w:rsidRPr="00031E0E">
        <w:t xml:space="preserve">dison-Wesley (comptes rendus de </w:t>
      </w:r>
      <w:r w:rsidRPr="00031E0E">
        <w:rPr>
          <w:i/>
          <w:iCs/>
        </w:rPr>
        <w:t xml:space="preserve">From Mobilization to Revolution : </w:t>
      </w:r>
      <w:r w:rsidRPr="00031E0E">
        <w:t>1980, Ch</w:t>
      </w:r>
      <w:r w:rsidRPr="00031E0E">
        <w:t>a</w:t>
      </w:r>
      <w:r w:rsidRPr="00031E0E">
        <w:t xml:space="preserve">zel (François), </w:t>
      </w:r>
      <w:r w:rsidRPr="00031E0E">
        <w:rPr>
          <w:i/>
          <w:iCs/>
        </w:rPr>
        <w:t xml:space="preserve">Revue française de sociologie, </w:t>
      </w:r>
      <w:r w:rsidRPr="00031E0E">
        <w:t>vol. XXI, pp. 653-658 ; 1983, L</w:t>
      </w:r>
      <w:r w:rsidRPr="00031E0E">
        <w:t>a</w:t>
      </w:r>
      <w:r w:rsidRPr="00031E0E">
        <w:t xml:space="preserve">peyronnie (Didier), </w:t>
      </w:r>
      <w:r w:rsidRPr="00031E0E">
        <w:rPr>
          <w:i/>
          <w:iCs/>
        </w:rPr>
        <w:t>Année sociol</w:t>
      </w:r>
      <w:r w:rsidRPr="00031E0E">
        <w:rPr>
          <w:i/>
          <w:iCs/>
        </w:rPr>
        <w:t>o</w:t>
      </w:r>
      <w:r w:rsidRPr="00031E0E">
        <w:rPr>
          <w:i/>
          <w:iCs/>
        </w:rPr>
        <w:t xml:space="preserve">gique, </w:t>
      </w:r>
      <w:r w:rsidRPr="00031E0E">
        <w:t>vol. 33, pp. 477-483).</w:t>
      </w:r>
    </w:p>
    <w:p w14:paraId="3CC99C5A" w14:textId="77777777" w:rsidR="006C5FDB" w:rsidRPr="00031E0E" w:rsidRDefault="006C5FDB" w:rsidP="006C5FDB">
      <w:pPr>
        <w:pStyle w:val="biblio"/>
      </w:pPr>
      <w:r w:rsidRPr="00031E0E">
        <w:t xml:space="preserve">Tocqueville (Alexis de), 1951, 1953, </w:t>
      </w:r>
      <w:hyperlink r:id="rId24" w:history="1">
        <w:r w:rsidRPr="006260B8">
          <w:rPr>
            <w:rStyle w:val="Hyperlien"/>
            <w:i/>
            <w:iCs/>
          </w:rPr>
          <w:t>L’Ancien Régime et la Révolution</w:t>
        </w:r>
      </w:hyperlink>
      <w:r w:rsidRPr="00031E0E">
        <w:rPr>
          <w:i/>
          <w:iCs/>
        </w:rPr>
        <w:t xml:space="preserve">, </w:t>
      </w:r>
      <w:r w:rsidRPr="00031E0E">
        <w:t xml:space="preserve">in </w:t>
      </w:r>
      <w:r w:rsidRPr="00031E0E">
        <w:rPr>
          <w:i/>
          <w:iCs/>
        </w:rPr>
        <w:t xml:space="preserve">Œuvres complètes, </w:t>
      </w:r>
      <w:r w:rsidRPr="00031E0E">
        <w:t>éd. déf</w:t>
      </w:r>
      <w:r w:rsidRPr="00031E0E">
        <w:t>i</w:t>
      </w:r>
      <w:r w:rsidRPr="00031E0E">
        <w:t xml:space="preserve">nitive publiée sous la direction de J.-P. Mayer, Paris, Gallimard, t. II, vol. I, avec une introduction de Georges Lefebvre, et II </w:t>
      </w:r>
      <w:r w:rsidRPr="00031E0E">
        <w:rPr>
          <w:i/>
          <w:iCs/>
        </w:rPr>
        <w:t>(Fra</w:t>
      </w:r>
      <w:r w:rsidRPr="00031E0E">
        <w:rPr>
          <w:i/>
          <w:iCs/>
        </w:rPr>
        <w:t>g</w:t>
      </w:r>
      <w:r w:rsidRPr="00031E0E">
        <w:rPr>
          <w:i/>
          <w:iCs/>
        </w:rPr>
        <w:t>ments et Notes inédites sur la Révol</w:t>
      </w:r>
      <w:r w:rsidRPr="00031E0E">
        <w:rPr>
          <w:i/>
          <w:iCs/>
        </w:rPr>
        <w:t>u</w:t>
      </w:r>
      <w:r w:rsidRPr="00031E0E">
        <w:rPr>
          <w:i/>
          <w:iCs/>
        </w:rPr>
        <w:t>tion).</w:t>
      </w:r>
    </w:p>
    <w:p w14:paraId="1D8002D6" w14:textId="77777777" w:rsidR="006C5FDB" w:rsidRPr="00031E0E" w:rsidRDefault="006C5FDB" w:rsidP="006C5FDB">
      <w:pPr>
        <w:pStyle w:val="biblio"/>
      </w:pPr>
      <w:r w:rsidRPr="00031E0E">
        <w:t xml:space="preserve">Tonnesson (Kare), 1959, </w:t>
      </w:r>
      <w:r w:rsidRPr="00031E0E">
        <w:rPr>
          <w:i/>
          <w:iCs/>
        </w:rPr>
        <w:t xml:space="preserve">La défaite des sans-culottes, </w:t>
      </w:r>
      <w:r w:rsidRPr="00031E0E">
        <w:t>Paris, Cl</w:t>
      </w:r>
      <w:r w:rsidRPr="00031E0E">
        <w:t>a</w:t>
      </w:r>
      <w:r w:rsidRPr="00031E0E">
        <w:t>vreuil.</w:t>
      </w:r>
    </w:p>
    <w:p w14:paraId="52F992EC" w14:textId="77777777" w:rsidR="006C5FDB" w:rsidRPr="00031E0E" w:rsidRDefault="006C5FDB" w:rsidP="006C5FDB">
      <w:pPr>
        <w:pStyle w:val="biblio"/>
      </w:pPr>
      <w:r w:rsidRPr="00031E0E">
        <w:t xml:space="preserve">Trimberger (Ellen Kay), 1978, </w:t>
      </w:r>
      <w:r w:rsidRPr="00031E0E">
        <w:rPr>
          <w:i/>
          <w:iCs/>
        </w:rPr>
        <w:t>Revol</w:t>
      </w:r>
      <w:r w:rsidRPr="00031E0E">
        <w:rPr>
          <w:i/>
          <w:iCs/>
        </w:rPr>
        <w:t>u</w:t>
      </w:r>
      <w:r w:rsidRPr="00031E0E">
        <w:rPr>
          <w:i/>
          <w:iCs/>
        </w:rPr>
        <w:t xml:space="preserve">tion from Above : Military Bureaucrats and Development in Japan, Turkey, Egypt and Peru, </w:t>
      </w:r>
      <w:r w:rsidRPr="00031E0E">
        <w:t xml:space="preserve">New Brunswick, </w:t>
      </w:r>
      <w:r w:rsidRPr="00031E0E">
        <w:rPr>
          <w:smallCaps/>
        </w:rPr>
        <w:t xml:space="preserve">nj, </w:t>
      </w:r>
      <w:r w:rsidRPr="00031E0E">
        <w:t>Tra</w:t>
      </w:r>
      <w:r w:rsidRPr="00031E0E">
        <w:t>n</w:t>
      </w:r>
      <w:r w:rsidRPr="00031E0E">
        <w:t>saction Books.</w:t>
      </w:r>
    </w:p>
    <w:p w14:paraId="4B865701" w14:textId="77777777" w:rsidR="006C5FDB" w:rsidRPr="00031E0E" w:rsidRDefault="006C5FDB" w:rsidP="006C5FDB">
      <w:pPr>
        <w:pStyle w:val="biblio"/>
      </w:pPr>
      <w:r w:rsidRPr="00031E0E">
        <w:t xml:space="preserve">Trotsky (Léon), 1950, </w:t>
      </w:r>
      <w:r w:rsidRPr="00031E0E">
        <w:rPr>
          <w:i/>
          <w:iCs/>
        </w:rPr>
        <w:t xml:space="preserve">Histoire de la Révolution russe, </w:t>
      </w:r>
      <w:r w:rsidRPr="00031E0E">
        <w:t>2 vol., P</w:t>
      </w:r>
      <w:r w:rsidRPr="00031E0E">
        <w:t>a</w:t>
      </w:r>
      <w:r w:rsidRPr="00031E0E">
        <w:t>ris, Le Seuil.</w:t>
      </w:r>
    </w:p>
    <w:p w14:paraId="7BC49115" w14:textId="77777777" w:rsidR="006C5FDB" w:rsidRPr="00031E0E" w:rsidRDefault="006C5FDB" w:rsidP="006C5FDB">
      <w:pPr>
        <w:pStyle w:val="biblio"/>
      </w:pPr>
      <w:r w:rsidRPr="00031E0E">
        <w:t xml:space="preserve">Tucker (Robert C.), 1966, The Marxian Revolutionary Idea, </w:t>
      </w:r>
      <w:r w:rsidRPr="00031E0E">
        <w:rPr>
          <w:i/>
          <w:iCs/>
        </w:rPr>
        <w:t xml:space="preserve">in </w:t>
      </w:r>
      <w:r w:rsidRPr="00031E0E">
        <w:t>Carl J. Fri</w:t>
      </w:r>
      <w:r w:rsidRPr="00031E0E">
        <w:t>e</w:t>
      </w:r>
      <w:r w:rsidRPr="00031E0E">
        <w:t xml:space="preserve">drich (éd.), </w:t>
      </w:r>
      <w:r w:rsidRPr="00031E0E">
        <w:rPr>
          <w:i/>
          <w:iCs/>
        </w:rPr>
        <w:t>Revol</w:t>
      </w:r>
      <w:r w:rsidRPr="00031E0E">
        <w:rPr>
          <w:i/>
          <w:iCs/>
        </w:rPr>
        <w:t>u</w:t>
      </w:r>
      <w:r w:rsidRPr="00031E0E">
        <w:rPr>
          <w:i/>
          <w:iCs/>
        </w:rPr>
        <w:t>tion</w:t>
      </w:r>
      <w:r w:rsidRPr="00031E0E">
        <w:t>, pp. 217-239.</w:t>
      </w:r>
    </w:p>
    <w:p w14:paraId="3EFEDD06" w14:textId="77777777" w:rsidR="006C5FDB" w:rsidRPr="00031E0E" w:rsidRDefault="006C5FDB" w:rsidP="006C5FDB">
      <w:pPr>
        <w:pStyle w:val="biblio"/>
      </w:pPr>
      <w:r w:rsidRPr="00031E0E">
        <w:rPr>
          <w:szCs w:val="16"/>
        </w:rPr>
        <w:t>[686]</w:t>
      </w:r>
    </w:p>
    <w:p w14:paraId="5271F589" w14:textId="77777777" w:rsidR="006C5FDB" w:rsidRPr="00031E0E" w:rsidRDefault="006C5FDB" w:rsidP="006C5FDB">
      <w:pPr>
        <w:pStyle w:val="biblio"/>
      </w:pPr>
      <w:r w:rsidRPr="00031E0E">
        <w:t xml:space="preserve">Tucker (Robert C.), 1970, </w:t>
      </w:r>
      <w:r w:rsidRPr="00031E0E">
        <w:rPr>
          <w:i/>
          <w:iCs/>
        </w:rPr>
        <w:t xml:space="preserve">The Marxian Revolutionary Idea, </w:t>
      </w:r>
      <w:r w:rsidRPr="00031E0E">
        <w:t>New York, No</w:t>
      </w:r>
      <w:r w:rsidRPr="00031E0E">
        <w:t>r</w:t>
      </w:r>
      <w:r w:rsidRPr="00031E0E">
        <w:t>ton.</w:t>
      </w:r>
    </w:p>
    <w:p w14:paraId="78E5781C" w14:textId="77777777" w:rsidR="006C5FDB" w:rsidRPr="00031E0E" w:rsidRDefault="006C5FDB" w:rsidP="006C5FDB">
      <w:pPr>
        <w:pStyle w:val="biblio"/>
      </w:pPr>
      <w:r w:rsidRPr="00031E0E">
        <w:t xml:space="preserve">Veyne (Paul), 1971, </w:t>
      </w:r>
      <w:r w:rsidRPr="00031E0E">
        <w:rPr>
          <w:i/>
          <w:iCs/>
        </w:rPr>
        <w:t xml:space="preserve">Comment on écrit l’histoire, </w:t>
      </w:r>
      <w:r w:rsidRPr="00031E0E">
        <w:t>Paris, Seuil.</w:t>
      </w:r>
    </w:p>
    <w:p w14:paraId="163DC73B" w14:textId="77777777" w:rsidR="006C5FDB" w:rsidRPr="00031E0E" w:rsidRDefault="006C5FDB" w:rsidP="006C5FDB">
      <w:pPr>
        <w:pStyle w:val="biblio"/>
      </w:pPr>
      <w:r w:rsidRPr="00031E0E">
        <w:t xml:space="preserve">Wallace (Anthony F. C.), 1956, Revitalization Movements, </w:t>
      </w:r>
      <w:r w:rsidRPr="00031E0E">
        <w:rPr>
          <w:i/>
          <w:iCs/>
        </w:rPr>
        <w:t>American Anthr</w:t>
      </w:r>
      <w:r w:rsidRPr="00031E0E">
        <w:rPr>
          <w:i/>
          <w:iCs/>
        </w:rPr>
        <w:t>o</w:t>
      </w:r>
      <w:r w:rsidRPr="00031E0E">
        <w:rPr>
          <w:i/>
          <w:iCs/>
        </w:rPr>
        <w:t>p</w:t>
      </w:r>
      <w:r w:rsidRPr="00031E0E">
        <w:rPr>
          <w:i/>
          <w:iCs/>
        </w:rPr>
        <w:t>o</w:t>
      </w:r>
      <w:r w:rsidRPr="00031E0E">
        <w:rPr>
          <w:i/>
          <w:iCs/>
        </w:rPr>
        <w:t xml:space="preserve">logist, </w:t>
      </w:r>
      <w:r w:rsidRPr="00031E0E">
        <w:t>vol. 58, pp. 264-281.</w:t>
      </w:r>
    </w:p>
    <w:p w14:paraId="5B10DC0D" w14:textId="77777777" w:rsidR="006C5FDB" w:rsidRPr="00031E0E" w:rsidRDefault="006C5FDB" w:rsidP="006C5FDB">
      <w:pPr>
        <w:pStyle w:val="biblio"/>
      </w:pPr>
      <w:r w:rsidRPr="00031E0E">
        <w:t xml:space="preserve">Wertheim (W. F.), 1974, </w:t>
      </w:r>
      <w:r w:rsidRPr="00031E0E">
        <w:rPr>
          <w:i/>
          <w:iCs/>
        </w:rPr>
        <w:t xml:space="preserve">Evolution and Revolution : The Rising Waves of Emancipation, </w:t>
      </w:r>
      <w:r w:rsidRPr="00031E0E">
        <w:t>Harmondsworth, Pe</w:t>
      </w:r>
      <w:r w:rsidRPr="00031E0E">
        <w:t>n</w:t>
      </w:r>
      <w:r w:rsidRPr="00031E0E">
        <w:t>guin.</w:t>
      </w:r>
    </w:p>
    <w:p w14:paraId="30D6D2B7" w14:textId="77777777" w:rsidR="006C5FDB" w:rsidRPr="00031E0E" w:rsidRDefault="006C5FDB" w:rsidP="006C5FDB">
      <w:pPr>
        <w:pStyle w:val="biblio"/>
      </w:pPr>
      <w:r w:rsidRPr="00031E0E">
        <w:t xml:space="preserve">Wolf (Eric), 1974, </w:t>
      </w:r>
      <w:r w:rsidRPr="00031E0E">
        <w:rPr>
          <w:i/>
          <w:iCs/>
        </w:rPr>
        <w:t xml:space="preserve">Les guerres paysannes du </w:t>
      </w:r>
      <w:r w:rsidRPr="00031E0E">
        <w:rPr>
          <w:i/>
          <w:iCs/>
          <w:smallCaps/>
        </w:rPr>
        <w:t>xx</w:t>
      </w:r>
      <w:r w:rsidRPr="00031E0E">
        <w:rPr>
          <w:i/>
          <w:iCs/>
          <w:vertAlign w:val="superscript"/>
        </w:rPr>
        <w:t>e</w:t>
      </w:r>
      <w:r w:rsidRPr="00031E0E">
        <w:rPr>
          <w:i/>
          <w:iCs/>
        </w:rPr>
        <w:t xml:space="preserve"> siècle, </w:t>
      </w:r>
      <w:r w:rsidRPr="00031E0E">
        <w:t>Paris, Masp</w:t>
      </w:r>
      <w:r w:rsidRPr="00031E0E">
        <w:t>e</w:t>
      </w:r>
      <w:r w:rsidRPr="00031E0E">
        <w:t>ro (éd. or., New York, Harper &amp; Row, 1969).</w:t>
      </w:r>
    </w:p>
    <w:p w14:paraId="3C5E70DA" w14:textId="77777777" w:rsidR="006C5FDB" w:rsidRPr="00031E0E" w:rsidRDefault="006C5FDB" w:rsidP="006C5FDB">
      <w:pPr>
        <w:pStyle w:val="biblio"/>
      </w:pPr>
      <w:r w:rsidRPr="00031E0E">
        <w:t xml:space="preserve">Wolin (Sheldon S.), 1973, The Politics of the Study of Revolution, </w:t>
      </w:r>
      <w:r w:rsidRPr="00031E0E">
        <w:rPr>
          <w:i/>
          <w:iCs/>
        </w:rPr>
        <w:t>Compar</w:t>
      </w:r>
      <w:r w:rsidRPr="00031E0E">
        <w:rPr>
          <w:i/>
          <w:iCs/>
        </w:rPr>
        <w:t>a</w:t>
      </w:r>
      <w:r w:rsidRPr="00031E0E">
        <w:rPr>
          <w:i/>
          <w:iCs/>
        </w:rPr>
        <w:t xml:space="preserve">tive Politics, </w:t>
      </w:r>
      <w:r w:rsidRPr="00031E0E">
        <w:t>vol. 5, pp. 343-358.</w:t>
      </w:r>
    </w:p>
    <w:p w14:paraId="0E1C21C8" w14:textId="77777777" w:rsidR="006C5FDB" w:rsidRPr="00031E0E" w:rsidRDefault="006C5FDB" w:rsidP="006C5FDB">
      <w:pPr>
        <w:pStyle w:val="biblio"/>
      </w:pPr>
      <w:r w:rsidRPr="00031E0E">
        <w:t>Zagorin (Perez), 1973, Theories of Revolution in Contemporary Historiogr</w:t>
      </w:r>
      <w:r w:rsidRPr="00031E0E">
        <w:t>a</w:t>
      </w:r>
      <w:r w:rsidRPr="00031E0E">
        <w:t xml:space="preserve">phy, </w:t>
      </w:r>
      <w:r w:rsidRPr="00031E0E">
        <w:rPr>
          <w:i/>
          <w:iCs/>
        </w:rPr>
        <w:t xml:space="preserve">Political Science Quarterly, </w:t>
      </w:r>
      <w:r w:rsidRPr="00031E0E">
        <w:t>vol. 88, pp. 23-52.</w:t>
      </w:r>
    </w:p>
    <w:p w14:paraId="6848AD2D" w14:textId="77777777" w:rsidR="006C5FDB" w:rsidRPr="00031E0E" w:rsidRDefault="006C5FDB" w:rsidP="006C5FDB">
      <w:pPr>
        <w:pStyle w:val="biblio"/>
      </w:pPr>
      <w:r w:rsidRPr="00031E0E">
        <w:t>Zagorin (Perez), 1976, Prolegomena to the Comparative History of Revol</w:t>
      </w:r>
      <w:r w:rsidRPr="00031E0E">
        <w:t>u</w:t>
      </w:r>
      <w:r w:rsidRPr="00031E0E">
        <w:t xml:space="preserve">tion in Early Modem Europe, </w:t>
      </w:r>
      <w:r w:rsidRPr="00031E0E">
        <w:rPr>
          <w:i/>
          <w:iCs/>
        </w:rPr>
        <w:t>Comparat</w:t>
      </w:r>
      <w:r w:rsidRPr="00031E0E">
        <w:rPr>
          <w:i/>
          <w:iCs/>
        </w:rPr>
        <w:t>i</w:t>
      </w:r>
      <w:r w:rsidRPr="00031E0E">
        <w:rPr>
          <w:i/>
          <w:iCs/>
        </w:rPr>
        <w:t xml:space="preserve">ve Studies in Society and History, </w:t>
      </w:r>
      <w:r w:rsidRPr="00031E0E">
        <w:t>vol. 18, pp. 151-174.</w:t>
      </w:r>
    </w:p>
    <w:p w14:paraId="4728880A" w14:textId="77777777" w:rsidR="006C5FDB" w:rsidRPr="00031E0E" w:rsidRDefault="006C5FDB" w:rsidP="006C5FDB">
      <w:pPr>
        <w:pStyle w:val="biblio"/>
      </w:pPr>
      <w:r w:rsidRPr="00031E0E">
        <w:t xml:space="preserve">Zimmermann (Ekkart), 1983, </w:t>
      </w:r>
      <w:r w:rsidRPr="00031E0E">
        <w:rPr>
          <w:i/>
          <w:iCs/>
        </w:rPr>
        <w:t>Political Violence, Crises and Rev</w:t>
      </w:r>
      <w:r w:rsidRPr="00031E0E">
        <w:rPr>
          <w:i/>
          <w:iCs/>
        </w:rPr>
        <w:t>o</w:t>
      </w:r>
      <w:r w:rsidRPr="00031E0E">
        <w:rPr>
          <w:i/>
          <w:iCs/>
        </w:rPr>
        <w:t>lutions : Theories and R</w:t>
      </w:r>
      <w:r w:rsidRPr="00031E0E">
        <w:rPr>
          <w:i/>
          <w:iCs/>
        </w:rPr>
        <w:t>e</w:t>
      </w:r>
      <w:r w:rsidRPr="00031E0E">
        <w:rPr>
          <w:i/>
          <w:iCs/>
        </w:rPr>
        <w:t xml:space="preserve">search, </w:t>
      </w:r>
      <w:r w:rsidRPr="00031E0E">
        <w:t>Cambridge, Mass., Schenkman.</w:t>
      </w:r>
    </w:p>
    <w:p w14:paraId="78F7C8A9" w14:textId="77777777" w:rsidR="006C5FDB" w:rsidRDefault="006C5FDB" w:rsidP="006C5FDB">
      <w:pPr>
        <w:spacing w:before="120" w:after="120"/>
        <w:ind w:left="360" w:hanging="360"/>
        <w:jc w:val="both"/>
        <w:rPr>
          <w:bCs/>
          <w:sz w:val="24"/>
          <w:szCs w:val="16"/>
        </w:rPr>
      </w:pPr>
    </w:p>
    <w:sectPr w:rsidR="006C5FDB" w:rsidSect="006C5FDB">
      <w:headerReference w:type="default" r:id="rId25"/>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8B7F" w14:textId="77777777" w:rsidR="005A677F" w:rsidRDefault="005A677F">
      <w:r>
        <w:separator/>
      </w:r>
    </w:p>
  </w:endnote>
  <w:endnote w:type="continuationSeparator" w:id="0">
    <w:p w14:paraId="25754059" w14:textId="77777777" w:rsidR="005A677F" w:rsidRDefault="005A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altName w:val="Courier New"/>
    <w:panose1 w:val="020B0604020202020204"/>
    <w:charset w:val="01"/>
    <w:family w:val="modern"/>
    <w:pitch w:val="default"/>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CA60" w14:textId="77777777" w:rsidR="005A677F" w:rsidRDefault="005A677F">
      <w:pPr>
        <w:ind w:firstLine="0"/>
      </w:pPr>
      <w:r>
        <w:separator/>
      </w:r>
    </w:p>
  </w:footnote>
  <w:footnote w:type="continuationSeparator" w:id="0">
    <w:p w14:paraId="2F4963D7" w14:textId="77777777" w:rsidR="005A677F" w:rsidRDefault="005A677F">
      <w:pPr>
        <w:ind w:firstLine="0"/>
      </w:pPr>
      <w:r>
        <w:separator/>
      </w:r>
    </w:p>
  </w:footnote>
  <w:footnote w:id="1">
    <w:p w14:paraId="3A8C3657" w14:textId="77777777" w:rsidR="006C5FDB" w:rsidRDefault="006C5FDB">
      <w:pPr>
        <w:pStyle w:val="Notedebasdepage"/>
      </w:pPr>
      <w:r>
        <w:rPr>
          <w:rStyle w:val="Appelnotedebasdep"/>
        </w:rPr>
        <w:footnoteRef/>
      </w:r>
      <w:r>
        <w:t xml:space="preserve"> </w:t>
      </w:r>
      <w:r>
        <w:tab/>
      </w:r>
      <w:r w:rsidRPr="00031E0E">
        <w:t xml:space="preserve">Cette expression est utilisée par analogie avec celle de « peuple paria » que Max Weber applique aux Juifs et qui est au cœur même du problème traité dans </w:t>
      </w:r>
      <w:r w:rsidRPr="00031E0E">
        <w:rPr>
          <w:i/>
          <w:iCs/>
        </w:rPr>
        <w:t xml:space="preserve">Le judaïsme antique. </w:t>
      </w:r>
      <w:r w:rsidRPr="00031E0E">
        <w:t>L’introduction de cet ouvrage s’achève en effet sur l’interrogation suivante : « Comment les Juifs sont-ils devenus un pe</w:t>
      </w:r>
      <w:r w:rsidRPr="00031E0E">
        <w:t>u</w:t>
      </w:r>
      <w:r w:rsidRPr="00031E0E">
        <w:t>ple paria avec une spécificité aussi prono</w:t>
      </w:r>
      <w:r w:rsidRPr="00031E0E">
        <w:t>n</w:t>
      </w:r>
      <w:r w:rsidRPr="00031E0E">
        <w:t>cée ? » (Paris, Plon, 1971, p. 22).</w:t>
      </w:r>
    </w:p>
  </w:footnote>
  <w:footnote w:id="2">
    <w:p w14:paraId="300D77B5" w14:textId="77777777" w:rsidR="006C5FDB" w:rsidRDefault="006C5FDB">
      <w:pPr>
        <w:pStyle w:val="Notedebasdepage"/>
      </w:pPr>
      <w:r>
        <w:rPr>
          <w:rStyle w:val="Appelnotedebasdep"/>
        </w:rPr>
        <w:footnoteRef/>
      </w:r>
      <w:r>
        <w:t xml:space="preserve"> </w:t>
      </w:r>
      <w:r>
        <w:tab/>
      </w:r>
      <w:r w:rsidRPr="00031E0E">
        <w:t xml:space="preserve">Mao-Tsé-toung, </w:t>
      </w:r>
      <w:r w:rsidRPr="00031E0E">
        <w:rPr>
          <w:i/>
          <w:iCs/>
        </w:rPr>
        <w:t xml:space="preserve">Œuvres choisies, </w:t>
      </w:r>
      <w:r w:rsidRPr="00031E0E">
        <w:t>t. II, pp. 363-411</w:t>
      </w:r>
      <w:r>
        <w:t>.</w:t>
      </w:r>
    </w:p>
  </w:footnote>
  <w:footnote w:id="3">
    <w:p w14:paraId="0FB62BE8" w14:textId="77777777" w:rsidR="006C5FDB" w:rsidRDefault="006C5FDB">
      <w:pPr>
        <w:pStyle w:val="Notedebasdepage"/>
      </w:pPr>
      <w:r>
        <w:rPr>
          <w:rStyle w:val="Appelnotedebasdep"/>
        </w:rPr>
        <w:footnoteRef/>
      </w:r>
      <w:r>
        <w:t xml:space="preserve"> </w:t>
      </w:r>
      <w:r>
        <w:tab/>
      </w:r>
      <w:r w:rsidRPr="00031E0E">
        <w:t>Ce texte, d’abord présenté lors de la réunion annuelle de la Société amér</w:t>
      </w:r>
      <w:r w:rsidRPr="00031E0E">
        <w:t>i</w:t>
      </w:r>
      <w:r w:rsidRPr="00031E0E">
        <w:t>caine de Sociologie en 1975, a été publié, l’année su</w:t>
      </w:r>
      <w:r w:rsidRPr="00031E0E">
        <w:t>i</w:t>
      </w:r>
      <w:r w:rsidRPr="00031E0E">
        <w:t xml:space="preserve">vante, dans un recueil publié sous la direction de Lewis Coser et Otto N. Larsen, </w:t>
      </w:r>
      <w:r w:rsidRPr="00031E0E">
        <w:rPr>
          <w:i/>
          <w:iCs/>
        </w:rPr>
        <w:t>The Uses of Controversy in Sociol</w:t>
      </w:r>
      <w:r w:rsidRPr="00031E0E">
        <w:rPr>
          <w:i/>
          <w:iCs/>
        </w:rPr>
        <w:t>o</w:t>
      </w:r>
      <w:r w:rsidRPr="00031E0E">
        <w:rPr>
          <w:i/>
          <w:iCs/>
        </w:rPr>
        <w:t xml:space="preserve">gy, </w:t>
      </w:r>
      <w:r w:rsidRPr="00031E0E">
        <w:t>dont il constitue le chapitre IX (p. 155-175).</w:t>
      </w:r>
    </w:p>
  </w:footnote>
  <w:footnote w:id="4">
    <w:p w14:paraId="5ABF0BE4" w14:textId="77777777" w:rsidR="006C5FDB" w:rsidRDefault="006C5FDB">
      <w:pPr>
        <w:pStyle w:val="Notedebasdepage"/>
      </w:pPr>
      <w:r>
        <w:rPr>
          <w:rStyle w:val="Appelnotedebasdep"/>
        </w:rPr>
        <w:footnoteRef/>
      </w:r>
      <w:r>
        <w:t xml:space="preserve"> </w:t>
      </w:r>
      <w:r>
        <w:tab/>
      </w:r>
      <w:r w:rsidRPr="00031E0E">
        <w:t xml:space="preserve">Nous nous référons ici à l’article publié dans </w:t>
      </w:r>
      <w:r w:rsidRPr="00031E0E">
        <w:rPr>
          <w:i/>
          <w:iCs/>
        </w:rPr>
        <w:t xml:space="preserve">World Politics, </w:t>
      </w:r>
      <w:r w:rsidRPr="00031E0E">
        <w:t>sous le titre « Theories of Rev</w:t>
      </w:r>
      <w:r w:rsidRPr="00031E0E">
        <w:t>o</w:t>
      </w:r>
      <w:r w:rsidRPr="00031E0E">
        <w:t>lution ». De cet article Lawrence Stone a fait ensuite le premier chap</w:t>
      </w:r>
      <w:r w:rsidRPr="00031E0E">
        <w:t>i</w:t>
      </w:r>
      <w:r w:rsidRPr="00031E0E">
        <w:t xml:space="preserve">tre de son livre, </w:t>
      </w:r>
      <w:r w:rsidRPr="00031E0E">
        <w:rPr>
          <w:i/>
          <w:iCs/>
        </w:rPr>
        <w:t xml:space="preserve">The Causes of the English Revolution 1529-1642 </w:t>
      </w:r>
      <w:r w:rsidRPr="00031E0E">
        <w:t>(Londres, Routledge &amp; Kegan Paul, 1972). Depuis la traduction de l’ouvrage (Paris, Flammarion, 1974), ce texte est directement access</w:t>
      </w:r>
      <w:r w:rsidRPr="00031E0E">
        <w:t>i</w:t>
      </w:r>
      <w:r w:rsidRPr="00031E0E">
        <w:t>ble en français (p. 17-47).</w:t>
      </w:r>
    </w:p>
  </w:footnote>
  <w:footnote w:id="5">
    <w:p w14:paraId="6E3814E6" w14:textId="77777777" w:rsidR="006C5FDB" w:rsidRDefault="006C5FDB">
      <w:pPr>
        <w:pStyle w:val="Notedebasdepage"/>
      </w:pPr>
      <w:r>
        <w:rPr>
          <w:rStyle w:val="Appelnotedebasdep"/>
        </w:rPr>
        <w:footnoteRef/>
      </w:r>
      <w:r>
        <w:t xml:space="preserve"> </w:t>
      </w:r>
      <w:r>
        <w:tab/>
      </w:r>
      <w:r w:rsidRPr="00031E0E">
        <w:t>Ellen Kay Trimberger souligne en effet d’emblée que le régime d’Atatürk ne détruisit qu’en partie « la base économique des notables de l’Empire o</w:t>
      </w:r>
      <w:r w:rsidRPr="00031E0E">
        <w:t>t</w:t>
      </w:r>
      <w:r w:rsidRPr="00031E0E">
        <w:t>toman » (1978, p. 3). Le bouleversement, complet au plan polit</w:t>
      </w:r>
      <w:r w:rsidRPr="00031E0E">
        <w:t>i</w:t>
      </w:r>
      <w:r w:rsidRPr="00031E0E">
        <w:t>que, a été plus partiel et plus limité en matière économique, ce qui n’a pas été sans conséquences sur l’histoire ult</w:t>
      </w:r>
      <w:r w:rsidRPr="00031E0E">
        <w:t>é</w:t>
      </w:r>
      <w:r w:rsidRPr="00031E0E">
        <w:t>rieure de la Turquie.</w:t>
      </w:r>
    </w:p>
  </w:footnote>
  <w:footnote w:id="6">
    <w:p w14:paraId="7886AB0B" w14:textId="77777777" w:rsidR="006C5FDB" w:rsidRDefault="006C5FDB">
      <w:pPr>
        <w:pStyle w:val="Notedebasdepage"/>
      </w:pPr>
      <w:r>
        <w:rPr>
          <w:rStyle w:val="Appelnotedebasdep"/>
        </w:rPr>
        <w:footnoteRef/>
      </w:r>
      <w:r>
        <w:t xml:space="preserve"> </w:t>
      </w:r>
      <w:r>
        <w:tab/>
      </w:r>
      <w:r w:rsidRPr="00031E0E">
        <w:t>Hannah Arendt reconnaît cepe</w:t>
      </w:r>
      <w:r w:rsidRPr="00031E0E">
        <w:t>n</w:t>
      </w:r>
      <w:r w:rsidRPr="00031E0E">
        <w:t>dant la « difficulté à faire le départ de ce qui est libération et de ce qui est liberté dans des circonstances historiques do</w:t>
      </w:r>
      <w:r w:rsidRPr="00031E0E">
        <w:t>n</w:t>
      </w:r>
      <w:r w:rsidRPr="00031E0E">
        <w:t>nées » (1967, p. 43). Mais la distinction n’en demeure pas moins fondame</w:t>
      </w:r>
      <w:r w:rsidRPr="00031E0E">
        <w:t>n</w:t>
      </w:r>
      <w:r w:rsidRPr="00031E0E">
        <w:t>t</w:t>
      </w:r>
      <w:r w:rsidRPr="00031E0E">
        <w:t>a</w:t>
      </w:r>
      <w:r w:rsidRPr="00031E0E">
        <w:t>le à ses yeux.</w:t>
      </w:r>
    </w:p>
  </w:footnote>
  <w:footnote w:id="7">
    <w:p w14:paraId="615CCFFD" w14:textId="77777777" w:rsidR="006C5FDB" w:rsidRDefault="006C5FDB">
      <w:pPr>
        <w:pStyle w:val="Notedebasdepage"/>
      </w:pPr>
      <w:r>
        <w:rPr>
          <w:rStyle w:val="Appelnotedebasdep"/>
        </w:rPr>
        <w:footnoteRef/>
      </w:r>
      <w:r>
        <w:t xml:space="preserve"> </w:t>
      </w:r>
      <w:r>
        <w:tab/>
      </w:r>
      <w:r w:rsidRPr="00031E0E">
        <w:t xml:space="preserve">Dans son livre de 1970, qui s’intitule, tout comme l’article cité, </w:t>
      </w:r>
      <w:r w:rsidRPr="00031E0E">
        <w:rPr>
          <w:i/>
          <w:iCs/>
        </w:rPr>
        <w:t>The Ma</w:t>
      </w:r>
      <w:r w:rsidRPr="00031E0E">
        <w:rPr>
          <w:i/>
          <w:iCs/>
        </w:rPr>
        <w:t>r</w:t>
      </w:r>
      <w:r w:rsidRPr="00031E0E">
        <w:rPr>
          <w:i/>
          <w:iCs/>
        </w:rPr>
        <w:t xml:space="preserve">xian Revolutionary Idea, </w:t>
      </w:r>
      <w:r w:rsidRPr="00031E0E">
        <w:t>Tucker reprend cette définition à la p. 15.</w:t>
      </w:r>
    </w:p>
  </w:footnote>
  <w:footnote w:id="8">
    <w:p w14:paraId="40A3F4A7" w14:textId="77777777" w:rsidR="006C5FDB" w:rsidRDefault="006C5FDB">
      <w:pPr>
        <w:pStyle w:val="Notedebasdepage"/>
      </w:pPr>
      <w:r>
        <w:rPr>
          <w:rStyle w:val="Appelnotedebasdep"/>
        </w:rPr>
        <w:footnoteRef/>
      </w:r>
      <w:r>
        <w:t xml:space="preserve"> </w:t>
      </w:r>
      <w:r>
        <w:tab/>
      </w:r>
      <w:r w:rsidRPr="00031E0E">
        <w:t>La pag</w:t>
      </w:r>
      <w:r w:rsidRPr="00031E0E">
        <w:t>i</w:t>
      </w:r>
      <w:r w:rsidRPr="00031E0E">
        <w:t>nation est celle de l’édition établie par Maximilien Rubel pour la Pléiade (t. I, 1963).</w:t>
      </w:r>
    </w:p>
  </w:footnote>
  <w:footnote w:id="9">
    <w:p w14:paraId="6CED790A" w14:textId="77777777" w:rsidR="006C5FDB" w:rsidRDefault="006C5FDB">
      <w:pPr>
        <w:pStyle w:val="Notedebasdepage"/>
      </w:pPr>
      <w:r>
        <w:rPr>
          <w:rStyle w:val="Appelnotedebasdep"/>
        </w:rPr>
        <w:footnoteRef/>
      </w:r>
      <w:r>
        <w:t xml:space="preserve"> </w:t>
      </w:r>
      <w:r>
        <w:tab/>
      </w:r>
      <w:r w:rsidRPr="00031E0E">
        <w:t>L’édition de référence reste dans ce cas encore celle de Maximilien Rubel (La Pléiade, t. I).</w:t>
      </w:r>
    </w:p>
  </w:footnote>
  <w:footnote w:id="10">
    <w:p w14:paraId="6D4974AF" w14:textId="77777777" w:rsidR="006C5FDB" w:rsidRDefault="006C5FDB">
      <w:pPr>
        <w:pStyle w:val="Notedebasdepage"/>
      </w:pPr>
      <w:r>
        <w:rPr>
          <w:rStyle w:val="Appelnotedebasdep"/>
        </w:rPr>
        <w:footnoteRef/>
      </w:r>
      <w:r>
        <w:t xml:space="preserve"> </w:t>
      </w:r>
      <w:r>
        <w:tab/>
      </w:r>
      <w:r w:rsidRPr="00031E0E">
        <w:t>Il nous a paru utile de souligner ce terme.</w:t>
      </w:r>
    </w:p>
  </w:footnote>
  <w:footnote w:id="11">
    <w:p w14:paraId="360E47C0" w14:textId="77777777" w:rsidR="006C5FDB" w:rsidRDefault="006C5FDB">
      <w:pPr>
        <w:pStyle w:val="Notedebasdepage"/>
      </w:pPr>
      <w:r>
        <w:rPr>
          <w:rStyle w:val="Appelnotedebasdep"/>
        </w:rPr>
        <w:footnoteRef/>
      </w:r>
      <w:r>
        <w:t xml:space="preserve"> </w:t>
      </w:r>
      <w:r>
        <w:tab/>
      </w:r>
      <w:r w:rsidRPr="00031E0E">
        <w:t>Pour une analyse méticuleuse de la pensée de Marx sur ce plan, nous re</w:t>
      </w:r>
      <w:r w:rsidRPr="00031E0E">
        <w:t>n</w:t>
      </w:r>
      <w:r w:rsidRPr="00031E0E">
        <w:t>verrons le lecteur curieux à l’ouvrage de Hal Dr</w:t>
      </w:r>
      <w:r w:rsidRPr="00031E0E">
        <w:t>a</w:t>
      </w:r>
      <w:r w:rsidRPr="00031E0E">
        <w:t xml:space="preserve">per, </w:t>
      </w:r>
      <w:r w:rsidRPr="00031E0E">
        <w:rPr>
          <w:i/>
          <w:iCs/>
        </w:rPr>
        <w:t xml:space="preserve">Karl Marx’s Theory of Revolution </w:t>
      </w:r>
      <w:r w:rsidRPr="00031E0E">
        <w:t>(New York, 1977-1978), constitué de trois gros vol</w:t>
      </w:r>
      <w:r w:rsidRPr="00031E0E">
        <w:t>u</w:t>
      </w:r>
      <w:r w:rsidRPr="00031E0E">
        <w:t>mes. Il convient de préciser que Draper traite en fait de l’ensemble de la pensée s</w:t>
      </w:r>
      <w:r w:rsidRPr="00031E0E">
        <w:t>o</w:t>
      </w:r>
      <w:r w:rsidRPr="00031E0E">
        <w:t>ciop</w:t>
      </w:r>
      <w:r w:rsidRPr="00031E0E">
        <w:t>o</w:t>
      </w:r>
      <w:r w:rsidRPr="00031E0E">
        <w:t>litique de Marx.</w:t>
      </w:r>
    </w:p>
  </w:footnote>
  <w:footnote w:id="12">
    <w:p w14:paraId="5CE3530F" w14:textId="77777777" w:rsidR="006C5FDB" w:rsidRDefault="006C5FDB">
      <w:pPr>
        <w:pStyle w:val="Notedebasdepage"/>
      </w:pPr>
      <w:r>
        <w:rPr>
          <w:rStyle w:val="Appelnotedebasdep"/>
        </w:rPr>
        <w:footnoteRef/>
      </w:r>
      <w:r>
        <w:t xml:space="preserve"> </w:t>
      </w:r>
      <w:r>
        <w:tab/>
      </w:r>
      <w:r w:rsidRPr="00031E0E">
        <w:t>On peut certes prétendre, en se fondant en particulier sur les pages (p. 374-376) dans lesquelles Trotsky souligne l’ « importance exce</w:t>
      </w:r>
      <w:r w:rsidRPr="00031E0E">
        <w:t>p</w:t>
      </w:r>
      <w:r w:rsidRPr="00031E0E">
        <w:t xml:space="preserve">tionnelle » de l’arrivée de Lénine et reconnaît « le rôle de l’individualité » dans l’histoire, que « la </w:t>
      </w:r>
      <w:r w:rsidRPr="00031E0E">
        <w:rPr>
          <w:i/>
          <w:iCs/>
        </w:rPr>
        <w:t xml:space="preserve">Révolution russe </w:t>
      </w:r>
      <w:r w:rsidRPr="00031E0E">
        <w:t>de Trotsky, magistrale analyse d’une grande b</w:t>
      </w:r>
      <w:r w:rsidRPr="00031E0E">
        <w:t>a</w:t>
      </w:r>
      <w:r w:rsidRPr="00031E0E">
        <w:t>taille histor</w:t>
      </w:r>
      <w:r w:rsidRPr="00031E0E">
        <w:t>i</w:t>
      </w:r>
      <w:r w:rsidRPr="00031E0E">
        <w:t xml:space="preserve">que, n’est pas un livre marxiste, sauf par ses professions de foi ». Telle est en tout cas la conclusion à laquelle aboutit Paul Veyne dans </w:t>
      </w:r>
      <w:r w:rsidRPr="00031E0E">
        <w:rPr>
          <w:i/>
          <w:iCs/>
        </w:rPr>
        <w:t xml:space="preserve">Comment on écrit l’histoire </w:t>
      </w:r>
      <w:r w:rsidRPr="00031E0E">
        <w:t>(1971, p. 129), au terme d’un passage qui mér</w:t>
      </w:r>
      <w:r w:rsidRPr="00031E0E">
        <w:t>i</w:t>
      </w:r>
      <w:r w:rsidRPr="00031E0E">
        <w:t>te d’être cité pour sa verve et sa vir</w:t>
      </w:r>
      <w:r w:rsidRPr="00031E0E">
        <w:t>u</w:t>
      </w:r>
      <w:r w:rsidRPr="00031E0E">
        <w:t>lence polémique : « C’est bien ainsi que raisonnait Trotsky ; avec des officiers de police résolus, pas de révolution de février 1917 ; sans un Lénine, pas de Rév</w:t>
      </w:r>
      <w:r w:rsidRPr="00031E0E">
        <w:t>o</w:t>
      </w:r>
      <w:r w:rsidRPr="00031E0E">
        <w:t>lution d’Octobre ; on pouvait compter sur Staline pour attendre très longtemps le mûrissement de l’histoire et la Russie serait a</w:t>
      </w:r>
      <w:r w:rsidRPr="00031E0E">
        <w:t>u</w:t>
      </w:r>
      <w:r w:rsidRPr="00031E0E">
        <w:t>jourd’hui une société de type sud-américain. »</w:t>
      </w:r>
    </w:p>
  </w:footnote>
  <w:footnote w:id="13">
    <w:p w14:paraId="17F65D23" w14:textId="77777777" w:rsidR="006C5FDB" w:rsidRDefault="006C5FDB">
      <w:pPr>
        <w:pStyle w:val="Notedebasdepage"/>
      </w:pPr>
      <w:r>
        <w:rPr>
          <w:rStyle w:val="Appelnotedebasdep"/>
        </w:rPr>
        <w:footnoteRef/>
      </w:r>
      <w:r>
        <w:t xml:space="preserve"> </w:t>
      </w:r>
      <w:r>
        <w:tab/>
      </w:r>
      <w:r w:rsidRPr="00031E0E">
        <w:t>De ce point de vue, l’ouvrage récent de Theda Sko</w:t>
      </w:r>
      <w:r w:rsidRPr="00031E0E">
        <w:t>c</w:t>
      </w:r>
      <w:r w:rsidRPr="00031E0E">
        <w:t xml:space="preserve">pol, </w:t>
      </w:r>
      <w:r w:rsidRPr="00031E0E">
        <w:rPr>
          <w:i/>
          <w:iCs/>
        </w:rPr>
        <w:t xml:space="preserve">States and Social Revolutions </w:t>
      </w:r>
      <w:r w:rsidRPr="00031E0E">
        <w:t>(1979), est tout à fait représentatif : l’auteur se contente d’y s</w:t>
      </w:r>
      <w:r w:rsidRPr="00031E0E">
        <w:t>i</w:t>
      </w:r>
      <w:r w:rsidRPr="00031E0E">
        <w:t>gnaler dans une courte note que Tocqueville a placé l’État au centre de son an</w:t>
      </w:r>
      <w:r w:rsidRPr="00031E0E">
        <w:t>a</w:t>
      </w:r>
      <w:r w:rsidRPr="00031E0E">
        <w:t>lyse (p. 331, n. 5).</w:t>
      </w:r>
    </w:p>
  </w:footnote>
  <w:footnote w:id="14">
    <w:p w14:paraId="615FD6C3" w14:textId="77777777" w:rsidR="006C5FDB" w:rsidRDefault="006C5FDB">
      <w:pPr>
        <w:pStyle w:val="Notedebasdepage"/>
      </w:pPr>
      <w:r>
        <w:rPr>
          <w:rStyle w:val="Appelnotedebasdep"/>
        </w:rPr>
        <w:footnoteRef/>
      </w:r>
      <w:r>
        <w:t xml:space="preserve"> </w:t>
      </w:r>
      <w:r>
        <w:tab/>
      </w:r>
      <w:r w:rsidRPr="00031E0E">
        <w:t>L’édition de référence est, bien entendu, l’édition défin</w:t>
      </w:r>
      <w:r w:rsidRPr="00031E0E">
        <w:t>i</w:t>
      </w:r>
      <w:r w:rsidRPr="00031E0E">
        <w:t xml:space="preserve">tive des </w:t>
      </w:r>
      <w:r w:rsidRPr="00031E0E">
        <w:rPr>
          <w:i/>
          <w:iCs/>
        </w:rPr>
        <w:t xml:space="preserve">Œuvres complètes </w:t>
      </w:r>
      <w:r w:rsidRPr="00031E0E">
        <w:t>de Tocqueville p</w:t>
      </w:r>
      <w:r w:rsidRPr="00031E0E">
        <w:t>u</w:t>
      </w:r>
      <w:r w:rsidRPr="00031E0E">
        <w:t xml:space="preserve">bliée sous la direction de J.-P. Mayer. </w:t>
      </w:r>
      <w:hyperlink r:id="rId1" w:history="1">
        <w:r w:rsidRPr="00031E0E">
          <w:rPr>
            <w:rStyle w:val="Hyperlien"/>
          </w:rPr>
          <w:t>L’</w:t>
        </w:r>
      </w:hyperlink>
      <w:hyperlink r:id="rId2" w:history="1">
        <w:r w:rsidRPr="00031E0E">
          <w:rPr>
            <w:rStyle w:val="Hyperlien"/>
            <w:i/>
            <w:iCs/>
          </w:rPr>
          <w:t>Ancien Régime et la Révolution</w:t>
        </w:r>
      </w:hyperlink>
      <w:r w:rsidRPr="00031E0E">
        <w:rPr>
          <w:i/>
          <w:iCs/>
        </w:rPr>
        <w:t xml:space="preserve"> </w:t>
      </w:r>
      <w:r w:rsidRPr="00031E0E">
        <w:t>constitue, dans cette édition, le premier v</w:t>
      </w:r>
      <w:r w:rsidRPr="00031E0E">
        <w:t>o</w:t>
      </w:r>
      <w:r w:rsidRPr="00031E0E">
        <w:t>lume du t. II (Gallimard, 1952). Nous aurons l’occasion, dans le cours de notre an</w:t>
      </w:r>
      <w:r w:rsidRPr="00031E0E">
        <w:t>a</w:t>
      </w:r>
      <w:r w:rsidRPr="00031E0E">
        <w:t xml:space="preserve">lyse, de nous référer au second volume de ce t. II, consacré aux </w:t>
      </w:r>
      <w:r w:rsidRPr="00031E0E">
        <w:rPr>
          <w:i/>
          <w:iCs/>
        </w:rPr>
        <w:t xml:space="preserve">Fragments et Notes inédites sur la Révolution </w:t>
      </w:r>
      <w:r w:rsidRPr="00031E0E">
        <w:t>(Gallimard, 1953).</w:t>
      </w:r>
    </w:p>
  </w:footnote>
  <w:footnote w:id="15">
    <w:p w14:paraId="34BEE8E2" w14:textId="77777777" w:rsidR="006C5FDB" w:rsidRDefault="006C5FDB">
      <w:pPr>
        <w:pStyle w:val="Notedebasdepage"/>
      </w:pPr>
      <w:r>
        <w:rPr>
          <w:rStyle w:val="Appelnotedebasdep"/>
        </w:rPr>
        <w:footnoteRef/>
      </w:r>
      <w:r>
        <w:t xml:space="preserve"> </w:t>
      </w:r>
      <w:r>
        <w:tab/>
      </w:r>
      <w:r w:rsidRPr="00031E0E">
        <w:t>Peut-être vaut-il la peine de rappeler ici que, dans son introduction au num</w:t>
      </w:r>
      <w:r w:rsidRPr="00031E0E">
        <w:t>é</w:t>
      </w:r>
      <w:r w:rsidRPr="00031E0E">
        <w:t xml:space="preserve">ro spécial de </w:t>
      </w:r>
      <w:r w:rsidRPr="00031E0E">
        <w:rPr>
          <w:i/>
          <w:iCs/>
        </w:rPr>
        <w:t xml:space="preserve">Theory and Society </w:t>
      </w:r>
      <w:r w:rsidRPr="00031E0E">
        <w:t>sur les révolutions (1979, VII, 1, p. 1), A</w:t>
      </w:r>
      <w:r w:rsidRPr="00031E0E">
        <w:t>l</w:t>
      </w:r>
      <w:r w:rsidRPr="00031E0E">
        <w:t>vin Gouldner signale que l’article de Skocpol, et plus généralement les art</w:t>
      </w:r>
      <w:r w:rsidRPr="00031E0E">
        <w:t>i</w:t>
      </w:r>
      <w:r w:rsidRPr="00031E0E">
        <w:t>cles relatifs à l’État et la Révol</w:t>
      </w:r>
      <w:r w:rsidRPr="00031E0E">
        <w:t>u</w:t>
      </w:r>
      <w:r w:rsidRPr="00031E0E">
        <w:t xml:space="preserve">tion, reposent sur « d’invisibles amarres </w:t>
      </w:r>
      <w:r w:rsidRPr="00031E0E">
        <w:rPr>
          <w:i/>
          <w:iCs/>
        </w:rPr>
        <w:t xml:space="preserve">(moorings) </w:t>
      </w:r>
      <w:r w:rsidRPr="00031E0E">
        <w:t>les rattachant à la tradition cla</w:t>
      </w:r>
      <w:r w:rsidRPr="00031E0E">
        <w:t>s</w:t>
      </w:r>
      <w:r w:rsidRPr="00031E0E">
        <w:t>sique de la sociologie ». Et il ajoute avec ironie que « (la) combinaison d’un marxisme visible et d’une tradition sociologique invisible et mal précisée constitue le riche fond</w:t>
      </w:r>
      <w:r w:rsidRPr="00031E0E">
        <w:t>e</w:t>
      </w:r>
      <w:r w:rsidRPr="00031E0E">
        <w:t>ment » de leur apport critique et empirique.</w:t>
      </w:r>
    </w:p>
  </w:footnote>
  <w:footnote w:id="16">
    <w:p w14:paraId="1AF8EB1D" w14:textId="77777777" w:rsidR="006C5FDB" w:rsidRDefault="006C5FDB">
      <w:pPr>
        <w:pStyle w:val="Notedebasdepage"/>
      </w:pPr>
      <w:r>
        <w:rPr>
          <w:rStyle w:val="Appelnotedebasdep"/>
        </w:rPr>
        <w:footnoteRef/>
      </w:r>
      <w:r>
        <w:t xml:space="preserve"> </w:t>
      </w:r>
      <w:r>
        <w:tab/>
      </w:r>
      <w:r w:rsidRPr="00031E0E">
        <w:t>L’édition complète des œuvres de Burke à laquelle nous nous sommes réf</w:t>
      </w:r>
      <w:r w:rsidRPr="00031E0E">
        <w:t>é</w:t>
      </w:r>
      <w:r w:rsidRPr="00031E0E">
        <w:t>ré est celle de 1855.</w:t>
      </w:r>
    </w:p>
  </w:footnote>
  <w:footnote w:id="17">
    <w:p w14:paraId="5A60762D" w14:textId="77777777" w:rsidR="006C5FDB" w:rsidRDefault="006C5FDB">
      <w:pPr>
        <w:pStyle w:val="Notedebasdepage"/>
      </w:pPr>
      <w:r>
        <w:rPr>
          <w:rStyle w:val="Appelnotedebasdep"/>
        </w:rPr>
        <w:footnoteRef/>
      </w:r>
      <w:r>
        <w:t xml:space="preserve"> </w:t>
      </w:r>
      <w:r>
        <w:tab/>
      </w:r>
      <w:r w:rsidRPr="00031E0E">
        <w:rPr>
          <w:i/>
          <w:iCs/>
        </w:rPr>
        <w:t>The S</w:t>
      </w:r>
      <w:r w:rsidRPr="00031E0E">
        <w:rPr>
          <w:i/>
          <w:iCs/>
        </w:rPr>
        <w:t>o</w:t>
      </w:r>
      <w:r w:rsidRPr="00031E0E">
        <w:rPr>
          <w:i/>
          <w:iCs/>
        </w:rPr>
        <w:t xml:space="preserve">ciological Tradition, </w:t>
      </w:r>
      <w:r w:rsidRPr="00031E0E">
        <w:t xml:space="preserve">New York, Basic Books, 1966, p. 118 (trad. fr., Paris, </w:t>
      </w:r>
      <w:r w:rsidRPr="00031E0E">
        <w:rPr>
          <w:smallCaps/>
        </w:rPr>
        <w:t xml:space="preserve">puf, </w:t>
      </w:r>
      <w:r w:rsidRPr="00031E0E">
        <w:t>1984).</w:t>
      </w:r>
    </w:p>
  </w:footnote>
  <w:footnote w:id="18">
    <w:p w14:paraId="41A2707E" w14:textId="77777777" w:rsidR="006C5FDB" w:rsidRDefault="006C5FDB">
      <w:pPr>
        <w:pStyle w:val="Notedebasdepage"/>
      </w:pPr>
      <w:r>
        <w:rPr>
          <w:rStyle w:val="Appelnotedebasdep"/>
        </w:rPr>
        <w:footnoteRef/>
      </w:r>
      <w:r>
        <w:t xml:space="preserve"> </w:t>
      </w:r>
      <w:r>
        <w:tab/>
      </w:r>
      <w:r w:rsidRPr="00031E0E">
        <w:t>Le livre tout entier de Tocqueville en témoigne ; mais il vaut la peine de se r</w:t>
      </w:r>
      <w:r w:rsidRPr="00031E0E">
        <w:t>e</w:t>
      </w:r>
      <w:r w:rsidRPr="00031E0E">
        <w:t>porter directement à ses annotations sur Burke : après avoir rappelé que, pour ce dernier, « la Révolution… est l’œuvre momentanée d’un art perf</w:t>
      </w:r>
      <w:r w:rsidRPr="00031E0E">
        <w:t>i</w:t>
      </w:r>
      <w:r w:rsidRPr="00031E0E">
        <w:t>de » (II, vol. II, p. 341), il réfute en effet, de la façon la plus énergique, ce point de vue, en écrivant : « Il est très faux que dans l’état social, les mœurs et même les idées dont on ne voyait pas l’application, la Révolution ne fût pas très pr</w:t>
      </w:r>
      <w:r w:rsidRPr="00031E0E">
        <w:t>é</w:t>
      </w:r>
      <w:r w:rsidRPr="00031E0E">
        <w:t>parée et qu’elle fût une œuvre de l’art seul » (p. 342).</w:t>
      </w:r>
    </w:p>
  </w:footnote>
  <w:footnote w:id="19">
    <w:p w14:paraId="0FC26AF1" w14:textId="77777777" w:rsidR="006C5FDB" w:rsidRDefault="006C5FDB">
      <w:pPr>
        <w:pStyle w:val="Notedebasdepage"/>
      </w:pPr>
      <w:r>
        <w:rPr>
          <w:rStyle w:val="Appelnotedebasdep"/>
        </w:rPr>
        <w:footnoteRef/>
      </w:r>
      <w:r>
        <w:t xml:space="preserve"> </w:t>
      </w:r>
      <w:r>
        <w:tab/>
      </w:r>
      <w:r w:rsidRPr="00031E0E">
        <w:t xml:space="preserve">C’est ce qu’atteste en particulier cette appréciation, tirée des </w:t>
      </w:r>
      <w:r w:rsidRPr="00031E0E">
        <w:rPr>
          <w:i/>
          <w:iCs/>
        </w:rPr>
        <w:t>Fra</w:t>
      </w:r>
      <w:r w:rsidRPr="00031E0E">
        <w:rPr>
          <w:i/>
          <w:iCs/>
        </w:rPr>
        <w:t>g</w:t>
      </w:r>
      <w:r w:rsidRPr="00031E0E">
        <w:rPr>
          <w:i/>
          <w:iCs/>
        </w:rPr>
        <w:t xml:space="preserve">ments et Notes inédites sur la Révolution </w:t>
      </w:r>
      <w:r w:rsidRPr="00031E0E">
        <w:t>(II, vol. II, p. 348) : « Je trouve n</w:t>
      </w:r>
      <w:r w:rsidRPr="00031E0E">
        <w:t>o</w:t>
      </w:r>
      <w:r w:rsidRPr="00031E0E">
        <w:t>tre temps aussi aveugle et aussi sot dans son dénigr</w:t>
      </w:r>
      <w:r w:rsidRPr="00031E0E">
        <w:t>e</w:t>
      </w:r>
      <w:r w:rsidRPr="00031E0E">
        <w:t>ment systématique et absolu de ce qu’on a</w:t>
      </w:r>
      <w:r w:rsidRPr="00031E0E">
        <w:t>p</w:t>
      </w:r>
      <w:r w:rsidRPr="00031E0E">
        <w:t xml:space="preserve">pelle la philosophie du </w:t>
      </w:r>
      <w:r w:rsidRPr="00031E0E">
        <w:rPr>
          <w:smallCaps/>
        </w:rPr>
        <w:t>xviii</w:t>
      </w:r>
      <w:r w:rsidRPr="00031E0E">
        <w:rPr>
          <w:vertAlign w:val="superscript"/>
        </w:rPr>
        <w:t>e</w:t>
      </w:r>
      <w:r w:rsidRPr="00031E0E">
        <w:t xml:space="preserve"> siècle que l’étaient les hommes du </w:t>
      </w:r>
      <w:r w:rsidRPr="00031E0E">
        <w:rPr>
          <w:smallCaps/>
        </w:rPr>
        <w:t>xviii</w:t>
      </w:r>
      <w:r w:rsidRPr="00031E0E">
        <w:rPr>
          <w:vertAlign w:val="superscript"/>
        </w:rPr>
        <w:t>e</w:t>
      </w:r>
      <w:r w:rsidRPr="00031E0E">
        <w:t xml:space="preserve"> dans cet aveugle e</w:t>
      </w:r>
      <w:r w:rsidRPr="00031E0E">
        <w:t>n</w:t>
      </w:r>
      <w:r w:rsidRPr="00031E0E">
        <w:t>gouement pour elle. »</w:t>
      </w:r>
    </w:p>
  </w:footnote>
  <w:footnote w:id="20">
    <w:p w14:paraId="308D58DF" w14:textId="77777777" w:rsidR="006C5FDB" w:rsidRDefault="006C5FDB">
      <w:pPr>
        <w:pStyle w:val="Notedebasdepage"/>
      </w:pPr>
      <w:r>
        <w:rPr>
          <w:rStyle w:val="Appelnotedebasdep"/>
        </w:rPr>
        <w:footnoteRef/>
      </w:r>
      <w:r>
        <w:t xml:space="preserve"> </w:t>
      </w:r>
      <w:r>
        <w:tab/>
      </w:r>
      <w:r w:rsidRPr="00031E0E">
        <w:t>Karl Mannheim, Conservat</w:t>
      </w:r>
      <w:r w:rsidRPr="00031E0E">
        <w:t>i</w:t>
      </w:r>
      <w:r w:rsidRPr="00031E0E">
        <w:t xml:space="preserve">ve Thought, in </w:t>
      </w:r>
      <w:r w:rsidRPr="00031E0E">
        <w:rPr>
          <w:i/>
          <w:iCs/>
        </w:rPr>
        <w:t xml:space="preserve">Essays on Sociology and Social Psychology, </w:t>
      </w:r>
      <w:r w:rsidRPr="00031E0E">
        <w:t>Londres, Routledge &amp; Kegan, p. 83.</w:t>
      </w:r>
    </w:p>
  </w:footnote>
  <w:footnote w:id="21">
    <w:p w14:paraId="39973B21" w14:textId="77777777" w:rsidR="006C5FDB" w:rsidRDefault="006C5FDB">
      <w:pPr>
        <w:pStyle w:val="Notedebasdepage"/>
      </w:pPr>
      <w:r>
        <w:rPr>
          <w:rStyle w:val="Appelnotedebasdep"/>
        </w:rPr>
        <w:footnoteRef/>
      </w:r>
      <w:r>
        <w:t xml:space="preserve"> </w:t>
      </w:r>
      <w:r>
        <w:tab/>
      </w:r>
      <w:r w:rsidRPr="00031E0E">
        <w:t>Ces deux dimensions sont indi</w:t>
      </w:r>
      <w:r w:rsidRPr="00031E0E">
        <w:t>s</w:t>
      </w:r>
      <w:r w:rsidRPr="00031E0E">
        <w:t>sociables pour Cochin ; on peut ainsi lire dans « La crise de l’histoire révolutionnaire » (1979, p. 117) les asse</w:t>
      </w:r>
      <w:r w:rsidRPr="00031E0E">
        <w:t>r</w:t>
      </w:r>
      <w:r w:rsidRPr="00031E0E">
        <w:t>tions catégoriques que voici : « Qui dit souveraineté directe du peuple, démocr</w:t>
      </w:r>
      <w:r w:rsidRPr="00031E0E">
        <w:t>a</w:t>
      </w:r>
      <w:r w:rsidRPr="00031E0E">
        <w:t>tie pure, dit réseau de sociétés permanentes… La démocratie pure est le r</w:t>
      </w:r>
      <w:r w:rsidRPr="00031E0E">
        <w:t>é</w:t>
      </w:r>
      <w:r w:rsidRPr="00031E0E">
        <w:t>gime des sociétés, comme la démocratie parlementaire est celui des asse</w:t>
      </w:r>
      <w:r w:rsidRPr="00031E0E">
        <w:t>m</w:t>
      </w:r>
      <w:r w:rsidRPr="00031E0E">
        <w:t>blées. »</w:t>
      </w:r>
    </w:p>
  </w:footnote>
  <w:footnote w:id="22">
    <w:p w14:paraId="79C42BD7" w14:textId="77777777" w:rsidR="006C5FDB" w:rsidRDefault="006C5FDB">
      <w:pPr>
        <w:pStyle w:val="Notedebasdepage"/>
      </w:pPr>
      <w:r>
        <w:rPr>
          <w:rStyle w:val="Appelnotedebasdep"/>
        </w:rPr>
        <w:footnoteRef/>
      </w:r>
      <w:r>
        <w:t xml:space="preserve"> </w:t>
      </w:r>
      <w:r>
        <w:tab/>
      </w:r>
      <w:r w:rsidRPr="00031E0E">
        <w:t>La form</w:t>
      </w:r>
      <w:r w:rsidRPr="00031E0E">
        <w:t>u</w:t>
      </w:r>
      <w:r w:rsidRPr="00031E0E">
        <w:t>lation d’Hannah Arendt est frappante par sa concision : « L’Homme, dans la mesure où il est un animal politique, est doué de par</w:t>
      </w:r>
      <w:r w:rsidRPr="00031E0E">
        <w:t>o</w:t>
      </w:r>
      <w:r w:rsidRPr="00031E0E">
        <w:t>le. » C’est dire, comme elle croit utile de le préciser, que les deux défin</w:t>
      </w:r>
      <w:r w:rsidRPr="00031E0E">
        <w:t>i</w:t>
      </w:r>
      <w:r w:rsidRPr="00031E0E">
        <w:t>tions aristotéliciennes de l’Homme « se compl</w:t>
      </w:r>
      <w:r w:rsidRPr="00031E0E">
        <w:t>è</w:t>
      </w:r>
      <w:r w:rsidRPr="00031E0E">
        <w:t>tent l’une l’autre ».</w:t>
      </w:r>
    </w:p>
  </w:footnote>
  <w:footnote w:id="23">
    <w:p w14:paraId="75D2C28D" w14:textId="77777777" w:rsidR="006C5FDB" w:rsidRDefault="006C5FDB">
      <w:pPr>
        <w:pStyle w:val="Notedebasdepage"/>
      </w:pPr>
      <w:r>
        <w:rPr>
          <w:rStyle w:val="Appelnotedebasdep"/>
        </w:rPr>
        <w:footnoteRef/>
      </w:r>
      <w:r>
        <w:t xml:space="preserve"> </w:t>
      </w:r>
      <w:r>
        <w:tab/>
      </w:r>
      <w:r w:rsidRPr="00031E0E">
        <w:t>La controverse s’est ouve</w:t>
      </w:r>
      <w:r w:rsidRPr="00031E0E">
        <w:t>r</w:t>
      </w:r>
      <w:r w:rsidRPr="00031E0E">
        <w:t>te avec la conférence d’Alfred Cobban : « The myth of the French R</w:t>
      </w:r>
      <w:r w:rsidRPr="00031E0E">
        <w:t>e</w:t>
      </w:r>
      <w:r w:rsidRPr="00031E0E">
        <w:t xml:space="preserve">volution » (Londres, 1955) et la réponse de Georges Lefebvre dans </w:t>
      </w:r>
      <w:r w:rsidRPr="00031E0E">
        <w:rPr>
          <w:i/>
          <w:iCs/>
        </w:rPr>
        <w:t xml:space="preserve">Annales historiques de la Révolution française </w:t>
      </w:r>
      <w:r w:rsidRPr="00031E0E">
        <w:t>(1956, pp. 337-345)- Elle s’est poursuivie par la suite, de façon discontinue, avec de mult</w:t>
      </w:r>
      <w:r w:rsidRPr="00031E0E">
        <w:t>i</w:t>
      </w:r>
      <w:r w:rsidRPr="00031E0E">
        <w:t xml:space="preserve">ples rebondissements et déplacements. Elle a connu un nouveau temps fort, après la publication en 1965-1966 de l’ouvrage de François Furet et Denis Richet sur </w:t>
      </w:r>
      <w:r w:rsidRPr="00031E0E">
        <w:rPr>
          <w:i/>
          <w:iCs/>
        </w:rPr>
        <w:t>La Révolution française :</w:t>
      </w:r>
      <w:r w:rsidRPr="00031E0E">
        <w:t xml:space="preserve"> c’est dans ce contexte que se s</w:t>
      </w:r>
      <w:r w:rsidRPr="00031E0E">
        <w:t>i</w:t>
      </w:r>
      <w:r w:rsidRPr="00031E0E">
        <w:t>tue l’article de François F</w:t>
      </w:r>
      <w:r w:rsidRPr="00031E0E">
        <w:t>u</w:t>
      </w:r>
      <w:r w:rsidRPr="00031E0E">
        <w:t xml:space="preserve">ret, « Le catéchisme révolutionnaire » paru en 1971 avant d’être repris, avec quelques compléments, dans </w:t>
      </w:r>
      <w:r w:rsidRPr="00031E0E">
        <w:rPr>
          <w:i/>
          <w:iCs/>
        </w:rPr>
        <w:t>Penser la Rév</w:t>
      </w:r>
      <w:r w:rsidRPr="00031E0E">
        <w:rPr>
          <w:i/>
          <w:iCs/>
        </w:rPr>
        <w:t>o</w:t>
      </w:r>
      <w:r w:rsidRPr="00031E0E">
        <w:rPr>
          <w:i/>
          <w:iCs/>
        </w:rPr>
        <w:t xml:space="preserve">lution française </w:t>
      </w:r>
      <w:r w:rsidRPr="00031E0E">
        <w:t>et constituant, comme l’on sait, sa réponse aux appréci</w:t>
      </w:r>
      <w:r w:rsidRPr="00031E0E">
        <w:t>a</w:t>
      </w:r>
      <w:r w:rsidRPr="00031E0E">
        <w:t>tions très critiques de Claude Mazauric et d’Alfred Soboul. Il faut en tout cas se garder de prêter à l’ « interprétation soci</w:t>
      </w:r>
      <w:r w:rsidRPr="00031E0E">
        <w:t>a</w:t>
      </w:r>
      <w:r w:rsidRPr="00031E0E">
        <w:t>le » une unité qu’elle n’a pas : complexe chez Lefebvre, elle est dev</w:t>
      </w:r>
      <w:r w:rsidRPr="00031E0E">
        <w:t>e</w:t>
      </w:r>
      <w:r w:rsidRPr="00031E0E">
        <w:t>nue, avec Soboul, une sorte de « vulgate » qu’il appartenait à Mazauric de cristalliser en « catéchisme ». Et il convient de rappeler que les critiques sont venues de mult</w:t>
      </w:r>
      <w:r w:rsidRPr="00031E0E">
        <w:t>i</w:t>
      </w:r>
      <w:r w:rsidRPr="00031E0E">
        <w:t>ples côtés à l’égard de cette « vulgate » : même un historien du « menu peuple », co</w:t>
      </w:r>
      <w:r w:rsidRPr="00031E0E">
        <w:t>m</w:t>
      </w:r>
      <w:r w:rsidRPr="00031E0E">
        <w:t>me R</w:t>
      </w:r>
      <w:r w:rsidRPr="00031E0E">
        <w:t>i</w:t>
      </w:r>
      <w:r w:rsidRPr="00031E0E">
        <w:t>chard Cobb, témoigne de quelque ironie à l’égard du « Ballet de l’an II de Soboul » (1975, p. 185).</w:t>
      </w:r>
    </w:p>
  </w:footnote>
  <w:footnote w:id="24">
    <w:p w14:paraId="317E8758" w14:textId="77777777" w:rsidR="006C5FDB" w:rsidRDefault="006C5FDB">
      <w:pPr>
        <w:pStyle w:val="Notedebasdepage"/>
      </w:pPr>
      <w:r>
        <w:rPr>
          <w:rStyle w:val="Appelnotedebasdep"/>
        </w:rPr>
        <w:footnoteRef/>
      </w:r>
      <w:r>
        <w:t xml:space="preserve"> </w:t>
      </w:r>
      <w:r>
        <w:tab/>
      </w:r>
      <w:r w:rsidRPr="00031E0E">
        <w:t xml:space="preserve">L’allusion vise ici l’ouvrage de Charles Tilly (ed.), </w:t>
      </w:r>
      <w:r w:rsidRPr="00031E0E">
        <w:rPr>
          <w:i/>
          <w:iCs/>
        </w:rPr>
        <w:t>The Formation of Nati</w:t>
      </w:r>
      <w:r w:rsidRPr="00031E0E">
        <w:rPr>
          <w:i/>
          <w:iCs/>
        </w:rPr>
        <w:t>o</w:t>
      </w:r>
      <w:r w:rsidRPr="00031E0E">
        <w:rPr>
          <w:i/>
          <w:iCs/>
        </w:rPr>
        <w:t xml:space="preserve">nal States in Western Europe </w:t>
      </w:r>
      <w:r w:rsidRPr="00031E0E">
        <w:t>(Princeton, 1975), ainsi que celui de Be</w:t>
      </w:r>
      <w:r w:rsidRPr="00031E0E">
        <w:t>r</w:t>
      </w:r>
      <w:r w:rsidRPr="00031E0E">
        <w:t>trand Badie et Pierre Bir</w:t>
      </w:r>
      <w:r w:rsidRPr="00031E0E">
        <w:t>n</w:t>
      </w:r>
      <w:r w:rsidRPr="00031E0E">
        <w:t xml:space="preserve">baum, </w:t>
      </w:r>
      <w:r w:rsidRPr="00031E0E">
        <w:rPr>
          <w:i/>
          <w:iCs/>
        </w:rPr>
        <w:t xml:space="preserve">Sociologie de l’État </w:t>
      </w:r>
      <w:r w:rsidRPr="00031E0E">
        <w:t>(1979).</w:t>
      </w:r>
    </w:p>
  </w:footnote>
  <w:footnote w:id="25">
    <w:p w14:paraId="5E1B1901" w14:textId="77777777" w:rsidR="006C5FDB" w:rsidRDefault="006C5FDB">
      <w:pPr>
        <w:pStyle w:val="Notedebasdepage"/>
      </w:pPr>
      <w:r>
        <w:rPr>
          <w:rStyle w:val="Appelnotedebasdep"/>
        </w:rPr>
        <w:footnoteRef/>
      </w:r>
      <w:r>
        <w:t xml:space="preserve"> </w:t>
      </w:r>
      <w:r>
        <w:tab/>
      </w:r>
      <w:r w:rsidRPr="00031E0E">
        <w:t>Il ne suffit pas pourtant de constituer l’idéologie en o</w:t>
      </w:r>
      <w:r w:rsidRPr="00031E0E">
        <w:t>b</w:t>
      </w:r>
      <w:r w:rsidRPr="00031E0E">
        <w:t xml:space="preserve">jet d’étude, ni non plus d’analyser les résultats à son aune, comme le fait par exemple Franz Schurmann dans </w:t>
      </w:r>
      <w:r w:rsidRPr="00031E0E">
        <w:rPr>
          <w:i/>
          <w:iCs/>
        </w:rPr>
        <w:t>Ideol</w:t>
      </w:r>
      <w:r w:rsidRPr="00031E0E">
        <w:rPr>
          <w:i/>
          <w:iCs/>
        </w:rPr>
        <w:t>o</w:t>
      </w:r>
      <w:r w:rsidRPr="00031E0E">
        <w:rPr>
          <w:i/>
          <w:iCs/>
        </w:rPr>
        <w:t xml:space="preserve">gy and Organization in Communist China, </w:t>
      </w:r>
      <w:r w:rsidRPr="00031E0E">
        <w:t>2</w:t>
      </w:r>
      <w:r w:rsidRPr="00031E0E">
        <w:rPr>
          <w:vertAlign w:val="superscript"/>
        </w:rPr>
        <w:t>e</w:t>
      </w:r>
      <w:r w:rsidRPr="00031E0E">
        <w:t xml:space="preserve"> éd., 1968, pour relever du troisième mode d’explication. Il faut encore accorder à l’idéologie un statut privilégié dans le syst</w:t>
      </w:r>
      <w:r w:rsidRPr="00031E0E">
        <w:t>è</w:t>
      </w:r>
      <w:r w:rsidRPr="00031E0E">
        <w:t>me global d’interprétation.</w:t>
      </w:r>
    </w:p>
  </w:footnote>
  <w:footnote w:id="26">
    <w:p w14:paraId="509B13A1" w14:textId="77777777" w:rsidR="006C5FDB" w:rsidRDefault="006C5FDB">
      <w:pPr>
        <w:pStyle w:val="Notedebasdepage"/>
      </w:pPr>
      <w:r>
        <w:rPr>
          <w:rStyle w:val="Appelnotedebasdep"/>
        </w:rPr>
        <w:footnoteRef/>
      </w:r>
      <w:r>
        <w:t xml:space="preserve"> </w:t>
      </w:r>
      <w:r>
        <w:tab/>
      </w:r>
      <w:r w:rsidRPr="00031E0E">
        <w:t>Nous avons cru devoir soul</w:t>
      </w:r>
      <w:r w:rsidRPr="00031E0E">
        <w:t>i</w:t>
      </w:r>
      <w:r w:rsidRPr="00031E0E">
        <w:t>gner ce mot.</w:t>
      </w:r>
    </w:p>
  </w:footnote>
  <w:footnote w:id="27">
    <w:p w14:paraId="684CE047" w14:textId="77777777" w:rsidR="006C5FDB" w:rsidRDefault="006C5FDB">
      <w:pPr>
        <w:pStyle w:val="Notedebasdepage"/>
      </w:pPr>
      <w:r>
        <w:rPr>
          <w:rStyle w:val="Appelnotedebasdep"/>
        </w:rPr>
        <w:footnoteRef/>
      </w:r>
      <w:r>
        <w:t xml:space="preserve"> </w:t>
      </w:r>
      <w:r>
        <w:tab/>
      </w:r>
      <w:r w:rsidRPr="00031E0E">
        <w:t>On trouve en particulier cette o</w:t>
      </w:r>
      <w:r w:rsidRPr="00031E0E">
        <w:t>b</w:t>
      </w:r>
      <w:r w:rsidRPr="00031E0E">
        <w:t>servation dans l’article de Ferez Zagorin, « Prolegomena to the Comparative History of Revolution in Early Eur</w:t>
      </w:r>
      <w:r w:rsidRPr="00031E0E">
        <w:t>o</w:t>
      </w:r>
      <w:r w:rsidRPr="00031E0E">
        <w:t>pe » (1976, p. 163, n. 33).</w:t>
      </w:r>
    </w:p>
  </w:footnote>
  <w:footnote w:id="28">
    <w:p w14:paraId="6844E6FF" w14:textId="77777777" w:rsidR="006C5FDB" w:rsidRDefault="006C5FDB">
      <w:pPr>
        <w:pStyle w:val="Notedebasdepage"/>
      </w:pPr>
      <w:r>
        <w:rPr>
          <w:rStyle w:val="Appelnotedebasdep"/>
        </w:rPr>
        <w:footnoteRef/>
      </w:r>
      <w:r>
        <w:t xml:space="preserve"> </w:t>
      </w:r>
      <w:r>
        <w:tab/>
      </w:r>
      <w:r w:rsidRPr="00031E0E">
        <w:t xml:space="preserve">On se contentera de rappeler ici le titre de l’ouvrage de James M. Malloy, </w:t>
      </w:r>
      <w:r w:rsidRPr="00031E0E">
        <w:rPr>
          <w:i/>
          <w:iCs/>
        </w:rPr>
        <w:t xml:space="preserve">Bolivia : The Uncompleted Revolution, </w:t>
      </w:r>
      <w:r w:rsidRPr="00031E0E">
        <w:t>Pit</w:t>
      </w:r>
      <w:r w:rsidRPr="00031E0E">
        <w:t>t</w:t>
      </w:r>
      <w:r w:rsidRPr="00031E0E">
        <w:t>sburgh, 1970.</w:t>
      </w:r>
    </w:p>
  </w:footnote>
  <w:footnote w:id="29">
    <w:p w14:paraId="365EB15C" w14:textId="77777777" w:rsidR="006C5FDB" w:rsidRDefault="006C5FDB">
      <w:pPr>
        <w:pStyle w:val="Notedebasdepage"/>
      </w:pPr>
      <w:r>
        <w:rPr>
          <w:rStyle w:val="Appelnotedebasdep"/>
        </w:rPr>
        <w:footnoteRef/>
      </w:r>
      <w:r>
        <w:t xml:space="preserve"> </w:t>
      </w:r>
      <w:r>
        <w:tab/>
      </w:r>
      <w:r w:rsidRPr="00031E0E">
        <w:t xml:space="preserve">Nous nous référons ici à l’article de James Rule et Charles Tilly, 1830 and the unnatural history of revolution, </w:t>
      </w:r>
      <w:r w:rsidRPr="00031E0E">
        <w:rPr>
          <w:i/>
          <w:iCs/>
        </w:rPr>
        <w:t xml:space="preserve">Journal of Social Issues, </w:t>
      </w:r>
      <w:r w:rsidRPr="00031E0E">
        <w:t>28, 1972, pp. 49-76.</w:t>
      </w:r>
    </w:p>
  </w:footnote>
  <w:footnote w:id="30">
    <w:p w14:paraId="69C6DF66" w14:textId="77777777" w:rsidR="006C5FDB" w:rsidRDefault="006C5FDB">
      <w:pPr>
        <w:pStyle w:val="Notedebasdepage"/>
      </w:pPr>
      <w:r>
        <w:rPr>
          <w:rStyle w:val="Appelnotedebasdep"/>
        </w:rPr>
        <w:footnoteRef/>
      </w:r>
      <w:r>
        <w:t xml:space="preserve"> </w:t>
      </w:r>
      <w:r>
        <w:tab/>
      </w:r>
      <w:r w:rsidRPr="00031E0E">
        <w:t>Jack A. Goldstone force sans doute un peu la note en proposant, dans son art</w:t>
      </w:r>
      <w:r w:rsidRPr="00031E0E">
        <w:t>i</w:t>
      </w:r>
      <w:r w:rsidRPr="00031E0E">
        <w:t>cle « The Comparative and Historical Study of Revolutions » (1982, pp. 189-192) de retenir, à titre d’héritage scientif</w:t>
      </w:r>
      <w:r w:rsidRPr="00031E0E">
        <w:t>i</w:t>
      </w:r>
      <w:r w:rsidRPr="00031E0E">
        <w:t>que, dix propositions majeures de l’histoire naturelle. Il semble plus pertinent de s’en tenir au jugement pondéré de Theda Skocpol qui, en dépit de ses fermes cr</w:t>
      </w:r>
      <w:r w:rsidRPr="00031E0E">
        <w:t>i</w:t>
      </w:r>
      <w:r w:rsidRPr="00031E0E">
        <w:t>tiques à l’égard des adeptes de cette approche, relève que leurs ouvrages « peuvent encore a</w:t>
      </w:r>
      <w:r w:rsidRPr="00031E0E">
        <w:t>u</w:t>
      </w:r>
      <w:r w:rsidRPr="00031E0E">
        <w:t>jourd’hui être lus avec profit » (1979, p. 38).</w:t>
      </w:r>
    </w:p>
  </w:footnote>
  <w:footnote w:id="31">
    <w:p w14:paraId="0D75491D" w14:textId="77777777" w:rsidR="006C5FDB" w:rsidRDefault="006C5FDB">
      <w:pPr>
        <w:pStyle w:val="Notedebasdepage"/>
      </w:pPr>
      <w:r>
        <w:rPr>
          <w:rStyle w:val="Appelnotedebasdep"/>
        </w:rPr>
        <w:footnoteRef/>
      </w:r>
      <w:r>
        <w:t xml:space="preserve"> </w:t>
      </w:r>
      <w:r>
        <w:tab/>
      </w:r>
      <w:r w:rsidRPr="00031E0E">
        <w:t>Nous avons cru devoir soul</w:t>
      </w:r>
      <w:r w:rsidRPr="00031E0E">
        <w:t>i</w:t>
      </w:r>
      <w:r w:rsidRPr="00031E0E">
        <w:t>gner cette expression.</w:t>
      </w:r>
    </w:p>
  </w:footnote>
  <w:footnote w:id="32">
    <w:p w14:paraId="67829714" w14:textId="77777777" w:rsidR="006C5FDB" w:rsidRDefault="006C5FDB">
      <w:pPr>
        <w:pStyle w:val="Notedebasdepage"/>
      </w:pPr>
      <w:r>
        <w:rPr>
          <w:rStyle w:val="Appelnotedebasdep"/>
        </w:rPr>
        <w:footnoteRef/>
      </w:r>
      <w:r>
        <w:t xml:space="preserve"> </w:t>
      </w:r>
      <w:r>
        <w:tab/>
      </w:r>
      <w:r w:rsidRPr="00031E0E">
        <w:t>Il vaut la peine de citer dans son intégralité la formule de Decouflé (1983, p. 40) : « La révolution apparaît tout à la fois comme rupture et déviance de l’histoire » ; et peut-être convient-il d’ajouter qu’elle est employée dans un tout autre contexte.</w:t>
      </w:r>
    </w:p>
  </w:footnote>
  <w:footnote w:id="33">
    <w:p w14:paraId="17EAC74A" w14:textId="77777777" w:rsidR="006C5FDB" w:rsidRDefault="006C5FDB">
      <w:pPr>
        <w:pStyle w:val="Notedebasdepage"/>
      </w:pPr>
      <w:r>
        <w:rPr>
          <w:rStyle w:val="Appelnotedebasdep"/>
        </w:rPr>
        <w:footnoteRef/>
      </w:r>
      <w:r>
        <w:t xml:space="preserve"> </w:t>
      </w:r>
      <w:r>
        <w:tab/>
      </w:r>
      <w:r w:rsidRPr="00031E0E">
        <w:t>Il convient cependant de préciser que chaque type de comportement colle</w:t>
      </w:r>
      <w:r w:rsidRPr="00031E0E">
        <w:t>c</w:t>
      </w:r>
      <w:r w:rsidRPr="00031E0E">
        <w:t>tif est défini par rapport à une composante spécifique de l’action s</w:t>
      </w:r>
      <w:r w:rsidRPr="00031E0E">
        <w:t>o</w:t>
      </w:r>
      <w:r w:rsidRPr="00031E0E">
        <w:t>ciale : à la hiérarchie – typiquement parsonienne – des catégories de l’action (v</w:t>
      </w:r>
      <w:r w:rsidRPr="00031E0E">
        <w:t>a</w:t>
      </w:r>
      <w:r w:rsidRPr="00031E0E">
        <w:t xml:space="preserve">leurs, normes, mobilisation pour l’action </w:t>
      </w:r>
      <w:r w:rsidRPr="00031E0E">
        <w:rPr>
          <w:i/>
          <w:iCs/>
        </w:rPr>
        <w:t xml:space="preserve">organisée </w:t>
      </w:r>
      <w:r w:rsidRPr="00031E0E">
        <w:t xml:space="preserve">dans des rôles et des collectivités, ressources de la </w:t>
      </w:r>
      <w:r w:rsidRPr="00031E0E">
        <w:rPr>
          <w:i/>
          <w:iCs/>
        </w:rPr>
        <w:t xml:space="preserve">situation) </w:t>
      </w:r>
      <w:r w:rsidRPr="00031E0E">
        <w:t>correspond une hiérarchie des co</w:t>
      </w:r>
      <w:r w:rsidRPr="00031E0E">
        <w:t>m</w:t>
      </w:r>
      <w:r w:rsidRPr="00031E0E">
        <w:t>portements collectifs (mouvements orientés vers les valeurs, mo</w:t>
      </w:r>
      <w:r w:rsidRPr="00031E0E">
        <w:t>u</w:t>
      </w:r>
      <w:r w:rsidRPr="00031E0E">
        <w:t>vements orientés vers les normes, explosion d’hostilité, engouement et panique) ; les deux derniers types, qui concernent l’un et l’autre la situation, se distinguent par la nature de la croyance qui les sous-tend. On voit donc que le contenu propre des déterminants diffère profondément d’un cas à l’autre, même si leur ordre d’intervention reste identique.</w:t>
      </w:r>
    </w:p>
  </w:footnote>
  <w:footnote w:id="34">
    <w:p w14:paraId="24EC2060" w14:textId="77777777" w:rsidR="006C5FDB" w:rsidRDefault="006C5FDB">
      <w:pPr>
        <w:pStyle w:val="Notedebasdepage"/>
      </w:pPr>
      <w:r>
        <w:rPr>
          <w:rStyle w:val="Appelnotedebasdep"/>
        </w:rPr>
        <w:footnoteRef/>
      </w:r>
      <w:r>
        <w:t xml:space="preserve"> </w:t>
      </w:r>
      <w:r>
        <w:tab/>
      </w:r>
      <w:r w:rsidRPr="00031E0E">
        <w:t>Smelser écrit en effet, dans une formulation dépourvue de toute ambigu</w:t>
      </w:r>
      <w:r w:rsidRPr="00031E0E">
        <w:t>ï</w:t>
      </w:r>
      <w:r w:rsidRPr="00031E0E">
        <w:t>té : « A precipitating factor is an event that creates, sharpens or exagger</w:t>
      </w:r>
      <w:r w:rsidRPr="00031E0E">
        <w:t>a</w:t>
      </w:r>
      <w:r w:rsidRPr="00031E0E">
        <w:t>tes a condition of strain or conduciveness. »</w:t>
      </w:r>
    </w:p>
  </w:footnote>
  <w:footnote w:id="35">
    <w:p w14:paraId="11A2C916" w14:textId="77777777" w:rsidR="006C5FDB" w:rsidRDefault="006C5FDB">
      <w:pPr>
        <w:pStyle w:val="Notedebasdepage"/>
      </w:pPr>
      <w:r>
        <w:rPr>
          <w:rStyle w:val="Appelnotedebasdep"/>
        </w:rPr>
        <w:footnoteRef/>
      </w:r>
      <w:r>
        <w:t xml:space="preserve"> </w:t>
      </w:r>
      <w:r>
        <w:tab/>
      </w:r>
      <w:r w:rsidRPr="00031E0E">
        <w:t>Sur cet aspect du modèle élab</w:t>
      </w:r>
      <w:r w:rsidRPr="00031E0E">
        <w:t>o</w:t>
      </w:r>
      <w:r w:rsidRPr="00031E0E">
        <w:t>ré par Smelser, on se rapportera à l’excellente analyse critique de Michel Dobry, « Variations d’emprise soci</w:t>
      </w:r>
      <w:r w:rsidRPr="00031E0E">
        <w:t>a</w:t>
      </w:r>
      <w:r w:rsidRPr="00031E0E">
        <w:t>le et dynamique des représentations : une hyp</w:t>
      </w:r>
      <w:r w:rsidRPr="00031E0E">
        <w:t>o</w:t>
      </w:r>
      <w:r w:rsidRPr="00031E0E">
        <w:t xml:space="preserve">thèse de Neil Smelser », </w:t>
      </w:r>
      <w:r w:rsidRPr="00031E0E">
        <w:rPr>
          <w:i/>
          <w:iCs/>
        </w:rPr>
        <w:t xml:space="preserve">in </w:t>
      </w:r>
      <w:r w:rsidRPr="00031E0E">
        <w:t xml:space="preserve">G. Duprat (sous la direction de), </w:t>
      </w:r>
      <w:r w:rsidRPr="00031E0E">
        <w:rPr>
          <w:i/>
          <w:iCs/>
        </w:rPr>
        <w:t xml:space="preserve">Analyse de l’idéologie, </w:t>
      </w:r>
      <w:r w:rsidRPr="00031E0E">
        <w:t>t. I, Paris, Galilée, 1980, pp. 197-218.</w:t>
      </w:r>
    </w:p>
  </w:footnote>
  <w:footnote w:id="36">
    <w:p w14:paraId="2D090C0A" w14:textId="77777777" w:rsidR="006C5FDB" w:rsidRDefault="006C5FDB">
      <w:pPr>
        <w:pStyle w:val="Notedebasdepage"/>
      </w:pPr>
      <w:r>
        <w:rPr>
          <w:rStyle w:val="Appelnotedebasdep"/>
        </w:rPr>
        <w:footnoteRef/>
      </w:r>
      <w:r>
        <w:t xml:space="preserve"> </w:t>
      </w:r>
      <w:r>
        <w:tab/>
      </w:r>
      <w:r w:rsidRPr="00031E0E">
        <w:t xml:space="preserve">Le livre de Serge Moscovici, </w:t>
      </w:r>
      <w:hyperlink r:id="rId3" w:history="1">
        <w:r w:rsidRPr="00031E0E">
          <w:rPr>
            <w:rStyle w:val="Hyperlien"/>
            <w:i/>
            <w:iCs/>
          </w:rPr>
          <w:t>L’âge des foules</w:t>
        </w:r>
      </w:hyperlink>
      <w:r w:rsidRPr="00031E0E">
        <w:rPr>
          <w:i/>
          <w:iCs/>
        </w:rPr>
        <w:t xml:space="preserve">, </w:t>
      </w:r>
      <w:r w:rsidRPr="00031E0E">
        <w:t>Paris, Fayard, 1981, repr</w:t>
      </w:r>
      <w:r w:rsidRPr="00031E0E">
        <w:t>é</w:t>
      </w:r>
      <w:r w:rsidRPr="00031E0E">
        <w:t>sente un des derniers avatars de cette tradition. Ses faiblesses les plus cria</w:t>
      </w:r>
      <w:r w:rsidRPr="00031E0E">
        <w:t>n</w:t>
      </w:r>
      <w:r w:rsidRPr="00031E0E">
        <w:t xml:space="preserve">tes sont bien mises en évidence par Yvon Thiec et Jean-René Tréanton dans leur note critique en deux parties, « La foule comme objet de science », </w:t>
      </w:r>
      <w:r w:rsidRPr="00031E0E">
        <w:rPr>
          <w:i/>
          <w:iCs/>
        </w:rPr>
        <w:t>R</w:t>
      </w:r>
      <w:r w:rsidRPr="00031E0E">
        <w:rPr>
          <w:i/>
          <w:iCs/>
        </w:rPr>
        <w:t>e</w:t>
      </w:r>
      <w:r w:rsidRPr="00031E0E">
        <w:rPr>
          <w:i/>
          <w:iCs/>
        </w:rPr>
        <w:t>vue frança</w:t>
      </w:r>
      <w:r w:rsidRPr="00031E0E">
        <w:rPr>
          <w:i/>
          <w:iCs/>
        </w:rPr>
        <w:t>i</w:t>
      </w:r>
      <w:r w:rsidRPr="00031E0E">
        <w:rPr>
          <w:i/>
          <w:iCs/>
        </w:rPr>
        <w:t xml:space="preserve">se de Sociologie, </w:t>
      </w:r>
      <w:r w:rsidRPr="00031E0E">
        <w:t>XXIV, 1983, p. 119-135.</w:t>
      </w:r>
    </w:p>
  </w:footnote>
  <w:footnote w:id="37">
    <w:p w14:paraId="4F1F9434" w14:textId="77777777" w:rsidR="006C5FDB" w:rsidRDefault="006C5FDB">
      <w:pPr>
        <w:pStyle w:val="Notedebasdepage"/>
      </w:pPr>
      <w:r>
        <w:rPr>
          <w:rStyle w:val="Appelnotedebasdep"/>
        </w:rPr>
        <w:footnoteRef/>
      </w:r>
      <w:r>
        <w:t xml:space="preserve"> </w:t>
      </w:r>
      <w:r>
        <w:tab/>
      </w:r>
      <w:r w:rsidRPr="00031E0E">
        <w:t>En fait, pour Johnson, la défl</w:t>
      </w:r>
      <w:r w:rsidRPr="00031E0E">
        <w:t>a</w:t>
      </w:r>
      <w:r w:rsidRPr="00031E0E">
        <w:t>tion du pouvoir, reconnaissable à ce que le maintien et le déploiement de la force par les a</w:t>
      </w:r>
      <w:r w:rsidRPr="00031E0E">
        <w:t>u</w:t>
      </w:r>
      <w:r w:rsidRPr="00031E0E">
        <w:t>torités en place deviennent le facteur prépondérant pour l’intégration du système, déco</w:t>
      </w:r>
      <w:r w:rsidRPr="00031E0E">
        <w:t>u</w:t>
      </w:r>
      <w:r w:rsidRPr="00031E0E">
        <w:t>le directement du déséquilibre du système (1966, p. 91). Mais l’intransigeance de l’élite a pour effet de l’accentuer et de l’aggraver, avec en particulier de lourdes cons</w:t>
      </w:r>
      <w:r w:rsidRPr="00031E0E">
        <w:t>é</w:t>
      </w:r>
      <w:r w:rsidRPr="00031E0E">
        <w:t>quences au plan de la légitimité.</w:t>
      </w:r>
    </w:p>
  </w:footnote>
  <w:footnote w:id="38">
    <w:p w14:paraId="09856E0E" w14:textId="77777777" w:rsidR="006C5FDB" w:rsidRDefault="006C5FDB">
      <w:pPr>
        <w:pStyle w:val="Notedebasdepage"/>
      </w:pPr>
      <w:r>
        <w:rPr>
          <w:rStyle w:val="Appelnotedebasdep"/>
        </w:rPr>
        <w:footnoteRef/>
      </w:r>
      <w:r>
        <w:t xml:space="preserve"> </w:t>
      </w:r>
      <w:r>
        <w:tab/>
      </w:r>
      <w:r w:rsidRPr="00031E0E">
        <w:t>Johnson distingue en particulier trois types d’accélérateurs, à savoir les fa</w:t>
      </w:r>
      <w:r w:rsidRPr="00031E0E">
        <w:t>c</w:t>
      </w:r>
      <w:r w:rsidRPr="00031E0E">
        <w:t>teurs relatifs aux forces armées et susceptibles de mettre en cause leur eff</w:t>
      </w:r>
      <w:r w:rsidRPr="00031E0E">
        <w:t>i</w:t>
      </w:r>
      <w:r w:rsidRPr="00031E0E">
        <w:t>cacité, la diffusion au sein des groupes protestataires de la conviction à fo</w:t>
      </w:r>
      <w:r w:rsidRPr="00031E0E">
        <w:t>n</w:t>
      </w:r>
      <w:r w:rsidRPr="00031E0E">
        <w:t>dement idéologique qu’ils sont capables de renverser les autorités ét</w:t>
      </w:r>
      <w:r w:rsidRPr="00031E0E">
        <w:t>a</w:t>
      </w:r>
      <w:r w:rsidRPr="00031E0E">
        <w:t>blies, les opérations spécifiques menées, comme par exemple les actions de gu</w:t>
      </w:r>
      <w:r w:rsidRPr="00031E0E">
        <w:t>é</w:t>
      </w:r>
      <w:r w:rsidRPr="00031E0E">
        <w:t>rilla, contre les fo</w:t>
      </w:r>
      <w:r w:rsidRPr="00031E0E">
        <w:t>r</w:t>
      </w:r>
      <w:r w:rsidRPr="00031E0E">
        <w:t>ces armées.</w:t>
      </w:r>
    </w:p>
  </w:footnote>
  <w:footnote w:id="39">
    <w:p w14:paraId="5EDBB66C" w14:textId="77777777" w:rsidR="006C5FDB" w:rsidRDefault="006C5FDB">
      <w:pPr>
        <w:pStyle w:val="Notedebasdepage"/>
      </w:pPr>
      <w:r>
        <w:rPr>
          <w:rStyle w:val="Appelnotedebasdep"/>
        </w:rPr>
        <w:footnoteRef/>
      </w:r>
      <w:r>
        <w:t xml:space="preserve"> </w:t>
      </w:r>
      <w:r>
        <w:tab/>
      </w:r>
      <w:r w:rsidRPr="00031E0E">
        <w:t>Chalmers Johnson se montre d’ailleurs conscient de cet écueil (1966, p. 120) mais ne parvient pas lui-même à l’éviter.</w:t>
      </w:r>
    </w:p>
  </w:footnote>
  <w:footnote w:id="40">
    <w:p w14:paraId="2DF234F0" w14:textId="77777777" w:rsidR="006C5FDB" w:rsidRDefault="006C5FDB">
      <w:pPr>
        <w:pStyle w:val="Notedebasdepage"/>
      </w:pPr>
      <w:r>
        <w:rPr>
          <w:rStyle w:val="Appelnotedebasdep"/>
        </w:rPr>
        <w:footnoteRef/>
      </w:r>
      <w:r>
        <w:t xml:space="preserve"> </w:t>
      </w:r>
      <w:r>
        <w:tab/>
      </w:r>
      <w:r w:rsidRPr="00031E0E">
        <w:t>Il nous semble donc parfait</w:t>
      </w:r>
      <w:r w:rsidRPr="00031E0E">
        <w:t>e</w:t>
      </w:r>
      <w:r w:rsidRPr="00031E0E">
        <w:t>ment excessif, comme le fait Theda Skocpol, d’affirmer que l’Afrique du Sud, plus précisément « l’histoire de ce malhe</w:t>
      </w:r>
      <w:r w:rsidRPr="00031E0E">
        <w:t>u</w:t>
      </w:r>
      <w:r w:rsidRPr="00031E0E">
        <w:t xml:space="preserve">reux pays », constitue une éclatante réfutation des théories structuro-fonctionnalistes (1979, p. </w:t>
      </w:r>
      <w:r w:rsidRPr="00031E0E">
        <w:rPr>
          <w:smallCaps/>
        </w:rPr>
        <w:t>xii</w:t>
      </w:r>
      <w:r w:rsidRPr="00031E0E">
        <w:t>). Johnson avance, il est vrai, la proposition (1966, p. 32) qu’en l’absence d’une communauté de valeurs une insurre</w:t>
      </w:r>
      <w:r w:rsidRPr="00031E0E">
        <w:t>c</w:t>
      </w:r>
      <w:r w:rsidRPr="00031E0E">
        <w:t>tion est inévit</w:t>
      </w:r>
      <w:r w:rsidRPr="00031E0E">
        <w:t>a</w:t>
      </w:r>
      <w:r w:rsidRPr="00031E0E">
        <w:t>ble et cite, à titre d’illustration, l’Afrique du Sud – ce que Theda Skocpol ne manque pas de relever (p. 12). Mais il écrit aussi que la libre disposition de l’armée permet à un système de se maintenir, fût-ce sous la forme extrême d’un État-police, comme a</w:t>
      </w:r>
      <w:r w:rsidRPr="00031E0E">
        <w:t>c</w:t>
      </w:r>
      <w:r w:rsidRPr="00031E0E">
        <w:t>tuellement en Afrique du Sud (1966, p. 91), et il ajoute que dans un tel contexte les insurre</w:t>
      </w:r>
      <w:r w:rsidRPr="00031E0E">
        <w:t>c</w:t>
      </w:r>
      <w:r w:rsidRPr="00031E0E">
        <w:t>tions seront réprimées, voire même pourront ne pas avoir lieu du tout à cause du risque de r</w:t>
      </w:r>
      <w:r w:rsidRPr="00031E0E">
        <w:t>é</w:t>
      </w:r>
      <w:r w:rsidRPr="00031E0E">
        <w:t>pression (p. 102) : il est sans doute significatif – et regrettable – que Theda Skocpol ne tienne compte d’aucun de ces deux autres passages.</w:t>
      </w:r>
    </w:p>
  </w:footnote>
  <w:footnote w:id="41">
    <w:p w14:paraId="3FE59DA6" w14:textId="77777777" w:rsidR="006C5FDB" w:rsidRDefault="006C5FDB">
      <w:pPr>
        <w:pStyle w:val="Notedebasdepage"/>
      </w:pPr>
      <w:r>
        <w:rPr>
          <w:rStyle w:val="Appelnotedebasdep"/>
        </w:rPr>
        <w:footnoteRef/>
      </w:r>
      <w:r>
        <w:t xml:space="preserve"> </w:t>
      </w:r>
      <w:r>
        <w:tab/>
      </w:r>
      <w:r w:rsidRPr="00031E0E">
        <w:t>Force et légitimité ne sont pas pour autant, selon Johnson, deux pôles ant</w:t>
      </w:r>
      <w:r w:rsidRPr="00031E0E">
        <w:t>i</w:t>
      </w:r>
      <w:r w:rsidRPr="00031E0E">
        <w:t>thétiques : il y a des utilisations légitimes de la force, mais son emploi pr</w:t>
      </w:r>
      <w:r w:rsidRPr="00031E0E">
        <w:t>o</w:t>
      </w:r>
      <w:r w:rsidRPr="00031E0E">
        <w:t>longé ou renforcé est essentiellement analysé sous l’angle de ses cons</w:t>
      </w:r>
      <w:r w:rsidRPr="00031E0E">
        <w:t>é</w:t>
      </w:r>
      <w:r w:rsidRPr="00031E0E">
        <w:t>quences négatives pour la légitimité.</w:t>
      </w:r>
    </w:p>
  </w:footnote>
  <w:footnote w:id="42">
    <w:p w14:paraId="66DDC790" w14:textId="77777777" w:rsidR="006C5FDB" w:rsidRDefault="006C5FDB">
      <w:pPr>
        <w:pStyle w:val="Notedebasdepage"/>
      </w:pPr>
      <w:r>
        <w:rPr>
          <w:rStyle w:val="Appelnotedebasdep"/>
        </w:rPr>
        <w:footnoteRef/>
      </w:r>
      <w:r>
        <w:t xml:space="preserve"> </w:t>
      </w:r>
      <w:r>
        <w:tab/>
      </w:r>
      <w:r w:rsidRPr="00031E0E">
        <w:t xml:space="preserve">Leonard Berkowitz, </w:t>
      </w:r>
      <w:r w:rsidRPr="00031E0E">
        <w:rPr>
          <w:i/>
          <w:iCs/>
        </w:rPr>
        <w:t xml:space="preserve">Aggression : a social psychological analysis, </w:t>
      </w:r>
      <w:r w:rsidRPr="00031E0E">
        <w:t>New York, McGraw-Hill, 1962.</w:t>
      </w:r>
    </w:p>
  </w:footnote>
  <w:footnote w:id="43">
    <w:p w14:paraId="653DCC7B" w14:textId="77777777" w:rsidR="006C5FDB" w:rsidRDefault="006C5FDB">
      <w:pPr>
        <w:pStyle w:val="Notedebasdepage"/>
      </w:pPr>
      <w:r>
        <w:rPr>
          <w:rStyle w:val="Appelnotedebasdep"/>
        </w:rPr>
        <w:footnoteRef/>
      </w:r>
      <w:r>
        <w:t xml:space="preserve"> </w:t>
      </w:r>
      <w:r>
        <w:tab/>
      </w:r>
      <w:r w:rsidRPr="00031E0E">
        <w:t>Cette formule est empruntée à un article d’Edward N. Muller, A test of a pa</w:t>
      </w:r>
      <w:r w:rsidRPr="00031E0E">
        <w:t>r</w:t>
      </w:r>
      <w:r w:rsidRPr="00031E0E">
        <w:t xml:space="preserve">tial theory of potential for political violence, </w:t>
      </w:r>
      <w:r w:rsidRPr="00031E0E">
        <w:rPr>
          <w:i/>
          <w:iCs/>
        </w:rPr>
        <w:t xml:space="preserve">American Political Science Review, </w:t>
      </w:r>
      <w:r w:rsidRPr="00031E0E">
        <w:t>66, 1972, p. 929. En fait, le reproche vise Gurr, de façon d’ailleurs tout à fait pertinente ; mais il s’applique également, nous semble-t-il, à D</w:t>
      </w:r>
      <w:r w:rsidRPr="00031E0E">
        <w:t>a</w:t>
      </w:r>
      <w:r w:rsidRPr="00031E0E">
        <w:t>vies, même si les indicateurs ne sont pas dans ce dernier cas clairement spéc</w:t>
      </w:r>
      <w:r w:rsidRPr="00031E0E">
        <w:t>i</w:t>
      </w:r>
      <w:r w:rsidRPr="00031E0E">
        <w:t>fiés.</w:t>
      </w:r>
    </w:p>
  </w:footnote>
  <w:footnote w:id="44">
    <w:p w14:paraId="0EDA7D7A" w14:textId="77777777" w:rsidR="006C5FDB" w:rsidRDefault="006C5FDB">
      <w:pPr>
        <w:pStyle w:val="Notedebasdepage"/>
      </w:pPr>
      <w:r>
        <w:rPr>
          <w:rStyle w:val="Appelnotedebasdep"/>
        </w:rPr>
        <w:footnoteRef/>
      </w:r>
      <w:r>
        <w:t xml:space="preserve"> </w:t>
      </w:r>
      <w:r>
        <w:tab/>
      </w:r>
      <w:r w:rsidRPr="00031E0E">
        <w:t>Ces deux dernières notions sont définies par Gurr de la façon su</w:t>
      </w:r>
      <w:r w:rsidRPr="00031E0E">
        <w:t>i</w:t>
      </w:r>
      <w:r w:rsidRPr="00031E0E">
        <w:t>vante : « Value expectations are the goods and conditions of life to which people believe they are rightfully entitled. Value cap</w:t>
      </w:r>
      <w:r w:rsidRPr="00031E0E">
        <w:t>a</w:t>
      </w:r>
      <w:r w:rsidRPr="00031E0E">
        <w:t>bilities are the goods and conditions they think they are capable of attaining and mainta</w:t>
      </w:r>
      <w:r w:rsidRPr="00031E0E">
        <w:t>i</w:t>
      </w:r>
      <w:r w:rsidRPr="00031E0E">
        <w:t>ning, given the social means available to them » (1970, p. 12, p. 24 avec une légère m</w:t>
      </w:r>
      <w:r w:rsidRPr="00031E0E">
        <w:t>o</w:t>
      </w:r>
      <w:r w:rsidRPr="00031E0E">
        <w:t>dification dans les te</w:t>
      </w:r>
      <w:r w:rsidRPr="00031E0E">
        <w:t>r</w:t>
      </w:r>
      <w:r w:rsidRPr="00031E0E">
        <w:t>mes pour la seconde).</w:t>
      </w:r>
    </w:p>
  </w:footnote>
  <w:footnote w:id="45">
    <w:p w14:paraId="6F0C6F49" w14:textId="77777777" w:rsidR="006C5FDB" w:rsidRDefault="006C5FDB">
      <w:pPr>
        <w:pStyle w:val="Notedebasdepage"/>
      </w:pPr>
      <w:r>
        <w:rPr>
          <w:rStyle w:val="Appelnotedebasdep"/>
        </w:rPr>
        <w:footnoteRef/>
      </w:r>
      <w:r>
        <w:t xml:space="preserve"> </w:t>
      </w:r>
      <w:r>
        <w:tab/>
      </w:r>
      <w:r w:rsidRPr="00031E0E">
        <w:t xml:space="preserve">Louis Kriesberg, </w:t>
      </w:r>
      <w:r w:rsidRPr="00031E0E">
        <w:rPr>
          <w:i/>
          <w:iCs/>
        </w:rPr>
        <w:t>The Sociol</w:t>
      </w:r>
      <w:r w:rsidRPr="00031E0E">
        <w:rPr>
          <w:i/>
          <w:iCs/>
        </w:rPr>
        <w:t>o</w:t>
      </w:r>
      <w:r w:rsidRPr="00031E0E">
        <w:rPr>
          <w:i/>
          <w:iCs/>
        </w:rPr>
        <w:t xml:space="preserve">gy of Social Conflicts, </w:t>
      </w:r>
      <w:r w:rsidRPr="00031E0E">
        <w:t xml:space="preserve">Englewood Cliffs, </w:t>
      </w:r>
      <w:r w:rsidRPr="00031E0E">
        <w:rPr>
          <w:smallCaps/>
        </w:rPr>
        <w:t xml:space="preserve">nj, </w:t>
      </w:r>
      <w:r w:rsidRPr="00031E0E">
        <w:t>Prentice-Hall, 1973, p. 78.</w:t>
      </w:r>
    </w:p>
  </w:footnote>
  <w:footnote w:id="46">
    <w:p w14:paraId="4B1625AD" w14:textId="77777777" w:rsidR="006C5FDB" w:rsidRDefault="006C5FDB">
      <w:pPr>
        <w:pStyle w:val="Notedebasdepage"/>
      </w:pPr>
      <w:r>
        <w:rPr>
          <w:rStyle w:val="Appelnotedebasdep"/>
        </w:rPr>
        <w:footnoteRef/>
      </w:r>
      <w:r>
        <w:t xml:space="preserve"> </w:t>
      </w:r>
      <w:r>
        <w:tab/>
      </w:r>
      <w:r w:rsidRPr="00031E0E">
        <w:t xml:space="preserve">L’apport de Tocqueville sur ce plan a été analysé par Neil Smelser dans le chapitre 2 de son ouvrage </w:t>
      </w:r>
      <w:r w:rsidRPr="00031E0E">
        <w:rPr>
          <w:i/>
          <w:iCs/>
        </w:rPr>
        <w:t xml:space="preserve">Comparative Methods in the Social Sciences, </w:t>
      </w:r>
      <w:r w:rsidRPr="00031E0E">
        <w:t>E</w:t>
      </w:r>
      <w:r w:rsidRPr="00031E0E">
        <w:t>n</w:t>
      </w:r>
      <w:r w:rsidRPr="00031E0E">
        <w:t xml:space="preserve">glewood Cliffs, </w:t>
      </w:r>
      <w:r w:rsidRPr="00031E0E">
        <w:rPr>
          <w:smallCaps/>
        </w:rPr>
        <w:t xml:space="preserve">nj, </w:t>
      </w:r>
      <w:r w:rsidRPr="00031E0E">
        <w:t>Prentice-Hall, 1976.</w:t>
      </w:r>
    </w:p>
  </w:footnote>
  <w:footnote w:id="47">
    <w:p w14:paraId="2BB035E4" w14:textId="77777777" w:rsidR="006C5FDB" w:rsidRDefault="006C5FDB">
      <w:pPr>
        <w:pStyle w:val="Notedebasdepage"/>
      </w:pPr>
      <w:r>
        <w:rPr>
          <w:rStyle w:val="Appelnotedebasdep"/>
        </w:rPr>
        <w:footnoteRef/>
      </w:r>
      <w:r>
        <w:t xml:space="preserve"> </w:t>
      </w:r>
      <w:r>
        <w:tab/>
      </w:r>
      <w:r w:rsidRPr="00031E0E">
        <w:t xml:space="preserve">Celle de Bertrand Badie, dans </w:t>
      </w:r>
      <w:r w:rsidRPr="00031E0E">
        <w:rPr>
          <w:i/>
          <w:iCs/>
        </w:rPr>
        <w:t xml:space="preserve">Le développement politique, </w:t>
      </w:r>
      <w:r w:rsidRPr="00031E0E">
        <w:t>Paris, Econom</w:t>
      </w:r>
      <w:r w:rsidRPr="00031E0E">
        <w:t>i</w:t>
      </w:r>
      <w:r w:rsidRPr="00031E0E">
        <w:t>ca, 1978, pp. 116-123 (3</w:t>
      </w:r>
      <w:r w:rsidRPr="00031E0E">
        <w:rPr>
          <w:vertAlign w:val="superscript"/>
        </w:rPr>
        <w:t>e</w:t>
      </w:r>
      <w:r w:rsidRPr="00031E0E">
        <w:t xml:space="preserve"> éd., 1984, p. 156-162), se recommande par sa cla</w:t>
      </w:r>
      <w:r w:rsidRPr="00031E0E">
        <w:t>r</w:t>
      </w:r>
      <w:r w:rsidRPr="00031E0E">
        <w:t>té.</w:t>
      </w:r>
    </w:p>
  </w:footnote>
  <w:footnote w:id="48">
    <w:p w14:paraId="22102FB7" w14:textId="77777777" w:rsidR="006C5FDB" w:rsidRDefault="006C5FDB">
      <w:pPr>
        <w:pStyle w:val="Notedebasdepage"/>
      </w:pPr>
      <w:r>
        <w:rPr>
          <w:rStyle w:val="Appelnotedebasdep"/>
        </w:rPr>
        <w:footnoteRef/>
      </w:r>
      <w:r>
        <w:t xml:space="preserve"> </w:t>
      </w:r>
      <w:r>
        <w:tab/>
      </w:r>
      <w:r w:rsidRPr="00031E0E">
        <w:t>Cette hypothèse est suggérée par Karl-Dietrich Br</w:t>
      </w:r>
      <w:r w:rsidRPr="00031E0E">
        <w:t>a</w:t>
      </w:r>
      <w:r w:rsidRPr="00031E0E">
        <w:t>cher dans un article, « Tradition und Revolution im National-sozialismus », écrit pour le suppl</w:t>
      </w:r>
      <w:r w:rsidRPr="00031E0E">
        <w:t>é</w:t>
      </w:r>
      <w:r w:rsidRPr="00031E0E">
        <w:t xml:space="preserve">ment du quotidien </w:t>
      </w:r>
      <w:r w:rsidRPr="00031E0E">
        <w:rPr>
          <w:i/>
          <w:iCs/>
        </w:rPr>
        <w:t xml:space="preserve">Frankfurter Allgemeine Zeitung </w:t>
      </w:r>
      <w:r w:rsidRPr="00031E0E">
        <w:t>(31 janvier 1976). Zi</w:t>
      </w:r>
      <w:r w:rsidRPr="00031E0E">
        <w:t>m</w:t>
      </w:r>
      <w:r w:rsidRPr="00031E0E">
        <w:t>mermann consacre une note à cet article (1983, p. 545).</w:t>
      </w:r>
    </w:p>
  </w:footnote>
  <w:footnote w:id="49">
    <w:p w14:paraId="620348AF" w14:textId="77777777" w:rsidR="006C5FDB" w:rsidRDefault="006C5FDB">
      <w:pPr>
        <w:pStyle w:val="Notedebasdepage"/>
      </w:pPr>
      <w:r>
        <w:rPr>
          <w:rStyle w:val="Appelnotedebasdep"/>
        </w:rPr>
        <w:footnoteRef/>
      </w:r>
      <w:r>
        <w:t xml:space="preserve"> </w:t>
      </w:r>
      <w:r>
        <w:tab/>
      </w:r>
      <w:r w:rsidRPr="00031E0E">
        <w:t>« Ce livre tente d’expliquer les divers rôles politiques qu’ont joués les ari</w:t>
      </w:r>
      <w:r w:rsidRPr="00031E0E">
        <w:t>s</w:t>
      </w:r>
      <w:r w:rsidRPr="00031E0E">
        <w:t>tocraties foncières et les classes paysannes au cours du processus qui a transformé les sociétés agraires… en sociétés industrielles modernes » (1969, p. 7).</w:t>
      </w:r>
    </w:p>
  </w:footnote>
  <w:footnote w:id="50">
    <w:p w14:paraId="33084D2C" w14:textId="77777777" w:rsidR="006C5FDB" w:rsidRDefault="006C5FDB">
      <w:pPr>
        <w:pStyle w:val="Notedebasdepage"/>
      </w:pPr>
      <w:r>
        <w:rPr>
          <w:rStyle w:val="Appelnotedebasdep"/>
        </w:rPr>
        <w:footnoteRef/>
      </w:r>
      <w:r>
        <w:t xml:space="preserve"> </w:t>
      </w:r>
      <w:r>
        <w:tab/>
      </w:r>
      <w:r w:rsidRPr="00031E0E">
        <w:t>Ainsi, pour s’en tenir au seul contraste entre l’Angleterre et la France d’Ancien Régime, Stein Rokkan propose un jeu plus complexe de vari</w:t>
      </w:r>
      <w:r w:rsidRPr="00031E0E">
        <w:t>a</w:t>
      </w:r>
      <w:r w:rsidRPr="00031E0E">
        <w:t>bles (parmi lesquelles il fait une place à part à la dimension géopolitique) dans un passage signif</w:t>
      </w:r>
      <w:r w:rsidRPr="00031E0E">
        <w:t>i</w:t>
      </w:r>
      <w:r w:rsidRPr="00031E0E">
        <w:t>catif (p. 586-587) de son article « Dimensions of State Formation and Nation Building » qui fait partie du recueil publié sous la d</w:t>
      </w:r>
      <w:r w:rsidRPr="00031E0E">
        <w:t>i</w:t>
      </w:r>
      <w:r w:rsidRPr="00031E0E">
        <w:t xml:space="preserve">rection de Charles Tilly, </w:t>
      </w:r>
      <w:r w:rsidRPr="00031E0E">
        <w:rPr>
          <w:i/>
          <w:iCs/>
        </w:rPr>
        <w:t>The Formation of National States in Western E</w:t>
      </w:r>
      <w:r w:rsidRPr="00031E0E">
        <w:rPr>
          <w:i/>
          <w:iCs/>
        </w:rPr>
        <w:t>u</w:t>
      </w:r>
      <w:r w:rsidRPr="00031E0E">
        <w:rPr>
          <w:i/>
          <w:iCs/>
        </w:rPr>
        <w:t xml:space="preserve">rope, </w:t>
      </w:r>
      <w:r w:rsidRPr="00031E0E">
        <w:t>Princeton, Princeton University Press, 1975.</w:t>
      </w:r>
    </w:p>
  </w:footnote>
  <w:footnote w:id="51">
    <w:p w14:paraId="60856487" w14:textId="77777777" w:rsidR="006C5FDB" w:rsidRDefault="006C5FDB">
      <w:pPr>
        <w:pStyle w:val="Notedebasdepage"/>
      </w:pPr>
      <w:r>
        <w:rPr>
          <w:rStyle w:val="Appelnotedebasdep"/>
        </w:rPr>
        <w:footnoteRef/>
      </w:r>
      <w:r>
        <w:t xml:space="preserve"> </w:t>
      </w:r>
      <w:r>
        <w:tab/>
      </w:r>
      <w:r w:rsidRPr="00031E0E">
        <w:t>Cette expression n’est pas en italique dans le texte original.</w:t>
      </w:r>
    </w:p>
  </w:footnote>
  <w:footnote w:id="52">
    <w:p w14:paraId="786E7D2F" w14:textId="77777777" w:rsidR="006C5FDB" w:rsidRDefault="006C5FDB">
      <w:pPr>
        <w:pStyle w:val="Notedebasdepage"/>
      </w:pPr>
      <w:r>
        <w:rPr>
          <w:rStyle w:val="Appelnotedebasdep"/>
        </w:rPr>
        <w:footnoteRef/>
      </w:r>
      <w:r>
        <w:t xml:space="preserve"> </w:t>
      </w:r>
      <w:r>
        <w:tab/>
      </w:r>
      <w:r w:rsidRPr="00031E0E">
        <w:t>En fait, Zimmermann applique également cette critique au trait</w:t>
      </w:r>
      <w:r w:rsidRPr="00031E0E">
        <w:t>e</w:t>
      </w:r>
      <w:r w:rsidRPr="00031E0E">
        <w:t>ment de l’État, ce qui nous paraît bien excessif.</w:t>
      </w:r>
    </w:p>
  </w:footnote>
  <w:footnote w:id="53">
    <w:p w14:paraId="41C574BA" w14:textId="77777777" w:rsidR="006C5FDB" w:rsidRDefault="006C5FDB">
      <w:pPr>
        <w:pStyle w:val="Notedebasdepage"/>
      </w:pPr>
      <w:r>
        <w:rPr>
          <w:rStyle w:val="Appelnotedebasdep"/>
        </w:rPr>
        <w:footnoteRef/>
      </w:r>
      <w:r>
        <w:t xml:space="preserve"> </w:t>
      </w:r>
      <w:r>
        <w:tab/>
      </w:r>
      <w:r w:rsidRPr="00031E0E">
        <w:t xml:space="preserve">Eric Wolf procède en effet, dans </w:t>
      </w:r>
      <w:r w:rsidRPr="00031E0E">
        <w:rPr>
          <w:i/>
          <w:iCs/>
        </w:rPr>
        <w:t xml:space="preserve">Les guerres paysannes du </w:t>
      </w:r>
      <w:r w:rsidRPr="00031E0E">
        <w:rPr>
          <w:i/>
          <w:iCs/>
          <w:smallCaps/>
        </w:rPr>
        <w:t>xx</w:t>
      </w:r>
      <w:r w:rsidRPr="00031E0E">
        <w:rPr>
          <w:i/>
          <w:iCs/>
          <w:vertAlign w:val="superscript"/>
        </w:rPr>
        <w:t>e</w:t>
      </w:r>
      <w:r w:rsidRPr="00031E0E">
        <w:rPr>
          <w:i/>
          <w:iCs/>
        </w:rPr>
        <w:t xml:space="preserve"> si</w:t>
      </w:r>
      <w:r w:rsidRPr="00031E0E">
        <w:rPr>
          <w:i/>
          <w:iCs/>
        </w:rPr>
        <w:t>è</w:t>
      </w:r>
      <w:r w:rsidRPr="00031E0E">
        <w:rPr>
          <w:i/>
          <w:iCs/>
        </w:rPr>
        <w:t xml:space="preserve">cle, </w:t>
      </w:r>
      <w:r w:rsidRPr="00031E0E">
        <w:t>à une comparaison entre six études de cas consacrées respectivement au Mexique, à la Russie, à la Chine, au Vietnam, à l’Algérie et à Cuba. On n</w:t>
      </w:r>
      <w:r w:rsidRPr="00031E0E">
        <w:t>o</w:t>
      </w:r>
      <w:r w:rsidRPr="00031E0E">
        <w:t>tera qu’un seul chapitre – la conclusion – comporte un essai de comparaison systém</w:t>
      </w:r>
      <w:r w:rsidRPr="00031E0E">
        <w:t>a</w:t>
      </w:r>
      <w:r w:rsidRPr="00031E0E">
        <w:t>tique.</w:t>
      </w:r>
    </w:p>
  </w:footnote>
  <w:footnote w:id="54">
    <w:p w14:paraId="4F1BD8C3" w14:textId="77777777" w:rsidR="006C5FDB" w:rsidRDefault="006C5FDB">
      <w:pPr>
        <w:pStyle w:val="Notedebasdepage"/>
      </w:pPr>
      <w:r>
        <w:rPr>
          <w:rStyle w:val="Appelnotedebasdep"/>
        </w:rPr>
        <w:footnoteRef/>
      </w:r>
      <w:r>
        <w:t xml:space="preserve"> </w:t>
      </w:r>
      <w:r>
        <w:tab/>
      </w:r>
      <w:r w:rsidRPr="00031E0E">
        <w:t>On assiste dans ces conditions, selon Wolf, à une lutte entre deux ordres : « L’ancien ordre n’a pas encore succombé et continue à défier le no</w:t>
      </w:r>
      <w:r w:rsidRPr="00031E0E">
        <w:t>u</w:t>
      </w:r>
      <w:r w:rsidRPr="00031E0E">
        <w:t>veau ; le nouveau n’a pas encore triomphé… Les groupes traditio</w:t>
      </w:r>
      <w:r w:rsidRPr="00031E0E">
        <w:t>n</w:t>
      </w:r>
      <w:r w:rsidRPr="00031E0E">
        <w:t>nels demeurent, bien qu’affaiblis, et les no</w:t>
      </w:r>
      <w:r w:rsidRPr="00031E0E">
        <w:t>u</w:t>
      </w:r>
      <w:r w:rsidRPr="00031E0E">
        <w:t>veaux groupes ne sont pas encore assez forts pour exercer vraiment le pouvoir. Cet état de ch</w:t>
      </w:r>
      <w:r w:rsidRPr="00031E0E">
        <w:t>o</w:t>
      </w:r>
      <w:r w:rsidRPr="00031E0E">
        <w:t>ses apparaît avec un relief particulier dans les situations coloniales où le capitalisme a été i</w:t>
      </w:r>
      <w:r w:rsidRPr="00031E0E">
        <w:t>m</w:t>
      </w:r>
      <w:r w:rsidRPr="00031E0E">
        <w:t>porté de l’étranger par la force des armes » (1974, p. 292).</w:t>
      </w:r>
    </w:p>
  </w:footnote>
  <w:footnote w:id="55">
    <w:p w14:paraId="7A579ED5" w14:textId="77777777" w:rsidR="006C5FDB" w:rsidRDefault="006C5FDB">
      <w:pPr>
        <w:pStyle w:val="Notedebasdepage"/>
      </w:pPr>
      <w:r>
        <w:rPr>
          <w:rStyle w:val="Appelnotedebasdep"/>
        </w:rPr>
        <w:footnoteRef/>
      </w:r>
      <w:r>
        <w:t xml:space="preserve"> </w:t>
      </w:r>
      <w:r>
        <w:tab/>
      </w:r>
      <w:r w:rsidRPr="00031E0E">
        <w:t>De façon spécifique, pour Paige, c’est la « combinaison de non-cultivateurs dépendant d’un revenu tiré de la terre et de cultivateurs dépendant d’un r</w:t>
      </w:r>
      <w:r w:rsidRPr="00031E0E">
        <w:t>e</w:t>
      </w:r>
      <w:r w:rsidRPr="00031E0E">
        <w:t>venu sous forme de paye qui conduit à une révolution » (1975, p. 71). Ce</w:t>
      </w:r>
      <w:r w:rsidRPr="00031E0E">
        <w:t>t</w:t>
      </w:r>
      <w:r w:rsidRPr="00031E0E">
        <w:t>te combinaison est caractéristique des systèmes de métayage d’une part, des systèmes de travail migratoire d’autre part : dans le premier cas, et plus pa</w:t>
      </w:r>
      <w:r w:rsidRPr="00031E0E">
        <w:t>r</w:t>
      </w:r>
      <w:r w:rsidRPr="00031E0E">
        <w:t>ticulièrement dans les systèmes décentralisés, les mouvements révolutio</w:t>
      </w:r>
      <w:r w:rsidRPr="00031E0E">
        <w:t>n</w:t>
      </w:r>
      <w:r w:rsidRPr="00031E0E">
        <w:t>naires tendront à prendre une orientation socialiste, tandis que dans le s</w:t>
      </w:r>
      <w:r w:rsidRPr="00031E0E">
        <w:t>e</w:t>
      </w:r>
      <w:r w:rsidRPr="00031E0E">
        <w:t>cond, surtout si le système est lié à une présence coloniale, ils auront plutôt une coloration nationaliste.</w:t>
      </w:r>
    </w:p>
  </w:footnote>
  <w:footnote w:id="56">
    <w:p w14:paraId="0E754419" w14:textId="77777777" w:rsidR="006C5FDB" w:rsidRDefault="006C5FDB">
      <w:pPr>
        <w:pStyle w:val="Notedebasdepage"/>
      </w:pPr>
      <w:r>
        <w:rPr>
          <w:rStyle w:val="Appelnotedebasdep"/>
        </w:rPr>
        <w:footnoteRef/>
      </w:r>
      <w:r>
        <w:t xml:space="preserve"> </w:t>
      </w:r>
      <w:r>
        <w:tab/>
      </w:r>
      <w:r w:rsidRPr="00031E0E">
        <w:t>Les ét</w:t>
      </w:r>
      <w:r w:rsidRPr="00031E0E">
        <w:t>u</w:t>
      </w:r>
      <w:r w:rsidRPr="00031E0E">
        <w:t>des de cas, qui occupent plus de la moitié de l’ouvrage de Paige, concernent respectivement le Pérou, l’Angola et le Vietnam. Elles sont pr</w:t>
      </w:r>
      <w:r w:rsidRPr="00031E0E">
        <w:t>é</w:t>
      </w:r>
      <w:r w:rsidRPr="00031E0E">
        <w:t>sentées comme des illustrations de systèmes bien définis de production agric</w:t>
      </w:r>
      <w:r w:rsidRPr="00031E0E">
        <w:t>o</w:t>
      </w:r>
      <w:r w:rsidRPr="00031E0E">
        <w:t>le : il est utile de noter pour notre propos que l’Angola représente un cas de sy</w:t>
      </w:r>
      <w:r w:rsidRPr="00031E0E">
        <w:t>s</w:t>
      </w:r>
      <w:r w:rsidRPr="00031E0E">
        <w:t>tème fondé sur le travail saisonnier et que le Vietnam constitue un exemple de système caractér</w:t>
      </w:r>
      <w:r w:rsidRPr="00031E0E">
        <w:t>i</w:t>
      </w:r>
      <w:r w:rsidRPr="00031E0E">
        <w:t>sé par le métayage, le Pérou correspondant, quant à lui, à la fois à l’hacienda et à la plant</w:t>
      </w:r>
      <w:r w:rsidRPr="00031E0E">
        <w:t>a</w:t>
      </w:r>
      <w:r w:rsidRPr="00031E0E">
        <w:t>tion.</w:t>
      </w:r>
    </w:p>
  </w:footnote>
  <w:footnote w:id="57">
    <w:p w14:paraId="43C22A28" w14:textId="77777777" w:rsidR="006C5FDB" w:rsidRDefault="006C5FDB">
      <w:pPr>
        <w:pStyle w:val="Notedebasdepage"/>
      </w:pPr>
      <w:r>
        <w:rPr>
          <w:rStyle w:val="Appelnotedebasdep"/>
        </w:rPr>
        <w:footnoteRef/>
      </w:r>
      <w:r>
        <w:t xml:space="preserve"> </w:t>
      </w:r>
      <w:r>
        <w:tab/>
      </w:r>
      <w:r w:rsidRPr="00031E0E">
        <w:t xml:space="preserve">Wolf insiste également </w:t>
      </w:r>
      <w:r w:rsidRPr="00031E0E">
        <w:rPr>
          <w:bCs/>
        </w:rPr>
        <w:t xml:space="preserve">sur le rôle </w:t>
      </w:r>
      <w:r w:rsidRPr="00031E0E">
        <w:t>des « paysans « libres » des régions pér</w:t>
      </w:r>
      <w:r w:rsidRPr="00031E0E">
        <w:t>i</w:t>
      </w:r>
      <w:r w:rsidRPr="00031E0E">
        <w:t>phériques » (1974, p. 300).</w:t>
      </w:r>
    </w:p>
  </w:footnote>
  <w:footnote w:id="58">
    <w:p w14:paraId="0AD8076B" w14:textId="77777777" w:rsidR="006C5FDB" w:rsidRDefault="006C5FDB">
      <w:pPr>
        <w:pStyle w:val="Notedebasdepage"/>
      </w:pPr>
      <w:r>
        <w:rPr>
          <w:rStyle w:val="Appelnotedebasdep"/>
        </w:rPr>
        <w:footnoteRef/>
      </w:r>
      <w:r>
        <w:t xml:space="preserve"> </w:t>
      </w:r>
      <w:r>
        <w:tab/>
      </w:r>
      <w:r w:rsidRPr="00031E0E">
        <w:t>Eisenstadt distingue en fait un troisième type idéal, le modèle de chang</w:t>
      </w:r>
      <w:r w:rsidRPr="00031E0E">
        <w:t>e</w:t>
      </w:r>
      <w:r w:rsidRPr="00031E0E">
        <w:t>ment exceptionnel, qui se rencontrerait dans les États-cités de l’Antiquité et qui, en dépit d’une convergence entre les divers mouv</w:t>
      </w:r>
      <w:r w:rsidRPr="00031E0E">
        <w:t>e</w:t>
      </w:r>
      <w:r w:rsidRPr="00031E0E">
        <w:t>ments de protestation et de lutte politique, n’aboutirait pas à des changements globaux dans les principaux se</w:t>
      </w:r>
      <w:r w:rsidRPr="00031E0E">
        <w:t>c</w:t>
      </w:r>
      <w:r w:rsidRPr="00031E0E">
        <w:t>teurs institutionnels (1978, p. 75).</w:t>
      </w:r>
    </w:p>
  </w:footnote>
  <w:footnote w:id="59">
    <w:p w14:paraId="1CA140E8" w14:textId="77777777" w:rsidR="006C5FDB" w:rsidRDefault="006C5FDB">
      <w:pPr>
        <w:pStyle w:val="Notedebasdepage"/>
      </w:pPr>
      <w:r>
        <w:rPr>
          <w:rStyle w:val="Appelnotedebasdep"/>
        </w:rPr>
        <w:footnoteRef/>
      </w:r>
      <w:r>
        <w:t xml:space="preserve"> </w:t>
      </w:r>
      <w:r>
        <w:tab/>
      </w:r>
      <w:r w:rsidRPr="00031E0E">
        <w:t>Eisenstadt lui-même insiste sur d’autres facteurs, de type struct</w:t>
      </w:r>
      <w:r w:rsidRPr="00031E0E">
        <w:t>u</w:t>
      </w:r>
      <w:r w:rsidRPr="00031E0E">
        <w:t>rel, tels qu’une forte différenci</w:t>
      </w:r>
      <w:r w:rsidRPr="00031E0E">
        <w:t>a</w:t>
      </w:r>
      <w:r w:rsidRPr="00031E0E">
        <w:t>tion entre le centre et la périphérie ou encore qu’un certain degré d’autonomie des élites.</w:t>
      </w:r>
    </w:p>
  </w:footnote>
  <w:footnote w:id="60">
    <w:p w14:paraId="7143BE20" w14:textId="77777777" w:rsidR="006C5FDB" w:rsidRDefault="006C5FDB">
      <w:pPr>
        <w:pStyle w:val="Notedebasdepage"/>
      </w:pPr>
      <w:r>
        <w:rPr>
          <w:rStyle w:val="Appelnotedebasdep"/>
        </w:rPr>
        <w:footnoteRef/>
      </w:r>
      <w:r>
        <w:t xml:space="preserve"> </w:t>
      </w:r>
      <w:r>
        <w:tab/>
      </w:r>
      <w:r w:rsidRPr="00031E0E">
        <w:t>Pour la constitution de cet intérêt, on pourra se repo</w:t>
      </w:r>
      <w:r w:rsidRPr="00031E0E">
        <w:t>r</w:t>
      </w:r>
      <w:r w:rsidRPr="00031E0E">
        <w:t>ter à notre article de 1975 sur la mobilisation. Michel Dobry procède dans sa thèse à une prése</w:t>
      </w:r>
      <w:r w:rsidRPr="00031E0E">
        <w:t>n</w:t>
      </w:r>
      <w:r w:rsidRPr="00031E0E">
        <w:t>tation du courant de la « mobilisation des ressources » qui fait bien ressortir son incontestable apport mais aussi ses limites.</w:t>
      </w:r>
    </w:p>
  </w:footnote>
  <w:footnote w:id="61">
    <w:p w14:paraId="4EE1B428" w14:textId="77777777" w:rsidR="006C5FDB" w:rsidRDefault="006C5FDB">
      <w:pPr>
        <w:pStyle w:val="Notedebasdepage"/>
      </w:pPr>
      <w:r>
        <w:rPr>
          <w:rStyle w:val="Appelnotedebasdep"/>
        </w:rPr>
        <w:footnoteRef/>
      </w:r>
      <w:r>
        <w:t xml:space="preserve"> </w:t>
      </w:r>
      <w:r>
        <w:tab/>
      </w:r>
      <w:r w:rsidRPr="00031E0E">
        <w:t>Anthony Oberschall aborde, à deux reprises, la question de la r</w:t>
      </w:r>
      <w:r w:rsidRPr="00031E0E">
        <w:t>é</w:t>
      </w:r>
      <w:r w:rsidRPr="00031E0E">
        <w:t>volution dans son livre (1973, p. 81-84, p. 254-256).</w:t>
      </w:r>
    </w:p>
  </w:footnote>
  <w:footnote w:id="62">
    <w:p w14:paraId="43C936FA" w14:textId="77777777" w:rsidR="006C5FDB" w:rsidRDefault="006C5FDB">
      <w:pPr>
        <w:pStyle w:val="Notedebasdepage"/>
      </w:pPr>
      <w:r>
        <w:rPr>
          <w:rStyle w:val="Appelnotedebasdep"/>
        </w:rPr>
        <w:footnoteRef/>
      </w:r>
      <w:r>
        <w:t xml:space="preserve"> </w:t>
      </w:r>
      <w:r>
        <w:tab/>
      </w:r>
      <w:r w:rsidRPr="00031E0E">
        <w:t>Pour bien comprendre la conception de la révol</w:t>
      </w:r>
      <w:r w:rsidRPr="00031E0E">
        <w:t>u</w:t>
      </w:r>
      <w:r w:rsidRPr="00031E0E">
        <w:t>tion défendue par Amann, il vaut sans doute la peine de citer la phrase qui suit immédiatement la déf</w:t>
      </w:r>
      <w:r w:rsidRPr="00031E0E">
        <w:t>i</w:t>
      </w:r>
      <w:r w:rsidRPr="00031E0E">
        <w:t>nition : « As I define it, revolution prevails when the st</w:t>
      </w:r>
      <w:r w:rsidRPr="00031E0E">
        <w:t>a</w:t>
      </w:r>
      <w:r w:rsidRPr="00031E0E">
        <w:t>te’s monopoly of power is effectively challenged and persists until a monopoly of p</w:t>
      </w:r>
      <w:r w:rsidRPr="00031E0E">
        <w:t>o</w:t>
      </w:r>
      <w:r w:rsidRPr="00031E0E">
        <w:t>wer is reestabli</w:t>
      </w:r>
      <w:r w:rsidRPr="00031E0E">
        <w:t>s</w:t>
      </w:r>
      <w:r w:rsidRPr="00031E0E">
        <w:t>hed » (1962, p. 39). Les critiques, parmi lesquelles on peut citer celles de L</w:t>
      </w:r>
      <w:r w:rsidRPr="00031E0E">
        <w:t>a</w:t>
      </w:r>
      <w:r w:rsidRPr="00031E0E">
        <w:t>wrence Stone (1966, pp. 174-175) et d’Eugène Kamenka (1966, p. 131-132), ont généralement porté sur le manque de spécificité de la déf</w:t>
      </w:r>
      <w:r w:rsidRPr="00031E0E">
        <w:t>i</w:t>
      </w:r>
      <w:r w:rsidRPr="00031E0E">
        <w:t>nition, ainsi que sur ses limites en tant qu’outil d’analyse.</w:t>
      </w:r>
    </w:p>
  </w:footnote>
  <w:footnote w:id="63">
    <w:p w14:paraId="194EE37F" w14:textId="77777777" w:rsidR="006C5FDB" w:rsidRDefault="006C5FDB">
      <w:pPr>
        <w:pStyle w:val="Notedebasdepage"/>
      </w:pPr>
      <w:r>
        <w:rPr>
          <w:rStyle w:val="Appelnotedebasdep"/>
        </w:rPr>
        <w:footnoteRef/>
      </w:r>
      <w:r>
        <w:t xml:space="preserve"> </w:t>
      </w:r>
      <w:r>
        <w:tab/>
      </w:r>
      <w:r w:rsidRPr="00031E0E">
        <w:t>Dans son article, que nous avons d</w:t>
      </w:r>
      <w:r w:rsidRPr="00031E0E">
        <w:t>é</w:t>
      </w:r>
      <w:r w:rsidRPr="00031E0E">
        <w:t xml:space="preserve">jà cité à plusieurs reprises, Rod </w:t>
      </w:r>
      <w:r w:rsidRPr="00031E0E">
        <w:rPr>
          <w:bCs/>
        </w:rPr>
        <w:t xml:space="preserve">Aya défend avec vigueur </w:t>
      </w:r>
      <w:r w:rsidRPr="00031E0E">
        <w:t>et talent un point de vue an</w:t>
      </w:r>
      <w:r w:rsidRPr="00031E0E">
        <w:t>a</w:t>
      </w:r>
      <w:r w:rsidRPr="00031E0E">
        <w:t>logue.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FAB0" w14:textId="77777777" w:rsidR="006C5FDB" w:rsidRDefault="006C5FDB" w:rsidP="006C5FD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François Chazel, “Les ruptures révolutionnaires.”</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A677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6FA40EC5" w14:textId="77777777" w:rsidR="006C5FDB" w:rsidRDefault="006C5FD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40D08"/>
    <w:multiLevelType w:val="singleLevel"/>
    <w:tmpl w:val="2012A02E"/>
    <w:lvl w:ilvl="0">
      <w:start w:val="28"/>
      <w:numFmt w:val="decimal"/>
      <w:lvlText w:val="%1."/>
      <w:legacy w:legacy="1" w:legacySpace="0" w:legacyIndent="259"/>
      <w:lvlJc w:val="left"/>
      <w:rPr>
        <w:rFonts w:ascii="Times New Roman" w:hAnsi="Times New Roman" w:hint="default"/>
      </w:rPr>
    </w:lvl>
  </w:abstractNum>
  <w:abstractNum w:abstractNumId="2" w15:restartNumberingAfterBreak="0">
    <w:nsid w:val="10E4248F"/>
    <w:multiLevelType w:val="singleLevel"/>
    <w:tmpl w:val="502C13AE"/>
    <w:lvl w:ilvl="0">
      <w:start w:val="1"/>
      <w:numFmt w:val="decimal"/>
      <w:lvlText w:val="%1)"/>
      <w:legacy w:legacy="1" w:legacySpace="0" w:legacyIndent="249"/>
      <w:lvlJc w:val="left"/>
      <w:rPr>
        <w:rFonts w:ascii="Times New Roman" w:hAnsi="Times New Roman" w:hint="default"/>
      </w:rPr>
    </w:lvl>
  </w:abstractNum>
  <w:abstractNum w:abstractNumId="3" w15:restartNumberingAfterBreak="0">
    <w:nsid w:val="29491BBB"/>
    <w:multiLevelType w:val="singleLevel"/>
    <w:tmpl w:val="FD589FFC"/>
    <w:lvl w:ilvl="0">
      <w:start w:val="18"/>
      <w:numFmt w:val="decimal"/>
      <w:lvlText w:val="%1."/>
      <w:legacy w:legacy="1" w:legacySpace="0" w:legacyIndent="269"/>
      <w:lvlJc w:val="left"/>
      <w:rPr>
        <w:rFonts w:ascii="Times New Roman" w:hAnsi="Times New Roman" w:hint="default"/>
      </w:rPr>
    </w:lvl>
  </w:abstractNum>
  <w:abstractNum w:abstractNumId="4" w15:restartNumberingAfterBreak="0">
    <w:nsid w:val="39FD5C98"/>
    <w:multiLevelType w:val="singleLevel"/>
    <w:tmpl w:val="1520ED92"/>
    <w:lvl w:ilvl="0">
      <w:start w:val="38"/>
      <w:numFmt w:val="decimal"/>
      <w:lvlText w:val="%1."/>
      <w:legacy w:legacy="1" w:legacySpace="0" w:legacyIndent="274"/>
      <w:lvlJc w:val="left"/>
      <w:rPr>
        <w:rFonts w:ascii="Times New Roman" w:hAnsi="Times New Roman" w:hint="default"/>
      </w:rPr>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0283F"/>
    <w:multiLevelType w:val="singleLevel"/>
    <w:tmpl w:val="467EE1FA"/>
    <w:lvl w:ilvl="0">
      <w:start w:val="11"/>
      <w:numFmt w:val="decimal"/>
      <w:lvlText w:val="%1."/>
      <w:legacy w:legacy="1" w:legacySpace="0" w:legacyIndent="250"/>
      <w:lvlJc w:val="left"/>
      <w:rPr>
        <w:rFonts w:ascii="Times New Roman" w:hAnsi="Times New Roman" w:hint="default"/>
      </w:rPr>
    </w:lvl>
  </w:abstractNum>
  <w:abstractNum w:abstractNumId="7" w15:restartNumberingAfterBreak="0">
    <w:nsid w:val="3FC23BCD"/>
    <w:multiLevelType w:val="singleLevel"/>
    <w:tmpl w:val="E6E2FF16"/>
    <w:lvl w:ilvl="0">
      <w:start w:val="3"/>
      <w:numFmt w:val="decimal"/>
      <w:lvlText w:val="%1)"/>
      <w:legacy w:legacy="1" w:legacySpace="0" w:legacyIndent="249"/>
      <w:lvlJc w:val="left"/>
      <w:rPr>
        <w:rFonts w:ascii="Times New Roman" w:hAnsi="Times New Roman" w:hint="default"/>
      </w:rPr>
    </w:lvl>
  </w:abstractNum>
  <w:abstractNum w:abstractNumId="8" w15:restartNumberingAfterBreak="0">
    <w:nsid w:val="47A252F0"/>
    <w:multiLevelType w:val="singleLevel"/>
    <w:tmpl w:val="352E7226"/>
    <w:lvl w:ilvl="0">
      <w:start w:val="7"/>
      <w:numFmt w:val="decimal"/>
      <w:lvlText w:val="%1)"/>
      <w:legacy w:legacy="1" w:legacySpace="0" w:legacyIndent="249"/>
      <w:lvlJc w:val="left"/>
      <w:rPr>
        <w:rFonts w:ascii="Times New Roman" w:hAnsi="Times New Roman" w:hint="default"/>
      </w:rPr>
    </w:lvl>
  </w:abstractNum>
  <w:abstractNum w:abstractNumId="9" w15:restartNumberingAfterBreak="0">
    <w:nsid w:val="54272BF1"/>
    <w:multiLevelType w:val="singleLevel"/>
    <w:tmpl w:val="EF0E8EF0"/>
    <w:lvl w:ilvl="0">
      <w:start w:val="40"/>
      <w:numFmt w:val="decimal"/>
      <w:lvlText w:val="%1."/>
      <w:legacy w:legacy="1" w:legacySpace="0" w:legacyIndent="274"/>
      <w:lvlJc w:val="left"/>
      <w:rPr>
        <w:rFonts w:ascii="Times New Roman" w:hAnsi="Times New Roman" w:hint="default"/>
      </w:rPr>
    </w:lvl>
  </w:abstractNum>
  <w:abstractNum w:abstractNumId="10" w15:restartNumberingAfterBreak="0">
    <w:nsid w:val="5AD13F8E"/>
    <w:multiLevelType w:val="singleLevel"/>
    <w:tmpl w:val="B5180298"/>
    <w:lvl w:ilvl="0">
      <w:start w:val="2"/>
      <w:numFmt w:val="decimal"/>
      <w:lvlText w:val="%1."/>
      <w:legacy w:legacy="1" w:legacySpace="0" w:legacyIndent="192"/>
      <w:lvlJc w:val="left"/>
      <w:rPr>
        <w:rFonts w:ascii="Times New Roman" w:hAnsi="Times New Roman" w:hint="default"/>
      </w:rPr>
    </w:lvl>
  </w:abstractNum>
  <w:abstractNum w:abstractNumId="11" w15:restartNumberingAfterBreak="0">
    <w:nsid w:val="6FE91172"/>
    <w:multiLevelType w:val="singleLevel"/>
    <w:tmpl w:val="07A24522"/>
    <w:lvl w:ilvl="0">
      <w:start w:val="5"/>
      <w:numFmt w:val="decimal"/>
      <w:lvlText w:val="%1."/>
      <w:legacy w:legacy="1" w:legacySpace="0" w:legacyIndent="192"/>
      <w:lvlJc w:val="left"/>
      <w:rPr>
        <w:rFonts w:ascii="Times New Roman" w:hAnsi="Times New Roman" w:hint="default"/>
      </w:rPr>
    </w:lvl>
  </w:abstractNum>
  <w:abstractNum w:abstractNumId="12" w15:restartNumberingAfterBreak="0">
    <w:nsid w:val="7C813F6E"/>
    <w:multiLevelType w:val="singleLevel"/>
    <w:tmpl w:val="51B641A2"/>
    <w:lvl w:ilvl="0">
      <w:start w:val="14"/>
      <w:numFmt w:val="decimal"/>
      <w:lvlText w:val="%1."/>
      <w:legacy w:legacy="1" w:legacySpace="0" w:legacyIndent="245"/>
      <w:lvlJc w:val="left"/>
      <w:rPr>
        <w:rFonts w:ascii="Times New Roman" w:hAnsi="Times New Roman" w:hint="default"/>
      </w:rPr>
    </w:lvl>
  </w:abstractNum>
  <w:abstractNum w:abstractNumId="13" w15:restartNumberingAfterBreak="0">
    <w:nsid w:val="7D045605"/>
    <w:multiLevelType w:val="singleLevel"/>
    <w:tmpl w:val="9F0AF1E2"/>
    <w:lvl w:ilvl="0">
      <w:start w:val="24"/>
      <w:numFmt w:val="decimal"/>
      <w:lvlText w:val="%1."/>
      <w:legacy w:legacy="1" w:legacySpace="0" w:legacyIndent="264"/>
      <w:lvlJc w:val="left"/>
      <w:rPr>
        <w:rFonts w:ascii="Times New Roman" w:hAnsi="Times New Roman" w:hint="default"/>
      </w:rPr>
    </w:lvl>
  </w:abstractNum>
  <w:num w:numId="1" w16cid:durableId="1640572126">
    <w:abstractNumId w:val="5"/>
  </w:num>
  <w:num w:numId="2" w16cid:durableId="435639120">
    <w:abstractNumId w:val="0"/>
  </w:num>
  <w:num w:numId="3" w16cid:durableId="2004233948">
    <w:abstractNumId w:val="10"/>
  </w:num>
  <w:num w:numId="4" w16cid:durableId="1943955152">
    <w:abstractNumId w:val="11"/>
  </w:num>
  <w:num w:numId="5" w16cid:durableId="2110538057">
    <w:abstractNumId w:val="6"/>
  </w:num>
  <w:num w:numId="6" w16cid:durableId="1648439844">
    <w:abstractNumId w:val="12"/>
  </w:num>
  <w:num w:numId="7" w16cid:durableId="1018383470">
    <w:abstractNumId w:val="3"/>
  </w:num>
  <w:num w:numId="8" w16cid:durableId="1277634409">
    <w:abstractNumId w:val="13"/>
  </w:num>
  <w:num w:numId="9" w16cid:durableId="692338624">
    <w:abstractNumId w:val="1"/>
  </w:num>
  <w:num w:numId="10" w16cid:durableId="1963075875">
    <w:abstractNumId w:val="4"/>
  </w:num>
  <w:num w:numId="11" w16cid:durableId="1602755793">
    <w:abstractNumId w:val="9"/>
  </w:num>
  <w:num w:numId="12" w16cid:durableId="832986454">
    <w:abstractNumId w:val="2"/>
  </w:num>
  <w:num w:numId="13" w16cid:durableId="1860502579">
    <w:abstractNumId w:val="7"/>
  </w:num>
  <w:num w:numId="14" w16cid:durableId="1151406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A677F"/>
    <w:rsid w:val="006C5FDB"/>
    <w:rsid w:val="00AE7AA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0C3EB1"/>
  <w15:chartTrackingRefBased/>
  <w15:docId w15:val="{7782894B-9E14-6A46-BFE3-A8FAFD02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DD6B87"/>
    <w:rPr>
      <w:rFonts w:eastAsia="Times New Roman"/>
      <w:noProof/>
      <w:lang w:val="fr-CA" w:eastAsia="en-US" w:bidi="ar-SA"/>
    </w:rPr>
  </w:style>
  <w:style w:type="character" w:customStyle="1" w:styleId="Titre2Car">
    <w:name w:val="Titre 2 Car"/>
    <w:basedOn w:val="Policepardfaut"/>
    <w:link w:val="Titre2"/>
    <w:rsid w:val="00DD6B87"/>
    <w:rPr>
      <w:rFonts w:eastAsia="Times New Roman"/>
      <w:noProof/>
      <w:lang w:val="fr-CA" w:eastAsia="en-US" w:bidi="ar-SA"/>
    </w:rPr>
  </w:style>
  <w:style w:type="character" w:customStyle="1" w:styleId="Titre3Car">
    <w:name w:val="Titre 3 Car"/>
    <w:basedOn w:val="Policepardfaut"/>
    <w:link w:val="Titre3"/>
    <w:rsid w:val="00DD6B87"/>
    <w:rPr>
      <w:rFonts w:eastAsia="Times New Roman"/>
      <w:noProof/>
      <w:lang w:val="fr-CA" w:eastAsia="en-US" w:bidi="ar-SA"/>
    </w:rPr>
  </w:style>
  <w:style w:type="character" w:customStyle="1" w:styleId="Titre4Car">
    <w:name w:val="Titre 4 Car"/>
    <w:basedOn w:val="Policepardfaut"/>
    <w:link w:val="Titre4"/>
    <w:rsid w:val="00DD6B87"/>
    <w:rPr>
      <w:rFonts w:eastAsia="Times New Roman"/>
      <w:noProof/>
      <w:lang w:val="fr-CA" w:eastAsia="en-US" w:bidi="ar-SA"/>
    </w:rPr>
  </w:style>
  <w:style w:type="character" w:customStyle="1" w:styleId="Titre5Car">
    <w:name w:val="Titre 5 Car"/>
    <w:basedOn w:val="Policepardfaut"/>
    <w:link w:val="Titre5"/>
    <w:rsid w:val="00DD6B87"/>
    <w:rPr>
      <w:rFonts w:eastAsia="Times New Roman"/>
      <w:noProof/>
      <w:lang w:val="fr-CA" w:eastAsia="en-US" w:bidi="ar-SA"/>
    </w:rPr>
  </w:style>
  <w:style w:type="character" w:customStyle="1" w:styleId="Titre6Car">
    <w:name w:val="Titre 6 Car"/>
    <w:basedOn w:val="Policepardfaut"/>
    <w:link w:val="Titre6"/>
    <w:rsid w:val="00DD6B87"/>
    <w:rPr>
      <w:rFonts w:eastAsia="Times New Roman"/>
      <w:noProof/>
      <w:lang w:val="fr-CA" w:eastAsia="en-US" w:bidi="ar-SA"/>
    </w:rPr>
  </w:style>
  <w:style w:type="character" w:customStyle="1" w:styleId="Titre7Car">
    <w:name w:val="Titre 7 Car"/>
    <w:basedOn w:val="Policepardfaut"/>
    <w:link w:val="Titre7"/>
    <w:rsid w:val="00DD6B87"/>
    <w:rPr>
      <w:rFonts w:eastAsia="Times New Roman"/>
      <w:noProof/>
      <w:lang w:val="fr-CA" w:eastAsia="en-US" w:bidi="ar-SA"/>
    </w:rPr>
  </w:style>
  <w:style w:type="character" w:customStyle="1" w:styleId="Titre8Car">
    <w:name w:val="Titre 8 Car"/>
    <w:basedOn w:val="Policepardfaut"/>
    <w:link w:val="Titre8"/>
    <w:rsid w:val="00DD6B87"/>
    <w:rPr>
      <w:rFonts w:eastAsia="Times New Roman"/>
      <w:noProof/>
      <w:lang w:val="fr-CA" w:eastAsia="en-US" w:bidi="ar-SA"/>
    </w:rPr>
  </w:style>
  <w:style w:type="character" w:customStyle="1" w:styleId="Titre9Car">
    <w:name w:val="Titre 9 Car"/>
    <w:basedOn w:val="Policepardfaut"/>
    <w:link w:val="Titre9"/>
    <w:rsid w:val="00DD6B8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DD6B87"/>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DD6B87"/>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D6B87"/>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55D07"/>
    <w:pPr>
      <w:ind w:left="567" w:hanging="567"/>
      <w:jc w:val="both"/>
    </w:pPr>
    <w:rPr>
      <w:color w:val="000000"/>
      <w:sz w:val="24"/>
      <w:szCs w:val="24"/>
    </w:rPr>
  </w:style>
  <w:style w:type="character" w:customStyle="1" w:styleId="NotedebasdepageCar">
    <w:name w:val="Note de bas de page Car"/>
    <w:basedOn w:val="Policepardfaut"/>
    <w:link w:val="Notedebasdepage"/>
    <w:rsid w:val="00B55D07"/>
    <w:rPr>
      <w:rFonts w:ascii="Times New Roman" w:eastAsia="Times New Roman" w:hAnsi="Times New Roman"/>
      <w:color w:val="000000"/>
      <w:sz w:val="24"/>
      <w:szCs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D6B87"/>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DD6B87"/>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D6B87"/>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DD6B87"/>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DD6B87"/>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072BC8"/>
    <w:pPr>
      <w:spacing w:before="60"/>
    </w:pPr>
    <w:rPr>
      <w:i w:val="0"/>
      <w:sz w:val="40"/>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F60E6C"/>
    <w:pPr>
      <w:tabs>
        <w:tab w:val="right" w:pos="9360"/>
      </w:tabs>
      <w:ind w:firstLine="0"/>
      <w:jc w:val="center"/>
    </w:p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506AC"/>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DD6B87"/>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374F7"/>
    <w:pPr>
      <w:ind w:firstLine="0"/>
      <w:jc w:val="left"/>
    </w:pPr>
    <w:rPr>
      <w:b/>
      <w:i/>
      <w:iCs/>
      <w:color w:val="FF0000"/>
      <w:sz w:val="32"/>
      <w:szCs w:val="16"/>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DD6B87"/>
    <w:rPr>
      <w:rFonts w:ascii="Arial" w:eastAsia="Times New Roman" w:hAnsi="Arial"/>
      <w:sz w:val="28"/>
    </w:rPr>
  </w:style>
  <w:style w:type="paragraph" w:styleId="Corpsdetexte2">
    <w:name w:val="Body Text 2"/>
    <w:basedOn w:val="Normal"/>
    <w:link w:val="Corpsdetexte2Car"/>
    <w:rsid w:val="00DD6B87"/>
    <w:pPr>
      <w:jc w:val="both"/>
    </w:pPr>
    <w:rPr>
      <w:rFonts w:ascii="Arial" w:hAnsi="Arial"/>
      <w:lang w:eastAsia="fr-FR"/>
    </w:rPr>
  </w:style>
  <w:style w:type="character" w:customStyle="1" w:styleId="Corpsdetexte3Car">
    <w:name w:val="Corps de texte 3 Car"/>
    <w:basedOn w:val="Policepardfaut"/>
    <w:link w:val="Corpsdetexte3"/>
    <w:rsid w:val="00DD6B87"/>
    <w:rPr>
      <w:rFonts w:ascii="Arial" w:eastAsia="Times New Roman" w:hAnsi="Arial"/>
    </w:rPr>
  </w:style>
  <w:style w:type="paragraph" w:styleId="Corpsdetexte3">
    <w:name w:val="Body Text 3"/>
    <w:basedOn w:val="Normal"/>
    <w:link w:val="Corpsdetexte3Car"/>
    <w:rsid w:val="00DD6B87"/>
    <w:pPr>
      <w:tabs>
        <w:tab w:val="left" w:pos="510"/>
        <w:tab w:val="left" w:pos="510"/>
      </w:tabs>
      <w:jc w:val="both"/>
    </w:pPr>
    <w:rPr>
      <w:rFonts w:ascii="Arial" w:hAnsi="Arial"/>
      <w:sz w:val="20"/>
      <w:lang w:eastAsia="fr-FR"/>
    </w:rPr>
  </w:style>
  <w:style w:type="character" w:customStyle="1" w:styleId="Caractresdenotedefin">
    <w:name w:val="Caractères de note de fin"/>
    <w:basedOn w:val="Policepardfaut"/>
    <w:rsid w:val="00DD6B87"/>
    <w:rPr>
      <w:vertAlign w:val="superscript"/>
    </w:rPr>
  </w:style>
  <w:style w:type="character" w:customStyle="1" w:styleId="Caractresdenotedebasdepage">
    <w:name w:val="Caractères de note de bas de page"/>
    <w:basedOn w:val="Policepardfaut"/>
    <w:rsid w:val="00DD6B87"/>
    <w:rPr>
      <w:color w:val="FF0000"/>
      <w:position w:val="2"/>
      <w:sz w:val="20"/>
    </w:rPr>
  </w:style>
  <w:style w:type="character" w:customStyle="1" w:styleId="Textenonproportionnel">
    <w:name w:val="Texte non proportionnel"/>
    <w:rsid w:val="00DD6B87"/>
    <w:rPr>
      <w:rFonts w:ascii="Liberation Mono" w:eastAsia="Courier New" w:hAnsi="Liberation Mono" w:cs="Liberation Mono"/>
    </w:rPr>
  </w:style>
  <w:style w:type="paragraph" w:styleId="Liste">
    <w:name w:val="List"/>
    <w:basedOn w:val="Corpsdetexte"/>
    <w:rsid w:val="00DD6B87"/>
    <w:pPr>
      <w:ind w:firstLine="360"/>
    </w:pPr>
    <w:rPr>
      <w:rFonts w:cs="Lohit Devanagari"/>
      <w:lang w:eastAsia="fr-FR"/>
    </w:rPr>
  </w:style>
  <w:style w:type="paragraph" w:customStyle="1" w:styleId="Index">
    <w:name w:val="Index"/>
    <w:basedOn w:val="Normal"/>
    <w:rsid w:val="00DD6B87"/>
    <w:pPr>
      <w:suppressLineNumbers/>
    </w:pPr>
    <w:rPr>
      <w:rFonts w:cs="Lohit Devanagari"/>
    </w:rPr>
  </w:style>
  <w:style w:type="character" w:customStyle="1" w:styleId="Corpsdetexte2Car1">
    <w:name w:val="Corps de texte 2 Car1"/>
    <w:basedOn w:val="Policepardfaut"/>
    <w:link w:val="Corpsdetexte2"/>
    <w:rsid w:val="00DD6B87"/>
    <w:rPr>
      <w:rFonts w:ascii="Times New Roman" w:eastAsia="Times New Roman" w:hAnsi="Times New Roman"/>
      <w:sz w:val="28"/>
      <w:lang w:eastAsia="en-US"/>
    </w:rPr>
  </w:style>
  <w:style w:type="character" w:customStyle="1" w:styleId="Corpsdetexte3Car1">
    <w:name w:val="Corps de texte 3 Car1"/>
    <w:basedOn w:val="Policepardfaut"/>
    <w:link w:val="Corpsdetexte3"/>
    <w:rsid w:val="00DD6B87"/>
    <w:rPr>
      <w:rFonts w:ascii="Times New Roman" w:eastAsia="Times New Roman" w:hAnsi="Times New Roman"/>
      <w:sz w:val="16"/>
      <w:szCs w:val="16"/>
      <w:lang w:eastAsia="en-US"/>
    </w:rPr>
  </w:style>
  <w:style w:type="paragraph" w:customStyle="1" w:styleId="Contenudetableau">
    <w:name w:val="Contenu de tableau"/>
    <w:basedOn w:val="Normal"/>
    <w:rsid w:val="00DD6B87"/>
    <w:pPr>
      <w:suppressLineNumbers/>
    </w:pPr>
  </w:style>
  <w:style w:type="paragraph" w:customStyle="1" w:styleId="Titredetableau">
    <w:name w:val="Titre de tableau"/>
    <w:basedOn w:val="Contenudetableau"/>
    <w:rsid w:val="00DD6B87"/>
    <w:pPr>
      <w:jc w:val="center"/>
    </w:pPr>
    <w:rPr>
      <w:b/>
      <w:bCs/>
    </w:rPr>
  </w:style>
  <w:style w:type="paragraph" w:customStyle="1" w:styleId="aa">
    <w:name w:val="aa"/>
    <w:basedOn w:val="Normal"/>
    <w:autoRedefine/>
    <w:rsid w:val="00DD6B87"/>
    <w:pPr>
      <w:spacing w:before="120" w:after="120"/>
      <w:jc w:val="both"/>
    </w:pPr>
    <w:rPr>
      <w:b/>
      <w:i/>
      <w:color w:val="FF0000"/>
      <w:sz w:val="32"/>
      <w:lang w:bidi="fr-FR"/>
    </w:rPr>
  </w:style>
  <w:style w:type="paragraph" w:customStyle="1" w:styleId="b">
    <w:name w:val="b"/>
    <w:basedOn w:val="Normal"/>
    <w:autoRedefine/>
    <w:rsid w:val="004374F7"/>
    <w:pPr>
      <w:spacing w:before="120" w:after="120"/>
      <w:ind w:left="720" w:firstLine="0"/>
    </w:pPr>
    <w:rPr>
      <w:i/>
      <w:color w:val="0000FF"/>
      <w:lang w:eastAsia="fr-FR" w:bidi="fr-FR"/>
    </w:rPr>
  </w:style>
  <w:style w:type="paragraph" w:customStyle="1" w:styleId="bb">
    <w:name w:val="bb"/>
    <w:basedOn w:val="Normal"/>
    <w:rsid w:val="00DD6B87"/>
    <w:pPr>
      <w:spacing w:before="120" w:after="120"/>
      <w:ind w:left="540"/>
    </w:pPr>
    <w:rPr>
      <w:i/>
      <w:color w:val="0000FF"/>
      <w:lang w:bidi="fr-FR"/>
    </w:rPr>
  </w:style>
  <w:style w:type="paragraph" w:customStyle="1" w:styleId="dd">
    <w:name w:val="dd"/>
    <w:basedOn w:val="Normal"/>
    <w:autoRedefine/>
    <w:rsid w:val="007D2D90"/>
    <w:pPr>
      <w:spacing w:before="120" w:after="120"/>
      <w:ind w:left="1080"/>
    </w:pPr>
    <w:rPr>
      <w:i/>
      <w:color w:val="008000"/>
      <w:lang w:bidi="fr-FR"/>
    </w:rPr>
  </w:style>
  <w:style w:type="paragraph" w:customStyle="1" w:styleId="figlgende">
    <w:name w:val="fig légende"/>
    <w:basedOn w:val="Normal0"/>
    <w:rsid w:val="00DD6B87"/>
    <w:rPr>
      <w:color w:val="000090"/>
      <w:sz w:val="24"/>
      <w:szCs w:val="16"/>
      <w:lang w:eastAsia="fr-FR"/>
    </w:rPr>
  </w:style>
  <w:style w:type="paragraph" w:customStyle="1" w:styleId="figst">
    <w:name w:val="fig st"/>
    <w:basedOn w:val="Normal"/>
    <w:autoRedefine/>
    <w:rsid w:val="00DD6B87"/>
    <w:pPr>
      <w:spacing w:before="120" w:after="120"/>
      <w:jc w:val="center"/>
    </w:pPr>
    <w:rPr>
      <w:rFonts w:cs="Arial"/>
      <w:color w:val="000090"/>
      <w:sz w:val="24"/>
      <w:szCs w:val="16"/>
    </w:rPr>
  </w:style>
  <w:style w:type="paragraph" w:customStyle="1" w:styleId="figtitre">
    <w:name w:val="fig titre"/>
    <w:basedOn w:val="Normal"/>
    <w:autoRedefine/>
    <w:rsid w:val="00C63314"/>
    <w:pPr>
      <w:spacing w:before="120" w:after="240"/>
      <w:jc w:val="center"/>
    </w:pPr>
    <w:rPr>
      <w:rFonts w:cs="Arial"/>
      <w:b/>
      <w:bCs/>
      <w:color w:val="000000"/>
      <w:sz w:val="24"/>
      <w:szCs w:val="12"/>
    </w:rPr>
  </w:style>
  <w:style w:type="character" w:customStyle="1" w:styleId="Caractresdenumrotation">
    <w:name w:val="Caractères de numérotation"/>
    <w:rsid w:val="00DB66A9"/>
  </w:style>
  <w:style w:type="character" w:customStyle="1" w:styleId="Textesource">
    <w:name w:val="Texte source"/>
    <w:rsid w:val="00E803D7"/>
    <w:rPr>
      <w:rFonts w:ascii="Liberation Mono" w:eastAsia="Courier New" w:hAnsi="Liberation Mono" w:cs="Liberation Mono"/>
    </w:rPr>
  </w:style>
  <w:style w:type="paragraph" w:customStyle="1" w:styleId="planchest0">
    <w:name w:val="planche_st 0"/>
    <w:basedOn w:val="planchest"/>
    <w:autoRedefine/>
    <w:rsid w:val="004374F7"/>
    <w:rPr>
      <w:i/>
      <w:color w:val="000090"/>
      <w:sz w:val="36"/>
    </w:rPr>
  </w:style>
  <w:style w:type="paragraph" w:customStyle="1" w:styleId="planchesti">
    <w:name w:val="planche_st i"/>
    <w:basedOn w:val="planchest"/>
    <w:autoRedefine/>
    <w:rsid w:val="004374F7"/>
    <w:rPr>
      <w:i/>
      <w:color w:val="000090"/>
    </w:rPr>
  </w:style>
  <w:style w:type="paragraph" w:customStyle="1" w:styleId="biblio">
    <w:name w:val="biblio"/>
    <w:basedOn w:val="Normal"/>
    <w:autoRedefine/>
    <w:rsid w:val="004C2192"/>
    <w:pPr>
      <w:spacing w:before="120" w:after="120"/>
      <w:jc w:val="both"/>
    </w:pPr>
    <w:rPr>
      <w:sz w:val="24"/>
      <w:szCs w:val="24"/>
    </w:rPr>
  </w:style>
  <w:style w:type="paragraph" w:customStyle="1" w:styleId="d">
    <w:name w:val="d"/>
    <w:basedOn w:val="Normal"/>
    <w:autoRedefine/>
    <w:rsid w:val="007D2D90"/>
    <w:pPr>
      <w:spacing w:before="120" w:after="120"/>
      <w:ind w:left="1350" w:firstLine="0"/>
    </w:pPr>
    <w:rPr>
      <w:rFonts w:cs="Arial"/>
      <w:bCs/>
      <w:i/>
      <w:iCs/>
      <w:color w:val="008000"/>
      <w:szCs w:val="16"/>
    </w:rPr>
  </w:style>
  <w:style w:type="paragraph" w:customStyle="1" w:styleId="e">
    <w:name w:val="e"/>
    <w:basedOn w:val="Normal"/>
    <w:autoRedefine/>
    <w:rsid w:val="007D2D90"/>
    <w:pPr>
      <w:spacing w:before="120" w:after="120"/>
      <w:ind w:left="1800" w:firstLine="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dx.doi.org/doi:10.1522/cla.toa.an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doi:10.1522/cla.mak.lut"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gravel_roger.html" TargetMode="External"/><Relationship Id="rId17" Type="http://schemas.openxmlformats.org/officeDocument/2006/relationships/hyperlink" Target="http://dx.doi.org/doi:10.1522/cla.toa.an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marxists.org/francais/lenin/works/1902/02/190202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toa.anc"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dx.doi.org/doi:10.1522/cla.mak.gue" TargetMode="External"/><Relationship Id="rId10" Type="http://schemas.openxmlformats.org/officeDocument/2006/relationships/image" Target="media/image2.jpeg"/><Relationship Id="rId19" Type="http://schemas.openxmlformats.org/officeDocument/2006/relationships/hyperlink" Target="http://dx.doi.org/doi:10.1522/cla.toa.anc"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jean.leca@gmail.com" TargetMode="External"/><Relationship Id="rId22" Type="http://schemas.openxmlformats.org/officeDocument/2006/relationships/hyperlink" Target="http://dx.doi.org/doi:10.1522/030145289"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030165403" TargetMode="External"/><Relationship Id="rId2" Type="http://schemas.openxmlformats.org/officeDocument/2006/relationships/hyperlink" Target="http://dx.doi.org/doi:10.1522/cla.toa.anc" TargetMode="External"/><Relationship Id="rId1" Type="http://schemas.openxmlformats.org/officeDocument/2006/relationships/hyperlink" Target="http://dx.doi.org/doi:10.1522/cla.toa.an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26191</Words>
  <Characters>144054</Characters>
  <Application>Microsoft Office Word</Application>
  <DocSecurity>0</DocSecurity>
  <Lines>1200</Lines>
  <Paragraphs>339</Paragraphs>
  <ScaleCrop>false</ScaleCrop>
  <HeadingPairs>
    <vt:vector size="2" baseType="variant">
      <vt:variant>
        <vt:lpstr>Title</vt:lpstr>
      </vt:variant>
      <vt:variant>
        <vt:i4>1</vt:i4>
      </vt:variant>
    </vt:vector>
  </HeadingPairs>
  <TitlesOfParts>
    <vt:vector size="1" baseType="lpstr">
      <vt:lpstr>“Les ruptures révolutionnaires.”</vt:lpstr>
    </vt:vector>
  </TitlesOfParts>
  <Manager>par Roger Gravel, bénévole, 2022</Manager>
  <Company>Les Classiques des sciences sociales</Company>
  <LinksUpToDate>false</LinksUpToDate>
  <CharactersWithSpaces>169906</CharactersWithSpaces>
  <SharedDoc>false</SharedDoc>
  <HyperlinkBase/>
  <HLinks>
    <vt:vector size="192" baseType="variant">
      <vt:variant>
        <vt:i4>5832820</vt:i4>
      </vt:variant>
      <vt:variant>
        <vt:i4>69</vt:i4>
      </vt:variant>
      <vt:variant>
        <vt:i4>0</vt:i4>
      </vt:variant>
      <vt:variant>
        <vt:i4>5</vt:i4>
      </vt:variant>
      <vt:variant>
        <vt:lpwstr>http://dx.doi.org/doi:10.1522/cla.toa.anc</vt:lpwstr>
      </vt:variant>
      <vt:variant>
        <vt:lpwstr/>
      </vt:variant>
      <vt:variant>
        <vt:i4>4980839</vt:i4>
      </vt:variant>
      <vt:variant>
        <vt:i4>66</vt:i4>
      </vt:variant>
      <vt:variant>
        <vt:i4>0</vt:i4>
      </vt:variant>
      <vt:variant>
        <vt:i4>5</vt:i4>
      </vt:variant>
      <vt:variant>
        <vt:lpwstr>http://dx.doi.org/doi:10.1522/cla.mak.gue</vt:lpwstr>
      </vt:variant>
      <vt:variant>
        <vt:lpwstr/>
      </vt:variant>
      <vt:variant>
        <vt:i4>3866718</vt:i4>
      </vt:variant>
      <vt:variant>
        <vt:i4>63</vt:i4>
      </vt:variant>
      <vt:variant>
        <vt:i4>0</vt:i4>
      </vt:variant>
      <vt:variant>
        <vt:i4>5</vt:i4>
      </vt:variant>
      <vt:variant>
        <vt:lpwstr>http://dx.doi.org/doi:10.1522/030145289</vt:lpwstr>
      </vt:variant>
      <vt:variant>
        <vt:lpwstr/>
      </vt:variant>
      <vt:variant>
        <vt:i4>4980861</vt:i4>
      </vt:variant>
      <vt:variant>
        <vt:i4>60</vt:i4>
      </vt:variant>
      <vt:variant>
        <vt:i4>0</vt:i4>
      </vt:variant>
      <vt:variant>
        <vt:i4>5</vt:i4>
      </vt:variant>
      <vt:variant>
        <vt:lpwstr>http://dx.doi.org/doi:10.1522/cla.mak.lut</vt:lpwstr>
      </vt:variant>
      <vt:variant>
        <vt:lpwstr/>
      </vt:variant>
      <vt:variant>
        <vt:i4>7012450</vt:i4>
      </vt:variant>
      <vt:variant>
        <vt:i4>57</vt:i4>
      </vt:variant>
      <vt:variant>
        <vt:i4>0</vt:i4>
      </vt:variant>
      <vt:variant>
        <vt:i4>5</vt:i4>
      </vt:variant>
      <vt:variant>
        <vt:lpwstr>https://www.marxists.org/francais/lenin/works/1902/02/19020200.htm</vt:lpwstr>
      </vt:variant>
      <vt:variant>
        <vt:lpwstr/>
      </vt:variant>
      <vt:variant>
        <vt:i4>917517</vt:i4>
      </vt:variant>
      <vt:variant>
        <vt:i4>54</vt:i4>
      </vt:variant>
      <vt:variant>
        <vt:i4>0</vt:i4>
      </vt:variant>
      <vt:variant>
        <vt:i4>5</vt:i4>
      </vt:variant>
      <vt:variant>
        <vt:lpwstr/>
      </vt:variant>
      <vt:variant>
        <vt:lpwstr>sommaire</vt:lpwstr>
      </vt:variant>
      <vt:variant>
        <vt:i4>917517</vt:i4>
      </vt:variant>
      <vt:variant>
        <vt:i4>51</vt:i4>
      </vt:variant>
      <vt:variant>
        <vt:i4>0</vt:i4>
      </vt:variant>
      <vt:variant>
        <vt:i4>5</vt:i4>
      </vt:variant>
      <vt:variant>
        <vt:lpwstr/>
      </vt:variant>
      <vt:variant>
        <vt:lpwstr>sommaire</vt:lpwstr>
      </vt:variant>
      <vt:variant>
        <vt:i4>5832820</vt:i4>
      </vt:variant>
      <vt:variant>
        <vt:i4>48</vt:i4>
      </vt:variant>
      <vt:variant>
        <vt:i4>0</vt:i4>
      </vt:variant>
      <vt:variant>
        <vt:i4>5</vt:i4>
      </vt:variant>
      <vt:variant>
        <vt:lpwstr>http://dx.doi.org/doi:10.1522/cla.toa.anc</vt:lpwstr>
      </vt:variant>
      <vt:variant>
        <vt:lpwstr/>
      </vt:variant>
      <vt:variant>
        <vt:i4>5832820</vt:i4>
      </vt:variant>
      <vt:variant>
        <vt:i4>45</vt:i4>
      </vt:variant>
      <vt:variant>
        <vt:i4>0</vt:i4>
      </vt:variant>
      <vt:variant>
        <vt:i4>5</vt:i4>
      </vt:variant>
      <vt:variant>
        <vt:lpwstr>http://dx.doi.org/doi:10.1522/cla.toa.anc</vt:lpwstr>
      </vt:variant>
      <vt:variant>
        <vt:lpwstr/>
      </vt:variant>
      <vt:variant>
        <vt:i4>5832820</vt:i4>
      </vt:variant>
      <vt:variant>
        <vt:i4>42</vt:i4>
      </vt:variant>
      <vt:variant>
        <vt:i4>0</vt:i4>
      </vt:variant>
      <vt:variant>
        <vt:i4>5</vt:i4>
      </vt:variant>
      <vt:variant>
        <vt:lpwstr>http://dx.doi.org/doi:10.1522/cla.toa.anc</vt:lpwstr>
      </vt:variant>
      <vt:variant>
        <vt:lpwstr/>
      </vt:variant>
      <vt:variant>
        <vt:i4>917517</vt:i4>
      </vt:variant>
      <vt:variant>
        <vt:i4>39</vt:i4>
      </vt:variant>
      <vt:variant>
        <vt:i4>0</vt:i4>
      </vt:variant>
      <vt:variant>
        <vt:i4>5</vt:i4>
      </vt:variant>
      <vt:variant>
        <vt:lpwstr/>
      </vt:variant>
      <vt:variant>
        <vt:lpwstr>sommaire</vt:lpwstr>
      </vt:variant>
      <vt:variant>
        <vt:i4>917517</vt:i4>
      </vt:variant>
      <vt:variant>
        <vt:i4>36</vt:i4>
      </vt:variant>
      <vt:variant>
        <vt:i4>0</vt:i4>
      </vt:variant>
      <vt:variant>
        <vt:i4>5</vt:i4>
      </vt:variant>
      <vt:variant>
        <vt:lpwstr/>
      </vt:variant>
      <vt:variant>
        <vt:lpwstr>sommaire</vt:lpwstr>
      </vt:variant>
      <vt:variant>
        <vt:i4>917517</vt:i4>
      </vt:variant>
      <vt:variant>
        <vt:i4>33</vt:i4>
      </vt:variant>
      <vt:variant>
        <vt:i4>0</vt:i4>
      </vt:variant>
      <vt:variant>
        <vt:i4>5</vt:i4>
      </vt:variant>
      <vt:variant>
        <vt:lpwstr/>
      </vt:variant>
      <vt:variant>
        <vt:lpwstr>sommaire</vt:lpwstr>
      </vt:variant>
      <vt:variant>
        <vt:i4>1179666</vt:i4>
      </vt:variant>
      <vt:variant>
        <vt:i4>30</vt:i4>
      </vt:variant>
      <vt:variant>
        <vt:i4>0</vt:i4>
      </vt:variant>
      <vt:variant>
        <vt:i4>5</vt:i4>
      </vt:variant>
      <vt:variant>
        <vt:lpwstr/>
      </vt:variant>
      <vt:variant>
        <vt:lpwstr>Traite_t2_pt_2_chap_VII_biblio</vt:lpwstr>
      </vt:variant>
      <vt:variant>
        <vt:i4>1900651</vt:i4>
      </vt:variant>
      <vt:variant>
        <vt:i4>27</vt:i4>
      </vt:variant>
      <vt:variant>
        <vt:i4>0</vt:i4>
      </vt:variant>
      <vt:variant>
        <vt:i4>5</vt:i4>
      </vt:variant>
      <vt:variant>
        <vt:lpwstr/>
      </vt:variant>
      <vt:variant>
        <vt:lpwstr>Traite_t2_pt_2_chap_VII_Sec_2_2</vt:lpwstr>
      </vt:variant>
      <vt:variant>
        <vt:i4>1900648</vt:i4>
      </vt:variant>
      <vt:variant>
        <vt:i4>24</vt:i4>
      </vt:variant>
      <vt:variant>
        <vt:i4>0</vt:i4>
      </vt:variant>
      <vt:variant>
        <vt:i4>5</vt:i4>
      </vt:variant>
      <vt:variant>
        <vt:lpwstr/>
      </vt:variant>
      <vt:variant>
        <vt:lpwstr>Traite_t2_pt_2_chap_VII_Sec_2_1</vt:lpwstr>
      </vt:variant>
      <vt:variant>
        <vt:i4>4325465</vt:i4>
      </vt:variant>
      <vt:variant>
        <vt:i4>21</vt:i4>
      </vt:variant>
      <vt:variant>
        <vt:i4>0</vt:i4>
      </vt:variant>
      <vt:variant>
        <vt:i4>5</vt:i4>
      </vt:variant>
      <vt:variant>
        <vt:lpwstr/>
      </vt:variant>
      <vt:variant>
        <vt:lpwstr>Traite_t2_pt_2_chap_VII_Sec_2</vt:lpwstr>
      </vt:variant>
      <vt:variant>
        <vt:i4>4325466</vt:i4>
      </vt:variant>
      <vt:variant>
        <vt:i4>18</vt:i4>
      </vt:variant>
      <vt:variant>
        <vt:i4>0</vt:i4>
      </vt:variant>
      <vt:variant>
        <vt:i4>5</vt:i4>
      </vt:variant>
      <vt:variant>
        <vt:lpwstr/>
      </vt:variant>
      <vt:variant>
        <vt:lpwstr>Traite_t2_pt_2_chap_VII_Sec_1</vt:lpwstr>
      </vt:variant>
      <vt:variant>
        <vt:i4>2556027</vt:i4>
      </vt:variant>
      <vt:variant>
        <vt:i4>15</vt:i4>
      </vt:variant>
      <vt:variant>
        <vt:i4>0</vt:i4>
      </vt:variant>
      <vt:variant>
        <vt:i4>5</vt:i4>
      </vt:variant>
      <vt:variant>
        <vt:lpwstr/>
      </vt:variant>
      <vt:variant>
        <vt:lpwstr>Traite_t2_pt_2_chap_VII</vt:lpwstr>
      </vt:variant>
      <vt:variant>
        <vt:i4>2555979</vt:i4>
      </vt:variant>
      <vt:variant>
        <vt:i4>12</vt:i4>
      </vt:variant>
      <vt:variant>
        <vt:i4>0</vt:i4>
      </vt:variant>
      <vt:variant>
        <vt:i4>5</vt:i4>
      </vt:variant>
      <vt:variant>
        <vt:lpwstr>mailto:jean.leca@gmail.com</vt:lpwstr>
      </vt:variant>
      <vt:variant>
        <vt:lpwstr/>
      </vt:variant>
      <vt:variant>
        <vt:i4>4718639</vt:i4>
      </vt:variant>
      <vt:variant>
        <vt:i4>9</vt:i4>
      </vt:variant>
      <vt:variant>
        <vt:i4>0</vt:i4>
      </vt:variant>
      <vt:variant>
        <vt:i4>5</vt:i4>
      </vt:variant>
      <vt:variant>
        <vt:lpwstr>http://classiques.uqac.ca/inter/benevoles_equipe/liste_gravel_roger.html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3342416</vt:i4>
      </vt:variant>
      <vt:variant>
        <vt:i4>6</vt:i4>
      </vt:variant>
      <vt:variant>
        <vt:i4>0</vt:i4>
      </vt:variant>
      <vt:variant>
        <vt:i4>5</vt:i4>
      </vt:variant>
      <vt:variant>
        <vt:lpwstr>http://dx.doi.org/doi:10.1522/030165403</vt:lpwstr>
      </vt:variant>
      <vt:variant>
        <vt:lpwstr/>
      </vt:variant>
      <vt:variant>
        <vt:i4>5832820</vt:i4>
      </vt:variant>
      <vt:variant>
        <vt:i4>3</vt:i4>
      </vt:variant>
      <vt:variant>
        <vt:i4>0</vt:i4>
      </vt:variant>
      <vt:variant>
        <vt:i4>5</vt:i4>
      </vt:variant>
      <vt:variant>
        <vt:lpwstr>http://dx.doi.org/doi:10.1522/cla.toa.anc</vt:lpwstr>
      </vt:variant>
      <vt:variant>
        <vt:lpwstr/>
      </vt:variant>
      <vt:variant>
        <vt:i4>5832820</vt:i4>
      </vt:variant>
      <vt:variant>
        <vt:i4>0</vt:i4>
      </vt:variant>
      <vt:variant>
        <vt:i4>0</vt:i4>
      </vt:variant>
      <vt:variant>
        <vt:i4>5</vt:i4>
      </vt:variant>
      <vt:variant>
        <vt:lpwstr>http://dx.doi.org/doi:10.1522/cla.toa.anc</vt:lpwstr>
      </vt:variant>
      <vt:variant>
        <vt:lpwstr/>
      </vt:variant>
      <vt:variant>
        <vt:i4>2228293</vt:i4>
      </vt:variant>
      <vt:variant>
        <vt:i4>2407</vt:i4>
      </vt:variant>
      <vt:variant>
        <vt:i4>1025</vt:i4>
      </vt:variant>
      <vt:variant>
        <vt:i4>1</vt:i4>
      </vt:variant>
      <vt:variant>
        <vt:lpwstr>css_logo_gris</vt:lpwstr>
      </vt:variant>
      <vt:variant>
        <vt:lpwstr/>
      </vt:variant>
      <vt:variant>
        <vt:i4>5111880</vt:i4>
      </vt:variant>
      <vt:variant>
        <vt:i4>2653</vt:i4>
      </vt:variant>
      <vt:variant>
        <vt:i4>1026</vt:i4>
      </vt:variant>
      <vt:variant>
        <vt:i4>1</vt:i4>
      </vt:variant>
      <vt:variant>
        <vt:lpwstr>UQAC_logo_2018</vt:lpwstr>
      </vt:variant>
      <vt:variant>
        <vt:lpwstr/>
      </vt:variant>
      <vt:variant>
        <vt:i4>4194334</vt:i4>
      </vt:variant>
      <vt:variant>
        <vt:i4>4895</vt:i4>
      </vt:variant>
      <vt:variant>
        <vt:i4>1029</vt:i4>
      </vt:variant>
      <vt:variant>
        <vt:i4>1</vt:i4>
      </vt:variant>
      <vt:variant>
        <vt:lpwstr>Boite_aux_lettres_clair</vt:lpwstr>
      </vt:variant>
      <vt:variant>
        <vt:lpwstr/>
      </vt:variant>
      <vt:variant>
        <vt:i4>1703963</vt:i4>
      </vt:variant>
      <vt:variant>
        <vt:i4>5348</vt:i4>
      </vt:variant>
      <vt:variant>
        <vt:i4>1027</vt:i4>
      </vt:variant>
      <vt:variant>
        <vt:i4>1</vt:i4>
      </vt:variant>
      <vt:variant>
        <vt:lpwstr>fait_sur_mac</vt:lpwstr>
      </vt:variant>
      <vt:variant>
        <vt:lpwstr/>
      </vt:variant>
      <vt:variant>
        <vt:i4>1179697</vt:i4>
      </vt:variant>
      <vt:variant>
        <vt:i4>5472</vt:i4>
      </vt:variant>
      <vt:variant>
        <vt:i4>1028</vt:i4>
      </vt:variant>
      <vt:variant>
        <vt:i4>1</vt:i4>
      </vt:variant>
      <vt:variant>
        <vt:lpwstr>traite_de_sc_pol_t2_L33_low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ruptures révolutionnaires.”</dc:title>
  <dc:subject>Tome 2. Les régimes politiques contemporains.</dc:subject>
  <dc:creator>par François Chazel, 1985.</dc:creator>
  <cp:keywords>classiques.sc.soc@gmail.com</cp:keywords>
  <dc:description>http://classiques.uqac.ca/</dc:description>
  <cp:lastModifiedBy>Jean-Marie Tremblay</cp:lastModifiedBy>
  <cp:revision>2</cp:revision>
  <cp:lastPrinted>2001-08-26T19:33:00Z</cp:lastPrinted>
  <dcterms:created xsi:type="dcterms:W3CDTF">2022-04-13T23:33:00Z</dcterms:created>
  <dcterms:modified xsi:type="dcterms:W3CDTF">2022-04-13T23:33:00Z</dcterms:modified>
  <cp:category>jean-marie tremblay, sociologue, fondateur, 1993.</cp:category>
</cp:coreProperties>
</file>