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B01930" w14:paraId="39C4C3AB" w14:textId="77777777">
        <w:tblPrEx>
          <w:tblCellMar>
            <w:top w:w="0" w:type="dxa"/>
            <w:bottom w:w="0" w:type="dxa"/>
          </w:tblCellMar>
        </w:tblPrEx>
        <w:tc>
          <w:tcPr>
            <w:tcW w:w="9160" w:type="dxa"/>
            <w:shd w:val="clear" w:color="auto" w:fill="E9E6CE"/>
          </w:tcPr>
          <w:p w14:paraId="68F80749" w14:textId="77777777" w:rsidR="00B01930" w:rsidRDefault="00B01930" w:rsidP="00B01930">
            <w:pPr>
              <w:rPr>
                <w:lang w:bidi="ar-SA"/>
              </w:rPr>
            </w:pPr>
          </w:p>
          <w:p w14:paraId="0E3C79C7" w14:textId="77777777" w:rsidR="00B01930" w:rsidRDefault="00B01930">
            <w:pPr>
              <w:ind w:firstLine="0"/>
              <w:jc w:val="center"/>
              <w:rPr>
                <w:color w:val="FF0000"/>
                <w:sz w:val="20"/>
                <w:lang w:bidi="ar-SA"/>
              </w:rPr>
            </w:pPr>
          </w:p>
          <w:p w14:paraId="41187D3E" w14:textId="77777777" w:rsidR="00B01930" w:rsidRDefault="00B01930">
            <w:pPr>
              <w:ind w:firstLine="0"/>
              <w:jc w:val="center"/>
              <w:rPr>
                <w:color w:val="FF0000"/>
                <w:sz w:val="20"/>
                <w:lang w:bidi="ar-SA"/>
              </w:rPr>
            </w:pPr>
          </w:p>
          <w:p w14:paraId="638984F8" w14:textId="77777777" w:rsidR="00B01930" w:rsidRDefault="00B01930">
            <w:pPr>
              <w:ind w:firstLine="0"/>
              <w:jc w:val="center"/>
              <w:rPr>
                <w:b/>
                <w:sz w:val="20"/>
                <w:lang w:bidi="ar-SA"/>
              </w:rPr>
            </w:pPr>
          </w:p>
          <w:p w14:paraId="2DBF08F1" w14:textId="77777777" w:rsidR="00B01930" w:rsidRDefault="00B01930">
            <w:pPr>
              <w:ind w:firstLine="0"/>
              <w:jc w:val="center"/>
              <w:rPr>
                <w:b/>
                <w:sz w:val="20"/>
                <w:lang w:bidi="ar-SA"/>
              </w:rPr>
            </w:pPr>
          </w:p>
          <w:p w14:paraId="14C6E024" w14:textId="77777777" w:rsidR="00B01930" w:rsidRDefault="00B01930">
            <w:pPr>
              <w:ind w:firstLine="0"/>
              <w:jc w:val="center"/>
              <w:rPr>
                <w:b/>
                <w:sz w:val="20"/>
                <w:lang w:bidi="ar-SA"/>
              </w:rPr>
            </w:pPr>
            <w:r>
              <w:rPr>
                <w:b/>
                <w:sz w:val="20"/>
                <w:lang w:bidi="ar-SA"/>
              </w:rPr>
              <w:t>SOUS LA DIRECTION DE</w:t>
            </w:r>
          </w:p>
          <w:p w14:paraId="2C918FB5" w14:textId="77777777" w:rsidR="00B01930" w:rsidRDefault="00B01930">
            <w:pPr>
              <w:ind w:firstLine="0"/>
              <w:jc w:val="center"/>
              <w:rPr>
                <w:b/>
                <w:sz w:val="36"/>
                <w:lang w:bidi="ar-SA"/>
              </w:rPr>
            </w:pPr>
            <w:r>
              <w:rPr>
                <w:sz w:val="36"/>
                <w:lang w:bidi="ar-SA"/>
              </w:rPr>
              <w:t>Michel BERGÈS</w:t>
            </w:r>
          </w:p>
          <w:p w14:paraId="6742E94B" w14:textId="77777777" w:rsidR="00B01930" w:rsidRDefault="00B01930">
            <w:pPr>
              <w:ind w:firstLine="0"/>
              <w:jc w:val="center"/>
              <w:rPr>
                <w:sz w:val="20"/>
                <w:lang w:bidi="ar-SA"/>
              </w:rPr>
            </w:pPr>
            <w:r>
              <w:rPr>
                <w:sz w:val="20"/>
                <w:lang w:bidi="ar-SA"/>
              </w:rPr>
              <w:t>professeur des universités, Agrégé de science politique,</w:t>
            </w:r>
          </w:p>
          <w:p w14:paraId="0CFCDA96" w14:textId="77777777" w:rsidR="00B01930" w:rsidRDefault="00B01930">
            <w:pPr>
              <w:ind w:firstLine="0"/>
              <w:jc w:val="center"/>
              <w:rPr>
                <w:sz w:val="20"/>
                <w:lang w:bidi="ar-SA"/>
              </w:rPr>
            </w:pPr>
            <w:r>
              <w:rPr>
                <w:sz w:val="20"/>
                <w:lang w:bidi="ar-SA"/>
              </w:rPr>
              <w:t>retraité de l’Université de Bordeaux IV Montesquieu</w:t>
            </w:r>
          </w:p>
          <w:p w14:paraId="5B5A5507" w14:textId="77777777" w:rsidR="00B01930" w:rsidRDefault="00B01930">
            <w:pPr>
              <w:ind w:firstLine="0"/>
              <w:jc w:val="center"/>
              <w:rPr>
                <w:sz w:val="20"/>
                <w:lang w:bidi="ar-SA"/>
              </w:rPr>
            </w:pPr>
          </w:p>
          <w:p w14:paraId="337CD1A6" w14:textId="77777777" w:rsidR="00B01930" w:rsidRPr="00E93E46" w:rsidRDefault="00B01930" w:rsidP="00B01930">
            <w:pPr>
              <w:ind w:firstLine="0"/>
              <w:jc w:val="center"/>
              <w:rPr>
                <w:color w:val="008000"/>
                <w:sz w:val="36"/>
                <w:lang w:bidi="ar-SA"/>
              </w:rPr>
            </w:pPr>
            <w:r w:rsidRPr="00283FCC">
              <w:rPr>
                <w:sz w:val="36"/>
                <w:lang w:bidi="ar-SA"/>
              </w:rPr>
              <w:t>(</w:t>
            </w:r>
            <w:r>
              <w:rPr>
                <w:sz w:val="36"/>
                <w:lang w:bidi="ar-SA"/>
              </w:rPr>
              <w:t>2022</w:t>
            </w:r>
            <w:r w:rsidRPr="00283FCC">
              <w:rPr>
                <w:sz w:val="36"/>
                <w:lang w:bidi="ar-SA"/>
              </w:rPr>
              <w:t>)</w:t>
            </w:r>
          </w:p>
          <w:p w14:paraId="56839A8E" w14:textId="77777777" w:rsidR="00B01930" w:rsidRDefault="00B01930">
            <w:pPr>
              <w:pStyle w:val="Corpsdetexte"/>
              <w:widowControl w:val="0"/>
              <w:spacing w:before="0" w:after="0"/>
              <w:rPr>
                <w:color w:val="FF0000"/>
                <w:sz w:val="24"/>
                <w:lang w:bidi="ar-SA"/>
              </w:rPr>
            </w:pPr>
          </w:p>
          <w:p w14:paraId="11CD1DD8" w14:textId="77777777" w:rsidR="00B01930" w:rsidRDefault="00B01930">
            <w:pPr>
              <w:pStyle w:val="Corpsdetexte"/>
              <w:widowControl w:val="0"/>
              <w:spacing w:before="0" w:after="0"/>
              <w:rPr>
                <w:color w:val="FF0000"/>
                <w:sz w:val="24"/>
                <w:lang w:bidi="ar-SA"/>
              </w:rPr>
            </w:pPr>
          </w:p>
          <w:p w14:paraId="04FE9C4C" w14:textId="77777777" w:rsidR="00B01930" w:rsidRDefault="00B01930">
            <w:pPr>
              <w:pStyle w:val="Corpsdetexte"/>
              <w:widowControl w:val="0"/>
              <w:spacing w:before="0" w:after="0"/>
              <w:rPr>
                <w:color w:val="FF0000"/>
                <w:sz w:val="24"/>
                <w:lang w:bidi="ar-SA"/>
              </w:rPr>
            </w:pPr>
          </w:p>
          <w:p w14:paraId="36BEC542" w14:textId="77777777" w:rsidR="00B01930" w:rsidRPr="003A696C" w:rsidRDefault="00B01930" w:rsidP="00B01930">
            <w:pPr>
              <w:pStyle w:val="Titlest"/>
            </w:pPr>
            <w:r w:rsidRPr="003A696C">
              <w:t>Analyser les idées polit</w:t>
            </w:r>
            <w:r w:rsidRPr="003A696C">
              <w:t>i</w:t>
            </w:r>
            <w:r w:rsidRPr="003A696C">
              <w:t>ques.</w:t>
            </w:r>
          </w:p>
          <w:p w14:paraId="4FA250EA" w14:textId="77777777" w:rsidR="00B01930" w:rsidRPr="003A696C" w:rsidRDefault="00B01930" w:rsidP="00B01930">
            <w:pPr>
              <w:pStyle w:val="Titlesti"/>
              <w:rPr>
                <w:sz w:val="48"/>
              </w:rPr>
            </w:pPr>
            <w:r w:rsidRPr="003A696C">
              <w:rPr>
                <w:sz w:val="48"/>
              </w:rPr>
              <w:t>Hommage à Jean-Louis Martres</w:t>
            </w:r>
          </w:p>
          <w:p w14:paraId="2106F5FB" w14:textId="77777777" w:rsidR="00B01930" w:rsidRDefault="00B01930">
            <w:pPr>
              <w:widowControl w:val="0"/>
              <w:ind w:firstLine="0"/>
              <w:jc w:val="center"/>
              <w:rPr>
                <w:lang w:bidi="ar-SA"/>
              </w:rPr>
            </w:pPr>
          </w:p>
          <w:p w14:paraId="231750EA" w14:textId="77777777" w:rsidR="00B01930" w:rsidRPr="008C39FA" w:rsidRDefault="00B01930" w:rsidP="00B01930">
            <w:pPr>
              <w:widowControl w:val="0"/>
              <w:ind w:firstLine="0"/>
              <w:jc w:val="center"/>
              <w:rPr>
                <w:color w:val="FF0000"/>
                <w:lang w:bidi="ar-SA"/>
              </w:rPr>
            </w:pPr>
            <w:r w:rsidRPr="008C39FA">
              <w:rPr>
                <w:color w:val="FF0000"/>
                <w:lang w:bidi="ar-SA"/>
              </w:rPr>
              <w:t>Nouvelle édition revue et augmentée,</w:t>
            </w:r>
            <w:r w:rsidRPr="008C39FA">
              <w:rPr>
                <w:color w:val="FF0000"/>
                <w:lang w:bidi="ar-SA"/>
              </w:rPr>
              <w:br/>
              <w:t>septembre 2022</w:t>
            </w:r>
          </w:p>
          <w:p w14:paraId="5087D35C" w14:textId="77777777" w:rsidR="00B01930" w:rsidRDefault="00B01930" w:rsidP="00B01930">
            <w:pPr>
              <w:widowControl w:val="0"/>
              <w:ind w:firstLine="0"/>
              <w:jc w:val="center"/>
              <w:rPr>
                <w:lang w:bidi="ar-SA"/>
              </w:rPr>
            </w:pPr>
          </w:p>
          <w:p w14:paraId="05C44CAA" w14:textId="77777777" w:rsidR="00B01930" w:rsidRDefault="00B01930" w:rsidP="00B01930">
            <w:pPr>
              <w:widowControl w:val="0"/>
              <w:ind w:firstLine="0"/>
              <w:jc w:val="center"/>
              <w:rPr>
                <w:lang w:bidi="ar-SA"/>
              </w:rPr>
            </w:pPr>
          </w:p>
          <w:p w14:paraId="56BDB9DF" w14:textId="77777777" w:rsidR="00B01930" w:rsidRDefault="00B01930" w:rsidP="00B01930">
            <w:pPr>
              <w:widowControl w:val="0"/>
              <w:ind w:firstLine="0"/>
              <w:jc w:val="center"/>
              <w:rPr>
                <w:lang w:bidi="ar-SA"/>
              </w:rPr>
            </w:pPr>
            <w:r>
              <w:rPr>
                <w:lang w:bidi="ar-SA"/>
              </w:rPr>
              <w:t>Collection “Civilisations et politique.”</w:t>
            </w:r>
          </w:p>
          <w:p w14:paraId="47908EFB" w14:textId="77777777" w:rsidR="00B01930" w:rsidRDefault="00B01930" w:rsidP="00B01930">
            <w:pPr>
              <w:widowControl w:val="0"/>
              <w:ind w:firstLine="0"/>
              <w:jc w:val="center"/>
              <w:rPr>
                <w:sz w:val="20"/>
                <w:lang w:bidi="ar-SA"/>
              </w:rPr>
            </w:pPr>
          </w:p>
          <w:p w14:paraId="0FCA0D67" w14:textId="77777777" w:rsidR="00B01930" w:rsidRPr="00384B20" w:rsidRDefault="00B01930" w:rsidP="00B01930">
            <w:pPr>
              <w:widowControl w:val="0"/>
              <w:ind w:firstLine="0"/>
              <w:jc w:val="center"/>
              <w:rPr>
                <w:sz w:val="20"/>
                <w:lang w:bidi="ar-SA"/>
              </w:rPr>
            </w:pPr>
          </w:p>
          <w:p w14:paraId="5570D034" w14:textId="77777777" w:rsidR="00B01930" w:rsidRPr="00384B20" w:rsidRDefault="00B01930" w:rsidP="00B01930">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63F04609" w14:textId="77777777" w:rsidR="00B01930" w:rsidRPr="00E07116" w:rsidRDefault="00B01930" w:rsidP="00B01930">
            <w:pPr>
              <w:widowControl w:val="0"/>
              <w:ind w:firstLine="0"/>
              <w:jc w:val="both"/>
              <w:rPr>
                <w:lang w:bidi="ar-SA"/>
              </w:rPr>
            </w:pPr>
          </w:p>
          <w:p w14:paraId="13BBBDBC" w14:textId="77777777" w:rsidR="00B01930" w:rsidRDefault="00B01930">
            <w:pPr>
              <w:widowControl w:val="0"/>
              <w:ind w:firstLine="0"/>
              <w:jc w:val="both"/>
              <w:rPr>
                <w:sz w:val="20"/>
                <w:lang w:bidi="ar-SA"/>
              </w:rPr>
            </w:pPr>
          </w:p>
          <w:p w14:paraId="246A8F71" w14:textId="77777777" w:rsidR="00B01930" w:rsidRDefault="00B01930">
            <w:pPr>
              <w:widowControl w:val="0"/>
              <w:ind w:firstLine="0"/>
              <w:jc w:val="both"/>
              <w:rPr>
                <w:sz w:val="20"/>
                <w:lang w:bidi="ar-SA"/>
              </w:rPr>
            </w:pPr>
          </w:p>
          <w:p w14:paraId="270DBA18" w14:textId="77777777" w:rsidR="00B01930" w:rsidRDefault="00B01930">
            <w:pPr>
              <w:widowControl w:val="0"/>
              <w:ind w:firstLine="0"/>
              <w:jc w:val="both"/>
              <w:rPr>
                <w:sz w:val="20"/>
                <w:lang w:bidi="ar-SA"/>
              </w:rPr>
            </w:pPr>
          </w:p>
          <w:p w14:paraId="54A8EE9A" w14:textId="77777777" w:rsidR="00B01930" w:rsidRDefault="00B01930">
            <w:pPr>
              <w:widowControl w:val="0"/>
              <w:ind w:firstLine="0"/>
              <w:jc w:val="both"/>
              <w:rPr>
                <w:sz w:val="20"/>
                <w:lang w:bidi="ar-SA"/>
              </w:rPr>
            </w:pPr>
          </w:p>
          <w:p w14:paraId="6FD67983" w14:textId="77777777" w:rsidR="00B01930" w:rsidRDefault="00B01930">
            <w:pPr>
              <w:widowControl w:val="0"/>
              <w:ind w:firstLine="0"/>
              <w:jc w:val="both"/>
              <w:rPr>
                <w:sz w:val="20"/>
                <w:lang w:bidi="ar-SA"/>
              </w:rPr>
            </w:pPr>
          </w:p>
          <w:p w14:paraId="12008231" w14:textId="77777777" w:rsidR="00B01930" w:rsidRDefault="00B01930">
            <w:pPr>
              <w:widowControl w:val="0"/>
              <w:ind w:firstLine="0"/>
              <w:jc w:val="both"/>
              <w:rPr>
                <w:sz w:val="20"/>
                <w:lang w:bidi="ar-SA"/>
              </w:rPr>
            </w:pPr>
          </w:p>
          <w:p w14:paraId="388F3EFC" w14:textId="77777777" w:rsidR="00B01930" w:rsidRDefault="00B01930">
            <w:pPr>
              <w:widowControl w:val="0"/>
              <w:ind w:firstLine="0"/>
              <w:jc w:val="both"/>
              <w:rPr>
                <w:sz w:val="20"/>
                <w:lang w:bidi="ar-SA"/>
              </w:rPr>
            </w:pPr>
          </w:p>
          <w:p w14:paraId="6A701153" w14:textId="77777777" w:rsidR="00B01930" w:rsidRDefault="00B01930">
            <w:pPr>
              <w:widowControl w:val="0"/>
              <w:ind w:firstLine="0"/>
              <w:jc w:val="both"/>
              <w:rPr>
                <w:sz w:val="20"/>
                <w:lang w:bidi="ar-SA"/>
              </w:rPr>
            </w:pPr>
          </w:p>
          <w:p w14:paraId="68559DCD" w14:textId="77777777" w:rsidR="00B01930" w:rsidRDefault="00B01930">
            <w:pPr>
              <w:widowControl w:val="0"/>
              <w:ind w:firstLine="0"/>
              <w:jc w:val="both"/>
              <w:rPr>
                <w:sz w:val="20"/>
                <w:lang w:bidi="ar-SA"/>
              </w:rPr>
            </w:pPr>
          </w:p>
          <w:p w14:paraId="3793BCF5" w14:textId="77777777" w:rsidR="00B01930" w:rsidRDefault="00B01930">
            <w:pPr>
              <w:ind w:firstLine="0"/>
              <w:jc w:val="both"/>
              <w:rPr>
                <w:lang w:bidi="ar-SA"/>
              </w:rPr>
            </w:pPr>
          </w:p>
        </w:tc>
      </w:tr>
    </w:tbl>
    <w:p w14:paraId="4C934798" w14:textId="77777777" w:rsidR="00B01930" w:rsidRDefault="00B01930" w:rsidP="00B01930">
      <w:pPr>
        <w:ind w:firstLine="0"/>
        <w:jc w:val="both"/>
      </w:pPr>
      <w:r>
        <w:br w:type="page"/>
      </w:r>
    </w:p>
    <w:p w14:paraId="492E6F34" w14:textId="77777777" w:rsidR="00B01930" w:rsidRDefault="00B01930" w:rsidP="00B01930">
      <w:pPr>
        <w:ind w:firstLine="0"/>
        <w:jc w:val="both"/>
      </w:pPr>
    </w:p>
    <w:p w14:paraId="156D07B1" w14:textId="77777777" w:rsidR="00B01930" w:rsidRDefault="00B01930" w:rsidP="00B01930">
      <w:pPr>
        <w:ind w:firstLine="0"/>
        <w:jc w:val="both"/>
      </w:pPr>
    </w:p>
    <w:p w14:paraId="12CCD710" w14:textId="77777777" w:rsidR="00B01930" w:rsidRDefault="008C39FA" w:rsidP="00B01930">
      <w:pPr>
        <w:ind w:firstLine="0"/>
        <w:jc w:val="right"/>
      </w:pPr>
      <w:r>
        <w:rPr>
          <w:noProof/>
        </w:rPr>
        <w:drawing>
          <wp:inline distT="0" distB="0" distL="0" distR="0" wp14:anchorId="4DA918A9" wp14:editId="6B23F185">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57633868" w14:textId="77777777" w:rsidR="00B01930" w:rsidRDefault="00B01930" w:rsidP="00B01930">
      <w:pPr>
        <w:ind w:firstLine="0"/>
        <w:jc w:val="right"/>
      </w:pPr>
      <w:hyperlink r:id="rId9" w:history="1">
        <w:r w:rsidRPr="00302466">
          <w:rPr>
            <w:rStyle w:val="Hyperlien"/>
          </w:rPr>
          <w:t>http://classiques.uqac.ca/</w:t>
        </w:r>
      </w:hyperlink>
      <w:r>
        <w:t xml:space="preserve"> </w:t>
      </w:r>
    </w:p>
    <w:p w14:paraId="1477E572" w14:textId="77777777" w:rsidR="00B01930" w:rsidRDefault="00B01930" w:rsidP="00B01930">
      <w:pPr>
        <w:ind w:firstLine="0"/>
        <w:jc w:val="both"/>
      </w:pPr>
    </w:p>
    <w:p w14:paraId="56A9FCF6" w14:textId="77777777" w:rsidR="00B01930" w:rsidRDefault="00B01930" w:rsidP="00B01930">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525A4C32" w14:textId="77777777" w:rsidR="00B01930" w:rsidRDefault="00B01930" w:rsidP="00B01930">
      <w:pPr>
        <w:ind w:firstLine="0"/>
        <w:jc w:val="both"/>
      </w:pPr>
    </w:p>
    <w:p w14:paraId="6D2A0A67" w14:textId="77777777" w:rsidR="00B01930" w:rsidRDefault="008C39FA" w:rsidP="00B01930">
      <w:pPr>
        <w:ind w:firstLine="0"/>
        <w:jc w:val="both"/>
      </w:pPr>
      <w:r>
        <w:rPr>
          <w:noProof/>
        </w:rPr>
        <w:drawing>
          <wp:inline distT="0" distB="0" distL="0" distR="0" wp14:anchorId="5CF56B42" wp14:editId="4E20AB34">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00DE155F" w14:textId="77777777" w:rsidR="00B01930" w:rsidRDefault="00B01930" w:rsidP="00B01930">
      <w:pPr>
        <w:ind w:firstLine="0"/>
        <w:jc w:val="both"/>
      </w:pPr>
      <w:hyperlink r:id="rId11" w:history="1">
        <w:r w:rsidRPr="00302466">
          <w:rPr>
            <w:rStyle w:val="Hyperlien"/>
          </w:rPr>
          <w:t>http://bibliotheque.uqac.ca/</w:t>
        </w:r>
      </w:hyperlink>
      <w:r>
        <w:t xml:space="preserve"> </w:t>
      </w:r>
    </w:p>
    <w:p w14:paraId="62E68C0A" w14:textId="77777777" w:rsidR="00B01930" w:rsidRDefault="00B01930" w:rsidP="00B01930">
      <w:pPr>
        <w:ind w:firstLine="0"/>
        <w:jc w:val="both"/>
      </w:pPr>
    </w:p>
    <w:p w14:paraId="4197541E" w14:textId="77777777" w:rsidR="00B01930" w:rsidRDefault="00B01930" w:rsidP="00B01930">
      <w:pPr>
        <w:ind w:firstLine="0"/>
        <w:jc w:val="both"/>
      </w:pPr>
    </w:p>
    <w:p w14:paraId="6582EB32" w14:textId="77777777" w:rsidR="00B01930" w:rsidRDefault="00B01930" w:rsidP="00B01930">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6A85D75F" w14:textId="77777777" w:rsidR="00B01930" w:rsidRPr="005E1FF1" w:rsidRDefault="00B01930" w:rsidP="00B01930">
      <w:pPr>
        <w:widowControl w:val="0"/>
        <w:autoSpaceDE w:val="0"/>
        <w:autoSpaceDN w:val="0"/>
        <w:adjustRightInd w:val="0"/>
        <w:rPr>
          <w:rFonts w:ascii="Arial" w:hAnsi="Arial"/>
          <w:sz w:val="32"/>
          <w:szCs w:val="32"/>
        </w:rPr>
      </w:pPr>
      <w:r w:rsidRPr="00E07116">
        <w:br w:type="page"/>
      </w:r>
    </w:p>
    <w:p w14:paraId="2BA43B2B" w14:textId="77777777" w:rsidR="00B01930" w:rsidRPr="005E1FF1" w:rsidRDefault="00B01930">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14:paraId="567EAA6D" w14:textId="77777777" w:rsidR="00B01930" w:rsidRPr="005E1FF1" w:rsidRDefault="00B01930">
      <w:pPr>
        <w:widowControl w:val="0"/>
        <w:autoSpaceDE w:val="0"/>
        <w:autoSpaceDN w:val="0"/>
        <w:adjustRightInd w:val="0"/>
        <w:rPr>
          <w:rFonts w:ascii="Arial" w:hAnsi="Arial"/>
          <w:sz w:val="32"/>
          <w:szCs w:val="32"/>
        </w:rPr>
      </w:pPr>
    </w:p>
    <w:p w14:paraId="545CEE37" w14:textId="77777777" w:rsidR="00B01930" w:rsidRPr="005E1FF1" w:rsidRDefault="00B01930">
      <w:pPr>
        <w:widowControl w:val="0"/>
        <w:autoSpaceDE w:val="0"/>
        <w:autoSpaceDN w:val="0"/>
        <w:adjustRightInd w:val="0"/>
        <w:jc w:val="both"/>
        <w:rPr>
          <w:rFonts w:ascii="Arial" w:hAnsi="Arial"/>
          <w:color w:val="1C1C1C"/>
          <w:sz w:val="26"/>
          <w:szCs w:val="26"/>
        </w:rPr>
      </w:pPr>
    </w:p>
    <w:p w14:paraId="0C2B8CED" w14:textId="77777777" w:rsidR="00B01930" w:rsidRPr="005E1FF1" w:rsidRDefault="00B01930">
      <w:pPr>
        <w:widowControl w:val="0"/>
        <w:autoSpaceDE w:val="0"/>
        <w:autoSpaceDN w:val="0"/>
        <w:adjustRightInd w:val="0"/>
        <w:jc w:val="both"/>
        <w:rPr>
          <w:rFonts w:ascii="Arial" w:hAnsi="Arial"/>
          <w:color w:val="1C1C1C"/>
          <w:sz w:val="26"/>
          <w:szCs w:val="26"/>
        </w:rPr>
      </w:pPr>
    </w:p>
    <w:p w14:paraId="7DCA0482" w14:textId="77777777" w:rsidR="00B01930" w:rsidRPr="005E1FF1" w:rsidRDefault="00B01930">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14:paraId="4A1BFA12" w14:textId="77777777" w:rsidR="00B01930" w:rsidRPr="005E1FF1" w:rsidRDefault="00B01930">
      <w:pPr>
        <w:widowControl w:val="0"/>
        <w:autoSpaceDE w:val="0"/>
        <w:autoSpaceDN w:val="0"/>
        <w:adjustRightInd w:val="0"/>
        <w:jc w:val="both"/>
        <w:rPr>
          <w:rFonts w:ascii="Arial" w:hAnsi="Arial"/>
          <w:color w:val="1C1C1C"/>
          <w:sz w:val="26"/>
          <w:szCs w:val="26"/>
        </w:rPr>
      </w:pPr>
    </w:p>
    <w:p w14:paraId="2E554E58" w14:textId="77777777" w:rsidR="00B01930" w:rsidRPr="00F336C5" w:rsidRDefault="00B01930" w:rsidP="00B0193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w:t>
      </w:r>
      <w:r w:rsidRPr="00F336C5">
        <w:rPr>
          <w:rFonts w:ascii="Arial" w:hAnsi="Arial"/>
          <w:color w:val="1C1C1C"/>
          <w:sz w:val="26"/>
          <w:szCs w:val="26"/>
        </w:rPr>
        <w:t>i</w:t>
      </w:r>
      <w:r w:rsidRPr="00F336C5">
        <w:rPr>
          <w:rFonts w:ascii="Arial" w:hAnsi="Arial"/>
          <w:color w:val="1C1C1C"/>
          <w:sz w:val="26"/>
          <w:szCs w:val="26"/>
        </w:rPr>
        <w:t>sation formelle:</w:t>
      </w:r>
    </w:p>
    <w:p w14:paraId="19AB5C97" w14:textId="77777777" w:rsidR="00B01930" w:rsidRPr="00F336C5" w:rsidRDefault="00B01930" w:rsidP="00B01930">
      <w:pPr>
        <w:widowControl w:val="0"/>
        <w:autoSpaceDE w:val="0"/>
        <w:autoSpaceDN w:val="0"/>
        <w:adjustRightInd w:val="0"/>
        <w:jc w:val="both"/>
        <w:rPr>
          <w:rFonts w:ascii="Arial" w:hAnsi="Arial"/>
          <w:color w:val="1C1C1C"/>
          <w:sz w:val="26"/>
          <w:szCs w:val="26"/>
        </w:rPr>
      </w:pPr>
    </w:p>
    <w:p w14:paraId="5E0BBF6E" w14:textId="77777777" w:rsidR="00B01930" w:rsidRPr="00F336C5" w:rsidRDefault="00B01930" w:rsidP="00B0193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w:t>
      </w:r>
      <w:r w:rsidRPr="00F336C5">
        <w:rPr>
          <w:rFonts w:ascii="Arial" w:hAnsi="Arial"/>
          <w:color w:val="1C1C1C"/>
          <w:sz w:val="26"/>
          <w:szCs w:val="26"/>
        </w:rPr>
        <w:t>r</w:t>
      </w:r>
      <w:r w:rsidRPr="00F336C5">
        <w:rPr>
          <w:rFonts w:ascii="Arial" w:hAnsi="Arial"/>
          <w:color w:val="1C1C1C"/>
          <w:sz w:val="26"/>
          <w:szCs w:val="26"/>
        </w:rPr>
        <w:t>veur autre que celui des Classiques.</w:t>
      </w:r>
    </w:p>
    <w:p w14:paraId="03BBD01B" w14:textId="77777777" w:rsidR="00B01930" w:rsidRPr="00F336C5" w:rsidRDefault="00B01930" w:rsidP="00B0193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14:paraId="572B59EC" w14:textId="77777777" w:rsidR="00B01930" w:rsidRPr="00F336C5" w:rsidRDefault="00B01930" w:rsidP="00B01930">
      <w:pPr>
        <w:widowControl w:val="0"/>
        <w:autoSpaceDE w:val="0"/>
        <w:autoSpaceDN w:val="0"/>
        <w:adjustRightInd w:val="0"/>
        <w:jc w:val="both"/>
        <w:rPr>
          <w:rFonts w:ascii="Arial" w:hAnsi="Arial"/>
          <w:color w:val="1C1C1C"/>
          <w:sz w:val="26"/>
          <w:szCs w:val="26"/>
        </w:rPr>
      </w:pPr>
    </w:p>
    <w:p w14:paraId="3525A2D4" w14:textId="77777777" w:rsidR="00B01930" w:rsidRPr="005E1FF1" w:rsidRDefault="00B01930">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 xml:space="preserve">Les fichiers (.html, .doc, .pdf.,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w:t>
      </w:r>
      <w:r w:rsidRPr="005E1FF1">
        <w:rPr>
          <w:rFonts w:ascii="Arial" w:hAnsi="Arial"/>
          <w:color w:val="1C1C1C"/>
          <w:sz w:val="26"/>
          <w:szCs w:val="26"/>
        </w:rPr>
        <w:t>o</w:t>
      </w:r>
      <w:r w:rsidRPr="005E1FF1">
        <w:rPr>
          <w:rFonts w:ascii="Arial" w:hAnsi="Arial"/>
          <w:color w:val="1C1C1C"/>
          <w:sz w:val="26"/>
          <w:szCs w:val="26"/>
        </w:rPr>
        <w:t>les.</w:t>
      </w:r>
    </w:p>
    <w:p w14:paraId="7FE46EA9" w14:textId="77777777" w:rsidR="00B01930" w:rsidRPr="005E1FF1" w:rsidRDefault="00B01930">
      <w:pPr>
        <w:widowControl w:val="0"/>
        <w:autoSpaceDE w:val="0"/>
        <w:autoSpaceDN w:val="0"/>
        <w:adjustRightInd w:val="0"/>
        <w:jc w:val="both"/>
        <w:rPr>
          <w:rFonts w:ascii="Arial" w:hAnsi="Arial"/>
          <w:color w:val="1C1C1C"/>
          <w:sz w:val="26"/>
          <w:szCs w:val="26"/>
        </w:rPr>
      </w:pPr>
    </w:p>
    <w:p w14:paraId="79764CD1" w14:textId="77777777" w:rsidR="00B01930" w:rsidRPr="005E1FF1" w:rsidRDefault="00B01930">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w:t>
      </w:r>
      <w:r w:rsidRPr="005E1FF1">
        <w:rPr>
          <w:rFonts w:ascii="Arial" w:hAnsi="Arial"/>
          <w:color w:val="1C1C1C"/>
          <w:sz w:val="26"/>
          <w:szCs w:val="26"/>
        </w:rPr>
        <w:t>e</w:t>
      </w:r>
      <w:r w:rsidRPr="005E1FF1">
        <w:rPr>
          <w:rFonts w:ascii="Arial" w:hAnsi="Arial"/>
          <w:color w:val="1C1C1C"/>
          <w:sz w:val="26"/>
          <w:szCs w:val="26"/>
        </w:rPr>
        <w:t>ment interdite.</w:t>
      </w:r>
    </w:p>
    <w:p w14:paraId="4A6DDED8" w14:textId="77777777" w:rsidR="00B01930" w:rsidRPr="005E1FF1" w:rsidRDefault="00B01930">
      <w:pPr>
        <w:rPr>
          <w:rFonts w:ascii="Arial" w:hAnsi="Arial"/>
          <w:b/>
          <w:color w:val="1C1C1C"/>
          <w:sz w:val="26"/>
          <w:szCs w:val="26"/>
        </w:rPr>
      </w:pPr>
    </w:p>
    <w:p w14:paraId="740AD41D" w14:textId="77777777" w:rsidR="00B01930" w:rsidRPr="00A51D9C" w:rsidRDefault="00B01930">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14:paraId="5E785FF5" w14:textId="77777777" w:rsidR="00B01930" w:rsidRPr="005E1FF1" w:rsidRDefault="00B01930">
      <w:pPr>
        <w:rPr>
          <w:rFonts w:ascii="Arial" w:hAnsi="Arial"/>
          <w:b/>
          <w:color w:val="1C1C1C"/>
          <w:sz w:val="26"/>
          <w:szCs w:val="26"/>
        </w:rPr>
      </w:pPr>
    </w:p>
    <w:p w14:paraId="4B062AEC" w14:textId="77777777" w:rsidR="00B01930" w:rsidRPr="005E1FF1" w:rsidRDefault="00B01930">
      <w:pPr>
        <w:rPr>
          <w:rFonts w:ascii="Arial" w:hAnsi="Arial"/>
          <w:color w:val="1C1C1C"/>
          <w:sz w:val="26"/>
          <w:szCs w:val="26"/>
        </w:rPr>
      </w:pPr>
      <w:r w:rsidRPr="005E1FF1">
        <w:rPr>
          <w:rFonts w:ascii="Arial" w:hAnsi="Arial"/>
          <w:color w:val="1C1C1C"/>
          <w:sz w:val="26"/>
          <w:szCs w:val="26"/>
        </w:rPr>
        <w:t>Jean-Marie Tremblay, sociologue</w:t>
      </w:r>
    </w:p>
    <w:p w14:paraId="46A96F4F" w14:textId="77777777" w:rsidR="00B01930" w:rsidRPr="005E1FF1" w:rsidRDefault="00B01930">
      <w:pPr>
        <w:rPr>
          <w:rFonts w:ascii="Arial" w:hAnsi="Arial"/>
          <w:color w:val="1C1C1C"/>
          <w:sz w:val="26"/>
          <w:szCs w:val="26"/>
        </w:rPr>
      </w:pPr>
      <w:r w:rsidRPr="005E1FF1">
        <w:rPr>
          <w:rFonts w:ascii="Arial" w:hAnsi="Arial"/>
          <w:color w:val="1C1C1C"/>
          <w:sz w:val="26"/>
          <w:szCs w:val="26"/>
        </w:rPr>
        <w:t>Fondateur et Président-directeur général,</w:t>
      </w:r>
    </w:p>
    <w:p w14:paraId="6D1FFFCA" w14:textId="77777777" w:rsidR="00B01930" w:rsidRPr="005E1FF1" w:rsidRDefault="00B01930">
      <w:pPr>
        <w:rPr>
          <w:rFonts w:ascii="Arial" w:hAnsi="Arial"/>
          <w:color w:val="000080"/>
        </w:rPr>
      </w:pPr>
      <w:r w:rsidRPr="005E1FF1">
        <w:rPr>
          <w:rFonts w:ascii="Arial" w:hAnsi="Arial"/>
          <w:color w:val="000080"/>
          <w:sz w:val="26"/>
          <w:szCs w:val="26"/>
        </w:rPr>
        <w:t>LES CLASSIQUES DES SCIENCES SOCIALES.</w:t>
      </w:r>
    </w:p>
    <w:p w14:paraId="7FA4DD44" w14:textId="77777777" w:rsidR="00B01930" w:rsidRPr="00CF4C8E" w:rsidRDefault="00B01930" w:rsidP="00B01930">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14:paraId="72C987B1" w14:textId="77777777" w:rsidR="00B01930" w:rsidRPr="00CF4C8E" w:rsidRDefault="00B01930" w:rsidP="00B01930">
      <w:pPr>
        <w:ind w:firstLine="0"/>
        <w:jc w:val="both"/>
        <w:rPr>
          <w:sz w:val="24"/>
          <w:lang w:bidi="ar-SA"/>
        </w:rPr>
      </w:pPr>
      <w:r w:rsidRPr="00CF4C8E">
        <w:rPr>
          <w:sz w:val="24"/>
          <w:lang w:bidi="ar-SA"/>
        </w:rPr>
        <w:t xml:space="preserve">Courriel: </w:t>
      </w:r>
      <w:hyperlink r:id="rId12"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3867733C" w14:textId="77777777" w:rsidR="00B01930" w:rsidRPr="00CF4C8E" w:rsidRDefault="00B01930" w:rsidP="00B01930">
      <w:pPr>
        <w:ind w:left="20" w:hanging="20"/>
        <w:jc w:val="both"/>
        <w:rPr>
          <w:sz w:val="24"/>
        </w:rPr>
      </w:pPr>
      <w:r w:rsidRPr="00CF4C8E">
        <w:rPr>
          <w:sz w:val="24"/>
          <w:lang w:bidi="ar-SA"/>
        </w:rPr>
        <w:t xml:space="preserve">Site web pédagogique : </w:t>
      </w:r>
      <w:hyperlink r:id="rId13" w:history="1">
        <w:r w:rsidRPr="00CF4C8E">
          <w:rPr>
            <w:rStyle w:val="Hyperlien"/>
            <w:sz w:val="24"/>
            <w:lang w:bidi="ar-SA"/>
          </w:rPr>
          <w:t>http://jmt-sociologue.uqac.ca/</w:t>
        </w:r>
      </w:hyperlink>
    </w:p>
    <w:p w14:paraId="73BC87DB" w14:textId="77777777" w:rsidR="00B01930" w:rsidRPr="00CF4C8E" w:rsidRDefault="00B01930" w:rsidP="00B01930">
      <w:pPr>
        <w:ind w:left="20" w:hanging="20"/>
        <w:jc w:val="both"/>
        <w:rPr>
          <w:sz w:val="24"/>
        </w:rPr>
      </w:pPr>
      <w:r w:rsidRPr="00CF4C8E">
        <w:rPr>
          <w:sz w:val="24"/>
        </w:rPr>
        <w:t>à partir du texte de :</w:t>
      </w:r>
    </w:p>
    <w:p w14:paraId="22B4CC34" w14:textId="77777777" w:rsidR="00B01930" w:rsidRDefault="00B01930" w:rsidP="00B01930">
      <w:pPr>
        <w:ind w:right="720" w:firstLine="0"/>
      </w:pPr>
    </w:p>
    <w:p w14:paraId="0D0AB33F" w14:textId="77777777" w:rsidR="00B01930" w:rsidRDefault="00B01930" w:rsidP="00B01930">
      <w:pPr>
        <w:ind w:right="720" w:firstLine="0"/>
      </w:pPr>
    </w:p>
    <w:p w14:paraId="6E8B2EE2" w14:textId="77777777" w:rsidR="00B01930" w:rsidRPr="0058603D" w:rsidRDefault="00B01930" w:rsidP="00B01930">
      <w:pPr>
        <w:ind w:left="20"/>
        <w:jc w:val="both"/>
      </w:pPr>
      <w:r>
        <w:t>Sous la direction de Michel BERGÈS</w:t>
      </w:r>
    </w:p>
    <w:p w14:paraId="6C927A60" w14:textId="77777777" w:rsidR="00B01930" w:rsidRPr="0058603D" w:rsidRDefault="00B01930">
      <w:pPr>
        <w:ind w:left="20" w:firstLine="340"/>
        <w:jc w:val="both"/>
      </w:pPr>
    </w:p>
    <w:p w14:paraId="4A6DB2D4" w14:textId="77777777" w:rsidR="00B01930" w:rsidRPr="003A696C" w:rsidRDefault="00B01930">
      <w:pPr>
        <w:jc w:val="both"/>
        <w:rPr>
          <w:i/>
        </w:rPr>
      </w:pPr>
      <w:r>
        <w:rPr>
          <w:b/>
          <w:color w:val="FF0000"/>
        </w:rPr>
        <w:t xml:space="preserve">ANALYSER LES IDÉES POLITIQUES. </w:t>
      </w:r>
      <w:r>
        <w:rPr>
          <w:b/>
          <w:i/>
          <w:color w:val="FF0000"/>
        </w:rPr>
        <w:t>Hommage à Jean-Louis Ma</w:t>
      </w:r>
      <w:r>
        <w:rPr>
          <w:b/>
          <w:i/>
          <w:color w:val="FF0000"/>
        </w:rPr>
        <w:t>r</w:t>
      </w:r>
      <w:r>
        <w:rPr>
          <w:b/>
          <w:i/>
          <w:color w:val="FF0000"/>
        </w:rPr>
        <w:t>tres.</w:t>
      </w:r>
    </w:p>
    <w:p w14:paraId="6D7255E4" w14:textId="77777777" w:rsidR="00B01930" w:rsidRPr="0058603D" w:rsidRDefault="00B01930">
      <w:pPr>
        <w:jc w:val="both"/>
      </w:pPr>
    </w:p>
    <w:p w14:paraId="5655F4BA" w14:textId="77777777" w:rsidR="00B01930" w:rsidRPr="004C47C0" w:rsidRDefault="00B01930" w:rsidP="00B01930">
      <w:pPr>
        <w:jc w:val="both"/>
      </w:pPr>
      <w:r>
        <w:t>Pessac, France, 1</w:t>
      </w:r>
      <w:r w:rsidRPr="001076F2">
        <w:rPr>
          <w:vertAlign w:val="superscript"/>
        </w:rPr>
        <w:t>re</w:t>
      </w:r>
      <w:r>
        <w:t xml:space="preserve"> édition, février 2017. Édition revue et augme</w:t>
      </w:r>
      <w:r>
        <w:t>n</w:t>
      </w:r>
      <w:r>
        <w:t>tée. Ouvrage inédit publié dans Les Classiques des sciences sociales, septembre 2022, 582 pp.</w:t>
      </w:r>
    </w:p>
    <w:p w14:paraId="3A9A68CD" w14:textId="77777777" w:rsidR="00B01930" w:rsidRDefault="00B01930">
      <w:pPr>
        <w:jc w:val="both"/>
      </w:pPr>
    </w:p>
    <w:p w14:paraId="50B34328" w14:textId="77777777" w:rsidR="00B01930" w:rsidRPr="0058603D" w:rsidRDefault="00B01930">
      <w:pPr>
        <w:jc w:val="both"/>
      </w:pPr>
    </w:p>
    <w:p w14:paraId="082448B3" w14:textId="77777777" w:rsidR="00B01930" w:rsidRPr="00843F3E" w:rsidRDefault="00B01930">
      <w:pPr>
        <w:ind w:left="20"/>
        <w:jc w:val="both"/>
        <w:rPr>
          <w:sz w:val="24"/>
        </w:rPr>
      </w:pPr>
      <w:r w:rsidRPr="00843F3E">
        <w:rPr>
          <w:sz w:val="24"/>
        </w:rPr>
        <w:t xml:space="preserve">[Autorisation formelle accordée par l’auteur </w:t>
      </w:r>
      <w:r>
        <w:rPr>
          <w:sz w:val="24"/>
        </w:rPr>
        <w:t>le 5 septembre 2022</w:t>
      </w:r>
      <w:r w:rsidRPr="00843F3E">
        <w:rPr>
          <w:sz w:val="24"/>
        </w:rPr>
        <w:t xml:space="preserve"> de diffuser cette œuvre dans Les Classiques des sciences sociales.]</w:t>
      </w:r>
    </w:p>
    <w:p w14:paraId="7305B578" w14:textId="77777777" w:rsidR="00B01930" w:rsidRPr="00843F3E" w:rsidRDefault="00B01930">
      <w:pPr>
        <w:jc w:val="both"/>
        <w:rPr>
          <w:sz w:val="24"/>
        </w:rPr>
      </w:pPr>
    </w:p>
    <w:p w14:paraId="3D0FB082" w14:textId="77777777" w:rsidR="00B01930" w:rsidRPr="00843F3E" w:rsidRDefault="008C39FA">
      <w:pPr>
        <w:ind w:right="1800"/>
        <w:jc w:val="both"/>
        <w:rPr>
          <w:sz w:val="24"/>
        </w:rPr>
      </w:pPr>
      <w:r w:rsidRPr="00843F3E">
        <w:rPr>
          <w:noProof/>
          <w:sz w:val="24"/>
        </w:rPr>
        <w:drawing>
          <wp:inline distT="0" distB="0" distL="0" distR="0" wp14:anchorId="5654B6C4" wp14:editId="0AF464FB">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B01930" w:rsidRPr="00843F3E">
        <w:rPr>
          <w:sz w:val="24"/>
        </w:rPr>
        <w:t xml:space="preserve"> Courriel : </w:t>
      </w:r>
      <w:hyperlink r:id="rId15" w:history="1">
        <w:r w:rsidR="00B01930" w:rsidRPr="00843F3E">
          <w:rPr>
            <w:rStyle w:val="Hyperlien"/>
            <w:sz w:val="24"/>
          </w:rPr>
          <w:t>michel.berges@free.fr</w:t>
        </w:r>
      </w:hyperlink>
      <w:r w:rsidR="00B01930" w:rsidRPr="00843F3E">
        <w:rPr>
          <w:sz w:val="24"/>
        </w:rPr>
        <w:t xml:space="preserve"> </w:t>
      </w:r>
    </w:p>
    <w:p w14:paraId="1DF34511" w14:textId="77777777" w:rsidR="00B01930" w:rsidRPr="00843F3E" w:rsidRDefault="00B01930">
      <w:pPr>
        <w:ind w:right="1800"/>
        <w:jc w:val="both"/>
        <w:rPr>
          <w:sz w:val="24"/>
        </w:rPr>
      </w:pPr>
    </w:p>
    <w:p w14:paraId="18AD6EDA" w14:textId="77777777" w:rsidR="00B01930" w:rsidRPr="00843F3E" w:rsidRDefault="00B01930" w:rsidP="00B01930">
      <w:pPr>
        <w:ind w:right="1800" w:firstLine="0"/>
        <w:jc w:val="both"/>
        <w:rPr>
          <w:sz w:val="24"/>
        </w:rPr>
      </w:pPr>
    </w:p>
    <w:p w14:paraId="50825439" w14:textId="77777777" w:rsidR="00B01930" w:rsidRPr="00843F3E" w:rsidRDefault="00B01930" w:rsidP="00B01930">
      <w:pPr>
        <w:ind w:right="1800" w:firstLine="0"/>
        <w:jc w:val="both"/>
        <w:rPr>
          <w:sz w:val="24"/>
        </w:rPr>
      </w:pPr>
    </w:p>
    <w:p w14:paraId="32E5DCEF" w14:textId="77777777" w:rsidR="00B01930" w:rsidRPr="00843F3E" w:rsidRDefault="00B01930" w:rsidP="00B01930">
      <w:pPr>
        <w:ind w:right="1800" w:firstLine="0"/>
        <w:jc w:val="both"/>
        <w:rPr>
          <w:sz w:val="24"/>
        </w:rPr>
      </w:pPr>
      <w:r>
        <w:rPr>
          <w:sz w:val="24"/>
        </w:rPr>
        <w:t>Police</w:t>
      </w:r>
      <w:r w:rsidRPr="00843F3E">
        <w:rPr>
          <w:sz w:val="24"/>
        </w:rPr>
        <w:t xml:space="preserve"> de caractères utilisé</w:t>
      </w:r>
      <w:r>
        <w:rPr>
          <w:sz w:val="24"/>
        </w:rPr>
        <w:t>s</w:t>
      </w:r>
      <w:r w:rsidRPr="00843F3E">
        <w:rPr>
          <w:sz w:val="24"/>
        </w:rPr>
        <w:t> : Times New Roman, 14 points.</w:t>
      </w:r>
    </w:p>
    <w:p w14:paraId="37598894" w14:textId="77777777" w:rsidR="00B01930" w:rsidRPr="00843F3E" w:rsidRDefault="00B01930" w:rsidP="00B01930">
      <w:pPr>
        <w:ind w:right="1800" w:firstLine="0"/>
        <w:jc w:val="both"/>
        <w:rPr>
          <w:sz w:val="24"/>
        </w:rPr>
      </w:pPr>
      <w:r w:rsidRPr="00843F3E">
        <w:rPr>
          <w:sz w:val="24"/>
        </w:rPr>
        <w:t>Notes de bas de page : Times New Roman, 12 points.</w:t>
      </w:r>
    </w:p>
    <w:p w14:paraId="00D961BF" w14:textId="77777777" w:rsidR="00B01930" w:rsidRPr="00843F3E" w:rsidRDefault="00B01930">
      <w:pPr>
        <w:ind w:left="360" w:right="1800" w:firstLine="0"/>
        <w:jc w:val="both"/>
        <w:rPr>
          <w:sz w:val="24"/>
        </w:rPr>
      </w:pPr>
    </w:p>
    <w:p w14:paraId="2E8796E8" w14:textId="77777777" w:rsidR="00B01930" w:rsidRPr="00843F3E" w:rsidRDefault="00B01930">
      <w:pPr>
        <w:ind w:right="360" w:firstLine="0"/>
        <w:jc w:val="both"/>
        <w:rPr>
          <w:sz w:val="24"/>
        </w:rPr>
      </w:pPr>
      <w:r w:rsidRPr="00843F3E">
        <w:rPr>
          <w:sz w:val="24"/>
        </w:rPr>
        <w:t>Édition électronique réalisée avec le traitement de textes Microsoft Word 2008 pour M</w:t>
      </w:r>
      <w:r w:rsidRPr="00843F3E">
        <w:rPr>
          <w:sz w:val="24"/>
        </w:rPr>
        <w:t>a</w:t>
      </w:r>
      <w:r w:rsidRPr="00843F3E">
        <w:rPr>
          <w:sz w:val="24"/>
        </w:rPr>
        <w:t>cintosh.</w:t>
      </w:r>
    </w:p>
    <w:p w14:paraId="22B516CE" w14:textId="77777777" w:rsidR="00B01930" w:rsidRPr="00843F3E" w:rsidRDefault="00B01930">
      <w:pPr>
        <w:ind w:right="1800" w:firstLine="0"/>
        <w:jc w:val="both"/>
        <w:rPr>
          <w:sz w:val="24"/>
        </w:rPr>
      </w:pPr>
    </w:p>
    <w:p w14:paraId="1838979F" w14:textId="77777777" w:rsidR="00B01930" w:rsidRPr="00843F3E" w:rsidRDefault="00B01930" w:rsidP="00B01930">
      <w:pPr>
        <w:ind w:right="540" w:firstLine="0"/>
        <w:jc w:val="both"/>
        <w:rPr>
          <w:sz w:val="24"/>
        </w:rPr>
      </w:pPr>
      <w:r w:rsidRPr="00843F3E">
        <w:rPr>
          <w:sz w:val="24"/>
        </w:rPr>
        <w:t>Mise en page sur papier format : LETTRE US, 8.5’’ x 11’’.</w:t>
      </w:r>
    </w:p>
    <w:p w14:paraId="4E1D6220" w14:textId="77777777" w:rsidR="00B01930" w:rsidRPr="00843F3E" w:rsidRDefault="00B01930">
      <w:pPr>
        <w:ind w:right="1800" w:firstLine="0"/>
        <w:jc w:val="both"/>
        <w:rPr>
          <w:sz w:val="24"/>
        </w:rPr>
      </w:pPr>
    </w:p>
    <w:p w14:paraId="584A4006" w14:textId="77777777" w:rsidR="00B01930" w:rsidRPr="00843F3E" w:rsidRDefault="00B01930" w:rsidP="00B01930">
      <w:pPr>
        <w:ind w:firstLine="0"/>
        <w:jc w:val="both"/>
        <w:rPr>
          <w:sz w:val="24"/>
        </w:rPr>
      </w:pPr>
      <w:r w:rsidRPr="00843F3E">
        <w:rPr>
          <w:sz w:val="24"/>
        </w:rPr>
        <w:t xml:space="preserve">Édition numérique réalisée </w:t>
      </w:r>
      <w:r>
        <w:rPr>
          <w:sz w:val="24"/>
        </w:rPr>
        <w:t>19 septembre 2022</w:t>
      </w:r>
      <w:r w:rsidRPr="00843F3E">
        <w:rPr>
          <w:sz w:val="24"/>
        </w:rPr>
        <w:t xml:space="preserve"> à Chicout</w:t>
      </w:r>
      <w:r w:rsidRPr="00843F3E">
        <w:rPr>
          <w:sz w:val="24"/>
        </w:rPr>
        <w:t>i</w:t>
      </w:r>
      <w:r>
        <w:rPr>
          <w:sz w:val="24"/>
        </w:rPr>
        <w:t>mi</w:t>
      </w:r>
      <w:r w:rsidRPr="00843F3E">
        <w:rPr>
          <w:sz w:val="24"/>
        </w:rPr>
        <w:t>, Québec.</w:t>
      </w:r>
    </w:p>
    <w:p w14:paraId="338718F9" w14:textId="77777777" w:rsidR="00B01930" w:rsidRPr="00843F3E" w:rsidRDefault="00B01930">
      <w:pPr>
        <w:ind w:right="1800" w:firstLine="0"/>
        <w:jc w:val="both"/>
        <w:rPr>
          <w:sz w:val="24"/>
        </w:rPr>
      </w:pPr>
    </w:p>
    <w:p w14:paraId="60D5C66C" w14:textId="77777777" w:rsidR="00B01930" w:rsidRDefault="008C39FA">
      <w:pPr>
        <w:ind w:right="1800" w:firstLine="0"/>
        <w:jc w:val="both"/>
      </w:pPr>
      <w:r>
        <w:rPr>
          <w:noProof/>
        </w:rPr>
        <w:drawing>
          <wp:inline distT="0" distB="0" distL="0" distR="0" wp14:anchorId="5CD2BA9D" wp14:editId="1B4DF32D">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0429FF65" w14:textId="77777777" w:rsidR="00B01930" w:rsidRDefault="00B01930" w:rsidP="00B01930">
      <w:pPr>
        <w:ind w:left="20"/>
        <w:jc w:val="both"/>
      </w:pPr>
      <w:r>
        <w:br w:type="page"/>
      </w:r>
    </w:p>
    <w:p w14:paraId="5A377738" w14:textId="77777777" w:rsidR="00B01930" w:rsidRDefault="00B01930" w:rsidP="00B01930">
      <w:pPr>
        <w:ind w:firstLine="0"/>
        <w:jc w:val="center"/>
        <w:rPr>
          <w:b/>
          <w:sz w:val="36"/>
          <w:lang w:bidi="ar-SA"/>
        </w:rPr>
      </w:pPr>
      <w:r>
        <w:rPr>
          <w:sz w:val="36"/>
          <w:lang w:bidi="ar-SA"/>
        </w:rPr>
        <w:t>Michel BERGÈS</w:t>
      </w:r>
    </w:p>
    <w:p w14:paraId="1CE57BA8" w14:textId="77777777" w:rsidR="00B01930" w:rsidRDefault="00B01930" w:rsidP="00B01930">
      <w:pPr>
        <w:ind w:firstLine="0"/>
        <w:jc w:val="center"/>
        <w:rPr>
          <w:sz w:val="20"/>
          <w:lang w:bidi="ar-SA"/>
        </w:rPr>
      </w:pPr>
      <w:r>
        <w:rPr>
          <w:sz w:val="20"/>
          <w:lang w:bidi="ar-SA"/>
        </w:rPr>
        <w:t>Professeur des universités, Agrégé de science politique</w:t>
      </w:r>
    </w:p>
    <w:p w14:paraId="2AC5AD7B" w14:textId="77777777" w:rsidR="00B01930" w:rsidRDefault="00B01930" w:rsidP="00B01930">
      <w:pPr>
        <w:ind w:firstLine="0"/>
        <w:jc w:val="center"/>
        <w:rPr>
          <w:sz w:val="20"/>
          <w:lang w:bidi="ar-SA"/>
        </w:rPr>
      </w:pPr>
      <w:r>
        <w:rPr>
          <w:sz w:val="20"/>
          <w:lang w:bidi="ar-SA"/>
        </w:rPr>
        <w:t>Université de Bordeaux IV Montesquieu</w:t>
      </w:r>
    </w:p>
    <w:p w14:paraId="7C9D0C2A" w14:textId="77777777" w:rsidR="00B01930" w:rsidRDefault="00B01930" w:rsidP="00B01930">
      <w:pPr>
        <w:ind w:firstLine="0"/>
        <w:jc w:val="center"/>
      </w:pPr>
    </w:p>
    <w:p w14:paraId="2FE8A836" w14:textId="77777777" w:rsidR="00B01930" w:rsidRPr="003A696C" w:rsidRDefault="00B01930" w:rsidP="00B01930">
      <w:pPr>
        <w:ind w:firstLine="0"/>
        <w:jc w:val="center"/>
        <w:rPr>
          <w:i/>
          <w:color w:val="000080"/>
          <w:sz w:val="36"/>
        </w:rPr>
      </w:pPr>
      <w:r>
        <w:rPr>
          <w:color w:val="000080"/>
          <w:sz w:val="36"/>
        </w:rPr>
        <w:t>Analyser les idées politiques.</w:t>
      </w:r>
      <w:r>
        <w:rPr>
          <w:color w:val="000080"/>
          <w:sz w:val="36"/>
        </w:rPr>
        <w:br/>
      </w:r>
      <w:r w:rsidRPr="003A696C">
        <w:rPr>
          <w:i/>
          <w:color w:val="000080"/>
          <w:sz w:val="32"/>
        </w:rPr>
        <w:t>Hommage à Jean-Louis Martres.</w:t>
      </w:r>
    </w:p>
    <w:p w14:paraId="0B89EA53" w14:textId="77777777" w:rsidR="00B01930" w:rsidRDefault="00B01930" w:rsidP="00B01930">
      <w:pPr>
        <w:ind w:firstLine="0"/>
        <w:jc w:val="center"/>
      </w:pPr>
    </w:p>
    <w:p w14:paraId="44EF294D" w14:textId="77777777" w:rsidR="00B01930" w:rsidRDefault="008C39FA" w:rsidP="00B01930">
      <w:pPr>
        <w:ind w:firstLine="0"/>
        <w:jc w:val="center"/>
      </w:pPr>
      <w:r>
        <w:rPr>
          <w:noProof/>
        </w:rPr>
        <w:drawing>
          <wp:inline distT="0" distB="0" distL="0" distR="0" wp14:anchorId="1876CC88" wp14:editId="20914650">
            <wp:extent cx="3162300" cy="4483100"/>
            <wp:effectExtent l="25400" t="25400" r="12700" b="1270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2300" cy="4483100"/>
                    </a:xfrm>
                    <a:prstGeom prst="rect">
                      <a:avLst/>
                    </a:prstGeom>
                    <a:noFill/>
                    <a:ln w="19050" cmpd="sng">
                      <a:solidFill>
                        <a:srgbClr val="000000"/>
                      </a:solidFill>
                      <a:miter lim="800000"/>
                      <a:headEnd/>
                      <a:tailEnd/>
                    </a:ln>
                    <a:effectLst/>
                  </pic:spPr>
                </pic:pic>
              </a:graphicData>
            </a:graphic>
          </wp:inline>
        </w:drawing>
      </w:r>
    </w:p>
    <w:p w14:paraId="26103CD3" w14:textId="77777777" w:rsidR="00B01930" w:rsidRDefault="00B01930" w:rsidP="00B01930">
      <w:pPr>
        <w:ind w:firstLine="0"/>
        <w:jc w:val="center"/>
      </w:pPr>
    </w:p>
    <w:p w14:paraId="57FA39ED" w14:textId="77777777" w:rsidR="00B01930" w:rsidRDefault="00B01930" w:rsidP="00B01930">
      <w:pPr>
        <w:jc w:val="both"/>
      </w:pPr>
      <w:r>
        <w:t>Pessac, France, 1</w:t>
      </w:r>
      <w:r w:rsidRPr="001076F2">
        <w:rPr>
          <w:vertAlign w:val="superscript"/>
        </w:rPr>
        <w:t>re</w:t>
      </w:r>
      <w:r>
        <w:t xml:space="preserve"> édition, février 2017. Édition revue et augme</w:t>
      </w:r>
      <w:r>
        <w:t>n</w:t>
      </w:r>
      <w:r>
        <w:t>tée. Ouvrage inédit publié dans Les Classiques des sciences sociales, septembre 2022, 582 pp.</w:t>
      </w:r>
    </w:p>
    <w:p w14:paraId="358D19AE" w14:textId="77777777" w:rsidR="00B01930" w:rsidRDefault="00B01930" w:rsidP="00B01930">
      <w:pPr>
        <w:jc w:val="both"/>
      </w:pPr>
      <w:r>
        <w:br w:type="page"/>
      </w:r>
    </w:p>
    <w:p w14:paraId="011F0739" w14:textId="77777777" w:rsidR="00B01930" w:rsidRDefault="00B01930">
      <w:pPr>
        <w:jc w:val="both"/>
      </w:pPr>
    </w:p>
    <w:p w14:paraId="1E64D579" w14:textId="77777777" w:rsidR="00B01930" w:rsidRPr="00283FCC" w:rsidRDefault="00B01930" w:rsidP="00B01930">
      <w:pPr>
        <w:spacing w:after="120"/>
        <w:ind w:firstLine="0"/>
        <w:jc w:val="center"/>
        <w:rPr>
          <w:b/>
          <w:i/>
        </w:rPr>
      </w:pPr>
      <w:bookmarkStart w:id="0" w:name="tdm"/>
      <w:r>
        <w:rPr>
          <w:b/>
        </w:rPr>
        <w:t>Analyser les idées politiques</w:t>
      </w:r>
      <w:r w:rsidRPr="00283FCC">
        <w:rPr>
          <w:b/>
        </w:rPr>
        <w:t>.</w:t>
      </w:r>
      <w:r w:rsidRPr="00283FCC">
        <w:rPr>
          <w:b/>
        </w:rPr>
        <w:br/>
      </w:r>
      <w:r>
        <w:rPr>
          <w:i/>
        </w:rPr>
        <w:t>Hommages au Pr. Jean-Louis Martres</w:t>
      </w:r>
    </w:p>
    <w:p w14:paraId="1D5E4C8A" w14:textId="77777777" w:rsidR="00B01930" w:rsidRDefault="00B01930" w:rsidP="00B01930">
      <w:pPr>
        <w:ind w:firstLine="20"/>
        <w:jc w:val="center"/>
      </w:pPr>
      <w:r>
        <w:rPr>
          <w:color w:val="FF0000"/>
          <w:sz w:val="48"/>
        </w:rPr>
        <w:t>Table des matières</w:t>
      </w:r>
      <w:bookmarkEnd w:id="0"/>
    </w:p>
    <w:p w14:paraId="45AB1759" w14:textId="77777777" w:rsidR="00B01930" w:rsidRDefault="00B01930">
      <w:pPr>
        <w:ind w:firstLine="0"/>
      </w:pPr>
    </w:p>
    <w:p w14:paraId="4FAB7EEB" w14:textId="77777777" w:rsidR="00B01930" w:rsidRPr="006269A9" w:rsidRDefault="00B01930">
      <w:pPr>
        <w:ind w:firstLine="0"/>
        <w:rPr>
          <w:sz w:val="24"/>
        </w:rPr>
      </w:pPr>
      <w:hyperlink w:anchor="Analyser_idees_pol_auteurs" w:history="1">
        <w:r w:rsidRPr="00A557FD">
          <w:rPr>
            <w:rStyle w:val="Hyperlien"/>
            <w:sz w:val="24"/>
          </w:rPr>
          <w:t>Les auteurs de l’ouvrage d’hommage</w:t>
        </w:r>
      </w:hyperlink>
      <w:r w:rsidRPr="006269A9">
        <w:rPr>
          <w:sz w:val="24"/>
        </w:rPr>
        <w:t xml:space="preserve"> [</w:t>
      </w:r>
      <w:r>
        <w:rPr>
          <w:sz w:val="24"/>
        </w:rPr>
        <w:t>11</w:t>
      </w:r>
      <w:r w:rsidRPr="006269A9">
        <w:rPr>
          <w:sz w:val="24"/>
        </w:rPr>
        <w:t>]</w:t>
      </w:r>
    </w:p>
    <w:p w14:paraId="0130EDC5" w14:textId="77777777" w:rsidR="00B01930" w:rsidRPr="00973844" w:rsidRDefault="00B01930" w:rsidP="00B01930">
      <w:pPr>
        <w:spacing w:before="120" w:after="120"/>
        <w:ind w:left="450" w:hanging="450"/>
        <w:rPr>
          <w:sz w:val="24"/>
        </w:rPr>
      </w:pPr>
      <w:r w:rsidRPr="00973844">
        <w:rPr>
          <w:sz w:val="24"/>
        </w:rPr>
        <w:t>D</w:t>
      </w:r>
      <w:r>
        <w:rPr>
          <w:sz w:val="24"/>
        </w:rPr>
        <w:t>a</w:t>
      </w:r>
      <w:r w:rsidRPr="00973844">
        <w:rPr>
          <w:sz w:val="24"/>
        </w:rPr>
        <w:t xml:space="preserve">niel Lagraula, </w:t>
      </w:r>
      <w:r>
        <w:rPr>
          <w:sz w:val="24"/>
        </w:rPr>
        <w:t>“</w:t>
      </w:r>
      <w:hyperlink w:anchor="Analyser_idees_pol_texte_00" w:history="1">
        <w:r w:rsidRPr="00A557FD">
          <w:rPr>
            <w:rStyle w:val="Hyperlien"/>
            <w:sz w:val="24"/>
          </w:rPr>
          <w:t>Jean-Louis Martres, Le Maître caché</w:t>
        </w:r>
      </w:hyperlink>
      <w:r w:rsidRPr="00973844">
        <w:rPr>
          <w:sz w:val="24"/>
        </w:rPr>
        <w:t>.</w:t>
      </w:r>
      <w:r>
        <w:rPr>
          <w:sz w:val="24"/>
        </w:rPr>
        <w:t>”</w:t>
      </w:r>
      <w:r w:rsidRPr="00973844">
        <w:rPr>
          <w:sz w:val="24"/>
        </w:rPr>
        <w:t xml:space="preserve"> </w:t>
      </w:r>
      <w:r>
        <w:rPr>
          <w:sz w:val="24"/>
        </w:rPr>
        <w:t>[14]</w:t>
      </w:r>
    </w:p>
    <w:p w14:paraId="4D1E3D5D" w14:textId="77777777" w:rsidR="00B01930" w:rsidRPr="00973844" w:rsidRDefault="00B01930" w:rsidP="00B01930">
      <w:pPr>
        <w:spacing w:before="120" w:after="120"/>
        <w:ind w:firstLine="0"/>
        <w:rPr>
          <w:sz w:val="24"/>
        </w:rPr>
      </w:pPr>
    </w:p>
    <w:p w14:paraId="1C24E55E" w14:textId="77777777" w:rsidR="00B01930" w:rsidRPr="00973844" w:rsidRDefault="00B01930" w:rsidP="00B01930">
      <w:pPr>
        <w:spacing w:before="120" w:after="120"/>
        <w:ind w:firstLine="0"/>
        <w:jc w:val="center"/>
        <w:rPr>
          <w:b/>
          <w:sz w:val="24"/>
        </w:rPr>
      </w:pPr>
      <w:r w:rsidRPr="00973844">
        <w:rPr>
          <w:b/>
          <w:sz w:val="24"/>
        </w:rPr>
        <w:t xml:space="preserve">I. </w:t>
      </w:r>
      <w:hyperlink w:anchor="Analyser_idees_pol_pt_1" w:history="1">
        <w:r w:rsidRPr="00A557FD">
          <w:rPr>
            <w:rStyle w:val="Hyperlien"/>
            <w:b/>
            <w:sz w:val="24"/>
          </w:rPr>
          <w:t>Analyser les idées politiques</w:t>
        </w:r>
      </w:hyperlink>
      <w:r>
        <w:rPr>
          <w:b/>
          <w:sz w:val="24"/>
        </w:rPr>
        <w:t xml:space="preserve"> </w:t>
      </w:r>
      <w:r>
        <w:rPr>
          <w:sz w:val="24"/>
        </w:rPr>
        <w:t>[18]</w:t>
      </w:r>
    </w:p>
    <w:p w14:paraId="4E7FF827" w14:textId="77777777" w:rsidR="00B01930" w:rsidRDefault="00B01930" w:rsidP="00B01930">
      <w:pPr>
        <w:spacing w:before="120" w:after="120"/>
        <w:ind w:firstLine="0"/>
        <w:rPr>
          <w:sz w:val="24"/>
        </w:rPr>
      </w:pPr>
    </w:p>
    <w:p w14:paraId="1E5FC211" w14:textId="77777777" w:rsidR="00B01930" w:rsidRPr="00973844" w:rsidRDefault="00B01930" w:rsidP="00B01930">
      <w:pPr>
        <w:spacing w:before="120" w:after="120"/>
        <w:ind w:left="450" w:hanging="450"/>
        <w:rPr>
          <w:sz w:val="24"/>
        </w:rPr>
      </w:pPr>
      <w:r>
        <w:rPr>
          <w:sz w:val="24"/>
        </w:rPr>
        <w:t>1.</w:t>
      </w:r>
      <w:r>
        <w:rPr>
          <w:sz w:val="24"/>
        </w:rPr>
        <w:tab/>
      </w:r>
      <w:r w:rsidRPr="00973844">
        <w:rPr>
          <w:sz w:val="24"/>
        </w:rPr>
        <w:t>Daniel Lagraula</w:t>
      </w:r>
      <w:r>
        <w:rPr>
          <w:sz w:val="24"/>
        </w:rPr>
        <w:t>, “</w:t>
      </w:r>
      <w:hyperlink w:anchor="Analyser_idees_pol_pt_1_texte_01" w:history="1">
        <w:r w:rsidRPr="00787879">
          <w:rPr>
            <w:rStyle w:val="Hyperlien"/>
            <w:sz w:val="24"/>
          </w:rPr>
          <w:t>Introduction critique à la pensée martrienne des idées pol</w:t>
        </w:r>
        <w:r w:rsidRPr="00787879">
          <w:rPr>
            <w:rStyle w:val="Hyperlien"/>
            <w:sz w:val="24"/>
          </w:rPr>
          <w:t>i</w:t>
        </w:r>
        <w:r w:rsidRPr="00787879">
          <w:rPr>
            <w:rStyle w:val="Hyperlien"/>
            <w:sz w:val="24"/>
          </w:rPr>
          <w:t>tiques</w:t>
        </w:r>
      </w:hyperlink>
      <w:r>
        <w:rPr>
          <w:sz w:val="24"/>
        </w:rPr>
        <w:t>.” [19]</w:t>
      </w:r>
    </w:p>
    <w:p w14:paraId="5AA4CE1B" w14:textId="77777777" w:rsidR="00B01930" w:rsidRDefault="00B01930" w:rsidP="00B01930">
      <w:pPr>
        <w:ind w:left="806" w:hanging="360"/>
        <w:rPr>
          <w:rFonts w:cs="Arial"/>
          <w:sz w:val="24"/>
          <w:szCs w:val="28"/>
        </w:rPr>
      </w:pPr>
      <w:r w:rsidRPr="00674F8A">
        <w:rPr>
          <w:rFonts w:cs="Arial"/>
          <w:sz w:val="24"/>
          <w:szCs w:val="28"/>
        </w:rPr>
        <w:t>I.</w:t>
      </w:r>
      <w:r>
        <w:rPr>
          <w:rFonts w:cs="Arial"/>
          <w:sz w:val="24"/>
          <w:szCs w:val="28"/>
        </w:rPr>
        <w:tab/>
      </w:r>
      <w:hyperlink w:anchor="Analyser_idees_pol_pt_1_texte_01_I" w:history="1">
        <w:r w:rsidRPr="00787879">
          <w:rPr>
            <w:rStyle w:val="Hyperlien"/>
            <w:rFonts w:cs="Arial"/>
            <w:sz w:val="24"/>
            <w:szCs w:val="28"/>
          </w:rPr>
          <w:t>Méthode et concepts</w:t>
        </w:r>
      </w:hyperlink>
      <w:r w:rsidRPr="00674F8A">
        <w:rPr>
          <w:rFonts w:cs="Arial"/>
          <w:sz w:val="24"/>
          <w:szCs w:val="28"/>
        </w:rPr>
        <w:t xml:space="preserve"> [</w:t>
      </w:r>
      <w:r>
        <w:rPr>
          <w:rFonts w:cs="Arial"/>
          <w:sz w:val="24"/>
          <w:szCs w:val="28"/>
        </w:rPr>
        <w:t>23</w:t>
      </w:r>
      <w:r w:rsidRPr="00674F8A">
        <w:rPr>
          <w:rFonts w:cs="Arial"/>
          <w:sz w:val="24"/>
          <w:szCs w:val="28"/>
        </w:rPr>
        <w:t>]</w:t>
      </w:r>
    </w:p>
    <w:p w14:paraId="7F83CA08" w14:textId="77777777" w:rsidR="00B01930" w:rsidRDefault="00B01930" w:rsidP="00B01930">
      <w:pPr>
        <w:ind w:left="806" w:hanging="360"/>
        <w:rPr>
          <w:rFonts w:cs="Arial"/>
          <w:sz w:val="24"/>
          <w:szCs w:val="28"/>
        </w:rPr>
      </w:pPr>
      <w:r>
        <w:rPr>
          <w:rFonts w:cs="Arial"/>
          <w:sz w:val="24"/>
          <w:szCs w:val="28"/>
        </w:rPr>
        <w:t>II.</w:t>
      </w:r>
      <w:r>
        <w:rPr>
          <w:rFonts w:cs="Arial"/>
          <w:sz w:val="24"/>
          <w:szCs w:val="28"/>
        </w:rPr>
        <w:tab/>
      </w:r>
      <w:hyperlink w:anchor="Analyser_idees_pol_pt_1_texte_01_II" w:history="1">
        <w:r w:rsidRPr="00787879">
          <w:rPr>
            <w:rStyle w:val="Hyperlien"/>
            <w:rFonts w:cs="Arial"/>
            <w:sz w:val="24"/>
            <w:szCs w:val="28"/>
          </w:rPr>
          <w:t>Hypothèses et histoire</w:t>
        </w:r>
      </w:hyperlink>
      <w:r>
        <w:rPr>
          <w:rFonts w:cs="Arial"/>
          <w:sz w:val="24"/>
          <w:szCs w:val="28"/>
        </w:rPr>
        <w:t xml:space="preserve"> [29]</w:t>
      </w:r>
    </w:p>
    <w:p w14:paraId="7DEA8824" w14:textId="77777777" w:rsidR="00B01930" w:rsidRPr="00674F8A" w:rsidRDefault="00B01930" w:rsidP="00B01930">
      <w:pPr>
        <w:ind w:left="806" w:hanging="360"/>
        <w:rPr>
          <w:rFonts w:cs="Arial"/>
          <w:sz w:val="24"/>
          <w:szCs w:val="28"/>
        </w:rPr>
      </w:pPr>
      <w:hyperlink w:anchor="Analyser_idees_pol_pt_1_texte_01_concl" w:history="1">
        <w:r w:rsidRPr="00787879">
          <w:rPr>
            <w:rStyle w:val="Hyperlien"/>
            <w:rFonts w:cs="Arial"/>
            <w:sz w:val="24"/>
            <w:szCs w:val="28"/>
          </w:rPr>
          <w:t>Conclusion</w:t>
        </w:r>
      </w:hyperlink>
      <w:r>
        <w:rPr>
          <w:rFonts w:cs="Arial"/>
          <w:sz w:val="24"/>
          <w:szCs w:val="28"/>
        </w:rPr>
        <w:t xml:space="preserve"> [60]</w:t>
      </w:r>
    </w:p>
    <w:p w14:paraId="2975DB5E" w14:textId="77777777" w:rsidR="00B01930" w:rsidRDefault="00B01930" w:rsidP="00B01930">
      <w:pPr>
        <w:spacing w:before="120" w:after="120"/>
        <w:ind w:firstLine="0"/>
        <w:rPr>
          <w:sz w:val="24"/>
        </w:rPr>
      </w:pPr>
    </w:p>
    <w:p w14:paraId="296D7C97" w14:textId="77777777" w:rsidR="00B01930" w:rsidRDefault="00B01930" w:rsidP="00B01930">
      <w:pPr>
        <w:spacing w:before="120" w:after="120"/>
        <w:ind w:firstLine="0"/>
        <w:rPr>
          <w:sz w:val="24"/>
        </w:rPr>
      </w:pPr>
      <w:r>
        <w:rPr>
          <w:sz w:val="24"/>
        </w:rPr>
        <w:t>1bis.  Daniel Lagraula. “</w:t>
      </w:r>
      <w:hyperlink w:anchor="Analyser_idees_pol_pt_1_texte_01b" w:history="1">
        <w:r w:rsidRPr="008862F5">
          <w:rPr>
            <w:rStyle w:val="Hyperlien"/>
            <w:sz w:val="24"/>
          </w:rPr>
          <w:t>Le changement des idées p</w:t>
        </w:r>
        <w:r w:rsidRPr="008862F5">
          <w:rPr>
            <w:rStyle w:val="Hyperlien"/>
            <w:sz w:val="24"/>
          </w:rPr>
          <w:t>o</w:t>
        </w:r>
        <w:r w:rsidRPr="008862F5">
          <w:rPr>
            <w:rStyle w:val="Hyperlien"/>
            <w:sz w:val="24"/>
          </w:rPr>
          <w:t>litiques selon Jean-Louis Martres</w:t>
        </w:r>
      </w:hyperlink>
      <w:r>
        <w:rPr>
          <w:sz w:val="24"/>
        </w:rPr>
        <w:t>.” [62]</w:t>
      </w:r>
    </w:p>
    <w:p w14:paraId="685185B8" w14:textId="77777777" w:rsidR="00B01930" w:rsidRPr="00EC50AF" w:rsidRDefault="00B01930" w:rsidP="00B01930">
      <w:pPr>
        <w:ind w:left="900" w:hanging="454"/>
        <w:rPr>
          <w:sz w:val="24"/>
        </w:rPr>
      </w:pPr>
      <w:r>
        <w:rPr>
          <w:sz w:val="24"/>
        </w:rPr>
        <w:t>I.</w:t>
      </w:r>
      <w:r>
        <w:rPr>
          <w:sz w:val="24"/>
        </w:rPr>
        <w:tab/>
      </w:r>
      <w:hyperlink w:anchor="Analyser_idees_pol_pt_1_texte_01b_1" w:history="1">
        <w:r w:rsidRPr="008862F5">
          <w:rPr>
            <w:rStyle w:val="Hyperlien"/>
            <w:sz w:val="24"/>
          </w:rPr>
          <w:t>Questions épistémologiques, « la quête du sens »</w:t>
        </w:r>
      </w:hyperlink>
      <w:r>
        <w:rPr>
          <w:sz w:val="24"/>
        </w:rPr>
        <w:t xml:space="preserve"> [64]</w:t>
      </w:r>
    </w:p>
    <w:p w14:paraId="1A83CE05" w14:textId="77777777" w:rsidR="00B01930" w:rsidRPr="00EC50AF" w:rsidRDefault="00B01930" w:rsidP="00B01930">
      <w:pPr>
        <w:ind w:left="900" w:hanging="454"/>
        <w:rPr>
          <w:sz w:val="24"/>
        </w:rPr>
      </w:pPr>
      <w:r>
        <w:rPr>
          <w:sz w:val="24"/>
        </w:rPr>
        <w:t>II.</w:t>
      </w:r>
      <w:r>
        <w:rPr>
          <w:sz w:val="24"/>
        </w:rPr>
        <w:tab/>
      </w:r>
      <w:hyperlink w:anchor="Analyser_idees_pol_pt_1_texte_01b_2" w:history="1">
        <w:r w:rsidRPr="008862F5">
          <w:rPr>
            <w:rStyle w:val="Hyperlien"/>
            <w:sz w:val="24"/>
          </w:rPr>
          <w:t>Le code transformationnel des idées politiques en Occident</w:t>
        </w:r>
      </w:hyperlink>
      <w:r>
        <w:rPr>
          <w:sz w:val="24"/>
        </w:rPr>
        <w:t xml:space="preserve"> [68]</w:t>
      </w:r>
    </w:p>
    <w:p w14:paraId="4D83580D" w14:textId="77777777" w:rsidR="00B01930" w:rsidRDefault="00B01930" w:rsidP="00B01930">
      <w:pPr>
        <w:ind w:left="1260" w:hanging="360"/>
        <w:jc w:val="both"/>
        <w:rPr>
          <w:sz w:val="24"/>
        </w:rPr>
      </w:pPr>
    </w:p>
    <w:p w14:paraId="42D5DA71" w14:textId="77777777" w:rsidR="00B01930" w:rsidRPr="00EC50AF" w:rsidRDefault="00B01930" w:rsidP="00B01930">
      <w:pPr>
        <w:ind w:left="1260" w:hanging="360"/>
        <w:jc w:val="both"/>
        <w:rPr>
          <w:sz w:val="24"/>
        </w:rPr>
      </w:pPr>
      <w:r>
        <w:rPr>
          <w:sz w:val="24"/>
        </w:rPr>
        <w:t>A.</w:t>
      </w:r>
      <w:r>
        <w:rPr>
          <w:sz w:val="24"/>
        </w:rPr>
        <w:tab/>
      </w:r>
      <w:hyperlink w:anchor="Analyser_idees_pol_pt_1_texte_01b_2a" w:history="1">
        <w:r w:rsidRPr="008862F5">
          <w:rPr>
            <w:rStyle w:val="Hyperlien"/>
            <w:sz w:val="24"/>
          </w:rPr>
          <w:t>Le mouvement diachronique ou de la légitimité</w:t>
        </w:r>
      </w:hyperlink>
      <w:r>
        <w:rPr>
          <w:sz w:val="24"/>
        </w:rPr>
        <w:t xml:space="preserve"> [70]</w:t>
      </w:r>
    </w:p>
    <w:p w14:paraId="2129F439" w14:textId="77777777" w:rsidR="00B01930" w:rsidRPr="00EC50AF" w:rsidRDefault="00B01930" w:rsidP="00B01930">
      <w:pPr>
        <w:ind w:left="1620" w:firstLine="0"/>
        <w:jc w:val="both"/>
        <w:rPr>
          <w:sz w:val="24"/>
        </w:rPr>
      </w:pPr>
      <w:r w:rsidRPr="00EC50AF">
        <w:rPr>
          <w:sz w:val="24"/>
        </w:rPr>
        <w:t>L’Utopie</w:t>
      </w:r>
      <w:r>
        <w:rPr>
          <w:sz w:val="24"/>
        </w:rPr>
        <w:t xml:space="preserve"> [71]</w:t>
      </w:r>
    </w:p>
    <w:p w14:paraId="618AFA02" w14:textId="77777777" w:rsidR="00B01930" w:rsidRPr="00EC50AF" w:rsidRDefault="00B01930" w:rsidP="00B01930">
      <w:pPr>
        <w:ind w:left="1620" w:firstLine="0"/>
        <w:jc w:val="both"/>
        <w:rPr>
          <w:sz w:val="24"/>
        </w:rPr>
      </w:pPr>
      <w:r w:rsidRPr="00EC50AF">
        <w:rPr>
          <w:sz w:val="24"/>
        </w:rPr>
        <w:t>L’hérésie</w:t>
      </w:r>
      <w:r>
        <w:rPr>
          <w:sz w:val="24"/>
        </w:rPr>
        <w:t xml:space="preserve"> [73]</w:t>
      </w:r>
    </w:p>
    <w:p w14:paraId="2BA60D9F" w14:textId="77777777" w:rsidR="00B01930" w:rsidRPr="00EC50AF" w:rsidRDefault="00B01930" w:rsidP="00B01930">
      <w:pPr>
        <w:ind w:left="1620" w:firstLine="0"/>
        <w:jc w:val="both"/>
        <w:rPr>
          <w:sz w:val="24"/>
        </w:rPr>
      </w:pPr>
      <w:r w:rsidRPr="00EC50AF">
        <w:rPr>
          <w:sz w:val="24"/>
        </w:rPr>
        <w:t>La révolution</w:t>
      </w:r>
      <w:r>
        <w:rPr>
          <w:sz w:val="24"/>
        </w:rPr>
        <w:t xml:space="preserve"> [76]</w:t>
      </w:r>
    </w:p>
    <w:p w14:paraId="1C656002" w14:textId="77777777" w:rsidR="00B01930" w:rsidRPr="00EC50AF" w:rsidRDefault="00B01930" w:rsidP="00B01930">
      <w:pPr>
        <w:ind w:left="1620" w:firstLine="0"/>
        <w:jc w:val="both"/>
        <w:rPr>
          <w:sz w:val="24"/>
        </w:rPr>
      </w:pPr>
      <w:r w:rsidRPr="00EC50AF">
        <w:rPr>
          <w:sz w:val="24"/>
        </w:rPr>
        <w:t>Histoire de la légitimité en Occident</w:t>
      </w:r>
      <w:r>
        <w:rPr>
          <w:sz w:val="24"/>
        </w:rPr>
        <w:t xml:space="preserve"> [85]</w:t>
      </w:r>
    </w:p>
    <w:p w14:paraId="7820FEFF" w14:textId="77777777" w:rsidR="00B01930" w:rsidRPr="00EC50AF" w:rsidRDefault="00B01930" w:rsidP="00B01930">
      <w:pPr>
        <w:ind w:left="1620" w:firstLine="0"/>
        <w:jc w:val="both"/>
        <w:rPr>
          <w:sz w:val="24"/>
        </w:rPr>
      </w:pPr>
      <w:r w:rsidRPr="00EC50AF">
        <w:rPr>
          <w:sz w:val="24"/>
        </w:rPr>
        <w:t>Exceptions</w:t>
      </w:r>
      <w:r>
        <w:rPr>
          <w:sz w:val="24"/>
        </w:rPr>
        <w:t xml:space="preserve"> [87]</w:t>
      </w:r>
    </w:p>
    <w:p w14:paraId="24E36769" w14:textId="77777777" w:rsidR="00B01930" w:rsidRPr="00EC50AF" w:rsidRDefault="00B01930" w:rsidP="00B01930">
      <w:pPr>
        <w:ind w:left="1260" w:hanging="360"/>
        <w:jc w:val="both"/>
        <w:rPr>
          <w:sz w:val="24"/>
        </w:rPr>
      </w:pPr>
      <w:r>
        <w:rPr>
          <w:sz w:val="24"/>
        </w:rPr>
        <w:t>B.</w:t>
      </w:r>
      <w:r>
        <w:rPr>
          <w:sz w:val="24"/>
        </w:rPr>
        <w:tab/>
      </w:r>
      <w:hyperlink w:anchor="Analyser_idees_pol_pt_1_texte_01b_2b" w:history="1">
        <w:r w:rsidRPr="008862F5">
          <w:rPr>
            <w:rStyle w:val="Hyperlien"/>
            <w:sz w:val="24"/>
          </w:rPr>
          <w:t>Le mouvement synchronique</w:t>
        </w:r>
      </w:hyperlink>
      <w:r>
        <w:rPr>
          <w:sz w:val="24"/>
        </w:rPr>
        <w:t xml:space="preserve"> [90]</w:t>
      </w:r>
    </w:p>
    <w:p w14:paraId="4302FAD7" w14:textId="77777777" w:rsidR="00B01930" w:rsidRPr="00EC50AF" w:rsidRDefault="00B01930" w:rsidP="00B01930">
      <w:pPr>
        <w:ind w:left="1620" w:firstLine="0"/>
        <w:jc w:val="both"/>
        <w:rPr>
          <w:sz w:val="24"/>
        </w:rPr>
      </w:pPr>
      <w:r w:rsidRPr="00EC50AF">
        <w:rPr>
          <w:sz w:val="24"/>
        </w:rPr>
        <w:t>Le mouvement fonctionnel : l’idéologie</w:t>
      </w:r>
      <w:r>
        <w:rPr>
          <w:sz w:val="24"/>
        </w:rPr>
        <w:t xml:space="preserve"> [91]</w:t>
      </w:r>
    </w:p>
    <w:p w14:paraId="645DDFD2" w14:textId="77777777" w:rsidR="00B01930" w:rsidRPr="00EC50AF" w:rsidRDefault="00B01930" w:rsidP="00B01930">
      <w:pPr>
        <w:ind w:left="1620" w:firstLine="0"/>
        <w:jc w:val="both"/>
        <w:rPr>
          <w:sz w:val="24"/>
        </w:rPr>
      </w:pPr>
      <w:r w:rsidRPr="00EC50AF">
        <w:rPr>
          <w:sz w:val="24"/>
        </w:rPr>
        <w:t>La fonction d’expression</w:t>
      </w:r>
      <w:r>
        <w:rPr>
          <w:sz w:val="24"/>
        </w:rPr>
        <w:t xml:space="preserve"> [92]</w:t>
      </w:r>
    </w:p>
    <w:p w14:paraId="006073B4" w14:textId="77777777" w:rsidR="00B01930" w:rsidRPr="00EC50AF" w:rsidRDefault="00B01930" w:rsidP="00B01930">
      <w:pPr>
        <w:ind w:left="1620" w:firstLine="0"/>
        <w:jc w:val="both"/>
        <w:rPr>
          <w:sz w:val="24"/>
        </w:rPr>
      </w:pPr>
      <w:r w:rsidRPr="00EC50AF">
        <w:rPr>
          <w:sz w:val="24"/>
        </w:rPr>
        <w:t>La fonction d’explication</w:t>
      </w:r>
      <w:r>
        <w:rPr>
          <w:sz w:val="24"/>
        </w:rPr>
        <w:t xml:space="preserve"> [93]</w:t>
      </w:r>
    </w:p>
    <w:p w14:paraId="0F436FE6" w14:textId="77777777" w:rsidR="00B01930" w:rsidRPr="00EC50AF" w:rsidRDefault="00B01930" w:rsidP="00B01930">
      <w:pPr>
        <w:ind w:left="1620" w:firstLine="0"/>
        <w:jc w:val="both"/>
        <w:rPr>
          <w:sz w:val="24"/>
        </w:rPr>
      </w:pPr>
      <w:r w:rsidRPr="00EC50AF">
        <w:rPr>
          <w:sz w:val="24"/>
        </w:rPr>
        <w:t>La fonction de conquête du pouvoir et les conflits</w:t>
      </w:r>
      <w:r>
        <w:rPr>
          <w:sz w:val="24"/>
        </w:rPr>
        <w:t xml:space="preserve"> [100]</w:t>
      </w:r>
    </w:p>
    <w:p w14:paraId="2928842D" w14:textId="77777777" w:rsidR="00B01930" w:rsidRPr="00EC50AF" w:rsidRDefault="00B01930" w:rsidP="00B01930">
      <w:pPr>
        <w:ind w:left="1620" w:firstLine="0"/>
        <w:jc w:val="both"/>
        <w:rPr>
          <w:sz w:val="24"/>
        </w:rPr>
      </w:pPr>
      <w:r w:rsidRPr="00EC50AF">
        <w:rPr>
          <w:sz w:val="24"/>
        </w:rPr>
        <w:t>Vue d’ensemble de l’hypothèse synchronique</w:t>
      </w:r>
      <w:r>
        <w:rPr>
          <w:sz w:val="24"/>
        </w:rPr>
        <w:t xml:space="preserve"> [104]</w:t>
      </w:r>
    </w:p>
    <w:p w14:paraId="12638E58" w14:textId="77777777" w:rsidR="00B01930" w:rsidRPr="00EC50AF" w:rsidRDefault="00B01930" w:rsidP="00B01930">
      <w:pPr>
        <w:ind w:left="1260" w:hanging="360"/>
        <w:jc w:val="both"/>
        <w:rPr>
          <w:sz w:val="24"/>
        </w:rPr>
      </w:pPr>
      <w:r>
        <w:rPr>
          <w:sz w:val="24"/>
        </w:rPr>
        <w:t>C.</w:t>
      </w:r>
      <w:r>
        <w:rPr>
          <w:sz w:val="24"/>
        </w:rPr>
        <w:tab/>
      </w:r>
      <w:hyperlink w:anchor="Analyser_idees_pol_pt_1_texte_01b_2c" w:history="1">
        <w:r w:rsidRPr="008862F5">
          <w:rPr>
            <w:rStyle w:val="Hyperlien"/>
            <w:sz w:val="24"/>
          </w:rPr>
          <w:t>Les mouvements dysfonctionnels</w:t>
        </w:r>
      </w:hyperlink>
      <w:r>
        <w:rPr>
          <w:sz w:val="24"/>
        </w:rPr>
        <w:t xml:space="preserve"> [106]</w:t>
      </w:r>
    </w:p>
    <w:p w14:paraId="1058836A" w14:textId="77777777" w:rsidR="00B01930" w:rsidRPr="00711B61" w:rsidRDefault="00B01930" w:rsidP="00B01930">
      <w:pPr>
        <w:ind w:left="1620" w:firstLine="0"/>
        <w:jc w:val="both"/>
        <w:rPr>
          <w:sz w:val="24"/>
        </w:rPr>
      </w:pPr>
      <w:r w:rsidRPr="00711B61">
        <w:rPr>
          <w:sz w:val="24"/>
        </w:rPr>
        <w:t>Le phénomène de capture</w:t>
      </w:r>
      <w:r>
        <w:rPr>
          <w:sz w:val="24"/>
        </w:rPr>
        <w:t xml:space="preserve"> [107]</w:t>
      </w:r>
    </w:p>
    <w:p w14:paraId="2EB62AE3" w14:textId="77777777" w:rsidR="00B01930" w:rsidRPr="00711B61" w:rsidRDefault="00B01930" w:rsidP="00B01930">
      <w:pPr>
        <w:ind w:left="1620" w:firstLine="0"/>
        <w:jc w:val="both"/>
        <w:rPr>
          <w:sz w:val="24"/>
        </w:rPr>
      </w:pPr>
      <w:r w:rsidRPr="00711B61">
        <w:rPr>
          <w:sz w:val="24"/>
        </w:rPr>
        <w:t>Le phénomène de contagion</w:t>
      </w:r>
      <w:r>
        <w:rPr>
          <w:sz w:val="24"/>
        </w:rPr>
        <w:t xml:space="preserve"> [109]</w:t>
      </w:r>
    </w:p>
    <w:p w14:paraId="1D9814D8" w14:textId="77777777" w:rsidR="00B01930" w:rsidRPr="00EC50AF" w:rsidRDefault="00B01930" w:rsidP="00B01930">
      <w:pPr>
        <w:ind w:left="900" w:hanging="454"/>
        <w:rPr>
          <w:sz w:val="24"/>
        </w:rPr>
      </w:pPr>
      <w:hyperlink w:anchor="Analyser_idees_pol_pt_1_texte_01b_concl" w:history="1">
        <w:r w:rsidRPr="008862F5">
          <w:rPr>
            <w:rStyle w:val="Hyperlien"/>
            <w:sz w:val="24"/>
          </w:rPr>
          <w:t>Conclusion</w:t>
        </w:r>
      </w:hyperlink>
      <w:r>
        <w:rPr>
          <w:sz w:val="24"/>
        </w:rPr>
        <w:t xml:space="preserve"> [111]</w:t>
      </w:r>
    </w:p>
    <w:p w14:paraId="6E6455CB" w14:textId="77777777" w:rsidR="00B01930" w:rsidRPr="00EC50AF" w:rsidRDefault="00B01930" w:rsidP="00B01930">
      <w:pPr>
        <w:ind w:firstLine="0"/>
        <w:jc w:val="both"/>
        <w:rPr>
          <w:sz w:val="24"/>
        </w:rPr>
      </w:pPr>
      <w:r>
        <w:rPr>
          <w:sz w:val="24"/>
        </w:rPr>
        <w:br w:type="page"/>
      </w:r>
    </w:p>
    <w:p w14:paraId="1A3C36D9" w14:textId="77777777" w:rsidR="00B01930" w:rsidRPr="00EC50AF" w:rsidRDefault="00B01930" w:rsidP="00B01930">
      <w:pPr>
        <w:ind w:left="900" w:hanging="454"/>
        <w:rPr>
          <w:sz w:val="24"/>
        </w:rPr>
      </w:pPr>
      <w:hyperlink w:anchor="Analyser_idees_pol_pt_1_texte_01b_annexe" w:history="1">
        <w:r w:rsidRPr="008862F5">
          <w:rPr>
            <w:rStyle w:val="Hyperlien"/>
            <w:sz w:val="24"/>
          </w:rPr>
          <w:t>Annexe</w:t>
        </w:r>
      </w:hyperlink>
      <w:r>
        <w:rPr>
          <w:sz w:val="24"/>
        </w:rPr>
        <w:t xml:space="preserve"> [113]</w:t>
      </w:r>
    </w:p>
    <w:p w14:paraId="1310DE1A" w14:textId="77777777" w:rsidR="00B01930" w:rsidRPr="00EC50AF" w:rsidRDefault="00B01930" w:rsidP="00B01930">
      <w:pPr>
        <w:ind w:left="900" w:firstLine="0"/>
        <w:jc w:val="both"/>
        <w:rPr>
          <w:sz w:val="24"/>
        </w:rPr>
      </w:pPr>
      <w:r w:rsidRPr="00EC50AF">
        <w:rPr>
          <w:sz w:val="24"/>
        </w:rPr>
        <w:t>Un exemple de réactualisation du code n° 1</w:t>
      </w:r>
      <w:r>
        <w:rPr>
          <w:sz w:val="24"/>
        </w:rPr>
        <w:t xml:space="preserve">. </w:t>
      </w:r>
      <w:r w:rsidRPr="00EC50AF">
        <w:rPr>
          <w:sz w:val="24"/>
        </w:rPr>
        <w:t>Louis Althusser</w:t>
      </w:r>
      <w:r>
        <w:rPr>
          <w:sz w:val="24"/>
        </w:rPr>
        <w:t xml:space="preserve"> [113]</w:t>
      </w:r>
    </w:p>
    <w:p w14:paraId="092558ED" w14:textId="77777777" w:rsidR="00B01930" w:rsidRDefault="00B01930" w:rsidP="00B01930">
      <w:pPr>
        <w:ind w:left="1350" w:firstLine="0"/>
        <w:jc w:val="both"/>
        <w:rPr>
          <w:sz w:val="24"/>
        </w:rPr>
      </w:pPr>
      <w:r>
        <w:rPr>
          <w:sz w:val="24"/>
        </w:rPr>
        <w:t>Résumé de notre mémoire de 1974 [113]</w:t>
      </w:r>
    </w:p>
    <w:p w14:paraId="78D12887" w14:textId="77777777" w:rsidR="00B01930" w:rsidRPr="00EC50AF" w:rsidRDefault="00B01930" w:rsidP="00B01930">
      <w:pPr>
        <w:ind w:left="1350" w:firstLine="0"/>
        <w:jc w:val="both"/>
        <w:rPr>
          <w:sz w:val="24"/>
        </w:rPr>
      </w:pPr>
      <w:r w:rsidRPr="00EC50AF">
        <w:rPr>
          <w:sz w:val="24"/>
        </w:rPr>
        <w:t>Addendum au texte de 1974, réd</w:t>
      </w:r>
      <w:r w:rsidRPr="00EC50AF">
        <w:rPr>
          <w:sz w:val="24"/>
        </w:rPr>
        <w:t>i</w:t>
      </w:r>
      <w:r w:rsidRPr="00EC50AF">
        <w:rPr>
          <w:sz w:val="24"/>
        </w:rPr>
        <w:t>gé en 1994</w:t>
      </w:r>
      <w:r>
        <w:rPr>
          <w:sz w:val="24"/>
        </w:rPr>
        <w:t xml:space="preserve"> [115]</w:t>
      </w:r>
    </w:p>
    <w:p w14:paraId="0B0CB83C" w14:textId="77777777" w:rsidR="00B01930" w:rsidRDefault="00B01930" w:rsidP="00B01930">
      <w:pPr>
        <w:ind w:left="450" w:firstLine="0"/>
        <w:jc w:val="both"/>
        <w:rPr>
          <w:sz w:val="24"/>
        </w:rPr>
      </w:pPr>
    </w:p>
    <w:p w14:paraId="02048C93" w14:textId="77777777" w:rsidR="00B01930" w:rsidRPr="00EC50AF" w:rsidRDefault="00B01930" w:rsidP="00B01930">
      <w:pPr>
        <w:ind w:left="900" w:hanging="454"/>
        <w:rPr>
          <w:sz w:val="24"/>
        </w:rPr>
      </w:pPr>
      <w:r w:rsidRPr="00EC50AF">
        <w:rPr>
          <w:sz w:val="24"/>
        </w:rPr>
        <w:t>À titre indicatif  les publications les plus significatives de  Jean-Louis Ma</w:t>
      </w:r>
      <w:r w:rsidRPr="00EC50AF">
        <w:rPr>
          <w:sz w:val="24"/>
        </w:rPr>
        <w:t>r</w:t>
      </w:r>
      <w:r w:rsidRPr="00EC50AF">
        <w:rPr>
          <w:sz w:val="24"/>
        </w:rPr>
        <w:t>tres</w:t>
      </w:r>
      <w:r>
        <w:rPr>
          <w:sz w:val="24"/>
        </w:rPr>
        <w:t xml:space="preserve"> [130]</w:t>
      </w:r>
    </w:p>
    <w:p w14:paraId="03918E6A" w14:textId="77777777" w:rsidR="00B01930" w:rsidRPr="00EC50AF" w:rsidRDefault="00B01930" w:rsidP="00B01930">
      <w:pPr>
        <w:ind w:left="900" w:hanging="454"/>
        <w:rPr>
          <w:sz w:val="24"/>
        </w:rPr>
      </w:pPr>
      <w:r w:rsidRPr="00EC50AF">
        <w:rPr>
          <w:sz w:val="24"/>
        </w:rPr>
        <w:t>Note sur l’auteur</w:t>
      </w:r>
      <w:r>
        <w:rPr>
          <w:sz w:val="24"/>
        </w:rPr>
        <w:t xml:space="preserve"> [132]</w:t>
      </w:r>
    </w:p>
    <w:p w14:paraId="02113608" w14:textId="77777777" w:rsidR="00B01930" w:rsidRPr="00973844" w:rsidRDefault="00B01930" w:rsidP="00B01930">
      <w:pPr>
        <w:spacing w:before="120" w:after="120"/>
        <w:ind w:firstLine="0"/>
        <w:rPr>
          <w:sz w:val="24"/>
        </w:rPr>
      </w:pPr>
    </w:p>
    <w:p w14:paraId="695279E1" w14:textId="77777777" w:rsidR="00B01930" w:rsidRPr="00973844" w:rsidRDefault="00B01930" w:rsidP="00B01930">
      <w:pPr>
        <w:spacing w:before="120" w:after="120"/>
        <w:ind w:firstLine="0"/>
        <w:jc w:val="center"/>
        <w:rPr>
          <w:b/>
          <w:sz w:val="24"/>
        </w:rPr>
      </w:pPr>
      <w:r w:rsidRPr="00973844">
        <w:rPr>
          <w:b/>
          <w:sz w:val="24"/>
        </w:rPr>
        <w:t xml:space="preserve">II. </w:t>
      </w:r>
      <w:hyperlink w:anchor="Analyser_idees_pol_pt_2" w:history="1">
        <w:r w:rsidRPr="00787879">
          <w:rPr>
            <w:rStyle w:val="Hyperlien"/>
            <w:b/>
            <w:sz w:val="24"/>
          </w:rPr>
          <w:t>De quelques idées politiques du « passé »</w:t>
        </w:r>
      </w:hyperlink>
      <w:r>
        <w:rPr>
          <w:sz w:val="24"/>
        </w:rPr>
        <w:t xml:space="preserve"> [134]</w:t>
      </w:r>
    </w:p>
    <w:p w14:paraId="1C1AAB66" w14:textId="77777777" w:rsidR="00B01930" w:rsidRDefault="00B01930" w:rsidP="00B01930">
      <w:pPr>
        <w:spacing w:before="120" w:after="120"/>
        <w:ind w:firstLine="0"/>
        <w:rPr>
          <w:sz w:val="24"/>
        </w:rPr>
      </w:pPr>
    </w:p>
    <w:p w14:paraId="462E38E7" w14:textId="77777777" w:rsidR="00B01930" w:rsidRPr="00973844" w:rsidRDefault="00B01930" w:rsidP="00B01930">
      <w:pPr>
        <w:spacing w:before="120" w:after="120"/>
        <w:ind w:left="450" w:hanging="450"/>
        <w:rPr>
          <w:sz w:val="24"/>
        </w:rPr>
      </w:pPr>
      <w:r>
        <w:rPr>
          <w:sz w:val="24"/>
        </w:rPr>
        <w:t>2.</w:t>
      </w:r>
      <w:r>
        <w:rPr>
          <w:sz w:val="24"/>
        </w:rPr>
        <w:tab/>
      </w:r>
      <w:r w:rsidRPr="00973844">
        <w:rPr>
          <w:sz w:val="24"/>
        </w:rPr>
        <w:t xml:space="preserve">Michel Bergès, </w:t>
      </w:r>
      <w:r>
        <w:rPr>
          <w:sz w:val="24"/>
        </w:rPr>
        <w:t>“</w:t>
      </w:r>
      <w:hyperlink w:anchor="Analyser_idees_pol_pt_2_texte_02" w:history="1">
        <w:r w:rsidRPr="00787879">
          <w:rPr>
            <w:rStyle w:val="Hyperlien"/>
            <w:sz w:val="24"/>
          </w:rPr>
          <w:t>De l’origine pythagoricienne des Constitutions politiques : l’approche transcendantaliste des Grecs</w:t>
        </w:r>
      </w:hyperlink>
      <w:r>
        <w:rPr>
          <w:sz w:val="24"/>
        </w:rPr>
        <w:t>.” [135]</w:t>
      </w:r>
    </w:p>
    <w:p w14:paraId="7649CF61" w14:textId="77777777" w:rsidR="00B01930" w:rsidRPr="00973844" w:rsidRDefault="00B01930" w:rsidP="00B01930">
      <w:pPr>
        <w:spacing w:before="120" w:after="120"/>
        <w:ind w:left="450" w:hanging="450"/>
        <w:rPr>
          <w:sz w:val="24"/>
        </w:rPr>
      </w:pPr>
      <w:r>
        <w:rPr>
          <w:sz w:val="24"/>
        </w:rPr>
        <w:t>3.</w:t>
      </w:r>
      <w:r>
        <w:rPr>
          <w:sz w:val="24"/>
        </w:rPr>
        <w:tab/>
      </w:r>
      <w:r w:rsidRPr="00973844">
        <w:rPr>
          <w:sz w:val="24"/>
        </w:rPr>
        <w:t xml:space="preserve">Jean-François Labourdette, </w:t>
      </w:r>
      <w:r>
        <w:rPr>
          <w:sz w:val="24"/>
        </w:rPr>
        <w:t>“</w:t>
      </w:r>
      <w:hyperlink w:anchor="Analyser_idees_pol_pt_2_texte_03" w:history="1">
        <w:r w:rsidRPr="00787879">
          <w:rPr>
            <w:rStyle w:val="Hyperlien"/>
            <w:sz w:val="24"/>
          </w:rPr>
          <w:t>Les principes politiques de Charles IX, Roi Très-Chrétien et prince de la Renaissance</w:t>
        </w:r>
      </w:hyperlink>
      <w:r>
        <w:rPr>
          <w:sz w:val="24"/>
        </w:rPr>
        <w:t>.” [158]</w:t>
      </w:r>
    </w:p>
    <w:p w14:paraId="08A5B7CC" w14:textId="77777777" w:rsidR="00B01930" w:rsidRDefault="00B01930" w:rsidP="00B01930">
      <w:pPr>
        <w:ind w:left="1080" w:hanging="634"/>
        <w:rPr>
          <w:rFonts w:cs="Arial"/>
          <w:sz w:val="24"/>
          <w:szCs w:val="28"/>
        </w:rPr>
      </w:pPr>
    </w:p>
    <w:p w14:paraId="5888D4D1" w14:textId="77777777" w:rsidR="00B01930" w:rsidRDefault="00B01930" w:rsidP="00B01930">
      <w:pPr>
        <w:ind w:left="1080" w:hanging="634"/>
        <w:rPr>
          <w:rFonts w:cs="Arial"/>
          <w:sz w:val="24"/>
          <w:szCs w:val="28"/>
        </w:rPr>
      </w:pPr>
      <w:r w:rsidRPr="00C52112">
        <w:rPr>
          <w:rFonts w:cs="Arial"/>
          <w:sz w:val="24"/>
          <w:szCs w:val="28"/>
        </w:rPr>
        <w:t>I.</w:t>
      </w:r>
      <w:r>
        <w:rPr>
          <w:rFonts w:cs="Arial"/>
          <w:sz w:val="24"/>
          <w:szCs w:val="28"/>
        </w:rPr>
        <w:tab/>
      </w:r>
      <w:hyperlink w:anchor="Analyser_idees_pol_pt_2_texte_03_I" w:history="1">
        <w:r w:rsidRPr="00787879">
          <w:rPr>
            <w:rStyle w:val="Hyperlien"/>
            <w:rFonts w:cs="Arial"/>
            <w:sz w:val="24"/>
            <w:szCs w:val="28"/>
          </w:rPr>
          <w:t>L’institution d’un Prince de la Renaissance</w:t>
        </w:r>
      </w:hyperlink>
      <w:r w:rsidRPr="00C52112">
        <w:rPr>
          <w:rFonts w:cs="Arial"/>
          <w:sz w:val="24"/>
          <w:szCs w:val="28"/>
        </w:rPr>
        <w:t xml:space="preserve"> [</w:t>
      </w:r>
      <w:r>
        <w:rPr>
          <w:rFonts w:cs="Arial"/>
          <w:sz w:val="24"/>
          <w:szCs w:val="28"/>
        </w:rPr>
        <w:t>161</w:t>
      </w:r>
      <w:r w:rsidRPr="00C52112">
        <w:rPr>
          <w:rFonts w:cs="Arial"/>
          <w:sz w:val="24"/>
          <w:szCs w:val="28"/>
        </w:rPr>
        <w:t>]</w:t>
      </w:r>
    </w:p>
    <w:p w14:paraId="14592940" w14:textId="77777777" w:rsidR="00B01930" w:rsidRDefault="00B01930" w:rsidP="00B01930">
      <w:pPr>
        <w:ind w:left="1080" w:hanging="634"/>
        <w:rPr>
          <w:rFonts w:cs="Arial"/>
          <w:sz w:val="24"/>
          <w:szCs w:val="28"/>
        </w:rPr>
      </w:pPr>
      <w:r w:rsidRPr="00C52112">
        <w:rPr>
          <w:rFonts w:cs="Arial"/>
          <w:sz w:val="24"/>
          <w:szCs w:val="28"/>
        </w:rPr>
        <w:t>II.</w:t>
      </w:r>
      <w:r>
        <w:rPr>
          <w:rFonts w:cs="Arial"/>
          <w:sz w:val="24"/>
          <w:szCs w:val="28"/>
        </w:rPr>
        <w:tab/>
      </w:r>
      <w:hyperlink w:anchor="Analyser_idees_pol_pt_2_texte_03_II" w:history="1">
        <w:r w:rsidRPr="00787879">
          <w:rPr>
            <w:rStyle w:val="Hyperlien"/>
            <w:rFonts w:cs="Arial"/>
            <w:sz w:val="24"/>
            <w:szCs w:val="28"/>
          </w:rPr>
          <w:t>La monarchie que l’on a enseignée à Charles IX</w:t>
        </w:r>
      </w:hyperlink>
      <w:r w:rsidRPr="00C52112">
        <w:rPr>
          <w:rFonts w:cs="Arial"/>
          <w:sz w:val="24"/>
          <w:szCs w:val="28"/>
        </w:rPr>
        <w:t xml:space="preserve"> [</w:t>
      </w:r>
      <w:r>
        <w:rPr>
          <w:rFonts w:cs="Arial"/>
          <w:sz w:val="24"/>
          <w:szCs w:val="28"/>
        </w:rPr>
        <w:t>169</w:t>
      </w:r>
      <w:r w:rsidRPr="00C52112">
        <w:rPr>
          <w:rFonts w:cs="Arial"/>
          <w:sz w:val="24"/>
          <w:szCs w:val="28"/>
        </w:rPr>
        <w:t>]</w:t>
      </w:r>
    </w:p>
    <w:p w14:paraId="3B902F20" w14:textId="77777777" w:rsidR="00B01930" w:rsidRPr="00C52112" w:rsidRDefault="00B01930" w:rsidP="00B01930">
      <w:pPr>
        <w:ind w:left="1080" w:hanging="634"/>
        <w:rPr>
          <w:rFonts w:cs="Arial"/>
          <w:sz w:val="24"/>
          <w:szCs w:val="28"/>
        </w:rPr>
      </w:pPr>
      <w:r w:rsidRPr="00C52112">
        <w:rPr>
          <w:rFonts w:cs="Arial"/>
          <w:sz w:val="24"/>
          <w:szCs w:val="28"/>
        </w:rPr>
        <w:t>III.</w:t>
      </w:r>
      <w:r>
        <w:rPr>
          <w:rFonts w:cs="Arial"/>
          <w:sz w:val="24"/>
          <w:szCs w:val="28"/>
        </w:rPr>
        <w:tab/>
      </w:r>
      <w:hyperlink w:anchor="Analyser_idees_pol_pt_2_texte_03_III" w:history="1">
        <w:r w:rsidRPr="007B1D86">
          <w:rPr>
            <w:rStyle w:val="Hyperlien"/>
            <w:rFonts w:cs="Arial"/>
            <w:sz w:val="24"/>
            <w:szCs w:val="28"/>
          </w:rPr>
          <w:t>Le roi de France, « empereur en son royaume »</w:t>
        </w:r>
      </w:hyperlink>
      <w:r w:rsidRPr="007B1D86">
        <w:rPr>
          <w:rFonts w:cs="Arial"/>
          <w:sz w:val="24"/>
          <w:szCs w:val="28"/>
        </w:rPr>
        <w:t xml:space="preserve"> </w:t>
      </w:r>
      <w:r>
        <w:rPr>
          <w:rFonts w:cs="Arial"/>
          <w:sz w:val="24"/>
          <w:szCs w:val="28"/>
        </w:rPr>
        <w:t>[173]</w:t>
      </w:r>
    </w:p>
    <w:p w14:paraId="256CC547" w14:textId="77777777" w:rsidR="00B01930" w:rsidRPr="00C52112" w:rsidRDefault="00B01930" w:rsidP="00B01930">
      <w:pPr>
        <w:ind w:left="1080" w:hanging="634"/>
        <w:rPr>
          <w:rFonts w:cs="Arial"/>
          <w:sz w:val="24"/>
          <w:szCs w:val="28"/>
        </w:rPr>
      </w:pPr>
      <w:r w:rsidRPr="00C52112">
        <w:rPr>
          <w:rFonts w:cs="Arial"/>
          <w:sz w:val="24"/>
          <w:szCs w:val="28"/>
        </w:rPr>
        <w:t>IV.</w:t>
      </w:r>
      <w:r>
        <w:rPr>
          <w:rFonts w:cs="Arial"/>
          <w:sz w:val="24"/>
          <w:szCs w:val="28"/>
        </w:rPr>
        <w:tab/>
      </w:r>
      <w:hyperlink w:anchor="Analyser_idees_pol_pt_2_texte_03_IV" w:history="1">
        <w:r w:rsidRPr="00787879">
          <w:rPr>
            <w:rStyle w:val="Hyperlien"/>
            <w:rFonts w:cs="Arial"/>
            <w:sz w:val="24"/>
            <w:szCs w:val="28"/>
          </w:rPr>
          <w:t>Une monarchie réglée depuis des siècles par la loi</w:t>
        </w:r>
      </w:hyperlink>
      <w:r w:rsidRPr="00C52112">
        <w:rPr>
          <w:rFonts w:cs="Arial"/>
          <w:sz w:val="24"/>
          <w:szCs w:val="28"/>
        </w:rPr>
        <w:t xml:space="preserve"> [</w:t>
      </w:r>
      <w:r>
        <w:rPr>
          <w:rFonts w:cs="Arial"/>
          <w:sz w:val="24"/>
          <w:szCs w:val="28"/>
        </w:rPr>
        <w:t>175</w:t>
      </w:r>
      <w:r w:rsidRPr="00C52112">
        <w:rPr>
          <w:rFonts w:cs="Arial"/>
          <w:sz w:val="24"/>
          <w:szCs w:val="28"/>
        </w:rPr>
        <w:t>]</w:t>
      </w:r>
    </w:p>
    <w:p w14:paraId="58D908C9" w14:textId="77777777" w:rsidR="00B01930" w:rsidRDefault="00B01930" w:rsidP="00B01930">
      <w:pPr>
        <w:ind w:left="1080" w:hanging="634"/>
        <w:rPr>
          <w:rFonts w:cs="Arial"/>
          <w:sz w:val="24"/>
          <w:szCs w:val="28"/>
        </w:rPr>
      </w:pPr>
      <w:r w:rsidRPr="00C52112">
        <w:rPr>
          <w:rFonts w:cs="Arial"/>
          <w:sz w:val="24"/>
          <w:szCs w:val="28"/>
        </w:rPr>
        <w:t>V.</w:t>
      </w:r>
      <w:r>
        <w:rPr>
          <w:rFonts w:cs="Arial"/>
          <w:sz w:val="24"/>
          <w:szCs w:val="28"/>
        </w:rPr>
        <w:tab/>
      </w:r>
      <w:hyperlink w:anchor="Analyser_idees_pol_pt_2_texte_03_V" w:history="1">
        <w:r w:rsidRPr="00787879">
          <w:rPr>
            <w:rStyle w:val="Hyperlien"/>
            <w:rFonts w:cs="Arial"/>
            <w:sz w:val="24"/>
            <w:szCs w:val="28"/>
          </w:rPr>
          <w:t>Est-ce à dire que le roi de France n’est pas un roi absolu ?</w:t>
        </w:r>
      </w:hyperlink>
      <w:r w:rsidRPr="00C52112">
        <w:rPr>
          <w:rFonts w:cs="Arial"/>
          <w:sz w:val="24"/>
          <w:szCs w:val="28"/>
        </w:rPr>
        <w:t xml:space="preserve"> [</w:t>
      </w:r>
      <w:r>
        <w:rPr>
          <w:rFonts w:cs="Arial"/>
          <w:sz w:val="24"/>
          <w:szCs w:val="28"/>
        </w:rPr>
        <w:t>181</w:t>
      </w:r>
      <w:r w:rsidRPr="00C52112">
        <w:rPr>
          <w:rFonts w:cs="Arial"/>
          <w:sz w:val="24"/>
          <w:szCs w:val="28"/>
        </w:rPr>
        <w:t>]</w:t>
      </w:r>
    </w:p>
    <w:p w14:paraId="1932F89D" w14:textId="77777777" w:rsidR="00B01930" w:rsidRDefault="00B01930" w:rsidP="00B01930">
      <w:pPr>
        <w:ind w:left="1080" w:hanging="634"/>
        <w:rPr>
          <w:rFonts w:cs="Arial"/>
          <w:sz w:val="24"/>
          <w:szCs w:val="28"/>
        </w:rPr>
      </w:pPr>
      <w:r w:rsidRPr="00C52112">
        <w:rPr>
          <w:rFonts w:cs="Arial"/>
          <w:sz w:val="24"/>
          <w:szCs w:val="28"/>
        </w:rPr>
        <w:t>VI.</w:t>
      </w:r>
      <w:r>
        <w:rPr>
          <w:rFonts w:cs="Arial"/>
          <w:sz w:val="24"/>
          <w:szCs w:val="28"/>
        </w:rPr>
        <w:tab/>
      </w:r>
      <w:hyperlink w:anchor="Analyser_idees_pol_pt_2_texte_03_VI" w:history="1">
        <w:r w:rsidRPr="00787879">
          <w:rPr>
            <w:rStyle w:val="Hyperlien"/>
            <w:rFonts w:cs="Arial"/>
            <w:sz w:val="24"/>
            <w:szCs w:val="28"/>
          </w:rPr>
          <w:t>Les Cours « souveraines », pierres d’achoppement du pouvoir absolu</w:t>
        </w:r>
      </w:hyperlink>
      <w:r>
        <w:rPr>
          <w:rFonts w:cs="Arial"/>
          <w:sz w:val="24"/>
          <w:szCs w:val="28"/>
        </w:rPr>
        <w:t xml:space="preserve"> [183]</w:t>
      </w:r>
    </w:p>
    <w:p w14:paraId="53786099" w14:textId="77777777" w:rsidR="00B01930" w:rsidRPr="00C52112" w:rsidRDefault="00B01930" w:rsidP="00B01930">
      <w:pPr>
        <w:ind w:left="1080" w:hanging="634"/>
        <w:rPr>
          <w:rFonts w:cs="Arial"/>
          <w:sz w:val="24"/>
          <w:szCs w:val="28"/>
        </w:rPr>
      </w:pPr>
      <w:r w:rsidRPr="00C52112">
        <w:rPr>
          <w:rFonts w:cs="Arial"/>
          <w:sz w:val="24"/>
          <w:szCs w:val="28"/>
        </w:rPr>
        <w:t>VII.</w:t>
      </w:r>
      <w:r>
        <w:rPr>
          <w:rFonts w:cs="Arial"/>
          <w:sz w:val="24"/>
          <w:szCs w:val="28"/>
        </w:rPr>
        <w:tab/>
      </w:r>
      <w:hyperlink w:anchor="Analyser_idees_pol_pt_2_texte_03_VII" w:history="1">
        <w:r w:rsidRPr="00787879">
          <w:rPr>
            <w:rStyle w:val="Hyperlien"/>
            <w:rFonts w:cs="Arial"/>
            <w:sz w:val="24"/>
            <w:szCs w:val="28"/>
          </w:rPr>
          <w:t>L’affirmation du pouvoir absolu du Roi par Charles IX</w:t>
        </w:r>
      </w:hyperlink>
      <w:r w:rsidRPr="00C52112">
        <w:rPr>
          <w:rFonts w:cs="Arial"/>
          <w:sz w:val="24"/>
          <w:szCs w:val="28"/>
        </w:rPr>
        <w:t xml:space="preserve"> [</w:t>
      </w:r>
      <w:r>
        <w:rPr>
          <w:rFonts w:cs="Arial"/>
          <w:sz w:val="24"/>
          <w:szCs w:val="28"/>
        </w:rPr>
        <w:t>184</w:t>
      </w:r>
      <w:r w:rsidRPr="00C52112">
        <w:rPr>
          <w:rFonts w:cs="Arial"/>
          <w:sz w:val="24"/>
          <w:szCs w:val="28"/>
        </w:rPr>
        <w:t>]</w:t>
      </w:r>
    </w:p>
    <w:p w14:paraId="4C1EA4F3" w14:textId="77777777" w:rsidR="00B01930" w:rsidRPr="00C52112" w:rsidRDefault="00B01930" w:rsidP="00B01930">
      <w:pPr>
        <w:ind w:left="1080" w:hanging="634"/>
        <w:rPr>
          <w:rFonts w:cs="Arial"/>
          <w:sz w:val="24"/>
          <w:szCs w:val="28"/>
        </w:rPr>
      </w:pPr>
      <w:r w:rsidRPr="00C52112">
        <w:rPr>
          <w:rFonts w:cs="Arial"/>
          <w:sz w:val="24"/>
          <w:szCs w:val="28"/>
        </w:rPr>
        <w:t>VIII.</w:t>
      </w:r>
      <w:r>
        <w:rPr>
          <w:rFonts w:cs="Arial"/>
          <w:sz w:val="24"/>
          <w:szCs w:val="28"/>
        </w:rPr>
        <w:tab/>
      </w:r>
      <w:hyperlink w:anchor="Analyser_idees_pol_pt_2_texte_03_VIII" w:history="1">
        <w:r w:rsidRPr="00787879">
          <w:rPr>
            <w:rStyle w:val="Hyperlien"/>
            <w:rFonts w:cs="Arial"/>
            <w:sz w:val="24"/>
            <w:szCs w:val="28"/>
          </w:rPr>
          <w:t>Le Roi en son conseil</w:t>
        </w:r>
      </w:hyperlink>
      <w:r w:rsidRPr="00C52112">
        <w:rPr>
          <w:rFonts w:cs="Arial"/>
          <w:sz w:val="24"/>
          <w:szCs w:val="28"/>
        </w:rPr>
        <w:t xml:space="preserve"> [</w:t>
      </w:r>
      <w:r>
        <w:rPr>
          <w:rFonts w:cs="Arial"/>
          <w:sz w:val="24"/>
          <w:szCs w:val="28"/>
        </w:rPr>
        <w:t>190</w:t>
      </w:r>
      <w:r w:rsidRPr="00C52112">
        <w:rPr>
          <w:rFonts w:cs="Arial"/>
          <w:sz w:val="24"/>
          <w:szCs w:val="28"/>
        </w:rPr>
        <w:t>]</w:t>
      </w:r>
    </w:p>
    <w:p w14:paraId="4EAAD02C" w14:textId="77777777" w:rsidR="00B01930" w:rsidRPr="00C52112" w:rsidRDefault="00B01930" w:rsidP="00B01930">
      <w:pPr>
        <w:ind w:left="1080" w:hanging="634"/>
        <w:rPr>
          <w:rFonts w:cs="Arial"/>
          <w:sz w:val="24"/>
          <w:szCs w:val="28"/>
        </w:rPr>
      </w:pPr>
      <w:r w:rsidRPr="00C52112">
        <w:rPr>
          <w:rFonts w:cs="Arial"/>
          <w:sz w:val="24"/>
          <w:szCs w:val="28"/>
        </w:rPr>
        <w:t>IX.</w:t>
      </w:r>
      <w:r>
        <w:rPr>
          <w:rFonts w:cs="Arial"/>
          <w:sz w:val="24"/>
          <w:szCs w:val="28"/>
        </w:rPr>
        <w:tab/>
      </w:r>
      <w:hyperlink w:anchor="Analyser_idees_pol_pt_2_texte_03_IX" w:history="1">
        <w:r w:rsidRPr="00787879">
          <w:rPr>
            <w:rStyle w:val="Hyperlien"/>
            <w:rFonts w:cs="Arial"/>
            <w:sz w:val="24"/>
            <w:szCs w:val="28"/>
          </w:rPr>
          <w:t>Roi Très-Chrétien,  mais « empereur en son royaume »</w:t>
        </w:r>
      </w:hyperlink>
      <w:r w:rsidRPr="00C52112">
        <w:rPr>
          <w:rFonts w:cs="Arial"/>
          <w:sz w:val="24"/>
          <w:szCs w:val="28"/>
        </w:rPr>
        <w:t xml:space="preserve"> [</w:t>
      </w:r>
      <w:r>
        <w:rPr>
          <w:rFonts w:cs="Arial"/>
          <w:sz w:val="24"/>
          <w:szCs w:val="28"/>
        </w:rPr>
        <w:t>192</w:t>
      </w:r>
      <w:r w:rsidRPr="00C52112">
        <w:rPr>
          <w:rFonts w:cs="Arial"/>
          <w:sz w:val="24"/>
          <w:szCs w:val="28"/>
        </w:rPr>
        <w:t>]</w:t>
      </w:r>
    </w:p>
    <w:p w14:paraId="0A011648" w14:textId="77777777" w:rsidR="00B01930" w:rsidRPr="00C52112" w:rsidRDefault="00B01930" w:rsidP="00B01930">
      <w:pPr>
        <w:ind w:left="1080" w:hanging="634"/>
        <w:rPr>
          <w:rFonts w:cs="Arial"/>
          <w:sz w:val="24"/>
          <w:szCs w:val="28"/>
        </w:rPr>
      </w:pPr>
      <w:r w:rsidRPr="00C52112">
        <w:rPr>
          <w:rFonts w:cs="Arial"/>
          <w:sz w:val="24"/>
          <w:szCs w:val="28"/>
        </w:rPr>
        <w:t>X.</w:t>
      </w:r>
      <w:r>
        <w:rPr>
          <w:rFonts w:cs="Arial"/>
          <w:sz w:val="24"/>
          <w:szCs w:val="28"/>
        </w:rPr>
        <w:tab/>
      </w:r>
      <w:hyperlink w:anchor="Analyser_idees_pol_pt_2_texte_03_X" w:history="1">
        <w:r w:rsidRPr="00787879">
          <w:rPr>
            <w:rStyle w:val="Hyperlien"/>
            <w:rFonts w:cs="Arial"/>
            <w:sz w:val="24"/>
            <w:szCs w:val="28"/>
          </w:rPr>
          <w:t>Charles IX et la raison d’État</w:t>
        </w:r>
      </w:hyperlink>
      <w:r w:rsidRPr="00C52112">
        <w:rPr>
          <w:rFonts w:cs="Arial"/>
          <w:sz w:val="24"/>
          <w:szCs w:val="28"/>
        </w:rPr>
        <w:t xml:space="preserve"> [</w:t>
      </w:r>
      <w:r>
        <w:rPr>
          <w:rFonts w:cs="Arial"/>
          <w:sz w:val="24"/>
          <w:szCs w:val="28"/>
        </w:rPr>
        <w:t>198</w:t>
      </w:r>
      <w:r w:rsidRPr="00C52112">
        <w:rPr>
          <w:rFonts w:cs="Arial"/>
          <w:sz w:val="24"/>
          <w:szCs w:val="28"/>
        </w:rPr>
        <w:t>]</w:t>
      </w:r>
    </w:p>
    <w:p w14:paraId="66C08A04" w14:textId="77777777" w:rsidR="00B01930" w:rsidRPr="00C52112" w:rsidRDefault="00B01930" w:rsidP="00B01930">
      <w:pPr>
        <w:ind w:left="1080" w:hanging="634"/>
        <w:rPr>
          <w:rFonts w:cs="Arial"/>
          <w:sz w:val="24"/>
          <w:szCs w:val="28"/>
        </w:rPr>
      </w:pPr>
      <w:r w:rsidRPr="00C52112">
        <w:rPr>
          <w:rFonts w:cs="Arial"/>
          <w:sz w:val="24"/>
          <w:szCs w:val="28"/>
        </w:rPr>
        <w:t>XI.</w:t>
      </w:r>
      <w:r>
        <w:rPr>
          <w:rFonts w:cs="Arial"/>
          <w:sz w:val="24"/>
          <w:szCs w:val="28"/>
        </w:rPr>
        <w:tab/>
      </w:r>
      <w:hyperlink w:anchor="Analyser_idees_pol_pt_2_texte_03_XI" w:history="1">
        <w:r w:rsidRPr="00787879">
          <w:rPr>
            <w:rStyle w:val="Hyperlien"/>
            <w:rFonts w:cs="Arial"/>
            <w:sz w:val="24"/>
            <w:szCs w:val="28"/>
          </w:rPr>
          <w:t>Charles IX, disciple de Machiavel ?</w:t>
        </w:r>
      </w:hyperlink>
      <w:r w:rsidRPr="00C52112">
        <w:rPr>
          <w:rFonts w:cs="Arial"/>
          <w:sz w:val="24"/>
          <w:szCs w:val="28"/>
        </w:rPr>
        <w:t xml:space="preserve"> [</w:t>
      </w:r>
      <w:r>
        <w:rPr>
          <w:rFonts w:cs="Arial"/>
          <w:sz w:val="24"/>
          <w:szCs w:val="28"/>
        </w:rPr>
        <w:t>203</w:t>
      </w:r>
      <w:r w:rsidRPr="00C52112">
        <w:rPr>
          <w:rFonts w:cs="Arial"/>
          <w:sz w:val="24"/>
          <w:szCs w:val="28"/>
        </w:rPr>
        <w:t>]</w:t>
      </w:r>
    </w:p>
    <w:p w14:paraId="037BAEB2" w14:textId="77777777" w:rsidR="00B01930" w:rsidRDefault="00B01930" w:rsidP="00B01930">
      <w:pPr>
        <w:ind w:left="1080" w:hanging="634"/>
        <w:rPr>
          <w:rFonts w:cs="Arial"/>
          <w:sz w:val="24"/>
          <w:szCs w:val="28"/>
        </w:rPr>
      </w:pPr>
      <w:hyperlink w:anchor="Analyser_idees_pol_pt_2_texte_03_concl" w:history="1">
        <w:r w:rsidRPr="00787879">
          <w:rPr>
            <w:rStyle w:val="Hyperlien"/>
            <w:rFonts w:cs="Arial"/>
            <w:sz w:val="24"/>
            <w:szCs w:val="28"/>
          </w:rPr>
          <w:t>Conclusion</w:t>
        </w:r>
      </w:hyperlink>
      <w:r w:rsidRPr="00C52112">
        <w:rPr>
          <w:rFonts w:cs="Arial"/>
          <w:sz w:val="24"/>
          <w:szCs w:val="28"/>
        </w:rPr>
        <w:t xml:space="preserve"> [</w:t>
      </w:r>
      <w:r>
        <w:rPr>
          <w:rFonts w:cs="Arial"/>
          <w:sz w:val="24"/>
          <w:szCs w:val="28"/>
        </w:rPr>
        <w:t>208</w:t>
      </w:r>
      <w:r w:rsidRPr="00C52112">
        <w:rPr>
          <w:rFonts w:cs="Arial"/>
          <w:sz w:val="24"/>
          <w:szCs w:val="28"/>
        </w:rPr>
        <w:t>]</w:t>
      </w:r>
    </w:p>
    <w:p w14:paraId="3AE9A414" w14:textId="77777777" w:rsidR="00B01930" w:rsidRPr="00674F8A" w:rsidRDefault="00B01930" w:rsidP="00B01930">
      <w:pPr>
        <w:ind w:left="806" w:hanging="360"/>
        <w:rPr>
          <w:rFonts w:cs="Arial"/>
          <w:sz w:val="24"/>
          <w:szCs w:val="28"/>
        </w:rPr>
      </w:pPr>
    </w:p>
    <w:p w14:paraId="30485CB2" w14:textId="77777777" w:rsidR="00B01930" w:rsidRPr="00973844" w:rsidRDefault="00B01930" w:rsidP="00B01930">
      <w:pPr>
        <w:spacing w:before="120" w:after="120"/>
        <w:ind w:left="450" w:hanging="450"/>
        <w:rPr>
          <w:sz w:val="24"/>
          <w:szCs w:val="36"/>
        </w:rPr>
      </w:pPr>
      <w:r>
        <w:rPr>
          <w:sz w:val="24"/>
        </w:rPr>
        <w:t>4.</w:t>
      </w:r>
      <w:r>
        <w:rPr>
          <w:sz w:val="24"/>
        </w:rPr>
        <w:tab/>
      </w:r>
      <w:r w:rsidRPr="00973844">
        <w:rPr>
          <w:sz w:val="24"/>
        </w:rPr>
        <w:t xml:space="preserve">Jean-Pierre Poussou, </w:t>
      </w:r>
      <w:r>
        <w:rPr>
          <w:sz w:val="24"/>
        </w:rPr>
        <w:t>“</w:t>
      </w:r>
      <w:hyperlink w:anchor="Analyser_idees_pol_pt_2_texte_04" w:history="1">
        <w:r w:rsidRPr="00B40600">
          <w:rPr>
            <w:rStyle w:val="Hyperlien"/>
            <w:sz w:val="24"/>
            <w:szCs w:val="36"/>
          </w:rPr>
          <w:t>Le rôle des Parlements dans l’évolution et le fonctio</w:t>
        </w:r>
        <w:r w:rsidRPr="00B40600">
          <w:rPr>
            <w:rStyle w:val="Hyperlien"/>
            <w:sz w:val="24"/>
            <w:szCs w:val="36"/>
          </w:rPr>
          <w:t>n</w:t>
        </w:r>
        <w:r w:rsidRPr="00B40600">
          <w:rPr>
            <w:rStyle w:val="Hyperlien"/>
            <w:sz w:val="24"/>
            <w:szCs w:val="36"/>
          </w:rPr>
          <w:t>nement de la monarchie anglaise : des pratiques aux idées et à la théorie pol</w:t>
        </w:r>
        <w:r w:rsidRPr="00B40600">
          <w:rPr>
            <w:rStyle w:val="Hyperlien"/>
            <w:sz w:val="24"/>
            <w:szCs w:val="36"/>
          </w:rPr>
          <w:t>i</w:t>
        </w:r>
        <w:r w:rsidRPr="00B40600">
          <w:rPr>
            <w:rStyle w:val="Hyperlien"/>
            <w:sz w:val="24"/>
            <w:szCs w:val="36"/>
          </w:rPr>
          <w:t>tique (XV</w:t>
        </w:r>
        <w:r w:rsidRPr="00B40600">
          <w:rPr>
            <w:rStyle w:val="Hyperlien"/>
            <w:sz w:val="24"/>
            <w:szCs w:val="36"/>
            <w:vertAlign w:val="superscript"/>
          </w:rPr>
          <w:t>e</w:t>
        </w:r>
        <w:r w:rsidRPr="00B40600">
          <w:rPr>
            <w:rStyle w:val="Hyperlien"/>
            <w:sz w:val="24"/>
            <w:szCs w:val="36"/>
          </w:rPr>
          <w:t>-XVII</w:t>
        </w:r>
        <w:r w:rsidRPr="00B40600">
          <w:rPr>
            <w:rStyle w:val="Hyperlien"/>
            <w:sz w:val="24"/>
            <w:szCs w:val="36"/>
            <w:vertAlign w:val="superscript"/>
          </w:rPr>
          <w:t>e</w:t>
        </w:r>
        <w:r w:rsidRPr="00B40600">
          <w:rPr>
            <w:rStyle w:val="Hyperlien"/>
            <w:sz w:val="24"/>
            <w:szCs w:val="36"/>
          </w:rPr>
          <w:t xml:space="preserve"> si</w:t>
        </w:r>
        <w:r w:rsidRPr="00B40600">
          <w:rPr>
            <w:rStyle w:val="Hyperlien"/>
            <w:sz w:val="24"/>
            <w:szCs w:val="36"/>
          </w:rPr>
          <w:t>è</w:t>
        </w:r>
        <w:r w:rsidRPr="00B40600">
          <w:rPr>
            <w:rStyle w:val="Hyperlien"/>
            <w:sz w:val="24"/>
            <w:szCs w:val="36"/>
          </w:rPr>
          <w:t>cles)</w:t>
        </w:r>
      </w:hyperlink>
      <w:r w:rsidRPr="00973844">
        <w:rPr>
          <w:sz w:val="24"/>
          <w:szCs w:val="36"/>
        </w:rPr>
        <w:t>.</w:t>
      </w:r>
      <w:r>
        <w:rPr>
          <w:sz w:val="24"/>
          <w:szCs w:val="36"/>
        </w:rPr>
        <w:t>”</w:t>
      </w:r>
      <w:r w:rsidRPr="00973844">
        <w:rPr>
          <w:sz w:val="24"/>
          <w:szCs w:val="36"/>
        </w:rPr>
        <w:t xml:space="preserve"> </w:t>
      </w:r>
      <w:r>
        <w:rPr>
          <w:sz w:val="24"/>
          <w:szCs w:val="36"/>
        </w:rPr>
        <w:t>[211]</w:t>
      </w:r>
    </w:p>
    <w:p w14:paraId="6318F2CD" w14:textId="77777777" w:rsidR="00B01930" w:rsidRDefault="00B01930" w:rsidP="00B01930">
      <w:pPr>
        <w:ind w:left="806" w:hanging="360"/>
        <w:rPr>
          <w:rFonts w:cs="Arial"/>
          <w:sz w:val="24"/>
          <w:szCs w:val="28"/>
        </w:rPr>
      </w:pPr>
    </w:p>
    <w:p w14:paraId="4F279004" w14:textId="77777777" w:rsidR="00B01930" w:rsidRDefault="00B01930" w:rsidP="00B01930">
      <w:pPr>
        <w:ind w:left="806" w:hanging="360"/>
        <w:rPr>
          <w:rFonts w:cs="Arial"/>
          <w:sz w:val="24"/>
          <w:szCs w:val="28"/>
        </w:rPr>
      </w:pPr>
      <w:r w:rsidRPr="008645CF">
        <w:rPr>
          <w:rFonts w:cs="Arial"/>
          <w:sz w:val="24"/>
          <w:szCs w:val="28"/>
        </w:rPr>
        <w:t>I.</w:t>
      </w:r>
      <w:r w:rsidRPr="008645CF">
        <w:rPr>
          <w:rFonts w:cs="Arial"/>
          <w:sz w:val="24"/>
          <w:szCs w:val="28"/>
        </w:rPr>
        <w:tab/>
      </w:r>
      <w:hyperlink w:anchor="Analyser_idees_pol_pt_2_texte_04_I" w:history="1">
        <w:r w:rsidRPr="00B40600">
          <w:rPr>
            <w:rStyle w:val="Hyperlien"/>
            <w:rFonts w:cs="Arial"/>
            <w:sz w:val="24"/>
            <w:szCs w:val="28"/>
          </w:rPr>
          <w:t>Les racines médiévales du Parlement d’Angleterre</w:t>
        </w:r>
      </w:hyperlink>
      <w:r w:rsidRPr="008645CF">
        <w:rPr>
          <w:rFonts w:cs="Arial"/>
          <w:sz w:val="24"/>
          <w:szCs w:val="28"/>
        </w:rPr>
        <w:t xml:space="preserve"> [</w:t>
      </w:r>
      <w:r>
        <w:rPr>
          <w:rFonts w:cs="Arial"/>
          <w:sz w:val="24"/>
          <w:szCs w:val="28"/>
        </w:rPr>
        <w:t>214</w:t>
      </w:r>
      <w:r w:rsidRPr="008645CF">
        <w:rPr>
          <w:rFonts w:cs="Arial"/>
          <w:sz w:val="24"/>
          <w:szCs w:val="28"/>
        </w:rPr>
        <w:t>]</w:t>
      </w:r>
    </w:p>
    <w:p w14:paraId="3BCCD8B9" w14:textId="77777777" w:rsidR="00B01930" w:rsidRDefault="00B01930" w:rsidP="00B01930">
      <w:pPr>
        <w:ind w:left="806" w:hanging="360"/>
        <w:rPr>
          <w:rFonts w:cs="Arial"/>
          <w:sz w:val="24"/>
          <w:szCs w:val="28"/>
        </w:rPr>
      </w:pPr>
      <w:r w:rsidRPr="008645CF">
        <w:rPr>
          <w:rFonts w:cs="Arial"/>
          <w:sz w:val="24"/>
          <w:szCs w:val="28"/>
        </w:rPr>
        <w:t>II.</w:t>
      </w:r>
      <w:r w:rsidRPr="008645CF">
        <w:rPr>
          <w:rFonts w:cs="Arial"/>
          <w:sz w:val="24"/>
          <w:szCs w:val="28"/>
        </w:rPr>
        <w:tab/>
      </w:r>
      <w:hyperlink w:anchor="Analyser_idees_pol_pt_2_texte_04_II" w:history="1">
        <w:r w:rsidRPr="00B40600">
          <w:rPr>
            <w:rStyle w:val="Hyperlien"/>
            <w:rFonts w:cs="Arial"/>
            <w:sz w:val="24"/>
            <w:szCs w:val="28"/>
          </w:rPr>
          <w:t>La marche vers l’affrontement, ou le rôle crucial des années 1620</w:t>
        </w:r>
      </w:hyperlink>
      <w:r w:rsidRPr="008645CF">
        <w:rPr>
          <w:rFonts w:cs="Arial"/>
          <w:sz w:val="24"/>
          <w:szCs w:val="28"/>
        </w:rPr>
        <w:t xml:space="preserve"> [</w:t>
      </w:r>
      <w:r>
        <w:rPr>
          <w:rFonts w:cs="Arial"/>
          <w:sz w:val="24"/>
          <w:szCs w:val="28"/>
        </w:rPr>
        <w:t>223</w:t>
      </w:r>
      <w:r w:rsidRPr="008645CF">
        <w:rPr>
          <w:rFonts w:cs="Arial"/>
          <w:sz w:val="24"/>
          <w:szCs w:val="28"/>
        </w:rPr>
        <w:t>]</w:t>
      </w:r>
    </w:p>
    <w:p w14:paraId="3CA300EE" w14:textId="77777777" w:rsidR="00B01930" w:rsidRPr="008645CF" w:rsidRDefault="00B01930" w:rsidP="00B01930">
      <w:pPr>
        <w:ind w:left="806" w:hanging="360"/>
        <w:rPr>
          <w:rFonts w:cs="Arial"/>
          <w:sz w:val="24"/>
          <w:szCs w:val="28"/>
        </w:rPr>
      </w:pPr>
      <w:r w:rsidRPr="008645CF">
        <w:rPr>
          <w:rFonts w:cs="Arial"/>
          <w:sz w:val="24"/>
          <w:szCs w:val="28"/>
        </w:rPr>
        <w:t>III.</w:t>
      </w:r>
      <w:r w:rsidRPr="008645CF">
        <w:rPr>
          <w:rFonts w:cs="Arial"/>
          <w:sz w:val="24"/>
          <w:szCs w:val="28"/>
        </w:rPr>
        <w:tab/>
      </w:r>
      <w:hyperlink w:anchor="Analyser_idees_pol_pt_2_texte_04_III" w:history="1">
        <w:r w:rsidRPr="00B40600">
          <w:rPr>
            <w:rStyle w:val="Hyperlien"/>
            <w:rFonts w:cs="Arial"/>
            <w:sz w:val="24"/>
            <w:szCs w:val="28"/>
          </w:rPr>
          <w:t>Aux origines d’une idéologie parlementaire</w:t>
        </w:r>
      </w:hyperlink>
      <w:r w:rsidRPr="008645CF">
        <w:rPr>
          <w:rFonts w:cs="Arial"/>
          <w:sz w:val="24"/>
          <w:szCs w:val="28"/>
        </w:rPr>
        <w:t xml:space="preserve"> [</w:t>
      </w:r>
      <w:r>
        <w:rPr>
          <w:rFonts w:cs="Arial"/>
          <w:sz w:val="24"/>
          <w:szCs w:val="28"/>
        </w:rPr>
        <w:t>234</w:t>
      </w:r>
      <w:r w:rsidRPr="008645CF">
        <w:rPr>
          <w:rFonts w:cs="Arial"/>
          <w:sz w:val="24"/>
          <w:szCs w:val="28"/>
        </w:rPr>
        <w:t>]</w:t>
      </w:r>
    </w:p>
    <w:p w14:paraId="54678E7D" w14:textId="77777777" w:rsidR="00B01930" w:rsidRDefault="00B01930" w:rsidP="00B01930">
      <w:pPr>
        <w:ind w:left="806" w:hanging="360"/>
        <w:rPr>
          <w:rFonts w:cs="Arial"/>
          <w:sz w:val="24"/>
          <w:szCs w:val="28"/>
        </w:rPr>
      </w:pPr>
      <w:r w:rsidRPr="008645CF">
        <w:rPr>
          <w:rFonts w:cs="Arial"/>
          <w:sz w:val="24"/>
          <w:szCs w:val="28"/>
        </w:rPr>
        <w:t>IV.</w:t>
      </w:r>
      <w:r w:rsidRPr="008645CF">
        <w:rPr>
          <w:rFonts w:cs="Arial"/>
          <w:sz w:val="24"/>
          <w:szCs w:val="28"/>
        </w:rPr>
        <w:tab/>
      </w:r>
      <w:hyperlink w:anchor="Analyser_idees_pol_pt_2_texte_04_IV" w:history="1">
        <w:r w:rsidRPr="00B40600">
          <w:rPr>
            <w:rStyle w:val="Hyperlien"/>
            <w:rFonts w:cs="Arial"/>
            <w:sz w:val="24"/>
            <w:szCs w:val="28"/>
          </w:rPr>
          <w:t>Finalement, ce fut une rébellion qui se changea en révolution, avec pour conséquence lointaine la mise en place du système parlementaire</w:t>
        </w:r>
      </w:hyperlink>
      <w:r w:rsidRPr="008645CF">
        <w:rPr>
          <w:rFonts w:cs="Arial"/>
          <w:sz w:val="24"/>
          <w:szCs w:val="28"/>
        </w:rPr>
        <w:t xml:space="preserve"> [</w:t>
      </w:r>
      <w:r>
        <w:rPr>
          <w:rFonts w:cs="Arial"/>
          <w:sz w:val="24"/>
          <w:szCs w:val="28"/>
        </w:rPr>
        <w:t>242]</w:t>
      </w:r>
    </w:p>
    <w:p w14:paraId="23D23E0F" w14:textId="77777777" w:rsidR="00B01930" w:rsidRDefault="00B01930" w:rsidP="00B01930">
      <w:pPr>
        <w:ind w:left="806" w:hanging="360"/>
        <w:rPr>
          <w:rFonts w:cs="Arial"/>
          <w:sz w:val="24"/>
          <w:szCs w:val="28"/>
        </w:rPr>
      </w:pPr>
    </w:p>
    <w:p w14:paraId="53A38776" w14:textId="77777777" w:rsidR="00B01930" w:rsidRPr="008645CF" w:rsidRDefault="00B01930" w:rsidP="00B01930">
      <w:pPr>
        <w:ind w:left="806" w:hanging="360"/>
        <w:rPr>
          <w:rFonts w:cs="Arial"/>
          <w:sz w:val="24"/>
          <w:szCs w:val="28"/>
        </w:rPr>
      </w:pPr>
      <w:r>
        <w:rPr>
          <w:rFonts w:cs="Arial"/>
          <w:sz w:val="24"/>
          <w:szCs w:val="28"/>
        </w:rPr>
        <w:br w:type="page"/>
      </w:r>
    </w:p>
    <w:p w14:paraId="439094AE" w14:textId="77777777" w:rsidR="00B01930" w:rsidRPr="00973844" w:rsidRDefault="00B01930" w:rsidP="00B01930">
      <w:pPr>
        <w:spacing w:before="120" w:after="120"/>
        <w:ind w:firstLine="0"/>
        <w:jc w:val="center"/>
        <w:rPr>
          <w:b/>
          <w:sz w:val="24"/>
        </w:rPr>
      </w:pPr>
      <w:r w:rsidRPr="00973844">
        <w:rPr>
          <w:b/>
          <w:sz w:val="24"/>
        </w:rPr>
        <w:t xml:space="preserve">III. </w:t>
      </w:r>
      <w:hyperlink w:anchor="Analyser_idees_pol_pt_3" w:history="1">
        <w:r w:rsidRPr="00787879">
          <w:rPr>
            <w:rStyle w:val="Hyperlien"/>
            <w:b/>
            <w:sz w:val="24"/>
          </w:rPr>
          <w:t>De quelques idées politiques « modernes »</w:t>
        </w:r>
      </w:hyperlink>
      <w:r>
        <w:rPr>
          <w:sz w:val="24"/>
        </w:rPr>
        <w:t xml:space="preserve"> [250]</w:t>
      </w:r>
    </w:p>
    <w:p w14:paraId="1CA4B6BF" w14:textId="77777777" w:rsidR="00B01930" w:rsidRDefault="00B01930" w:rsidP="00B01930">
      <w:pPr>
        <w:spacing w:before="120" w:after="120"/>
        <w:ind w:firstLine="0"/>
        <w:rPr>
          <w:sz w:val="24"/>
        </w:rPr>
      </w:pPr>
    </w:p>
    <w:p w14:paraId="76038790" w14:textId="77777777" w:rsidR="00B01930" w:rsidRPr="00973844" w:rsidRDefault="00B01930" w:rsidP="00B01930">
      <w:pPr>
        <w:spacing w:before="120" w:after="120"/>
        <w:ind w:left="450" w:hanging="450"/>
        <w:rPr>
          <w:sz w:val="24"/>
        </w:rPr>
      </w:pPr>
      <w:r>
        <w:rPr>
          <w:sz w:val="24"/>
        </w:rPr>
        <w:t>5.</w:t>
      </w:r>
      <w:r>
        <w:rPr>
          <w:sz w:val="24"/>
        </w:rPr>
        <w:tab/>
      </w:r>
      <w:r w:rsidRPr="00973844">
        <w:rPr>
          <w:sz w:val="24"/>
        </w:rPr>
        <w:t xml:space="preserve">Patrick Pouyanne, </w:t>
      </w:r>
      <w:r>
        <w:rPr>
          <w:sz w:val="24"/>
        </w:rPr>
        <w:t>“</w:t>
      </w:r>
      <w:hyperlink w:anchor="Analyser_idees_pol_pt_3_texte_05" w:history="1">
        <w:r w:rsidRPr="00B40600">
          <w:rPr>
            <w:rStyle w:val="Hyperlien"/>
            <w:sz w:val="24"/>
          </w:rPr>
          <w:t>Sur le communisme conseilliste et les républiques de conseils : leur effacement et leur brièveté</w:t>
        </w:r>
      </w:hyperlink>
      <w:r w:rsidRPr="00973844">
        <w:rPr>
          <w:sz w:val="24"/>
        </w:rPr>
        <w:t>.</w:t>
      </w:r>
      <w:r>
        <w:rPr>
          <w:sz w:val="24"/>
        </w:rPr>
        <w:t>” [251]</w:t>
      </w:r>
    </w:p>
    <w:p w14:paraId="007498C7" w14:textId="77777777" w:rsidR="00B01930" w:rsidRDefault="00B01930" w:rsidP="00B01930">
      <w:pPr>
        <w:ind w:left="806" w:hanging="360"/>
        <w:rPr>
          <w:rFonts w:cs="Arial"/>
          <w:sz w:val="24"/>
          <w:szCs w:val="28"/>
        </w:rPr>
      </w:pPr>
    </w:p>
    <w:p w14:paraId="1415A858" w14:textId="77777777" w:rsidR="00B01930" w:rsidRPr="0083228E" w:rsidRDefault="00B01930" w:rsidP="00B01930">
      <w:pPr>
        <w:ind w:left="806" w:hanging="360"/>
        <w:rPr>
          <w:rFonts w:cs="Arial"/>
          <w:sz w:val="24"/>
          <w:szCs w:val="28"/>
        </w:rPr>
      </w:pPr>
      <w:r w:rsidRPr="0083228E">
        <w:rPr>
          <w:rFonts w:cs="Arial"/>
          <w:sz w:val="24"/>
          <w:szCs w:val="28"/>
        </w:rPr>
        <w:t>I.</w:t>
      </w:r>
      <w:r w:rsidRPr="0083228E">
        <w:rPr>
          <w:rFonts w:cs="Arial"/>
          <w:sz w:val="24"/>
          <w:szCs w:val="28"/>
        </w:rPr>
        <w:tab/>
      </w:r>
      <w:hyperlink w:anchor="Analyser_idees_pol_pt_3_texte_05_I" w:history="1">
        <w:r w:rsidRPr="00B40600">
          <w:rPr>
            <w:rStyle w:val="Hyperlien"/>
            <w:rFonts w:cs="Arial"/>
            <w:sz w:val="24"/>
            <w:szCs w:val="28"/>
          </w:rPr>
          <w:t>Les républiques de conseils des années 1917 à 1923</w:t>
        </w:r>
      </w:hyperlink>
      <w:r w:rsidRPr="0083228E">
        <w:rPr>
          <w:rFonts w:cs="Arial"/>
          <w:sz w:val="24"/>
          <w:szCs w:val="28"/>
        </w:rPr>
        <w:t xml:space="preserve"> [</w:t>
      </w:r>
      <w:r>
        <w:rPr>
          <w:rFonts w:cs="Arial"/>
          <w:sz w:val="24"/>
          <w:szCs w:val="28"/>
        </w:rPr>
        <w:t>253</w:t>
      </w:r>
      <w:r w:rsidRPr="0083228E">
        <w:rPr>
          <w:rFonts w:cs="Arial"/>
          <w:sz w:val="24"/>
          <w:szCs w:val="28"/>
        </w:rPr>
        <w:t>]</w:t>
      </w:r>
    </w:p>
    <w:p w14:paraId="1DE7E53B" w14:textId="77777777" w:rsidR="00B01930" w:rsidRPr="0083228E" w:rsidRDefault="00B01930" w:rsidP="00B01930">
      <w:pPr>
        <w:ind w:left="806" w:hanging="360"/>
        <w:rPr>
          <w:rFonts w:cs="Arial"/>
          <w:sz w:val="24"/>
          <w:szCs w:val="28"/>
        </w:rPr>
      </w:pPr>
      <w:r w:rsidRPr="0083228E">
        <w:rPr>
          <w:rFonts w:cs="Arial"/>
          <w:sz w:val="24"/>
          <w:szCs w:val="28"/>
        </w:rPr>
        <w:t>II.</w:t>
      </w:r>
      <w:r w:rsidRPr="0083228E">
        <w:rPr>
          <w:rFonts w:cs="Arial"/>
          <w:sz w:val="24"/>
          <w:szCs w:val="28"/>
        </w:rPr>
        <w:tab/>
      </w:r>
      <w:hyperlink w:anchor="Analyser_idees_pol_pt_3_texte_05_II" w:history="1">
        <w:r w:rsidRPr="00B40600">
          <w:rPr>
            <w:rStyle w:val="Hyperlien"/>
            <w:rFonts w:cs="Arial"/>
            <w:sz w:val="24"/>
            <w:szCs w:val="28"/>
          </w:rPr>
          <w:t>Essais d’analyse de la brièveté des républiques de conseils du premier après-guerre</w:t>
        </w:r>
      </w:hyperlink>
      <w:r w:rsidRPr="0083228E">
        <w:rPr>
          <w:rFonts w:cs="Arial"/>
          <w:sz w:val="24"/>
          <w:szCs w:val="28"/>
        </w:rPr>
        <w:t>… [</w:t>
      </w:r>
      <w:r>
        <w:rPr>
          <w:rFonts w:cs="Arial"/>
          <w:sz w:val="24"/>
          <w:szCs w:val="28"/>
        </w:rPr>
        <w:t>261</w:t>
      </w:r>
      <w:r w:rsidRPr="0083228E">
        <w:rPr>
          <w:rFonts w:cs="Arial"/>
          <w:sz w:val="24"/>
          <w:szCs w:val="28"/>
        </w:rPr>
        <w:t>]</w:t>
      </w:r>
    </w:p>
    <w:p w14:paraId="6451BC52" w14:textId="77777777" w:rsidR="00B01930" w:rsidRPr="0083228E" w:rsidRDefault="00B01930" w:rsidP="00B01930">
      <w:pPr>
        <w:ind w:left="806" w:hanging="360"/>
        <w:rPr>
          <w:rFonts w:cs="Arial"/>
          <w:sz w:val="24"/>
          <w:szCs w:val="28"/>
        </w:rPr>
      </w:pPr>
      <w:r w:rsidRPr="0083228E">
        <w:rPr>
          <w:rFonts w:cs="Arial"/>
          <w:sz w:val="24"/>
          <w:szCs w:val="28"/>
        </w:rPr>
        <w:t>III.</w:t>
      </w:r>
      <w:r w:rsidRPr="0083228E">
        <w:rPr>
          <w:rFonts w:cs="Arial"/>
          <w:sz w:val="24"/>
          <w:szCs w:val="28"/>
        </w:rPr>
        <w:tab/>
      </w:r>
      <w:hyperlink w:anchor="Analyser_idees_pol_pt_3_texte_05_III" w:history="1">
        <w:r w:rsidRPr="00B40600">
          <w:rPr>
            <w:rStyle w:val="Hyperlien"/>
            <w:rFonts w:cs="Arial"/>
            <w:sz w:val="24"/>
            <w:szCs w:val="28"/>
          </w:rPr>
          <w:t>Caractères conseillistes du camp républicain dans la Guerre d’Espagne (1936-1939)</w:t>
        </w:r>
      </w:hyperlink>
      <w:r w:rsidRPr="0083228E">
        <w:rPr>
          <w:rFonts w:cs="Arial"/>
          <w:sz w:val="24"/>
          <w:szCs w:val="28"/>
        </w:rPr>
        <w:t xml:space="preserve"> [</w:t>
      </w:r>
      <w:r>
        <w:rPr>
          <w:rFonts w:cs="Arial"/>
          <w:sz w:val="24"/>
          <w:szCs w:val="28"/>
        </w:rPr>
        <w:t>266</w:t>
      </w:r>
      <w:r w:rsidRPr="0083228E">
        <w:rPr>
          <w:rFonts w:cs="Arial"/>
          <w:sz w:val="24"/>
          <w:szCs w:val="28"/>
        </w:rPr>
        <w:t>]</w:t>
      </w:r>
    </w:p>
    <w:p w14:paraId="2EB27A9B" w14:textId="77777777" w:rsidR="00B01930" w:rsidRPr="0083228E" w:rsidRDefault="00B01930" w:rsidP="00B01930">
      <w:pPr>
        <w:ind w:left="806" w:hanging="360"/>
        <w:rPr>
          <w:rFonts w:cs="Arial"/>
          <w:sz w:val="24"/>
          <w:szCs w:val="28"/>
        </w:rPr>
      </w:pPr>
      <w:r w:rsidRPr="0083228E">
        <w:rPr>
          <w:rFonts w:cs="Arial"/>
          <w:sz w:val="24"/>
          <w:szCs w:val="28"/>
        </w:rPr>
        <w:t>IV.</w:t>
      </w:r>
      <w:r w:rsidRPr="0083228E">
        <w:rPr>
          <w:rFonts w:cs="Arial"/>
          <w:sz w:val="24"/>
          <w:szCs w:val="28"/>
        </w:rPr>
        <w:tab/>
      </w:r>
      <w:hyperlink w:anchor="Analyser_idees_pol_pt_3_texte_05_IV" w:history="1">
        <w:r w:rsidRPr="00B40600">
          <w:rPr>
            <w:rStyle w:val="Hyperlien"/>
            <w:rFonts w:cs="Arial"/>
            <w:sz w:val="24"/>
            <w:szCs w:val="28"/>
          </w:rPr>
          <w:t>Historique sommaire des expériences postérieures à la Seconde Guerre mondiale</w:t>
        </w:r>
      </w:hyperlink>
      <w:r w:rsidRPr="0083228E">
        <w:rPr>
          <w:rFonts w:cs="Arial"/>
          <w:sz w:val="24"/>
          <w:szCs w:val="28"/>
        </w:rPr>
        <w:t xml:space="preserve"> [</w:t>
      </w:r>
      <w:r>
        <w:rPr>
          <w:rFonts w:cs="Arial"/>
          <w:sz w:val="24"/>
          <w:szCs w:val="28"/>
        </w:rPr>
        <w:t>271</w:t>
      </w:r>
      <w:r w:rsidRPr="0083228E">
        <w:rPr>
          <w:rFonts w:cs="Arial"/>
          <w:sz w:val="24"/>
          <w:szCs w:val="28"/>
        </w:rPr>
        <w:t>]</w:t>
      </w:r>
    </w:p>
    <w:p w14:paraId="1016622E" w14:textId="77777777" w:rsidR="00B01930" w:rsidRPr="0083228E" w:rsidRDefault="00B01930" w:rsidP="00B01930">
      <w:pPr>
        <w:ind w:left="806" w:hanging="360"/>
        <w:rPr>
          <w:rFonts w:cs="Arial"/>
          <w:sz w:val="24"/>
          <w:szCs w:val="28"/>
        </w:rPr>
      </w:pPr>
      <w:r w:rsidRPr="0083228E">
        <w:rPr>
          <w:rFonts w:cs="Arial"/>
          <w:sz w:val="24"/>
          <w:szCs w:val="28"/>
        </w:rPr>
        <w:t>V.</w:t>
      </w:r>
      <w:r w:rsidRPr="0083228E">
        <w:rPr>
          <w:rFonts w:cs="Arial"/>
          <w:sz w:val="24"/>
          <w:szCs w:val="28"/>
        </w:rPr>
        <w:tab/>
      </w:r>
      <w:hyperlink w:anchor="Analyser_idees_pol_pt_3_texte_05_V" w:history="1">
        <w:r w:rsidRPr="00B40600">
          <w:rPr>
            <w:rStyle w:val="Hyperlien"/>
            <w:rFonts w:cs="Arial"/>
            <w:sz w:val="24"/>
            <w:szCs w:val="28"/>
          </w:rPr>
          <w:t>L’Octobre polonais : de 1956 à 1970 et à Solidarnosc</w:t>
        </w:r>
      </w:hyperlink>
      <w:r w:rsidRPr="0083228E">
        <w:rPr>
          <w:rFonts w:cs="Arial"/>
          <w:sz w:val="24"/>
          <w:szCs w:val="28"/>
        </w:rPr>
        <w:t xml:space="preserve"> [</w:t>
      </w:r>
      <w:r>
        <w:rPr>
          <w:rFonts w:cs="Arial"/>
          <w:sz w:val="24"/>
          <w:szCs w:val="28"/>
        </w:rPr>
        <w:t>274</w:t>
      </w:r>
      <w:r w:rsidRPr="0083228E">
        <w:rPr>
          <w:rFonts w:cs="Arial"/>
          <w:sz w:val="24"/>
          <w:szCs w:val="28"/>
        </w:rPr>
        <w:t>]</w:t>
      </w:r>
    </w:p>
    <w:p w14:paraId="45C13855" w14:textId="77777777" w:rsidR="00B01930" w:rsidRDefault="00B01930" w:rsidP="00B01930">
      <w:pPr>
        <w:ind w:left="806" w:hanging="360"/>
        <w:rPr>
          <w:rFonts w:cs="Arial"/>
          <w:sz w:val="24"/>
          <w:szCs w:val="28"/>
        </w:rPr>
      </w:pPr>
      <w:r w:rsidRPr="0083228E">
        <w:rPr>
          <w:rFonts w:cs="Arial"/>
          <w:sz w:val="24"/>
          <w:szCs w:val="28"/>
        </w:rPr>
        <w:t>VI.</w:t>
      </w:r>
      <w:r w:rsidRPr="0083228E">
        <w:rPr>
          <w:rFonts w:cs="Arial"/>
          <w:sz w:val="24"/>
          <w:szCs w:val="28"/>
        </w:rPr>
        <w:tab/>
      </w:r>
      <w:hyperlink w:anchor="Analyser_idees_pol_pt_3_texte_05_VI" w:history="1">
        <w:r w:rsidRPr="00B40600">
          <w:rPr>
            <w:rStyle w:val="Hyperlien"/>
            <w:rFonts w:cs="Arial"/>
            <w:sz w:val="24"/>
            <w:szCs w:val="28"/>
          </w:rPr>
          <w:t>Propos d’étape : Albert Camus et les révolutions prolétariennes</w:t>
        </w:r>
      </w:hyperlink>
      <w:r w:rsidRPr="0083228E">
        <w:rPr>
          <w:rFonts w:cs="Arial"/>
          <w:sz w:val="24"/>
          <w:szCs w:val="28"/>
        </w:rPr>
        <w:t xml:space="preserve"> [</w:t>
      </w:r>
      <w:r>
        <w:rPr>
          <w:rFonts w:cs="Arial"/>
          <w:sz w:val="24"/>
          <w:szCs w:val="28"/>
        </w:rPr>
        <w:t>276</w:t>
      </w:r>
      <w:r w:rsidRPr="0083228E">
        <w:rPr>
          <w:rFonts w:cs="Arial"/>
          <w:sz w:val="24"/>
          <w:szCs w:val="28"/>
        </w:rPr>
        <w:t>]</w:t>
      </w:r>
    </w:p>
    <w:p w14:paraId="209AE282" w14:textId="77777777" w:rsidR="00B01930" w:rsidRPr="008645CF" w:rsidRDefault="00B01930" w:rsidP="00B01930">
      <w:pPr>
        <w:ind w:left="806" w:hanging="360"/>
        <w:rPr>
          <w:rFonts w:cs="Arial"/>
          <w:sz w:val="24"/>
          <w:szCs w:val="28"/>
        </w:rPr>
      </w:pPr>
    </w:p>
    <w:p w14:paraId="70F04F98" w14:textId="77777777" w:rsidR="00B01930" w:rsidRPr="00973844" w:rsidRDefault="00B01930" w:rsidP="00B01930">
      <w:pPr>
        <w:spacing w:before="120" w:after="120"/>
        <w:ind w:left="450" w:hanging="450"/>
        <w:rPr>
          <w:sz w:val="24"/>
        </w:rPr>
      </w:pPr>
      <w:r>
        <w:rPr>
          <w:sz w:val="24"/>
        </w:rPr>
        <w:t>6.</w:t>
      </w:r>
      <w:r>
        <w:rPr>
          <w:sz w:val="24"/>
        </w:rPr>
        <w:tab/>
      </w:r>
      <w:r w:rsidRPr="00973844">
        <w:rPr>
          <w:sz w:val="24"/>
        </w:rPr>
        <w:t xml:space="preserve">Daniel Lagraula, </w:t>
      </w:r>
      <w:r>
        <w:rPr>
          <w:sz w:val="24"/>
        </w:rPr>
        <w:t>“</w:t>
      </w:r>
      <w:hyperlink w:anchor="Analyser_idees_pol_pt_3_texte_06" w:history="1">
        <w:r w:rsidRPr="00B40600">
          <w:rPr>
            <w:rStyle w:val="Hyperlien"/>
            <w:sz w:val="24"/>
          </w:rPr>
          <w:t>Lire Carl Schmitt autrement. Essai d’interprétation ma</w:t>
        </w:r>
        <w:r w:rsidRPr="00B40600">
          <w:rPr>
            <w:rStyle w:val="Hyperlien"/>
            <w:sz w:val="24"/>
          </w:rPr>
          <w:t>r</w:t>
        </w:r>
        <w:r w:rsidRPr="00B40600">
          <w:rPr>
            <w:rStyle w:val="Hyperlien"/>
            <w:sz w:val="24"/>
          </w:rPr>
          <w:t>trienne</w:t>
        </w:r>
      </w:hyperlink>
      <w:r>
        <w:rPr>
          <w:sz w:val="24"/>
        </w:rPr>
        <w:t>.” [280]</w:t>
      </w:r>
    </w:p>
    <w:p w14:paraId="4E2A672A" w14:textId="77777777" w:rsidR="00B01930" w:rsidRDefault="00B01930" w:rsidP="00B01930">
      <w:pPr>
        <w:ind w:left="806" w:hanging="360"/>
        <w:rPr>
          <w:rFonts w:cs="Arial"/>
          <w:sz w:val="24"/>
          <w:szCs w:val="28"/>
        </w:rPr>
      </w:pPr>
    </w:p>
    <w:p w14:paraId="4BC4944B" w14:textId="77777777" w:rsidR="00B01930" w:rsidRPr="002155FA" w:rsidRDefault="00B01930" w:rsidP="00B01930">
      <w:pPr>
        <w:ind w:left="806" w:hanging="360"/>
        <w:rPr>
          <w:rFonts w:cs="Arial"/>
          <w:sz w:val="24"/>
          <w:szCs w:val="28"/>
        </w:rPr>
      </w:pPr>
      <w:r w:rsidRPr="002155FA">
        <w:rPr>
          <w:rFonts w:cs="Arial"/>
          <w:sz w:val="24"/>
          <w:szCs w:val="28"/>
        </w:rPr>
        <w:t>I.</w:t>
      </w:r>
      <w:r w:rsidRPr="002155FA">
        <w:rPr>
          <w:rFonts w:cs="Arial"/>
          <w:sz w:val="24"/>
          <w:szCs w:val="28"/>
        </w:rPr>
        <w:tab/>
      </w:r>
      <w:hyperlink w:anchor="Analyser_idees_pol_pt_3_texte_06_I" w:history="1">
        <w:r w:rsidRPr="00B40600">
          <w:rPr>
            <w:rStyle w:val="Hyperlien"/>
            <w:rFonts w:cs="Arial"/>
            <w:sz w:val="24"/>
            <w:szCs w:val="28"/>
          </w:rPr>
          <w:t>Le code de valeurs : le contenu apparent (ou « secondaire »)</w:t>
        </w:r>
      </w:hyperlink>
      <w:r w:rsidRPr="002155FA">
        <w:rPr>
          <w:rFonts w:cs="Arial"/>
          <w:sz w:val="24"/>
          <w:szCs w:val="28"/>
        </w:rPr>
        <w:t xml:space="preserve"> [</w:t>
      </w:r>
      <w:r>
        <w:rPr>
          <w:rFonts w:cs="Arial"/>
          <w:sz w:val="24"/>
          <w:szCs w:val="28"/>
        </w:rPr>
        <w:t>283</w:t>
      </w:r>
      <w:r w:rsidRPr="002155FA">
        <w:rPr>
          <w:rFonts w:cs="Arial"/>
          <w:sz w:val="24"/>
          <w:szCs w:val="28"/>
        </w:rPr>
        <w:t>]</w:t>
      </w:r>
    </w:p>
    <w:p w14:paraId="4F79D983" w14:textId="77777777" w:rsidR="00B01930" w:rsidRPr="002155FA" w:rsidRDefault="00B01930" w:rsidP="00B01930">
      <w:pPr>
        <w:ind w:left="806" w:hanging="360"/>
        <w:rPr>
          <w:rFonts w:cs="Arial"/>
          <w:sz w:val="24"/>
          <w:szCs w:val="28"/>
        </w:rPr>
      </w:pPr>
      <w:r w:rsidRPr="002155FA">
        <w:rPr>
          <w:rFonts w:cs="Arial"/>
          <w:sz w:val="24"/>
          <w:szCs w:val="28"/>
        </w:rPr>
        <w:t>II.</w:t>
      </w:r>
      <w:r w:rsidRPr="002155FA">
        <w:rPr>
          <w:rFonts w:cs="Arial"/>
          <w:sz w:val="24"/>
          <w:szCs w:val="28"/>
        </w:rPr>
        <w:tab/>
      </w:r>
      <w:hyperlink w:anchor="Analyser_idees_pol_pt_3_texte_06_II" w:history="1">
        <w:r w:rsidRPr="00B40600">
          <w:rPr>
            <w:rStyle w:val="Hyperlien"/>
            <w:rFonts w:cs="Arial"/>
            <w:sz w:val="24"/>
            <w:szCs w:val="28"/>
          </w:rPr>
          <w:t>Le code de valeur : le contenu caché (ou primaire)</w:t>
        </w:r>
      </w:hyperlink>
      <w:r w:rsidRPr="002155FA">
        <w:rPr>
          <w:rFonts w:cs="Arial"/>
          <w:sz w:val="24"/>
          <w:szCs w:val="28"/>
        </w:rPr>
        <w:t xml:space="preserve"> [</w:t>
      </w:r>
      <w:r>
        <w:rPr>
          <w:rFonts w:cs="Arial"/>
          <w:sz w:val="24"/>
          <w:szCs w:val="28"/>
        </w:rPr>
        <w:t>297</w:t>
      </w:r>
      <w:r w:rsidRPr="002155FA">
        <w:rPr>
          <w:rFonts w:cs="Arial"/>
          <w:sz w:val="24"/>
          <w:szCs w:val="28"/>
        </w:rPr>
        <w:t>]</w:t>
      </w:r>
    </w:p>
    <w:p w14:paraId="109A4F62" w14:textId="77777777" w:rsidR="00B01930" w:rsidRDefault="00B01930" w:rsidP="00B01930">
      <w:pPr>
        <w:ind w:left="806" w:hanging="360"/>
        <w:rPr>
          <w:rFonts w:cs="Arial"/>
          <w:sz w:val="24"/>
          <w:szCs w:val="28"/>
        </w:rPr>
      </w:pPr>
      <w:hyperlink w:anchor="Analyser_idees_pol_pt_3_texte_06_concl" w:history="1">
        <w:r w:rsidRPr="00B40600">
          <w:rPr>
            <w:rStyle w:val="Hyperlien"/>
            <w:rFonts w:cs="Arial"/>
            <w:sz w:val="24"/>
            <w:szCs w:val="28"/>
          </w:rPr>
          <w:t>Conclusion</w:t>
        </w:r>
      </w:hyperlink>
      <w:r>
        <w:rPr>
          <w:rFonts w:cs="Arial"/>
          <w:sz w:val="24"/>
          <w:szCs w:val="28"/>
        </w:rPr>
        <w:t xml:space="preserve"> [301]</w:t>
      </w:r>
    </w:p>
    <w:p w14:paraId="0AE41F72" w14:textId="77777777" w:rsidR="00B01930" w:rsidRPr="008645CF" w:rsidRDefault="00B01930" w:rsidP="00B01930">
      <w:pPr>
        <w:ind w:left="806" w:hanging="360"/>
        <w:rPr>
          <w:rFonts w:cs="Arial"/>
          <w:sz w:val="24"/>
          <w:szCs w:val="28"/>
        </w:rPr>
      </w:pPr>
      <w:hyperlink w:anchor="Analyser_idees_pol_pt_3_texte_06_biblio" w:history="1">
        <w:r w:rsidRPr="007D33BB">
          <w:rPr>
            <w:rStyle w:val="Hyperlien"/>
            <w:rFonts w:cs="Arial"/>
            <w:sz w:val="24"/>
            <w:szCs w:val="28"/>
          </w:rPr>
          <w:t>Orientations bibliographiques</w:t>
        </w:r>
      </w:hyperlink>
      <w:r>
        <w:rPr>
          <w:rFonts w:cs="Arial"/>
          <w:sz w:val="24"/>
          <w:szCs w:val="28"/>
        </w:rPr>
        <w:t xml:space="preserve"> [304]</w:t>
      </w:r>
    </w:p>
    <w:p w14:paraId="6C971EC5" w14:textId="77777777" w:rsidR="00B01930" w:rsidRDefault="00B01930" w:rsidP="00B01930">
      <w:pPr>
        <w:spacing w:before="120" w:after="120"/>
        <w:ind w:left="450" w:hanging="450"/>
        <w:rPr>
          <w:sz w:val="24"/>
        </w:rPr>
      </w:pPr>
    </w:p>
    <w:p w14:paraId="7C845AE8" w14:textId="77777777" w:rsidR="00B01930" w:rsidRPr="00973844" w:rsidRDefault="00B01930" w:rsidP="00B01930">
      <w:pPr>
        <w:spacing w:before="120" w:after="120"/>
        <w:ind w:left="450" w:hanging="450"/>
        <w:rPr>
          <w:sz w:val="24"/>
        </w:rPr>
      </w:pPr>
      <w:r>
        <w:rPr>
          <w:sz w:val="24"/>
        </w:rPr>
        <w:t>7.</w:t>
      </w:r>
      <w:r>
        <w:rPr>
          <w:sz w:val="24"/>
        </w:rPr>
        <w:tab/>
        <w:t>Daniel Lagraula, “</w:t>
      </w:r>
      <w:hyperlink w:anchor="Analyser_idees_pol_pt_3_texte_07" w:history="1">
        <w:r w:rsidRPr="00B40600">
          <w:rPr>
            <w:rStyle w:val="Hyperlien"/>
            <w:sz w:val="24"/>
          </w:rPr>
          <w:t>Heidegger. Pensée et controverse. Un regard martrien</w:t>
        </w:r>
      </w:hyperlink>
      <w:r>
        <w:rPr>
          <w:sz w:val="24"/>
        </w:rPr>
        <w:t>.” [310]</w:t>
      </w:r>
    </w:p>
    <w:p w14:paraId="7CA0737C" w14:textId="77777777" w:rsidR="00B01930" w:rsidRPr="002155FA" w:rsidRDefault="00B01930" w:rsidP="00B01930">
      <w:pPr>
        <w:ind w:left="806" w:hanging="360"/>
        <w:rPr>
          <w:rFonts w:cs="Arial"/>
          <w:sz w:val="24"/>
          <w:szCs w:val="28"/>
        </w:rPr>
      </w:pPr>
    </w:p>
    <w:p w14:paraId="327B49F8" w14:textId="77777777" w:rsidR="00B01930" w:rsidRDefault="00B01930" w:rsidP="00B01930">
      <w:pPr>
        <w:spacing w:before="120" w:after="120"/>
        <w:ind w:left="450" w:hanging="450"/>
        <w:rPr>
          <w:sz w:val="24"/>
        </w:rPr>
      </w:pPr>
      <w:r w:rsidRPr="004356AB">
        <w:rPr>
          <w:sz w:val="24"/>
        </w:rPr>
        <w:t>8.</w:t>
      </w:r>
      <w:r w:rsidRPr="004356AB">
        <w:rPr>
          <w:sz w:val="24"/>
        </w:rPr>
        <w:tab/>
        <w:t>Joseane Silva, Pierre Cabrol, “</w:t>
      </w:r>
      <w:hyperlink w:anchor="Analyser_idees_pol_pt_3_texte_08" w:history="1">
        <w:r w:rsidRPr="00B40600">
          <w:rPr>
            <w:rStyle w:val="Hyperlien"/>
            <w:sz w:val="24"/>
          </w:rPr>
          <w:t>L’accession de la dignité humaine au rang de valeur un</w:t>
        </w:r>
        <w:r w:rsidRPr="00B40600">
          <w:rPr>
            <w:rStyle w:val="Hyperlien"/>
            <w:sz w:val="24"/>
          </w:rPr>
          <w:t>i</w:t>
        </w:r>
        <w:r w:rsidRPr="00B40600">
          <w:rPr>
            <w:rStyle w:val="Hyperlien"/>
            <w:sz w:val="24"/>
          </w:rPr>
          <w:t>verselle fondamentale : une réponse au nazisme</w:t>
        </w:r>
      </w:hyperlink>
      <w:r w:rsidRPr="004356AB">
        <w:rPr>
          <w:sz w:val="24"/>
        </w:rPr>
        <w:t>.” [</w:t>
      </w:r>
      <w:r>
        <w:rPr>
          <w:sz w:val="24"/>
        </w:rPr>
        <w:t>320</w:t>
      </w:r>
      <w:r w:rsidRPr="004356AB">
        <w:rPr>
          <w:sz w:val="24"/>
        </w:rPr>
        <w:t>]</w:t>
      </w:r>
    </w:p>
    <w:p w14:paraId="3ED1748D" w14:textId="77777777" w:rsidR="00B01930" w:rsidRPr="002155FA" w:rsidRDefault="00B01930" w:rsidP="00B01930">
      <w:pPr>
        <w:ind w:left="806" w:hanging="360"/>
        <w:rPr>
          <w:rFonts w:cs="Arial"/>
          <w:sz w:val="24"/>
          <w:szCs w:val="28"/>
        </w:rPr>
      </w:pPr>
    </w:p>
    <w:p w14:paraId="04712DAD" w14:textId="77777777" w:rsidR="00B01930" w:rsidRDefault="00B01930" w:rsidP="00B01930">
      <w:pPr>
        <w:ind w:left="806" w:hanging="360"/>
        <w:rPr>
          <w:rFonts w:cs="Arial"/>
          <w:sz w:val="24"/>
          <w:szCs w:val="28"/>
        </w:rPr>
      </w:pPr>
      <w:hyperlink w:anchor="Analyser_idees_pol_pt_3_texte_08_intro" w:history="1">
        <w:r w:rsidRPr="002A7D92">
          <w:rPr>
            <w:rStyle w:val="Hyperlien"/>
            <w:rFonts w:cs="Arial"/>
            <w:sz w:val="24"/>
            <w:szCs w:val="28"/>
          </w:rPr>
          <w:t>Introduction</w:t>
        </w:r>
      </w:hyperlink>
      <w:r>
        <w:rPr>
          <w:rFonts w:cs="Arial"/>
          <w:sz w:val="24"/>
          <w:szCs w:val="28"/>
        </w:rPr>
        <w:t xml:space="preserve"> [320]</w:t>
      </w:r>
    </w:p>
    <w:p w14:paraId="04F20145" w14:textId="77777777" w:rsidR="00B01930" w:rsidRPr="002155FA" w:rsidRDefault="00B01930" w:rsidP="00B01930">
      <w:pPr>
        <w:ind w:left="806" w:hanging="360"/>
        <w:rPr>
          <w:rFonts w:cs="Arial"/>
          <w:sz w:val="24"/>
          <w:szCs w:val="28"/>
        </w:rPr>
      </w:pPr>
      <w:r w:rsidRPr="00CA112B">
        <w:rPr>
          <w:rFonts w:cs="Arial"/>
          <w:sz w:val="24"/>
          <w:szCs w:val="28"/>
        </w:rPr>
        <w:t>I.</w:t>
      </w:r>
      <w:r w:rsidRPr="00CA112B">
        <w:rPr>
          <w:rFonts w:cs="Arial"/>
          <w:sz w:val="24"/>
          <w:szCs w:val="28"/>
        </w:rPr>
        <w:tab/>
      </w:r>
      <w:hyperlink w:anchor="Analyser_idees_pol_pt_3_texte_08_I" w:history="1">
        <w:r w:rsidRPr="002A7D92">
          <w:rPr>
            <w:rStyle w:val="Hyperlien"/>
            <w:rFonts w:cs="Arial"/>
            <w:sz w:val="24"/>
            <w:szCs w:val="28"/>
          </w:rPr>
          <w:t>La dignité humaine en tant que conscience d’appartenir à l’humanité</w:t>
        </w:r>
      </w:hyperlink>
      <w:r w:rsidRPr="00CA112B">
        <w:rPr>
          <w:rFonts w:cs="Arial"/>
          <w:sz w:val="24"/>
          <w:szCs w:val="28"/>
        </w:rPr>
        <w:t xml:space="preserve"> [</w:t>
      </w:r>
      <w:r>
        <w:rPr>
          <w:rFonts w:cs="Arial"/>
          <w:sz w:val="24"/>
          <w:szCs w:val="28"/>
        </w:rPr>
        <w:t>324</w:t>
      </w:r>
      <w:r w:rsidRPr="00CA112B">
        <w:rPr>
          <w:rFonts w:cs="Arial"/>
          <w:sz w:val="24"/>
          <w:szCs w:val="28"/>
        </w:rPr>
        <w:t>]</w:t>
      </w:r>
    </w:p>
    <w:p w14:paraId="5327691D" w14:textId="77777777" w:rsidR="00B01930" w:rsidRDefault="00B01930" w:rsidP="00B01930">
      <w:pPr>
        <w:ind w:left="806" w:hanging="360"/>
        <w:rPr>
          <w:rFonts w:cs="Arial"/>
          <w:sz w:val="24"/>
          <w:szCs w:val="28"/>
        </w:rPr>
      </w:pPr>
      <w:r w:rsidRPr="00CA112B">
        <w:rPr>
          <w:rFonts w:cs="Arial"/>
          <w:sz w:val="24"/>
          <w:szCs w:val="28"/>
        </w:rPr>
        <w:t>II.</w:t>
      </w:r>
      <w:r w:rsidRPr="00CA112B">
        <w:rPr>
          <w:rFonts w:cs="Arial"/>
          <w:sz w:val="24"/>
          <w:szCs w:val="28"/>
        </w:rPr>
        <w:tab/>
      </w:r>
      <w:hyperlink w:anchor="Analyser_idees_pol_pt_3_texte_08_II" w:history="1">
        <w:r w:rsidRPr="002A7D92">
          <w:rPr>
            <w:rStyle w:val="Hyperlien"/>
            <w:rFonts w:cs="Arial"/>
            <w:sz w:val="24"/>
            <w:szCs w:val="28"/>
          </w:rPr>
          <w:t>La dignité humaine mise à mal par le nazisme</w:t>
        </w:r>
      </w:hyperlink>
      <w:r w:rsidRPr="00CA112B">
        <w:rPr>
          <w:rFonts w:cs="Arial"/>
          <w:sz w:val="24"/>
          <w:szCs w:val="28"/>
        </w:rPr>
        <w:t xml:space="preserve"> [</w:t>
      </w:r>
      <w:r>
        <w:rPr>
          <w:rFonts w:cs="Arial"/>
          <w:sz w:val="24"/>
          <w:szCs w:val="28"/>
        </w:rPr>
        <w:t>331]</w:t>
      </w:r>
    </w:p>
    <w:p w14:paraId="29F86E74" w14:textId="77777777" w:rsidR="00B01930" w:rsidRDefault="00B01930" w:rsidP="00B01930">
      <w:pPr>
        <w:ind w:left="806" w:hanging="360"/>
        <w:rPr>
          <w:rFonts w:cs="Arial"/>
          <w:sz w:val="24"/>
          <w:szCs w:val="28"/>
        </w:rPr>
      </w:pPr>
      <w:r>
        <w:rPr>
          <w:rFonts w:cs="Arial"/>
          <w:sz w:val="24"/>
          <w:szCs w:val="28"/>
        </w:rPr>
        <w:t>III.</w:t>
      </w:r>
      <w:r>
        <w:rPr>
          <w:rFonts w:cs="Arial"/>
          <w:sz w:val="24"/>
          <w:szCs w:val="28"/>
        </w:rPr>
        <w:tab/>
      </w:r>
      <w:hyperlink w:anchor="Analyser_idees_pol_pt_3_texte_08_III" w:history="1">
        <w:r w:rsidRPr="002A7D92">
          <w:rPr>
            <w:rStyle w:val="Hyperlien"/>
            <w:rFonts w:cs="Arial"/>
            <w:sz w:val="24"/>
            <w:szCs w:val="28"/>
          </w:rPr>
          <w:t>La transformation de la dignité humaine en valeur fondamentale unive</w:t>
        </w:r>
        <w:r w:rsidRPr="002A7D92">
          <w:rPr>
            <w:rStyle w:val="Hyperlien"/>
            <w:rFonts w:cs="Arial"/>
            <w:sz w:val="24"/>
            <w:szCs w:val="28"/>
          </w:rPr>
          <w:t>r</w:t>
        </w:r>
        <w:r w:rsidRPr="002A7D92">
          <w:rPr>
            <w:rStyle w:val="Hyperlien"/>
            <w:rFonts w:cs="Arial"/>
            <w:sz w:val="24"/>
            <w:szCs w:val="28"/>
          </w:rPr>
          <w:t>selle</w:t>
        </w:r>
      </w:hyperlink>
      <w:r>
        <w:rPr>
          <w:rFonts w:cs="Arial"/>
          <w:sz w:val="24"/>
          <w:szCs w:val="28"/>
        </w:rPr>
        <w:t xml:space="preserve"> [345]</w:t>
      </w:r>
    </w:p>
    <w:p w14:paraId="3AB227B7" w14:textId="77777777" w:rsidR="00B01930" w:rsidRDefault="00B01930" w:rsidP="00B01930">
      <w:pPr>
        <w:ind w:left="806" w:hanging="360"/>
        <w:rPr>
          <w:rFonts w:cs="Arial"/>
          <w:sz w:val="24"/>
          <w:szCs w:val="28"/>
        </w:rPr>
      </w:pPr>
    </w:p>
    <w:p w14:paraId="5FAA6D92" w14:textId="77777777" w:rsidR="00B01930" w:rsidRDefault="00B01930" w:rsidP="00B01930">
      <w:pPr>
        <w:spacing w:before="120" w:after="120"/>
        <w:ind w:left="450" w:hanging="450"/>
        <w:rPr>
          <w:sz w:val="24"/>
        </w:rPr>
      </w:pPr>
      <w:r>
        <w:rPr>
          <w:sz w:val="24"/>
        </w:rPr>
        <w:t>9</w:t>
      </w:r>
      <w:r w:rsidRPr="00264EEC">
        <w:rPr>
          <w:sz w:val="24"/>
        </w:rPr>
        <w:t>A.</w:t>
      </w:r>
      <w:r w:rsidRPr="00264EEC">
        <w:rPr>
          <w:sz w:val="24"/>
        </w:rPr>
        <w:tab/>
      </w:r>
      <w:hyperlink w:anchor="Analyser_idees_pol_pt_3_texte_09A" w:history="1">
        <w:r w:rsidRPr="00B40600">
          <w:rPr>
            <w:rStyle w:val="Hyperlien"/>
            <w:sz w:val="24"/>
          </w:rPr>
          <w:t>La pensée politique du Père Teilhard de Chardin (1881-1955)</w:t>
        </w:r>
      </w:hyperlink>
      <w:r>
        <w:rPr>
          <w:sz w:val="24"/>
        </w:rPr>
        <w:t xml:space="preserve"> [355]</w:t>
      </w:r>
    </w:p>
    <w:p w14:paraId="283A6EEE" w14:textId="77777777" w:rsidR="00B01930" w:rsidRDefault="00B01930" w:rsidP="00B01930">
      <w:pPr>
        <w:ind w:left="806" w:hanging="360"/>
        <w:rPr>
          <w:rFonts w:cs="Arial"/>
          <w:sz w:val="24"/>
          <w:szCs w:val="28"/>
        </w:rPr>
      </w:pPr>
      <w:r>
        <w:rPr>
          <w:rFonts w:cs="Arial"/>
          <w:sz w:val="24"/>
          <w:szCs w:val="28"/>
        </w:rPr>
        <w:t>I.</w:t>
      </w:r>
      <w:r>
        <w:rPr>
          <w:rFonts w:cs="Arial"/>
          <w:sz w:val="24"/>
          <w:szCs w:val="28"/>
        </w:rPr>
        <w:tab/>
      </w:r>
      <w:hyperlink w:anchor="Analyser_idees_pol_pt_3_texte_09A_I" w:history="1">
        <w:r w:rsidRPr="00B40600">
          <w:rPr>
            <w:rStyle w:val="Hyperlien"/>
            <w:rFonts w:cs="Arial"/>
            <w:sz w:val="24"/>
            <w:szCs w:val="28"/>
          </w:rPr>
          <w:t>Le projet humain</w:t>
        </w:r>
      </w:hyperlink>
      <w:r>
        <w:rPr>
          <w:rFonts w:cs="Arial"/>
          <w:sz w:val="24"/>
          <w:szCs w:val="28"/>
        </w:rPr>
        <w:t xml:space="preserve"> [365]</w:t>
      </w:r>
    </w:p>
    <w:p w14:paraId="64BE61B9" w14:textId="77777777" w:rsidR="00B01930" w:rsidRDefault="00B01930" w:rsidP="00B01930">
      <w:pPr>
        <w:ind w:left="806" w:hanging="360"/>
        <w:rPr>
          <w:rFonts w:cs="Arial"/>
          <w:sz w:val="24"/>
          <w:szCs w:val="28"/>
        </w:rPr>
      </w:pPr>
      <w:r>
        <w:rPr>
          <w:rFonts w:cs="Arial"/>
          <w:sz w:val="24"/>
          <w:szCs w:val="28"/>
        </w:rPr>
        <w:t>II.</w:t>
      </w:r>
      <w:r>
        <w:rPr>
          <w:rFonts w:cs="Arial"/>
          <w:sz w:val="24"/>
          <w:szCs w:val="28"/>
        </w:rPr>
        <w:tab/>
      </w:r>
      <w:hyperlink w:anchor="Analyser_idees_pol_pt_3_texte_09A_II" w:history="1">
        <w:r w:rsidRPr="00B40600">
          <w:rPr>
            <w:rStyle w:val="Hyperlien"/>
            <w:rFonts w:cs="Arial"/>
            <w:sz w:val="24"/>
            <w:szCs w:val="28"/>
          </w:rPr>
          <w:t>L’organisation politique</w:t>
        </w:r>
      </w:hyperlink>
      <w:r>
        <w:rPr>
          <w:rFonts w:cs="Arial"/>
          <w:sz w:val="24"/>
          <w:szCs w:val="28"/>
        </w:rPr>
        <w:t xml:space="preserve"> [380]</w:t>
      </w:r>
    </w:p>
    <w:p w14:paraId="76B7D80F" w14:textId="77777777" w:rsidR="00B01930" w:rsidRPr="00264EEC" w:rsidRDefault="00B01930" w:rsidP="00B01930">
      <w:pPr>
        <w:spacing w:before="120" w:after="120"/>
        <w:ind w:left="450" w:hanging="450"/>
        <w:rPr>
          <w:sz w:val="24"/>
        </w:rPr>
      </w:pPr>
    </w:p>
    <w:p w14:paraId="05E8C032" w14:textId="77777777" w:rsidR="00B01930" w:rsidRPr="00973844" w:rsidRDefault="00B01930" w:rsidP="00B01930">
      <w:pPr>
        <w:spacing w:before="120" w:after="120"/>
        <w:ind w:left="450" w:hanging="450"/>
        <w:rPr>
          <w:sz w:val="24"/>
        </w:rPr>
      </w:pPr>
      <w:r>
        <w:rPr>
          <w:sz w:val="24"/>
        </w:rPr>
        <w:t>9B.</w:t>
      </w:r>
      <w:r>
        <w:rPr>
          <w:sz w:val="24"/>
        </w:rPr>
        <w:tab/>
      </w:r>
      <w:r w:rsidRPr="00973844">
        <w:rPr>
          <w:sz w:val="24"/>
        </w:rPr>
        <w:t xml:space="preserve">Daniel Lagraula, </w:t>
      </w:r>
      <w:r>
        <w:rPr>
          <w:sz w:val="24"/>
        </w:rPr>
        <w:t>“</w:t>
      </w:r>
      <w:hyperlink w:anchor="Analyser_idees_pol_pt_3_texte_09" w:history="1">
        <w:r w:rsidRPr="00B40600">
          <w:rPr>
            <w:rStyle w:val="Hyperlien"/>
            <w:sz w:val="24"/>
          </w:rPr>
          <w:t>Ébauche d’une lecture martrienne de la pensée politique du Père Tei</w:t>
        </w:r>
        <w:r w:rsidRPr="00B40600">
          <w:rPr>
            <w:rStyle w:val="Hyperlien"/>
            <w:sz w:val="24"/>
          </w:rPr>
          <w:t>l</w:t>
        </w:r>
        <w:r w:rsidRPr="00B40600">
          <w:rPr>
            <w:rStyle w:val="Hyperlien"/>
            <w:sz w:val="24"/>
          </w:rPr>
          <w:t>hard de Chardin selon Arnaud Martin</w:t>
        </w:r>
      </w:hyperlink>
      <w:r w:rsidRPr="00973844">
        <w:rPr>
          <w:sz w:val="24"/>
        </w:rPr>
        <w:t>.</w:t>
      </w:r>
      <w:r>
        <w:rPr>
          <w:sz w:val="24"/>
        </w:rPr>
        <w:t>” [423]</w:t>
      </w:r>
    </w:p>
    <w:p w14:paraId="4D2204AC" w14:textId="77777777" w:rsidR="00B01930" w:rsidRDefault="00B01930" w:rsidP="00B01930">
      <w:pPr>
        <w:ind w:left="806" w:hanging="360"/>
        <w:rPr>
          <w:rFonts w:cs="Arial"/>
          <w:sz w:val="24"/>
          <w:szCs w:val="28"/>
        </w:rPr>
      </w:pPr>
    </w:p>
    <w:p w14:paraId="2D1A1167" w14:textId="77777777" w:rsidR="00B01930" w:rsidRDefault="00B01930" w:rsidP="00B01930">
      <w:pPr>
        <w:ind w:left="806" w:hanging="360"/>
        <w:rPr>
          <w:rFonts w:cs="Arial"/>
          <w:sz w:val="24"/>
          <w:szCs w:val="28"/>
        </w:rPr>
      </w:pPr>
      <w:r w:rsidRPr="00CA112B">
        <w:rPr>
          <w:rFonts w:cs="Arial"/>
          <w:sz w:val="24"/>
          <w:szCs w:val="28"/>
        </w:rPr>
        <w:t>I.</w:t>
      </w:r>
      <w:r w:rsidRPr="00CA112B">
        <w:rPr>
          <w:rFonts w:cs="Arial"/>
          <w:sz w:val="24"/>
          <w:szCs w:val="28"/>
        </w:rPr>
        <w:tab/>
      </w:r>
      <w:hyperlink w:anchor="Analyser_idees_pol_pt_3_texte_09_I" w:history="1">
        <w:r w:rsidRPr="00B40600">
          <w:rPr>
            <w:rStyle w:val="Hyperlien"/>
            <w:rFonts w:cs="Arial"/>
            <w:sz w:val="24"/>
            <w:szCs w:val="28"/>
          </w:rPr>
          <w:t>Le Code de valeurs</w:t>
        </w:r>
      </w:hyperlink>
      <w:r w:rsidRPr="00CA112B">
        <w:rPr>
          <w:rFonts w:cs="Arial"/>
          <w:sz w:val="24"/>
          <w:szCs w:val="28"/>
        </w:rPr>
        <w:t xml:space="preserve"> [</w:t>
      </w:r>
      <w:r>
        <w:rPr>
          <w:rFonts w:cs="Arial"/>
          <w:sz w:val="24"/>
          <w:szCs w:val="28"/>
        </w:rPr>
        <w:t>424</w:t>
      </w:r>
      <w:r w:rsidRPr="00CA112B">
        <w:rPr>
          <w:rFonts w:cs="Arial"/>
          <w:sz w:val="24"/>
          <w:szCs w:val="28"/>
        </w:rPr>
        <w:t>]</w:t>
      </w:r>
    </w:p>
    <w:p w14:paraId="5C1A6ADE" w14:textId="77777777" w:rsidR="00B01930" w:rsidRDefault="00B01930" w:rsidP="00B01930">
      <w:pPr>
        <w:ind w:left="806" w:hanging="360"/>
        <w:rPr>
          <w:rFonts w:cs="Arial"/>
          <w:sz w:val="24"/>
          <w:szCs w:val="28"/>
        </w:rPr>
      </w:pPr>
      <w:r w:rsidRPr="00CA112B">
        <w:rPr>
          <w:rFonts w:cs="Arial"/>
          <w:sz w:val="24"/>
          <w:szCs w:val="28"/>
        </w:rPr>
        <w:t>II.</w:t>
      </w:r>
      <w:r w:rsidRPr="00CA112B">
        <w:rPr>
          <w:rFonts w:cs="Arial"/>
          <w:sz w:val="24"/>
          <w:szCs w:val="28"/>
        </w:rPr>
        <w:tab/>
      </w:r>
      <w:hyperlink w:anchor="Analyser_idees_pol_pt_3_texte_09_II" w:history="1">
        <w:r w:rsidRPr="00B40600">
          <w:rPr>
            <w:rStyle w:val="Hyperlien"/>
            <w:rFonts w:cs="Arial"/>
            <w:sz w:val="24"/>
            <w:szCs w:val="28"/>
          </w:rPr>
          <w:t>Les conséquences structurales du code de valeurs</w:t>
        </w:r>
      </w:hyperlink>
      <w:r w:rsidRPr="00CA112B">
        <w:rPr>
          <w:rFonts w:cs="Arial"/>
          <w:sz w:val="24"/>
          <w:szCs w:val="28"/>
        </w:rPr>
        <w:t xml:space="preserve"> [</w:t>
      </w:r>
      <w:r>
        <w:rPr>
          <w:rFonts w:cs="Arial"/>
          <w:sz w:val="24"/>
          <w:szCs w:val="28"/>
        </w:rPr>
        <w:t>427</w:t>
      </w:r>
      <w:r w:rsidRPr="00CA112B">
        <w:rPr>
          <w:rFonts w:cs="Arial"/>
          <w:sz w:val="24"/>
          <w:szCs w:val="28"/>
        </w:rPr>
        <w:t>]</w:t>
      </w:r>
    </w:p>
    <w:p w14:paraId="7C82A74D" w14:textId="77777777" w:rsidR="00B01930" w:rsidRDefault="00B01930" w:rsidP="00B01930">
      <w:pPr>
        <w:ind w:left="806" w:hanging="360"/>
        <w:rPr>
          <w:rFonts w:cs="Arial"/>
          <w:sz w:val="24"/>
          <w:szCs w:val="28"/>
        </w:rPr>
      </w:pPr>
      <w:hyperlink w:anchor="Analyser_idees_pol_pt_3_texte_09_concl" w:history="1">
        <w:r w:rsidRPr="00B40600">
          <w:rPr>
            <w:rStyle w:val="Hyperlien"/>
            <w:rFonts w:cs="Arial"/>
            <w:sz w:val="24"/>
            <w:szCs w:val="28"/>
          </w:rPr>
          <w:t>Conclusion</w:t>
        </w:r>
      </w:hyperlink>
      <w:r>
        <w:rPr>
          <w:rFonts w:cs="Arial"/>
          <w:sz w:val="24"/>
          <w:szCs w:val="28"/>
        </w:rPr>
        <w:t xml:space="preserve"> [433]</w:t>
      </w:r>
    </w:p>
    <w:p w14:paraId="3B594150" w14:textId="77777777" w:rsidR="00B01930" w:rsidRPr="008645CF" w:rsidRDefault="00B01930" w:rsidP="00B01930">
      <w:pPr>
        <w:ind w:left="806" w:hanging="360"/>
        <w:rPr>
          <w:rFonts w:cs="Arial"/>
          <w:sz w:val="24"/>
          <w:szCs w:val="28"/>
        </w:rPr>
      </w:pPr>
    </w:p>
    <w:p w14:paraId="6A2B7C24" w14:textId="77777777" w:rsidR="00B01930" w:rsidRDefault="00B01930" w:rsidP="00B01930">
      <w:pPr>
        <w:spacing w:before="120" w:after="120"/>
        <w:ind w:left="450" w:hanging="450"/>
        <w:rPr>
          <w:sz w:val="24"/>
        </w:rPr>
      </w:pPr>
      <w:r>
        <w:rPr>
          <w:sz w:val="24"/>
        </w:rPr>
        <w:t>10.</w:t>
      </w:r>
      <w:r>
        <w:rPr>
          <w:sz w:val="24"/>
        </w:rPr>
        <w:tab/>
      </w:r>
      <w:r w:rsidRPr="00973844">
        <w:rPr>
          <w:sz w:val="24"/>
        </w:rPr>
        <w:t xml:space="preserve">Dominique d’Antin de Vaillac, </w:t>
      </w:r>
      <w:r>
        <w:rPr>
          <w:sz w:val="24"/>
        </w:rPr>
        <w:t>“</w:t>
      </w:r>
      <w:hyperlink w:anchor="Analyser_idees_pol_pt_3_texte_10" w:history="1">
        <w:r w:rsidRPr="00B40600">
          <w:rPr>
            <w:rStyle w:val="Hyperlien"/>
            <w:sz w:val="24"/>
          </w:rPr>
          <w:t>Analyse critique de l’intégrisme catholique français</w:t>
        </w:r>
      </w:hyperlink>
      <w:r>
        <w:rPr>
          <w:sz w:val="24"/>
        </w:rPr>
        <w:t>.” [436]</w:t>
      </w:r>
    </w:p>
    <w:p w14:paraId="2146685E" w14:textId="77777777" w:rsidR="00B01930" w:rsidRDefault="00B01930" w:rsidP="00B01930">
      <w:pPr>
        <w:ind w:left="806" w:hanging="360"/>
        <w:rPr>
          <w:rFonts w:cs="Arial"/>
          <w:sz w:val="24"/>
          <w:szCs w:val="28"/>
        </w:rPr>
      </w:pPr>
    </w:p>
    <w:p w14:paraId="251E9838" w14:textId="77777777" w:rsidR="00B01930" w:rsidRDefault="00B01930" w:rsidP="00B01930">
      <w:pPr>
        <w:ind w:left="806" w:hanging="360"/>
        <w:rPr>
          <w:rFonts w:cs="Arial"/>
          <w:sz w:val="24"/>
          <w:szCs w:val="28"/>
        </w:rPr>
      </w:pPr>
      <w:r w:rsidRPr="003B0489">
        <w:rPr>
          <w:rFonts w:cs="Arial"/>
          <w:sz w:val="24"/>
          <w:szCs w:val="28"/>
        </w:rPr>
        <w:t>I.</w:t>
      </w:r>
      <w:r w:rsidRPr="003B0489">
        <w:rPr>
          <w:rFonts w:cs="Arial"/>
          <w:sz w:val="24"/>
          <w:szCs w:val="28"/>
        </w:rPr>
        <w:tab/>
      </w:r>
      <w:hyperlink w:anchor="Analyser_idees_pol_pt_3_texte_10_I" w:history="1">
        <w:r w:rsidRPr="00B40600">
          <w:rPr>
            <w:rStyle w:val="Hyperlien"/>
            <w:rFonts w:cs="Arial"/>
            <w:sz w:val="24"/>
            <w:szCs w:val="28"/>
          </w:rPr>
          <w:t>L’enseignement des attitudes politiques et ses limites</w:t>
        </w:r>
      </w:hyperlink>
      <w:r w:rsidRPr="003B0489">
        <w:rPr>
          <w:rFonts w:cs="Arial"/>
          <w:sz w:val="24"/>
          <w:szCs w:val="28"/>
        </w:rPr>
        <w:t xml:space="preserve"> [</w:t>
      </w:r>
      <w:r>
        <w:rPr>
          <w:rFonts w:cs="Arial"/>
          <w:sz w:val="24"/>
          <w:szCs w:val="28"/>
        </w:rPr>
        <w:t>439</w:t>
      </w:r>
      <w:r w:rsidRPr="003B0489">
        <w:rPr>
          <w:rFonts w:cs="Arial"/>
          <w:sz w:val="24"/>
          <w:szCs w:val="28"/>
        </w:rPr>
        <w:t>]</w:t>
      </w:r>
    </w:p>
    <w:p w14:paraId="21C26D6B" w14:textId="77777777" w:rsidR="00B01930" w:rsidRDefault="00B01930" w:rsidP="00B01930">
      <w:pPr>
        <w:ind w:left="806" w:hanging="360"/>
        <w:rPr>
          <w:rFonts w:cs="Arial"/>
          <w:sz w:val="24"/>
          <w:szCs w:val="28"/>
        </w:rPr>
      </w:pPr>
      <w:r>
        <w:rPr>
          <w:rFonts w:cs="Arial"/>
          <w:sz w:val="24"/>
          <w:szCs w:val="28"/>
        </w:rPr>
        <w:t>II.</w:t>
      </w:r>
      <w:r>
        <w:rPr>
          <w:rFonts w:cs="Arial"/>
          <w:sz w:val="24"/>
          <w:szCs w:val="28"/>
        </w:rPr>
        <w:tab/>
      </w:r>
      <w:hyperlink w:anchor="Analyser_idees_pol_pt_3_texte_10_II" w:history="1">
        <w:r w:rsidRPr="00B40600">
          <w:rPr>
            <w:rStyle w:val="Hyperlien"/>
            <w:rFonts w:cs="Arial"/>
            <w:sz w:val="24"/>
            <w:szCs w:val="28"/>
          </w:rPr>
          <w:t>Le porte-à-faux intégriste</w:t>
        </w:r>
      </w:hyperlink>
      <w:r w:rsidRPr="00CA112B">
        <w:rPr>
          <w:rFonts w:cs="Arial"/>
          <w:sz w:val="24"/>
          <w:szCs w:val="28"/>
        </w:rPr>
        <w:t xml:space="preserve"> [</w:t>
      </w:r>
      <w:r>
        <w:rPr>
          <w:rFonts w:cs="Arial"/>
          <w:sz w:val="24"/>
          <w:szCs w:val="28"/>
        </w:rPr>
        <w:t>445</w:t>
      </w:r>
      <w:r w:rsidRPr="00CA112B">
        <w:rPr>
          <w:rFonts w:cs="Arial"/>
          <w:sz w:val="24"/>
          <w:szCs w:val="28"/>
        </w:rPr>
        <w:t>]</w:t>
      </w:r>
    </w:p>
    <w:p w14:paraId="3AEC69E1" w14:textId="77777777" w:rsidR="00B01930" w:rsidRDefault="00B01930" w:rsidP="00B01930">
      <w:pPr>
        <w:ind w:left="806" w:hanging="360"/>
        <w:rPr>
          <w:rFonts w:cs="Arial"/>
          <w:sz w:val="24"/>
          <w:szCs w:val="28"/>
        </w:rPr>
      </w:pPr>
      <w:r w:rsidRPr="00C82B02">
        <w:rPr>
          <w:rFonts w:cs="Arial"/>
          <w:sz w:val="24"/>
          <w:szCs w:val="28"/>
        </w:rPr>
        <w:t>III.</w:t>
      </w:r>
      <w:r w:rsidRPr="00C82B02">
        <w:rPr>
          <w:rFonts w:cs="Arial"/>
          <w:sz w:val="24"/>
          <w:szCs w:val="28"/>
        </w:rPr>
        <w:tab/>
      </w:r>
      <w:hyperlink w:anchor="Analyser_idees_pol_pt_3_texte_10_III" w:history="1">
        <w:r w:rsidRPr="00B40600">
          <w:rPr>
            <w:rStyle w:val="Hyperlien"/>
            <w:rFonts w:cs="Arial"/>
            <w:sz w:val="24"/>
            <w:szCs w:val="28"/>
          </w:rPr>
          <w:t>La dialectique de la dissidence et ses impasses</w:t>
        </w:r>
      </w:hyperlink>
      <w:r w:rsidRPr="00C82B02">
        <w:rPr>
          <w:rFonts w:cs="Arial"/>
          <w:sz w:val="24"/>
          <w:szCs w:val="28"/>
        </w:rPr>
        <w:t xml:space="preserve"> [</w:t>
      </w:r>
      <w:r>
        <w:rPr>
          <w:rFonts w:cs="Arial"/>
          <w:sz w:val="24"/>
          <w:szCs w:val="28"/>
        </w:rPr>
        <w:t>455</w:t>
      </w:r>
      <w:r w:rsidRPr="00C82B02">
        <w:rPr>
          <w:rFonts w:cs="Arial"/>
          <w:sz w:val="24"/>
          <w:szCs w:val="28"/>
        </w:rPr>
        <w:t>]</w:t>
      </w:r>
    </w:p>
    <w:p w14:paraId="1AA6A592" w14:textId="77777777" w:rsidR="00B01930" w:rsidRPr="008645CF" w:rsidRDefault="00B01930" w:rsidP="00B01930">
      <w:pPr>
        <w:ind w:left="806" w:hanging="360"/>
        <w:rPr>
          <w:rFonts w:cs="Arial"/>
          <w:sz w:val="24"/>
          <w:szCs w:val="28"/>
        </w:rPr>
      </w:pPr>
    </w:p>
    <w:p w14:paraId="062A9ACC" w14:textId="77777777" w:rsidR="00B01930" w:rsidRPr="00973844" w:rsidRDefault="00B01930" w:rsidP="00B01930">
      <w:pPr>
        <w:spacing w:before="120" w:after="120"/>
        <w:ind w:left="450" w:hanging="450"/>
        <w:rPr>
          <w:sz w:val="24"/>
        </w:rPr>
      </w:pPr>
      <w:r>
        <w:rPr>
          <w:sz w:val="24"/>
        </w:rPr>
        <w:t>11.</w:t>
      </w:r>
      <w:r>
        <w:rPr>
          <w:sz w:val="24"/>
        </w:rPr>
        <w:tab/>
      </w:r>
      <w:r w:rsidRPr="00973844">
        <w:rPr>
          <w:sz w:val="24"/>
        </w:rPr>
        <w:t xml:space="preserve">Emmanuel Sur, </w:t>
      </w:r>
      <w:r>
        <w:rPr>
          <w:sz w:val="24"/>
        </w:rPr>
        <w:t>“</w:t>
      </w:r>
      <w:hyperlink w:anchor="Analyser_idees_pol_pt_3_texte_11" w:history="1">
        <w:r w:rsidRPr="00B40600">
          <w:rPr>
            <w:rStyle w:val="Hyperlien"/>
            <w:sz w:val="24"/>
          </w:rPr>
          <w:t>Les Deux Nihilismes. Espaces modernes de la culture de mort</w:t>
        </w:r>
      </w:hyperlink>
      <w:r>
        <w:rPr>
          <w:sz w:val="24"/>
        </w:rPr>
        <w:t>.” [461]</w:t>
      </w:r>
    </w:p>
    <w:p w14:paraId="2B8145E6" w14:textId="77777777" w:rsidR="00B01930" w:rsidRDefault="00B01930" w:rsidP="00B01930">
      <w:pPr>
        <w:ind w:left="806" w:hanging="360"/>
        <w:rPr>
          <w:rFonts w:cs="Arial"/>
          <w:sz w:val="24"/>
          <w:szCs w:val="28"/>
        </w:rPr>
      </w:pPr>
    </w:p>
    <w:p w14:paraId="19634E77" w14:textId="77777777" w:rsidR="00B01930" w:rsidRDefault="00B01930" w:rsidP="00B01930">
      <w:pPr>
        <w:ind w:left="806" w:hanging="360"/>
        <w:rPr>
          <w:rFonts w:cs="Arial"/>
          <w:sz w:val="24"/>
          <w:szCs w:val="28"/>
        </w:rPr>
      </w:pPr>
      <w:r w:rsidRPr="003B0489">
        <w:rPr>
          <w:rFonts w:cs="Arial"/>
          <w:sz w:val="24"/>
          <w:szCs w:val="28"/>
        </w:rPr>
        <w:t>I.</w:t>
      </w:r>
      <w:r>
        <w:rPr>
          <w:rFonts w:cs="Arial"/>
          <w:sz w:val="24"/>
          <w:szCs w:val="28"/>
        </w:rPr>
        <w:tab/>
      </w:r>
      <w:hyperlink w:anchor="Analyser_idees_pol_pt_3_texte_11_I" w:history="1">
        <w:r w:rsidRPr="00B40600">
          <w:rPr>
            <w:rStyle w:val="Hyperlien"/>
            <w:rFonts w:cs="Arial"/>
            <w:sz w:val="24"/>
            <w:szCs w:val="28"/>
          </w:rPr>
          <w:t>Tristes topiques, ou comment nous faisons et défaisons ce à quoi nous a</w:t>
        </w:r>
        <w:r w:rsidRPr="00B40600">
          <w:rPr>
            <w:rStyle w:val="Hyperlien"/>
            <w:rFonts w:cs="Arial"/>
            <w:sz w:val="24"/>
            <w:szCs w:val="28"/>
          </w:rPr>
          <w:t>t</w:t>
        </w:r>
        <w:r w:rsidRPr="00B40600">
          <w:rPr>
            <w:rStyle w:val="Hyperlien"/>
            <w:rFonts w:cs="Arial"/>
            <w:sz w:val="24"/>
            <w:szCs w:val="28"/>
          </w:rPr>
          <w:t>tribuons la raison d’être</w:t>
        </w:r>
      </w:hyperlink>
      <w:r>
        <w:rPr>
          <w:rFonts w:cs="Arial"/>
          <w:sz w:val="24"/>
          <w:szCs w:val="28"/>
        </w:rPr>
        <w:t xml:space="preserve"> [467]</w:t>
      </w:r>
    </w:p>
    <w:p w14:paraId="11C5F0C4" w14:textId="77777777" w:rsidR="00B01930" w:rsidRDefault="00B01930" w:rsidP="00B01930">
      <w:pPr>
        <w:ind w:left="806" w:hanging="360"/>
        <w:rPr>
          <w:rFonts w:cs="Arial"/>
          <w:sz w:val="24"/>
          <w:szCs w:val="28"/>
        </w:rPr>
      </w:pPr>
      <w:r>
        <w:rPr>
          <w:rFonts w:cs="Arial"/>
          <w:sz w:val="24"/>
          <w:szCs w:val="28"/>
        </w:rPr>
        <w:t>II.</w:t>
      </w:r>
      <w:r>
        <w:rPr>
          <w:rFonts w:cs="Arial"/>
          <w:sz w:val="24"/>
          <w:szCs w:val="28"/>
        </w:rPr>
        <w:tab/>
      </w:r>
      <w:hyperlink w:anchor="Analyser_idees_pol_pt_3_texte_11_II" w:history="1">
        <w:r w:rsidRPr="00B40600">
          <w:rPr>
            <w:rStyle w:val="Hyperlien"/>
            <w:rFonts w:cs="Arial"/>
            <w:sz w:val="24"/>
            <w:szCs w:val="28"/>
          </w:rPr>
          <w:t>Caserne libertaire ou comment le triomphe du fantasme conduit la masse au totalit</w:t>
        </w:r>
        <w:r w:rsidRPr="00B40600">
          <w:rPr>
            <w:rStyle w:val="Hyperlien"/>
            <w:rFonts w:cs="Arial"/>
            <w:sz w:val="24"/>
            <w:szCs w:val="28"/>
          </w:rPr>
          <w:t>a</w:t>
        </w:r>
        <w:r w:rsidRPr="00B40600">
          <w:rPr>
            <w:rStyle w:val="Hyperlien"/>
            <w:rFonts w:cs="Arial"/>
            <w:sz w:val="24"/>
            <w:szCs w:val="28"/>
          </w:rPr>
          <w:t>risme anomique</w:t>
        </w:r>
      </w:hyperlink>
      <w:r w:rsidRPr="003B0489">
        <w:rPr>
          <w:rFonts w:cs="Arial"/>
          <w:sz w:val="24"/>
          <w:szCs w:val="28"/>
        </w:rPr>
        <w:t xml:space="preserve"> [</w:t>
      </w:r>
      <w:r>
        <w:rPr>
          <w:rFonts w:cs="Arial"/>
          <w:sz w:val="24"/>
          <w:szCs w:val="28"/>
        </w:rPr>
        <w:t>476</w:t>
      </w:r>
      <w:r w:rsidRPr="003B0489">
        <w:rPr>
          <w:rFonts w:cs="Arial"/>
          <w:sz w:val="24"/>
          <w:szCs w:val="28"/>
        </w:rPr>
        <w:t>]</w:t>
      </w:r>
    </w:p>
    <w:p w14:paraId="71B25841" w14:textId="77777777" w:rsidR="00B01930" w:rsidRDefault="00B01930" w:rsidP="00B01930">
      <w:pPr>
        <w:ind w:left="806" w:hanging="360"/>
        <w:rPr>
          <w:rFonts w:cs="Arial"/>
          <w:sz w:val="24"/>
          <w:szCs w:val="28"/>
        </w:rPr>
      </w:pPr>
      <w:r>
        <w:rPr>
          <w:rFonts w:cs="Arial"/>
          <w:sz w:val="24"/>
          <w:szCs w:val="28"/>
        </w:rPr>
        <w:t>III.</w:t>
      </w:r>
      <w:r>
        <w:rPr>
          <w:rFonts w:cs="Arial"/>
          <w:sz w:val="24"/>
          <w:szCs w:val="28"/>
        </w:rPr>
        <w:tab/>
      </w:r>
      <w:hyperlink w:anchor="Analyser_idees_pol_pt_3_texte_11_III" w:history="1">
        <w:r w:rsidRPr="00B40600">
          <w:rPr>
            <w:rStyle w:val="Hyperlien"/>
            <w:rFonts w:cs="Arial"/>
            <w:sz w:val="24"/>
            <w:szCs w:val="28"/>
          </w:rPr>
          <w:t>Corps politique ou comment le corps physique est devenu un organe de l’État</w:t>
        </w:r>
      </w:hyperlink>
      <w:r w:rsidRPr="003B0489">
        <w:rPr>
          <w:rFonts w:cs="Arial"/>
          <w:sz w:val="24"/>
          <w:szCs w:val="28"/>
        </w:rPr>
        <w:t xml:space="preserve"> [</w:t>
      </w:r>
      <w:r>
        <w:rPr>
          <w:rFonts w:cs="Arial"/>
          <w:sz w:val="24"/>
          <w:szCs w:val="28"/>
        </w:rPr>
        <w:t>485</w:t>
      </w:r>
      <w:r w:rsidRPr="003B0489">
        <w:rPr>
          <w:rFonts w:cs="Arial"/>
          <w:sz w:val="24"/>
          <w:szCs w:val="28"/>
        </w:rPr>
        <w:t>]</w:t>
      </w:r>
    </w:p>
    <w:p w14:paraId="61F0B9A3" w14:textId="77777777" w:rsidR="00B01930" w:rsidRPr="008645CF" w:rsidRDefault="00B01930" w:rsidP="00B01930">
      <w:pPr>
        <w:ind w:left="806" w:hanging="360"/>
        <w:rPr>
          <w:rFonts w:cs="Arial"/>
          <w:sz w:val="24"/>
          <w:szCs w:val="28"/>
        </w:rPr>
      </w:pPr>
    </w:p>
    <w:p w14:paraId="6B0E7E26" w14:textId="77777777" w:rsidR="00B01930" w:rsidRDefault="00B01930" w:rsidP="00B01930">
      <w:pPr>
        <w:spacing w:before="120" w:after="120"/>
        <w:ind w:left="450" w:hanging="450"/>
        <w:rPr>
          <w:sz w:val="24"/>
        </w:rPr>
      </w:pPr>
      <w:r>
        <w:rPr>
          <w:sz w:val="24"/>
        </w:rPr>
        <w:t>12.</w:t>
      </w:r>
      <w:r>
        <w:rPr>
          <w:sz w:val="24"/>
        </w:rPr>
        <w:tab/>
      </w:r>
      <w:r w:rsidRPr="00973844">
        <w:rPr>
          <w:sz w:val="24"/>
        </w:rPr>
        <w:t xml:space="preserve">Daniel Lagraula, </w:t>
      </w:r>
      <w:r>
        <w:rPr>
          <w:sz w:val="24"/>
        </w:rPr>
        <w:t>“</w:t>
      </w:r>
      <w:hyperlink w:anchor="Analyser_idees_pol_pt_3_texte_12" w:history="1">
        <w:r w:rsidRPr="00B40600">
          <w:rPr>
            <w:rStyle w:val="Hyperlien"/>
            <w:sz w:val="24"/>
          </w:rPr>
          <w:t>Lecture martrienne du texte d’Emmanuel Sur</w:t>
        </w:r>
      </w:hyperlink>
      <w:r>
        <w:rPr>
          <w:sz w:val="24"/>
        </w:rPr>
        <w:t>.” [492]</w:t>
      </w:r>
    </w:p>
    <w:p w14:paraId="260A7323" w14:textId="77777777" w:rsidR="00B01930" w:rsidRPr="00973844" w:rsidRDefault="00B01930" w:rsidP="00B01930">
      <w:pPr>
        <w:spacing w:before="120" w:after="120"/>
        <w:ind w:left="450" w:hanging="450"/>
        <w:rPr>
          <w:sz w:val="24"/>
        </w:rPr>
      </w:pPr>
    </w:p>
    <w:p w14:paraId="79EFDEF4" w14:textId="77777777" w:rsidR="00B01930" w:rsidRPr="00973844" w:rsidRDefault="00B01930" w:rsidP="00B01930">
      <w:pPr>
        <w:spacing w:before="120" w:after="120"/>
        <w:ind w:firstLine="0"/>
        <w:jc w:val="center"/>
        <w:rPr>
          <w:b/>
          <w:sz w:val="24"/>
        </w:rPr>
      </w:pPr>
      <w:r w:rsidRPr="00973844">
        <w:rPr>
          <w:b/>
          <w:sz w:val="24"/>
        </w:rPr>
        <w:t xml:space="preserve">IV. </w:t>
      </w:r>
      <w:hyperlink w:anchor="Analyser_idees_pol_pt_4" w:history="1">
        <w:r w:rsidRPr="00787879">
          <w:rPr>
            <w:rStyle w:val="Hyperlien"/>
            <w:b/>
            <w:sz w:val="24"/>
          </w:rPr>
          <w:t>De quelques idées « internationales »</w:t>
        </w:r>
      </w:hyperlink>
      <w:r>
        <w:rPr>
          <w:sz w:val="24"/>
        </w:rPr>
        <w:t xml:space="preserve"> [501]</w:t>
      </w:r>
    </w:p>
    <w:p w14:paraId="02491D4C" w14:textId="77777777" w:rsidR="00B01930" w:rsidRDefault="00B01930" w:rsidP="00B01930">
      <w:pPr>
        <w:spacing w:before="120" w:after="120"/>
        <w:ind w:firstLine="0"/>
        <w:rPr>
          <w:sz w:val="24"/>
        </w:rPr>
      </w:pPr>
    </w:p>
    <w:p w14:paraId="49F59A64" w14:textId="77777777" w:rsidR="00B01930" w:rsidRPr="00973844" w:rsidRDefault="00B01930" w:rsidP="00B01930">
      <w:pPr>
        <w:spacing w:before="120" w:after="120"/>
        <w:ind w:left="450" w:hanging="450"/>
        <w:rPr>
          <w:sz w:val="24"/>
        </w:rPr>
      </w:pPr>
      <w:r>
        <w:rPr>
          <w:sz w:val="24"/>
        </w:rPr>
        <w:t>13.</w:t>
      </w:r>
      <w:r>
        <w:rPr>
          <w:sz w:val="24"/>
        </w:rPr>
        <w:tab/>
      </w:r>
      <w:r w:rsidRPr="00973844">
        <w:rPr>
          <w:sz w:val="24"/>
        </w:rPr>
        <w:t xml:space="preserve">Daniel Lagraula, </w:t>
      </w:r>
      <w:r>
        <w:rPr>
          <w:sz w:val="24"/>
        </w:rPr>
        <w:t>“</w:t>
      </w:r>
      <w:hyperlink w:anchor="Analyser_idees_pol_pt_4_texte_13" w:history="1">
        <w:r w:rsidRPr="005B2D38">
          <w:rPr>
            <w:rStyle w:val="Hyperlien"/>
            <w:sz w:val="24"/>
          </w:rPr>
          <w:t>Empire, morale et Realpolitik : la pensée martrienne des relations i</w:t>
        </w:r>
        <w:r w:rsidRPr="005B2D38">
          <w:rPr>
            <w:rStyle w:val="Hyperlien"/>
            <w:sz w:val="24"/>
          </w:rPr>
          <w:t>n</w:t>
        </w:r>
        <w:r w:rsidRPr="005B2D38">
          <w:rPr>
            <w:rStyle w:val="Hyperlien"/>
            <w:sz w:val="24"/>
          </w:rPr>
          <w:t>ternationales</w:t>
        </w:r>
      </w:hyperlink>
      <w:r>
        <w:rPr>
          <w:sz w:val="24"/>
        </w:rPr>
        <w:t>.” [502]</w:t>
      </w:r>
    </w:p>
    <w:p w14:paraId="6E30C77E" w14:textId="77777777" w:rsidR="00B01930" w:rsidRDefault="00B01930" w:rsidP="00B01930">
      <w:pPr>
        <w:ind w:left="806" w:hanging="360"/>
        <w:rPr>
          <w:rFonts w:cs="Arial"/>
          <w:sz w:val="24"/>
          <w:szCs w:val="28"/>
        </w:rPr>
      </w:pPr>
    </w:p>
    <w:p w14:paraId="60622375" w14:textId="77777777" w:rsidR="00B01930" w:rsidRDefault="00B01930" w:rsidP="00B01930">
      <w:pPr>
        <w:ind w:left="806" w:hanging="360"/>
        <w:rPr>
          <w:rFonts w:cs="Arial"/>
          <w:sz w:val="24"/>
          <w:szCs w:val="28"/>
        </w:rPr>
      </w:pPr>
      <w:r>
        <w:rPr>
          <w:rFonts w:cs="Arial"/>
          <w:sz w:val="24"/>
          <w:szCs w:val="28"/>
        </w:rPr>
        <w:t>I.</w:t>
      </w:r>
      <w:r>
        <w:rPr>
          <w:rFonts w:cs="Arial"/>
          <w:sz w:val="24"/>
          <w:szCs w:val="28"/>
        </w:rPr>
        <w:tab/>
      </w:r>
      <w:hyperlink w:anchor="Analyser_idees_pol_pt_4_texte_13_I" w:history="1">
        <w:r w:rsidRPr="005B2D38">
          <w:rPr>
            <w:rStyle w:val="Hyperlien"/>
            <w:rFonts w:cs="Arial"/>
            <w:sz w:val="24"/>
            <w:szCs w:val="28"/>
          </w:rPr>
          <w:t>La « Puissance », le « Système » et « l’Empire » (ou l’attracteur caché)</w:t>
        </w:r>
      </w:hyperlink>
      <w:r w:rsidRPr="0084189C">
        <w:rPr>
          <w:rFonts w:cs="Arial"/>
          <w:sz w:val="24"/>
          <w:szCs w:val="28"/>
        </w:rPr>
        <w:t xml:space="preserve"> [</w:t>
      </w:r>
      <w:r>
        <w:rPr>
          <w:rFonts w:cs="Arial"/>
          <w:sz w:val="24"/>
          <w:szCs w:val="28"/>
        </w:rPr>
        <w:t>505</w:t>
      </w:r>
      <w:r w:rsidRPr="0084189C">
        <w:rPr>
          <w:rFonts w:cs="Arial"/>
          <w:sz w:val="24"/>
          <w:szCs w:val="28"/>
        </w:rPr>
        <w:t>]</w:t>
      </w:r>
    </w:p>
    <w:p w14:paraId="2FF734EB" w14:textId="77777777" w:rsidR="00B01930" w:rsidRDefault="00B01930" w:rsidP="00B01930">
      <w:pPr>
        <w:ind w:left="806" w:hanging="360"/>
        <w:rPr>
          <w:rFonts w:cs="Arial"/>
          <w:sz w:val="24"/>
          <w:szCs w:val="28"/>
        </w:rPr>
      </w:pPr>
      <w:r>
        <w:rPr>
          <w:rFonts w:cs="Arial"/>
          <w:sz w:val="24"/>
          <w:szCs w:val="28"/>
        </w:rPr>
        <w:t>II.</w:t>
      </w:r>
      <w:r>
        <w:rPr>
          <w:rFonts w:cs="Arial"/>
          <w:sz w:val="24"/>
          <w:szCs w:val="28"/>
        </w:rPr>
        <w:tab/>
      </w:r>
      <w:hyperlink w:anchor="Analyser_idees_pol_pt_4_texte_13_II" w:history="1">
        <w:r w:rsidRPr="005B2D38">
          <w:rPr>
            <w:rStyle w:val="Hyperlien"/>
            <w:rFonts w:cs="Arial"/>
            <w:sz w:val="24"/>
            <w:szCs w:val="28"/>
          </w:rPr>
          <w:t>De la bonne compréhension du Bien et du Mal. Ruse et métamorphose de la morale en Relations internationales. À propos de La Grande Méprise de Chantal Delsol</w:t>
        </w:r>
      </w:hyperlink>
      <w:r w:rsidRPr="0084189C">
        <w:rPr>
          <w:rFonts w:cs="Arial"/>
          <w:sz w:val="24"/>
          <w:szCs w:val="28"/>
        </w:rPr>
        <w:t xml:space="preserve"> [</w:t>
      </w:r>
      <w:r>
        <w:rPr>
          <w:rFonts w:cs="Arial"/>
          <w:sz w:val="24"/>
          <w:szCs w:val="28"/>
        </w:rPr>
        <w:t>521</w:t>
      </w:r>
      <w:r w:rsidRPr="0084189C">
        <w:rPr>
          <w:rFonts w:cs="Arial"/>
          <w:sz w:val="24"/>
          <w:szCs w:val="28"/>
        </w:rPr>
        <w:t>]</w:t>
      </w:r>
    </w:p>
    <w:p w14:paraId="39B5E70D" w14:textId="77777777" w:rsidR="00B01930" w:rsidRPr="0084189C" w:rsidRDefault="00B01930" w:rsidP="00B01930">
      <w:pPr>
        <w:ind w:left="806" w:hanging="360"/>
        <w:rPr>
          <w:rFonts w:cs="Arial"/>
          <w:sz w:val="24"/>
          <w:szCs w:val="28"/>
        </w:rPr>
      </w:pPr>
      <w:r>
        <w:rPr>
          <w:rFonts w:cs="Arial"/>
          <w:sz w:val="24"/>
          <w:szCs w:val="28"/>
        </w:rPr>
        <w:t>III.</w:t>
      </w:r>
      <w:r>
        <w:rPr>
          <w:rFonts w:cs="Arial"/>
          <w:sz w:val="24"/>
          <w:szCs w:val="28"/>
        </w:rPr>
        <w:tab/>
      </w:r>
      <w:hyperlink w:anchor="Analyser_idees_pol_pt_4_texte_13_III" w:history="1">
        <w:r w:rsidRPr="005B2D38">
          <w:rPr>
            <w:rStyle w:val="Hyperlien"/>
            <w:rFonts w:cs="Arial"/>
            <w:sz w:val="24"/>
            <w:szCs w:val="28"/>
          </w:rPr>
          <w:t>Les mondes d’Hubert Védrine, ou de la « realpolitik » en trompe-l’œil (à propos de Continuer l’Histoire</w:t>
        </w:r>
      </w:hyperlink>
      <w:r w:rsidRPr="0084189C">
        <w:rPr>
          <w:rFonts w:cs="Arial"/>
          <w:sz w:val="24"/>
          <w:szCs w:val="28"/>
        </w:rPr>
        <w:t xml:space="preserve"> [</w:t>
      </w:r>
      <w:r>
        <w:rPr>
          <w:rFonts w:cs="Arial"/>
          <w:sz w:val="24"/>
          <w:szCs w:val="28"/>
        </w:rPr>
        <w:t>528</w:t>
      </w:r>
      <w:r w:rsidRPr="0084189C">
        <w:rPr>
          <w:rFonts w:cs="Arial"/>
          <w:sz w:val="24"/>
          <w:szCs w:val="28"/>
        </w:rPr>
        <w:t>]</w:t>
      </w:r>
    </w:p>
    <w:p w14:paraId="126DA2BC" w14:textId="77777777" w:rsidR="00B01930" w:rsidRPr="008645CF" w:rsidRDefault="00B01930" w:rsidP="00B01930">
      <w:pPr>
        <w:ind w:left="806" w:hanging="360"/>
        <w:rPr>
          <w:rFonts w:cs="Arial"/>
          <w:sz w:val="24"/>
          <w:szCs w:val="28"/>
        </w:rPr>
      </w:pPr>
    </w:p>
    <w:p w14:paraId="1308C4F1" w14:textId="77777777" w:rsidR="00B01930" w:rsidRPr="00973844" w:rsidRDefault="00B01930" w:rsidP="00B01930">
      <w:pPr>
        <w:spacing w:before="120" w:after="120"/>
        <w:ind w:left="450" w:hanging="450"/>
        <w:rPr>
          <w:sz w:val="24"/>
        </w:rPr>
      </w:pPr>
      <w:r>
        <w:rPr>
          <w:sz w:val="24"/>
        </w:rPr>
        <w:br w:type="page"/>
      </w:r>
      <w:r>
        <w:rPr>
          <w:sz w:val="24"/>
        </w:rPr>
        <w:lastRenderedPageBreak/>
        <w:t>14.</w:t>
      </w:r>
      <w:r>
        <w:rPr>
          <w:sz w:val="24"/>
        </w:rPr>
        <w:tab/>
      </w:r>
      <w:r w:rsidRPr="00973844">
        <w:rPr>
          <w:sz w:val="24"/>
        </w:rPr>
        <w:t xml:space="preserve">Constanze Villar, </w:t>
      </w:r>
      <w:r>
        <w:rPr>
          <w:sz w:val="24"/>
        </w:rPr>
        <w:t>“</w:t>
      </w:r>
      <w:hyperlink w:anchor="Analyser_idees_pol_pt_4_texte_14" w:history="1">
        <w:r w:rsidRPr="005B2D38">
          <w:rPr>
            <w:rStyle w:val="Hyperlien"/>
            <w:sz w:val="24"/>
          </w:rPr>
          <w:t>Au delà des discours et des idées internationales : les r</w:t>
        </w:r>
        <w:r w:rsidRPr="005B2D38">
          <w:rPr>
            <w:rStyle w:val="Hyperlien"/>
            <w:sz w:val="24"/>
          </w:rPr>
          <w:t>é</w:t>
        </w:r>
        <w:r w:rsidRPr="005B2D38">
          <w:rPr>
            <w:rStyle w:val="Hyperlien"/>
            <w:sz w:val="24"/>
          </w:rPr>
          <w:t>seaux de la diplomatie française</w:t>
        </w:r>
      </w:hyperlink>
      <w:r>
        <w:rPr>
          <w:sz w:val="24"/>
        </w:rPr>
        <w:t>.” [540]</w:t>
      </w:r>
    </w:p>
    <w:p w14:paraId="5277FF55" w14:textId="77777777" w:rsidR="00B01930" w:rsidRDefault="00B01930" w:rsidP="00B01930">
      <w:pPr>
        <w:ind w:left="806" w:hanging="360"/>
        <w:rPr>
          <w:rFonts w:cs="Arial"/>
          <w:sz w:val="24"/>
          <w:szCs w:val="28"/>
        </w:rPr>
      </w:pPr>
    </w:p>
    <w:p w14:paraId="608B390B" w14:textId="77777777" w:rsidR="00B01930" w:rsidRDefault="00B01930" w:rsidP="00B01930">
      <w:pPr>
        <w:ind w:left="806" w:hanging="360"/>
        <w:rPr>
          <w:rFonts w:cs="Arial"/>
          <w:sz w:val="24"/>
          <w:szCs w:val="28"/>
        </w:rPr>
      </w:pPr>
      <w:r>
        <w:rPr>
          <w:rFonts w:cs="Arial"/>
          <w:sz w:val="24"/>
          <w:szCs w:val="28"/>
        </w:rPr>
        <w:t>I.</w:t>
      </w:r>
      <w:r>
        <w:rPr>
          <w:rFonts w:cs="Arial"/>
          <w:sz w:val="24"/>
          <w:szCs w:val="28"/>
        </w:rPr>
        <w:tab/>
      </w:r>
      <w:hyperlink w:anchor="Analyser_idees_pol_pt_4_texte_14_I" w:history="1">
        <w:r w:rsidRPr="005B2D38">
          <w:rPr>
            <w:rStyle w:val="Hyperlien"/>
            <w:rFonts w:cs="Arial"/>
            <w:sz w:val="24"/>
            <w:szCs w:val="28"/>
          </w:rPr>
          <w:t>Diplomatie et Réseaux : les liaisons dangereuses de la souveraineté</w:t>
        </w:r>
      </w:hyperlink>
      <w:r w:rsidRPr="0084189C">
        <w:rPr>
          <w:rFonts w:cs="Arial"/>
          <w:sz w:val="24"/>
          <w:szCs w:val="28"/>
        </w:rPr>
        <w:t xml:space="preserve"> [</w:t>
      </w:r>
      <w:r>
        <w:rPr>
          <w:rFonts w:cs="Arial"/>
          <w:sz w:val="24"/>
          <w:szCs w:val="28"/>
        </w:rPr>
        <w:t>544</w:t>
      </w:r>
      <w:r w:rsidRPr="0084189C">
        <w:rPr>
          <w:rFonts w:cs="Arial"/>
          <w:sz w:val="24"/>
          <w:szCs w:val="28"/>
        </w:rPr>
        <w:t>]</w:t>
      </w:r>
    </w:p>
    <w:p w14:paraId="58183AAE" w14:textId="77777777" w:rsidR="00B01930" w:rsidRDefault="00B01930" w:rsidP="00B01930">
      <w:pPr>
        <w:ind w:left="806" w:hanging="360"/>
        <w:rPr>
          <w:rFonts w:cs="Arial"/>
          <w:sz w:val="24"/>
          <w:szCs w:val="28"/>
        </w:rPr>
      </w:pPr>
      <w:r w:rsidRPr="0084189C">
        <w:rPr>
          <w:rFonts w:cs="Arial"/>
          <w:sz w:val="24"/>
          <w:szCs w:val="28"/>
        </w:rPr>
        <w:t>II.</w:t>
      </w:r>
      <w:r w:rsidRPr="0084189C">
        <w:rPr>
          <w:rFonts w:cs="Arial"/>
          <w:sz w:val="24"/>
          <w:szCs w:val="28"/>
        </w:rPr>
        <w:tab/>
      </w:r>
      <w:hyperlink w:anchor="Analyser_idees_pol_pt_4_texte_14_II" w:history="1">
        <w:r w:rsidRPr="005B2D38">
          <w:rPr>
            <w:rStyle w:val="Hyperlien"/>
            <w:rFonts w:cs="Arial"/>
            <w:sz w:val="24"/>
            <w:szCs w:val="28"/>
          </w:rPr>
          <w:t>Les réseaux français dans tous leurs états : le cas Albertini</w:t>
        </w:r>
      </w:hyperlink>
      <w:r w:rsidRPr="0084189C">
        <w:rPr>
          <w:rFonts w:cs="Arial"/>
          <w:sz w:val="24"/>
          <w:szCs w:val="28"/>
        </w:rPr>
        <w:t xml:space="preserve"> [</w:t>
      </w:r>
      <w:r>
        <w:rPr>
          <w:rFonts w:cs="Arial"/>
          <w:sz w:val="24"/>
          <w:szCs w:val="28"/>
        </w:rPr>
        <w:t>555</w:t>
      </w:r>
      <w:r w:rsidRPr="0084189C">
        <w:rPr>
          <w:rFonts w:cs="Arial"/>
          <w:sz w:val="24"/>
          <w:szCs w:val="28"/>
        </w:rPr>
        <w:t>]</w:t>
      </w:r>
    </w:p>
    <w:p w14:paraId="348FFD54" w14:textId="77777777" w:rsidR="00B01930" w:rsidRPr="008645CF" w:rsidRDefault="00B01930" w:rsidP="00B01930">
      <w:pPr>
        <w:ind w:left="806" w:hanging="360"/>
        <w:rPr>
          <w:rFonts w:cs="Arial"/>
          <w:sz w:val="24"/>
          <w:szCs w:val="28"/>
        </w:rPr>
      </w:pPr>
    </w:p>
    <w:p w14:paraId="12F64A5F" w14:textId="77777777" w:rsidR="00B01930" w:rsidRDefault="00B01930" w:rsidP="00B01930">
      <w:pPr>
        <w:spacing w:before="120" w:after="120"/>
        <w:ind w:left="450" w:hanging="450"/>
        <w:rPr>
          <w:sz w:val="24"/>
        </w:rPr>
      </w:pPr>
      <w:r>
        <w:rPr>
          <w:sz w:val="24"/>
        </w:rPr>
        <w:t>15.</w:t>
      </w:r>
      <w:r>
        <w:rPr>
          <w:sz w:val="24"/>
        </w:rPr>
        <w:tab/>
      </w:r>
      <w:r w:rsidRPr="00973844">
        <w:rPr>
          <w:sz w:val="24"/>
        </w:rPr>
        <w:t xml:space="preserve">Daniel Lagraula, </w:t>
      </w:r>
      <w:r>
        <w:rPr>
          <w:sz w:val="24"/>
        </w:rPr>
        <w:t>“</w:t>
      </w:r>
      <w:hyperlink w:anchor="Analyser_idees_pol_pt_4_texte_15" w:history="1">
        <w:r w:rsidRPr="005B2D38">
          <w:rPr>
            <w:rStyle w:val="Hyperlien"/>
            <w:sz w:val="24"/>
          </w:rPr>
          <w:t>Esquisse d’une interprétation martrienne du néoconserv</w:t>
        </w:r>
        <w:r w:rsidRPr="005B2D38">
          <w:rPr>
            <w:rStyle w:val="Hyperlien"/>
            <w:sz w:val="24"/>
          </w:rPr>
          <w:t>a</w:t>
        </w:r>
        <w:r w:rsidRPr="005B2D38">
          <w:rPr>
            <w:rStyle w:val="Hyperlien"/>
            <w:sz w:val="24"/>
          </w:rPr>
          <w:t>tisme amér</w:t>
        </w:r>
        <w:r w:rsidRPr="005B2D38">
          <w:rPr>
            <w:rStyle w:val="Hyperlien"/>
            <w:sz w:val="24"/>
          </w:rPr>
          <w:t>i</w:t>
        </w:r>
        <w:r w:rsidRPr="005B2D38">
          <w:rPr>
            <w:rStyle w:val="Hyperlien"/>
            <w:sz w:val="24"/>
          </w:rPr>
          <w:t>cain</w:t>
        </w:r>
      </w:hyperlink>
      <w:r>
        <w:rPr>
          <w:sz w:val="24"/>
        </w:rPr>
        <w:t>.” [579]</w:t>
      </w:r>
    </w:p>
    <w:p w14:paraId="0D8FE399" w14:textId="77777777" w:rsidR="00B01930" w:rsidRDefault="00B01930" w:rsidP="00B01930">
      <w:pPr>
        <w:ind w:left="806" w:hanging="360"/>
        <w:rPr>
          <w:rFonts w:cs="Arial"/>
          <w:sz w:val="24"/>
          <w:szCs w:val="28"/>
        </w:rPr>
      </w:pPr>
    </w:p>
    <w:p w14:paraId="641B2A30" w14:textId="77777777" w:rsidR="00B01930" w:rsidRDefault="00B01930" w:rsidP="00B01930">
      <w:pPr>
        <w:ind w:left="806" w:hanging="360"/>
        <w:rPr>
          <w:rFonts w:cs="Arial"/>
          <w:sz w:val="24"/>
          <w:szCs w:val="28"/>
        </w:rPr>
      </w:pPr>
      <w:r>
        <w:rPr>
          <w:rFonts w:cs="Arial"/>
          <w:sz w:val="24"/>
          <w:szCs w:val="28"/>
        </w:rPr>
        <w:t>I.</w:t>
      </w:r>
      <w:r>
        <w:rPr>
          <w:rFonts w:cs="Arial"/>
          <w:sz w:val="24"/>
          <w:szCs w:val="28"/>
        </w:rPr>
        <w:tab/>
      </w:r>
      <w:hyperlink w:anchor="Analyser_idees_pol_pt_4_texte_15_I" w:history="1">
        <w:r w:rsidRPr="005B2D38">
          <w:rPr>
            <w:rStyle w:val="Hyperlien"/>
            <w:rFonts w:cs="Arial"/>
            <w:sz w:val="24"/>
            <w:szCs w:val="28"/>
          </w:rPr>
          <w:t>Éléments pour l’analyse</w:t>
        </w:r>
      </w:hyperlink>
      <w:r w:rsidRPr="00387308">
        <w:rPr>
          <w:rFonts w:cs="Arial"/>
          <w:sz w:val="24"/>
          <w:szCs w:val="28"/>
        </w:rPr>
        <w:t xml:space="preserve"> [</w:t>
      </w:r>
      <w:r>
        <w:rPr>
          <w:rFonts w:cs="Arial"/>
          <w:sz w:val="24"/>
          <w:szCs w:val="28"/>
        </w:rPr>
        <w:t>583</w:t>
      </w:r>
      <w:r w:rsidRPr="00387308">
        <w:rPr>
          <w:rFonts w:cs="Arial"/>
          <w:sz w:val="24"/>
          <w:szCs w:val="28"/>
        </w:rPr>
        <w:t>]</w:t>
      </w:r>
    </w:p>
    <w:p w14:paraId="012E69D4" w14:textId="77777777" w:rsidR="00B01930" w:rsidRDefault="00B01930" w:rsidP="00B01930">
      <w:pPr>
        <w:ind w:left="806" w:hanging="360"/>
        <w:rPr>
          <w:rFonts w:cs="Arial"/>
          <w:sz w:val="24"/>
          <w:szCs w:val="28"/>
        </w:rPr>
      </w:pPr>
      <w:r>
        <w:rPr>
          <w:rFonts w:cs="Arial"/>
          <w:sz w:val="24"/>
          <w:szCs w:val="28"/>
        </w:rPr>
        <w:t>II.</w:t>
      </w:r>
      <w:r>
        <w:rPr>
          <w:rFonts w:cs="Arial"/>
          <w:sz w:val="24"/>
          <w:szCs w:val="28"/>
        </w:rPr>
        <w:tab/>
      </w:r>
      <w:hyperlink w:anchor="Analyser_idees_pol_pt_4_texte_15_II" w:history="1">
        <w:r w:rsidRPr="005B2D38">
          <w:rPr>
            <w:rStyle w:val="Hyperlien"/>
            <w:rFonts w:cs="Arial"/>
            <w:sz w:val="24"/>
            <w:szCs w:val="28"/>
          </w:rPr>
          <w:t>Esquisse d’une interprétation martrienne</w:t>
        </w:r>
      </w:hyperlink>
      <w:r w:rsidRPr="00387308">
        <w:rPr>
          <w:rFonts w:cs="Arial"/>
          <w:sz w:val="24"/>
          <w:szCs w:val="28"/>
        </w:rPr>
        <w:t xml:space="preserve"> [</w:t>
      </w:r>
      <w:r>
        <w:rPr>
          <w:rFonts w:cs="Arial"/>
          <w:sz w:val="24"/>
          <w:szCs w:val="28"/>
        </w:rPr>
        <w:t>591</w:t>
      </w:r>
      <w:r w:rsidRPr="00387308">
        <w:rPr>
          <w:rFonts w:cs="Arial"/>
          <w:sz w:val="24"/>
          <w:szCs w:val="28"/>
        </w:rPr>
        <w:t>]</w:t>
      </w:r>
    </w:p>
    <w:p w14:paraId="6C9E9D30" w14:textId="77777777" w:rsidR="00B01930" w:rsidRDefault="00B01930" w:rsidP="00B01930">
      <w:pPr>
        <w:ind w:left="806" w:hanging="360"/>
        <w:rPr>
          <w:rFonts w:cs="Arial"/>
          <w:sz w:val="24"/>
          <w:szCs w:val="28"/>
        </w:rPr>
      </w:pPr>
      <w:hyperlink w:anchor="Analyser_idees_pol_pt_4_texte_15_concl" w:history="1">
        <w:r w:rsidRPr="005B2D38">
          <w:rPr>
            <w:rStyle w:val="Hyperlien"/>
            <w:rFonts w:cs="Arial"/>
            <w:sz w:val="24"/>
            <w:szCs w:val="28"/>
          </w:rPr>
          <w:t>Conclusio</w:t>
        </w:r>
        <w:r>
          <w:rPr>
            <w:rStyle w:val="Hyperlien"/>
            <w:rFonts w:cs="Arial"/>
            <w:sz w:val="24"/>
            <w:szCs w:val="28"/>
          </w:rPr>
          <w:t>n provisoire</w:t>
        </w:r>
      </w:hyperlink>
      <w:r>
        <w:rPr>
          <w:rFonts w:cs="Arial"/>
          <w:sz w:val="24"/>
          <w:szCs w:val="28"/>
        </w:rPr>
        <w:t xml:space="preserve"> [598]</w:t>
      </w:r>
    </w:p>
    <w:p w14:paraId="1C013CF7" w14:textId="77777777" w:rsidR="00B01930" w:rsidRDefault="00B01930" w:rsidP="00B01930">
      <w:pPr>
        <w:ind w:left="806" w:hanging="360"/>
        <w:rPr>
          <w:rFonts w:cs="Arial"/>
          <w:sz w:val="24"/>
          <w:szCs w:val="28"/>
        </w:rPr>
      </w:pPr>
      <w:hyperlink w:anchor="Analyser_idees_pol_pt_4_texte_15_biblio" w:history="1">
        <w:r w:rsidRPr="005B2D38">
          <w:rPr>
            <w:rStyle w:val="Hyperlien"/>
            <w:rFonts w:cs="Arial"/>
            <w:sz w:val="24"/>
            <w:szCs w:val="28"/>
          </w:rPr>
          <w:t>Orientation bibliographique</w:t>
        </w:r>
      </w:hyperlink>
      <w:r>
        <w:rPr>
          <w:rFonts w:cs="Arial"/>
          <w:sz w:val="24"/>
          <w:szCs w:val="28"/>
        </w:rPr>
        <w:t xml:space="preserve"> [599]</w:t>
      </w:r>
    </w:p>
    <w:p w14:paraId="768C9EC7" w14:textId="77777777" w:rsidR="00B01930" w:rsidRPr="008645CF" w:rsidRDefault="00B01930" w:rsidP="00B01930">
      <w:pPr>
        <w:ind w:left="806" w:hanging="360"/>
        <w:rPr>
          <w:rFonts w:cs="Arial"/>
          <w:sz w:val="24"/>
          <w:szCs w:val="28"/>
        </w:rPr>
      </w:pPr>
    </w:p>
    <w:p w14:paraId="0BB42A56" w14:textId="77777777" w:rsidR="00B01930" w:rsidRPr="00973844" w:rsidRDefault="00B01930" w:rsidP="00B01930">
      <w:pPr>
        <w:spacing w:before="120" w:after="120"/>
        <w:ind w:left="450" w:hanging="450"/>
        <w:rPr>
          <w:sz w:val="24"/>
        </w:rPr>
      </w:pPr>
      <w:r>
        <w:rPr>
          <w:sz w:val="24"/>
        </w:rPr>
        <w:t>16.</w:t>
      </w:r>
      <w:r>
        <w:rPr>
          <w:sz w:val="24"/>
        </w:rPr>
        <w:tab/>
      </w:r>
      <w:r w:rsidRPr="00973844">
        <w:rPr>
          <w:sz w:val="24"/>
        </w:rPr>
        <w:t xml:space="preserve">Nathalie Blanc Noël, </w:t>
      </w:r>
      <w:r>
        <w:rPr>
          <w:sz w:val="24"/>
        </w:rPr>
        <w:t>“</w:t>
      </w:r>
      <w:hyperlink w:anchor="Analyser_idees_pol_pt_4_texte_16" w:history="1">
        <w:r w:rsidRPr="005B2D38">
          <w:rPr>
            <w:rStyle w:val="Hyperlien"/>
            <w:sz w:val="24"/>
          </w:rPr>
          <w:t>Le « modèle » nordique : une idée récurrente  dans le débat polit</w:t>
        </w:r>
        <w:r w:rsidRPr="005B2D38">
          <w:rPr>
            <w:rStyle w:val="Hyperlien"/>
            <w:sz w:val="24"/>
          </w:rPr>
          <w:t>i</w:t>
        </w:r>
        <w:r w:rsidRPr="005B2D38">
          <w:rPr>
            <w:rStyle w:val="Hyperlien"/>
            <w:sz w:val="24"/>
          </w:rPr>
          <w:t>que français</w:t>
        </w:r>
      </w:hyperlink>
      <w:r>
        <w:rPr>
          <w:sz w:val="24"/>
        </w:rPr>
        <w:t>.” [602]</w:t>
      </w:r>
    </w:p>
    <w:p w14:paraId="19C8EA67" w14:textId="77777777" w:rsidR="00B01930" w:rsidRDefault="00B01930" w:rsidP="00B01930">
      <w:pPr>
        <w:ind w:left="806" w:hanging="360"/>
        <w:rPr>
          <w:rFonts w:cs="Arial"/>
          <w:sz w:val="24"/>
          <w:szCs w:val="28"/>
        </w:rPr>
      </w:pPr>
    </w:p>
    <w:p w14:paraId="4BD53DFF" w14:textId="77777777" w:rsidR="00B01930" w:rsidRDefault="00B01930" w:rsidP="00B01930">
      <w:pPr>
        <w:ind w:left="806" w:hanging="360"/>
        <w:rPr>
          <w:rFonts w:cs="Arial"/>
          <w:sz w:val="24"/>
          <w:szCs w:val="28"/>
        </w:rPr>
      </w:pPr>
      <w:r>
        <w:rPr>
          <w:rFonts w:cs="Arial"/>
          <w:sz w:val="24"/>
          <w:szCs w:val="28"/>
        </w:rPr>
        <w:t>I.</w:t>
      </w:r>
      <w:r>
        <w:rPr>
          <w:rFonts w:cs="Arial"/>
          <w:sz w:val="24"/>
          <w:szCs w:val="28"/>
        </w:rPr>
        <w:tab/>
      </w:r>
      <w:hyperlink w:anchor="Analyser_idees_pol_pt_4_texte_16_I" w:history="1">
        <w:r w:rsidRPr="005B2D38">
          <w:rPr>
            <w:rStyle w:val="Hyperlien"/>
            <w:rFonts w:cs="Arial"/>
            <w:sz w:val="24"/>
            <w:szCs w:val="28"/>
          </w:rPr>
          <w:t>La connaissance savante des pays nordiques en France : intérêt littéraire ancien, ign</w:t>
        </w:r>
        <w:r w:rsidRPr="005B2D38">
          <w:rPr>
            <w:rStyle w:val="Hyperlien"/>
            <w:rFonts w:cs="Arial"/>
            <w:sz w:val="24"/>
            <w:szCs w:val="28"/>
          </w:rPr>
          <w:t>o</w:t>
        </w:r>
        <w:r w:rsidRPr="005B2D38">
          <w:rPr>
            <w:rStyle w:val="Hyperlien"/>
            <w:rFonts w:cs="Arial"/>
            <w:sz w:val="24"/>
            <w:szCs w:val="28"/>
          </w:rPr>
          <w:t>rance des sciences sociales</w:t>
        </w:r>
      </w:hyperlink>
      <w:r w:rsidRPr="00387308">
        <w:rPr>
          <w:rFonts w:cs="Arial"/>
          <w:sz w:val="24"/>
          <w:szCs w:val="28"/>
        </w:rPr>
        <w:t xml:space="preserve"> [</w:t>
      </w:r>
      <w:r>
        <w:rPr>
          <w:rFonts w:cs="Arial"/>
          <w:sz w:val="24"/>
          <w:szCs w:val="28"/>
        </w:rPr>
        <w:t>607</w:t>
      </w:r>
      <w:r w:rsidRPr="00387308">
        <w:rPr>
          <w:rFonts w:cs="Arial"/>
          <w:sz w:val="24"/>
          <w:szCs w:val="28"/>
        </w:rPr>
        <w:t>]</w:t>
      </w:r>
    </w:p>
    <w:p w14:paraId="4EB82B8A" w14:textId="77777777" w:rsidR="00B01930" w:rsidRDefault="00B01930" w:rsidP="00B01930">
      <w:pPr>
        <w:ind w:left="806" w:hanging="360"/>
        <w:rPr>
          <w:rFonts w:cs="Arial"/>
          <w:sz w:val="24"/>
          <w:szCs w:val="28"/>
        </w:rPr>
      </w:pPr>
      <w:r w:rsidRPr="00387308">
        <w:rPr>
          <w:rFonts w:cs="Arial"/>
          <w:sz w:val="24"/>
          <w:szCs w:val="28"/>
        </w:rPr>
        <w:t>II.</w:t>
      </w:r>
      <w:r w:rsidRPr="00387308">
        <w:rPr>
          <w:rFonts w:cs="Arial"/>
          <w:sz w:val="24"/>
          <w:szCs w:val="28"/>
        </w:rPr>
        <w:tab/>
      </w:r>
      <w:hyperlink w:anchor="Analyser_idees_pol_pt_4_texte_16_II" w:history="1">
        <w:r w:rsidRPr="005B2D38">
          <w:rPr>
            <w:rStyle w:val="Hyperlien"/>
            <w:rFonts w:cs="Arial"/>
            <w:sz w:val="24"/>
            <w:szCs w:val="28"/>
          </w:rPr>
          <w:t>Les travaux de vulgarisation et l’entrée de la figure du modèle nordique dans le débat public français</w:t>
        </w:r>
      </w:hyperlink>
      <w:r w:rsidRPr="00387308">
        <w:rPr>
          <w:rFonts w:cs="Arial"/>
          <w:sz w:val="24"/>
          <w:szCs w:val="28"/>
        </w:rPr>
        <w:t xml:space="preserve"> [</w:t>
      </w:r>
      <w:r>
        <w:rPr>
          <w:rFonts w:cs="Arial"/>
          <w:sz w:val="24"/>
          <w:szCs w:val="28"/>
        </w:rPr>
        <w:t>613</w:t>
      </w:r>
      <w:r w:rsidRPr="00387308">
        <w:rPr>
          <w:rFonts w:cs="Arial"/>
          <w:sz w:val="24"/>
          <w:szCs w:val="28"/>
        </w:rPr>
        <w:t>]</w:t>
      </w:r>
    </w:p>
    <w:p w14:paraId="0A6B270D" w14:textId="77777777" w:rsidR="00B01930" w:rsidRDefault="00B01930" w:rsidP="00B01930">
      <w:pPr>
        <w:ind w:left="806" w:hanging="360"/>
        <w:rPr>
          <w:rFonts w:cs="Arial"/>
          <w:sz w:val="24"/>
          <w:szCs w:val="28"/>
        </w:rPr>
      </w:pPr>
      <w:r>
        <w:rPr>
          <w:rFonts w:cs="Arial"/>
          <w:sz w:val="24"/>
          <w:szCs w:val="28"/>
        </w:rPr>
        <w:t>III.</w:t>
      </w:r>
      <w:r>
        <w:rPr>
          <w:rFonts w:cs="Arial"/>
          <w:sz w:val="24"/>
          <w:szCs w:val="28"/>
        </w:rPr>
        <w:tab/>
      </w:r>
      <w:hyperlink w:anchor="Analyser_idees_pol_pt_4_texte_16_III" w:history="1">
        <w:r w:rsidRPr="005B2D38">
          <w:rPr>
            <w:rStyle w:val="Hyperlien"/>
            <w:rFonts w:cs="Arial"/>
            <w:sz w:val="24"/>
            <w:szCs w:val="28"/>
          </w:rPr>
          <w:t>Sens et usages politiques du mythe du « modèle nordique »</w:t>
        </w:r>
      </w:hyperlink>
      <w:r w:rsidRPr="00387308">
        <w:rPr>
          <w:rFonts w:cs="Arial"/>
          <w:sz w:val="24"/>
          <w:szCs w:val="28"/>
        </w:rPr>
        <w:t xml:space="preserve"> [</w:t>
      </w:r>
      <w:r>
        <w:rPr>
          <w:rFonts w:cs="Arial"/>
          <w:sz w:val="24"/>
          <w:szCs w:val="28"/>
        </w:rPr>
        <w:t>619</w:t>
      </w:r>
      <w:r w:rsidRPr="00387308">
        <w:rPr>
          <w:rFonts w:cs="Arial"/>
          <w:sz w:val="24"/>
          <w:szCs w:val="28"/>
        </w:rPr>
        <w:t>]</w:t>
      </w:r>
    </w:p>
    <w:p w14:paraId="4BC5D000" w14:textId="77777777" w:rsidR="00B01930" w:rsidRPr="008645CF" w:rsidRDefault="00B01930" w:rsidP="00B01930">
      <w:pPr>
        <w:ind w:left="806" w:hanging="360"/>
        <w:rPr>
          <w:rFonts w:cs="Arial"/>
          <w:sz w:val="24"/>
          <w:szCs w:val="28"/>
        </w:rPr>
      </w:pPr>
    </w:p>
    <w:p w14:paraId="7EC96544" w14:textId="77777777" w:rsidR="00B01930" w:rsidRDefault="00B01930" w:rsidP="00B01930">
      <w:pPr>
        <w:spacing w:before="120" w:after="120"/>
        <w:ind w:left="450" w:hanging="450"/>
        <w:rPr>
          <w:sz w:val="24"/>
        </w:rPr>
      </w:pPr>
      <w:r>
        <w:rPr>
          <w:sz w:val="24"/>
        </w:rPr>
        <w:t>17</w:t>
      </w:r>
      <w:r>
        <w:rPr>
          <w:sz w:val="24"/>
        </w:rPr>
        <w:tab/>
      </w:r>
      <w:r w:rsidRPr="00973844">
        <w:rPr>
          <w:sz w:val="24"/>
        </w:rPr>
        <w:t xml:space="preserve">Xu Zhen Zu, </w:t>
      </w:r>
      <w:r>
        <w:rPr>
          <w:sz w:val="24"/>
        </w:rPr>
        <w:t>“</w:t>
      </w:r>
      <w:hyperlink w:anchor="Analyser_idees_pol_pt_4_texte_17" w:history="1">
        <w:r w:rsidRPr="005B2D38">
          <w:rPr>
            <w:rStyle w:val="Hyperlien"/>
            <w:sz w:val="24"/>
          </w:rPr>
          <w:t>La Liberté a-t-elle existé dans l’an</w:t>
        </w:r>
        <w:r w:rsidRPr="005B2D38">
          <w:rPr>
            <w:rStyle w:val="Hyperlien"/>
            <w:sz w:val="24"/>
          </w:rPr>
          <w:t>c</w:t>
        </w:r>
        <w:r w:rsidRPr="005B2D38">
          <w:rPr>
            <w:rStyle w:val="Hyperlien"/>
            <w:sz w:val="24"/>
          </w:rPr>
          <w:t>ienne Chine ?</w:t>
        </w:r>
      </w:hyperlink>
      <w:r>
        <w:rPr>
          <w:sz w:val="24"/>
        </w:rPr>
        <w:t>” [629]</w:t>
      </w:r>
    </w:p>
    <w:p w14:paraId="0F3ED6AB" w14:textId="77777777" w:rsidR="00B01930" w:rsidRPr="00C972E1" w:rsidRDefault="00B01930" w:rsidP="00B01930">
      <w:pPr>
        <w:spacing w:before="120" w:after="120"/>
        <w:ind w:left="450" w:hanging="450"/>
      </w:pPr>
      <w:r>
        <w:rPr>
          <w:sz w:val="24"/>
        </w:rPr>
        <w:t>18</w:t>
      </w:r>
      <w:r>
        <w:rPr>
          <w:sz w:val="24"/>
        </w:rPr>
        <w:tab/>
        <w:t>Michel-Louis Martin</w:t>
      </w:r>
      <w:r w:rsidRPr="00973844">
        <w:rPr>
          <w:sz w:val="24"/>
        </w:rPr>
        <w:t xml:space="preserve">, </w:t>
      </w:r>
      <w:r>
        <w:rPr>
          <w:sz w:val="24"/>
        </w:rPr>
        <w:t>“</w:t>
      </w:r>
      <w:hyperlink w:anchor="Analyser_idees_pol_pt_4_texte_18" w:history="1">
        <w:r w:rsidRPr="005B2D38">
          <w:rPr>
            <w:rStyle w:val="Hyperlien"/>
            <w:sz w:val="24"/>
          </w:rPr>
          <w:t>L</w:t>
        </w:r>
        <w:r>
          <w:rPr>
            <w:rStyle w:val="Hyperlien"/>
            <w:sz w:val="24"/>
          </w:rPr>
          <w:t>e Ch</w:t>
        </w:r>
        <w:r>
          <w:rPr>
            <w:rStyle w:val="Hyperlien"/>
            <w:sz w:val="24"/>
          </w:rPr>
          <w:t>a</w:t>
        </w:r>
        <w:r>
          <w:rPr>
            <w:rStyle w:val="Hyperlien"/>
            <w:sz w:val="24"/>
          </w:rPr>
          <w:t xml:space="preserve">risme. Sur un article d’Edward Shills </w:t>
        </w:r>
      </w:hyperlink>
      <w:r>
        <w:rPr>
          <w:sz w:val="24"/>
        </w:rPr>
        <w:t>” [644]</w:t>
      </w:r>
    </w:p>
    <w:p w14:paraId="78BE266C" w14:textId="77777777" w:rsidR="00B01930" w:rsidRDefault="00B01930" w:rsidP="00B01930">
      <w:pPr>
        <w:jc w:val="both"/>
      </w:pPr>
      <w:r>
        <w:br w:type="page"/>
      </w:r>
    </w:p>
    <w:p w14:paraId="31D5084D" w14:textId="77777777" w:rsidR="00B01930" w:rsidRDefault="00B01930" w:rsidP="00B01930">
      <w:pPr>
        <w:jc w:val="both"/>
      </w:pPr>
    </w:p>
    <w:p w14:paraId="54AC509B" w14:textId="77777777" w:rsidR="00B01930" w:rsidRDefault="00B01930" w:rsidP="00B01930">
      <w:pPr>
        <w:jc w:val="both"/>
      </w:pPr>
    </w:p>
    <w:p w14:paraId="719D33F4" w14:textId="77777777" w:rsidR="00B01930" w:rsidRPr="00283FCC" w:rsidRDefault="00B01930" w:rsidP="00B01930">
      <w:pPr>
        <w:spacing w:after="120"/>
        <w:ind w:firstLine="0"/>
        <w:jc w:val="center"/>
        <w:rPr>
          <w:b/>
          <w:i/>
        </w:rPr>
      </w:pPr>
      <w:bookmarkStart w:id="1" w:name="Analyser_idees_pol_auteurs"/>
      <w:r>
        <w:rPr>
          <w:b/>
        </w:rPr>
        <w:t>Analyser les idées politiques</w:t>
      </w:r>
      <w:r w:rsidRPr="00283FCC">
        <w:rPr>
          <w:b/>
        </w:rPr>
        <w:t>.</w:t>
      </w:r>
      <w:r w:rsidRPr="00283FCC">
        <w:rPr>
          <w:b/>
        </w:rPr>
        <w:br/>
      </w:r>
      <w:r>
        <w:rPr>
          <w:i/>
        </w:rPr>
        <w:t>Hommages au Pr. Jean-Louis Martres</w:t>
      </w:r>
    </w:p>
    <w:p w14:paraId="36DF1C31" w14:textId="77777777" w:rsidR="00B01930" w:rsidRDefault="00B01930" w:rsidP="00B01930">
      <w:pPr>
        <w:ind w:firstLine="20"/>
        <w:jc w:val="center"/>
      </w:pPr>
      <w:r>
        <w:rPr>
          <w:color w:val="FF0000"/>
          <w:sz w:val="48"/>
        </w:rPr>
        <w:t>Les auteurs</w:t>
      </w:r>
      <w:r>
        <w:rPr>
          <w:color w:val="FF0000"/>
          <w:sz w:val="48"/>
        </w:rPr>
        <w:br/>
        <w:t>de l’ouvrage d’hommage</w:t>
      </w:r>
    </w:p>
    <w:bookmarkEnd w:id="1"/>
    <w:p w14:paraId="284943B7" w14:textId="77777777" w:rsidR="00B01930" w:rsidRDefault="00B01930" w:rsidP="00B01930">
      <w:pPr>
        <w:ind w:firstLine="0"/>
      </w:pPr>
    </w:p>
    <w:p w14:paraId="1DB79B00" w14:textId="77777777" w:rsidR="00B01930" w:rsidRDefault="00B01930" w:rsidP="00B01930">
      <w:pPr>
        <w:ind w:firstLine="0"/>
      </w:pPr>
    </w:p>
    <w:p w14:paraId="27C20879" w14:textId="77777777" w:rsidR="00B01930" w:rsidRDefault="00B01930" w:rsidP="00B01930">
      <w:pPr>
        <w:jc w:val="both"/>
      </w:pPr>
    </w:p>
    <w:p w14:paraId="59CBC9A5" w14:textId="77777777" w:rsidR="00B01930" w:rsidRDefault="00B01930" w:rsidP="00B01930">
      <w:pPr>
        <w:jc w:val="both"/>
      </w:pPr>
    </w:p>
    <w:p w14:paraId="7A03A7EA" w14:textId="77777777" w:rsidR="00B01930" w:rsidRDefault="00B01930" w:rsidP="00B01930">
      <w:pPr>
        <w:jc w:val="both"/>
      </w:pPr>
    </w:p>
    <w:p w14:paraId="794DA833"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333AB7D2" w14:textId="77777777" w:rsidR="00B01930" w:rsidRPr="00320A86" w:rsidRDefault="00B01930" w:rsidP="00B01930">
      <w:pPr>
        <w:spacing w:before="120" w:after="120"/>
      </w:pPr>
      <w:r w:rsidRPr="00320A86">
        <w:t>– Michel Bergès, Professeur des Universités en Science politique, Université de Bordeaux.</w:t>
      </w:r>
    </w:p>
    <w:p w14:paraId="6EAAC08A" w14:textId="77777777" w:rsidR="00B01930" w:rsidRPr="00320A86" w:rsidRDefault="00B01930" w:rsidP="00B01930">
      <w:pPr>
        <w:spacing w:before="120" w:after="120"/>
      </w:pPr>
      <w:r w:rsidRPr="00320A86">
        <w:t>– Nathalie Blanc-Noël, Maître de Conférences en Science polit</w:t>
      </w:r>
      <w:r w:rsidRPr="00320A86">
        <w:t>i</w:t>
      </w:r>
      <w:r w:rsidRPr="00320A86">
        <w:t>que, Unive</w:t>
      </w:r>
      <w:r w:rsidRPr="00320A86">
        <w:t>r</w:t>
      </w:r>
      <w:r w:rsidRPr="00320A86">
        <w:t>sité de Bordeaux.</w:t>
      </w:r>
    </w:p>
    <w:p w14:paraId="27A95264" w14:textId="77777777" w:rsidR="00B01930" w:rsidRPr="00320A86" w:rsidRDefault="00B01930" w:rsidP="00B01930">
      <w:pPr>
        <w:spacing w:before="120" w:after="120"/>
      </w:pPr>
      <w:r w:rsidRPr="00320A86">
        <w:t>– Pierre Cabrol, Maître de Conférences associé en Droit privé, Université Michel de Montaigne.</w:t>
      </w:r>
    </w:p>
    <w:p w14:paraId="25CA7B4E" w14:textId="77777777" w:rsidR="00B01930" w:rsidRPr="00320A86" w:rsidRDefault="00B01930" w:rsidP="00B01930">
      <w:pPr>
        <w:spacing w:before="120" w:after="120"/>
      </w:pPr>
      <w:r w:rsidRPr="00320A86">
        <w:t>– Dominique D’Antin de Vaillac, Professeur associé en Science Politique, Université de Bordeaux.</w:t>
      </w:r>
    </w:p>
    <w:p w14:paraId="63E922EB" w14:textId="77777777" w:rsidR="00B01930" w:rsidRPr="00320A86" w:rsidRDefault="00B01930" w:rsidP="00B01930">
      <w:pPr>
        <w:spacing w:before="120" w:after="120"/>
      </w:pPr>
      <w:r w:rsidRPr="00320A86">
        <w:t>– Jean-François Labourdette, Professeur honoraire en Histoire m</w:t>
      </w:r>
      <w:r w:rsidRPr="00320A86">
        <w:t>o</w:t>
      </w:r>
      <w:r w:rsidRPr="00320A86">
        <w:t>derne, Un</w:t>
      </w:r>
      <w:r w:rsidRPr="00320A86">
        <w:t>i</w:t>
      </w:r>
      <w:r w:rsidRPr="00320A86">
        <w:t>versité Charles-de-Gaulle Lille 3.</w:t>
      </w:r>
    </w:p>
    <w:p w14:paraId="01ED8B6F" w14:textId="77777777" w:rsidR="00B01930" w:rsidRDefault="00B01930" w:rsidP="00B01930">
      <w:pPr>
        <w:spacing w:before="120" w:after="120"/>
      </w:pPr>
      <w:r w:rsidRPr="00320A86">
        <w:t>– Daniel Lagraula, plus ancien disciple de Jean-Louis Martres en Science p</w:t>
      </w:r>
      <w:r w:rsidRPr="00320A86">
        <w:t>o</w:t>
      </w:r>
      <w:r w:rsidRPr="00320A86">
        <w:t>litique, Faculté de Droit de Bordeaux.</w:t>
      </w:r>
    </w:p>
    <w:p w14:paraId="110AD0AF" w14:textId="77777777" w:rsidR="00B01930" w:rsidRPr="00320A86" w:rsidRDefault="00B01930" w:rsidP="00B01930">
      <w:pPr>
        <w:spacing w:before="120" w:after="120"/>
      </w:pPr>
      <w:r>
        <w:t>– Michel Louis Martin, Professeur émérite de Science politique, Université Toulouse I Capitole, Fondateur du Centre Moriss Janovitz.</w:t>
      </w:r>
    </w:p>
    <w:p w14:paraId="66F47542" w14:textId="77777777" w:rsidR="00B01930" w:rsidRPr="00320A86" w:rsidRDefault="00B01930" w:rsidP="00B01930">
      <w:pPr>
        <w:spacing w:before="120" w:after="120"/>
      </w:pPr>
      <w:r w:rsidRPr="00320A86">
        <w:t>– Arnaud Martin, Maître de Conférences en Droit public, Univers</w:t>
      </w:r>
      <w:r w:rsidRPr="00320A86">
        <w:t>i</w:t>
      </w:r>
      <w:r w:rsidRPr="00320A86">
        <w:t>té de Bo</w:t>
      </w:r>
      <w:r w:rsidRPr="00320A86">
        <w:t>r</w:t>
      </w:r>
      <w:r w:rsidRPr="00320A86">
        <w:t>deaux.</w:t>
      </w:r>
    </w:p>
    <w:p w14:paraId="4B4351D9" w14:textId="77777777" w:rsidR="00B01930" w:rsidRPr="00320A86" w:rsidRDefault="00B01930" w:rsidP="00B01930">
      <w:pPr>
        <w:spacing w:before="120" w:after="120"/>
      </w:pPr>
      <w:r w:rsidRPr="00320A86">
        <w:t>– Jean-Pierre Poussou, Recteur d’Aquitaine, Professeur émérite en Histoire Moderne à l’Université Paris Sorbonne.</w:t>
      </w:r>
    </w:p>
    <w:p w14:paraId="70A7C8BF" w14:textId="77777777" w:rsidR="00B01930" w:rsidRPr="00320A86" w:rsidRDefault="00B01930" w:rsidP="00B01930">
      <w:pPr>
        <w:spacing w:before="120" w:after="120"/>
      </w:pPr>
      <w:r w:rsidRPr="00320A86">
        <w:t>– Patrick Pouyanne, sis à Bois-Colombes et à Bordeaux.</w:t>
      </w:r>
    </w:p>
    <w:p w14:paraId="6FCD3C33" w14:textId="77777777" w:rsidR="00B01930" w:rsidRPr="00320A86" w:rsidRDefault="00B01930" w:rsidP="00B01930">
      <w:pPr>
        <w:spacing w:before="120" w:after="120"/>
      </w:pPr>
      <w:r w:rsidRPr="00320A86">
        <w:lastRenderedPageBreak/>
        <w:t>– Joseane Silva, collaboratrice associée au Centre d’Analyse pol</w:t>
      </w:r>
      <w:r w:rsidRPr="00320A86">
        <w:t>i</w:t>
      </w:r>
      <w:r w:rsidRPr="00320A86">
        <w:t>tique comparée, franco-brésilienne, gestionnaire des contrats de r</w:t>
      </w:r>
      <w:r w:rsidRPr="00320A86">
        <w:t>e</w:t>
      </w:r>
      <w:r w:rsidRPr="00320A86">
        <w:t>cherche du CAPCGRI à la Faculté de Droit de Bordeaux, responsable du programme de recherche conce</w:t>
      </w:r>
      <w:r w:rsidRPr="00320A86">
        <w:t>r</w:t>
      </w:r>
      <w:r w:rsidRPr="00320A86">
        <w:t>nant l’identité brésilienne.</w:t>
      </w:r>
    </w:p>
    <w:p w14:paraId="2F8B5143" w14:textId="77777777" w:rsidR="00B01930" w:rsidRPr="00320A86" w:rsidRDefault="00B01930" w:rsidP="00B01930">
      <w:pPr>
        <w:spacing w:before="120" w:after="120"/>
      </w:pPr>
      <w:r w:rsidRPr="00320A86">
        <w:t>– Emmanuel Sur, Maître de Conférences en Droit public, Univers</w:t>
      </w:r>
      <w:r w:rsidRPr="00320A86">
        <w:t>i</w:t>
      </w:r>
      <w:r w:rsidRPr="00320A86">
        <w:t>té de Bo</w:t>
      </w:r>
      <w:r w:rsidRPr="00320A86">
        <w:t>r</w:t>
      </w:r>
      <w:r w:rsidRPr="00320A86">
        <w:t>deaux.</w:t>
      </w:r>
    </w:p>
    <w:p w14:paraId="0EB93E00" w14:textId="77777777" w:rsidR="00B01930" w:rsidRPr="00320A86" w:rsidRDefault="00B01930" w:rsidP="00B01930">
      <w:pPr>
        <w:spacing w:before="120" w:after="120"/>
      </w:pPr>
      <w:r w:rsidRPr="00320A86">
        <w:t>– Contance Villar, Maître de Conférences en Science politique, Université de Bordeaux.</w:t>
      </w:r>
    </w:p>
    <w:p w14:paraId="738C447D" w14:textId="77777777" w:rsidR="00B01930" w:rsidRPr="00320A86" w:rsidRDefault="00B01930" w:rsidP="00B01930">
      <w:pPr>
        <w:spacing w:before="120" w:after="120"/>
      </w:pPr>
      <w:r w:rsidRPr="00320A86">
        <w:t>– Xu Zhen Zhou, Professeur en Science politique, Président du Département de Relations Internationales de l’Université Beida de Pékin, ancien docteur dir</w:t>
      </w:r>
      <w:r w:rsidRPr="00320A86">
        <w:t>i</w:t>
      </w:r>
      <w:r w:rsidRPr="00320A86">
        <w:t>gé par Jean-Louis Martres.</w:t>
      </w:r>
    </w:p>
    <w:p w14:paraId="672C5BFB" w14:textId="77777777" w:rsidR="00B01930" w:rsidRDefault="00B01930" w:rsidP="00B01930">
      <w:pPr>
        <w:jc w:val="both"/>
      </w:pPr>
    </w:p>
    <w:p w14:paraId="2BD18DAB" w14:textId="77777777" w:rsidR="00B01930" w:rsidRDefault="00B01930" w:rsidP="00B01930">
      <w:pPr>
        <w:spacing w:before="120" w:after="120"/>
        <w:jc w:val="both"/>
      </w:pPr>
      <w:r>
        <w:br w:type="page"/>
      </w:r>
    </w:p>
    <w:p w14:paraId="213498AA" w14:textId="77777777" w:rsidR="00B01930" w:rsidRPr="00320A86" w:rsidRDefault="00B01930" w:rsidP="00B01930">
      <w:pPr>
        <w:spacing w:before="120" w:after="120"/>
        <w:jc w:val="both"/>
        <w:rPr>
          <w:szCs w:val="36"/>
        </w:rPr>
      </w:pPr>
    </w:p>
    <w:p w14:paraId="79D1666E" w14:textId="77777777" w:rsidR="00B01930" w:rsidRPr="00A3748B" w:rsidRDefault="00B01930" w:rsidP="00B01930">
      <w:pPr>
        <w:spacing w:before="120" w:after="120"/>
        <w:jc w:val="both"/>
        <w:rPr>
          <w:i/>
          <w:iCs/>
          <w:szCs w:val="36"/>
        </w:rPr>
      </w:pPr>
      <w:r w:rsidRPr="00A3748B">
        <w:rPr>
          <w:i/>
          <w:szCs w:val="36"/>
        </w:rPr>
        <w:t>« </w:t>
      </w:r>
      <w:r w:rsidRPr="00A3748B">
        <w:rPr>
          <w:i/>
          <w:iCs/>
          <w:szCs w:val="36"/>
        </w:rPr>
        <w:t>Notre collègue Jean-Louis Martres, professeur de Science polit</w:t>
      </w:r>
      <w:r w:rsidRPr="00A3748B">
        <w:rPr>
          <w:i/>
          <w:iCs/>
          <w:szCs w:val="36"/>
        </w:rPr>
        <w:t>i</w:t>
      </w:r>
      <w:r w:rsidRPr="00A3748B">
        <w:rPr>
          <w:i/>
          <w:iCs/>
          <w:szCs w:val="36"/>
        </w:rPr>
        <w:t>que, est décédé, jeudi, à Carbon-Blanc. Cette information concerne, entre autres, tous ceux, qui, au sein de l’Université, dont il nous a e</w:t>
      </w:r>
      <w:r w:rsidRPr="00A3748B">
        <w:rPr>
          <w:i/>
          <w:iCs/>
          <w:szCs w:val="36"/>
        </w:rPr>
        <w:t>n</w:t>
      </w:r>
      <w:r w:rsidRPr="00A3748B">
        <w:rPr>
          <w:i/>
          <w:iCs/>
          <w:szCs w:val="36"/>
        </w:rPr>
        <w:t>couragé à la perpétuer contre vents et marées, l’ont côtoyé.</w:t>
      </w:r>
    </w:p>
    <w:p w14:paraId="71537E66" w14:textId="77777777" w:rsidR="00B01930" w:rsidRPr="00A3748B" w:rsidRDefault="00B01930" w:rsidP="00B01930">
      <w:pPr>
        <w:spacing w:before="120" w:after="120"/>
        <w:jc w:val="both"/>
        <w:rPr>
          <w:i/>
          <w:iCs/>
          <w:szCs w:val="36"/>
        </w:rPr>
      </w:pPr>
      <w:r w:rsidRPr="00A3748B">
        <w:rPr>
          <w:i/>
          <w:iCs/>
          <w:szCs w:val="36"/>
        </w:rPr>
        <w:t>Tous ont admiré l’excellence de l’homme, son érudition, son o</w:t>
      </w:r>
      <w:r w:rsidRPr="00A3748B">
        <w:rPr>
          <w:i/>
          <w:iCs/>
          <w:szCs w:val="36"/>
        </w:rPr>
        <w:t>u</w:t>
      </w:r>
      <w:r w:rsidRPr="00A3748B">
        <w:rPr>
          <w:i/>
          <w:iCs/>
          <w:szCs w:val="36"/>
        </w:rPr>
        <w:t>verture d’esprit, sa générosité et l’importance qu’il accorda à « l’intelligence de l’intelligence ». Cela demanda à chacun de ceux qui l’ont apprécié, un dépa</w:t>
      </w:r>
      <w:r w:rsidRPr="00A3748B">
        <w:rPr>
          <w:i/>
          <w:iCs/>
          <w:szCs w:val="36"/>
        </w:rPr>
        <w:t>s</w:t>
      </w:r>
      <w:r w:rsidRPr="00A3748B">
        <w:rPr>
          <w:i/>
          <w:iCs/>
          <w:szCs w:val="36"/>
        </w:rPr>
        <w:t>sement de lui-même. Près de quatre-vingts docteurs de thèses, des milliers d’étudiants en relations inte</w:t>
      </w:r>
      <w:r w:rsidRPr="00A3748B">
        <w:rPr>
          <w:i/>
          <w:iCs/>
          <w:szCs w:val="36"/>
        </w:rPr>
        <w:t>r</w:t>
      </w:r>
      <w:r w:rsidRPr="00A3748B">
        <w:rPr>
          <w:i/>
          <w:iCs/>
          <w:szCs w:val="36"/>
        </w:rPr>
        <w:t>nationales ou en histoire des idées politiques, de l’ENA à l’Institut, et surtout au sein d’une Université dont il a défendu à tout prix la libe</w:t>
      </w:r>
      <w:r w:rsidRPr="00A3748B">
        <w:rPr>
          <w:i/>
          <w:iCs/>
          <w:szCs w:val="36"/>
        </w:rPr>
        <w:t>r</w:t>
      </w:r>
      <w:r w:rsidRPr="00A3748B">
        <w:rPr>
          <w:i/>
          <w:iCs/>
          <w:szCs w:val="36"/>
        </w:rPr>
        <w:t>té. Tous ont admiré sa « pédagogie » sur tous les sujets, de l’Islam à la Pensée ch</w:t>
      </w:r>
      <w:r w:rsidRPr="00A3748B">
        <w:rPr>
          <w:i/>
          <w:iCs/>
          <w:szCs w:val="36"/>
        </w:rPr>
        <w:t>i</w:t>
      </w:r>
      <w:r w:rsidRPr="00A3748B">
        <w:rPr>
          <w:i/>
          <w:iCs/>
          <w:szCs w:val="36"/>
        </w:rPr>
        <w:t>noise, en passant évidemment par les grands courants des Idées occ</w:t>
      </w:r>
      <w:r w:rsidRPr="00A3748B">
        <w:rPr>
          <w:i/>
          <w:iCs/>
          <w:szCs w:val="36"/>
        </w:rPr>
        <w:t>i</w:t>
      </w:r>
      <w:r w:rsidRPr="00A3748B">
        <w:rPr>
          <w:i/>
          <w:iCs/>
          <w:szCs w:val="36"/>
        </w:rPr>
        <w:t>dentales classiques.</w:t>
      </w:r>
    </w:p>
    <w:p w14:paraId="2B24F363" w14:textId="77777777" w:rsidR="00B01930" w:rsidRPr="00A3748B" w:rsidRDefault="00B01930" w:rsidP="00B01930">
      <w:pPr>
        <w:spacing w:before="120" w:after="120"/>
        <w:jc w:val="both"/>
        <w:rPr>
          <w:i/>
          <w:iCs/>
          <w:szCs w:val="36"/>
        </w:rPr>
      </w:pPr>
      <w:r w:rsidRPr="00A3748B">
        <w:rPr>
          <w:i/>
          <w:iCs/>
          <w:szCs w:val="36"/>
        </w:rPr>
        <w:t>Mais Jean-Louis ne s’est point contenté de lire des livres, de « parler » – ce que fait l’Université depuis l’Antiquité. Il s’est aussi engagé dans des combats au sein de la société civile. Membre du Conseil économique et Social d’Aquitaine, il a défendu la Forêt et le Développement durable par anticipation, au niveau de l’Europe, pa</w:t>
      </w:r>
      <w:r w:rsidRPr="00A3748B">
        <w:rPr>
          <w:i/>
          <w:iCs/>
          <w:szCs w:val="36"/>
        </w:rPr>
        <w:t>r</w:t>
      </w:r>
      <w:r w:rsidRPr="00A3748B">
        <w:rPr>
          <w:i/>
          <w:iCs/>
          <w:szCs w:val="36"/>
        </w:rPr>
        <w:t>fois aux côtés des élus locaux et nationaux. Il était aussi impliqué dans la promotion de la paix et de la dénucléarisation dans les rel</w:t>
      </w:r>
      <w:r w:rsidRPr="00A3748B">
        <w:rPr>
          <w:i/>
          <w:iCs/>
          <w:szCs w:val="36"/>
        </w:rPr>
        <w:t>a</w:t>
      </w:r>
      <w:r w:rsidRPr="00A3748B">
        <w:rPr>
          <w:i/>
          <w:iCs/>
          <w:szCs w:val="36"/>
        </w:rPr>
        <w:t>tions i</w:t>
      </w:r>
      <w:r w:rsidRPr="00A3748B">
        <w:rPr>
          <w:i/>
          <w:iCs/>
          <w:szCs w:val="36"/>
        </w:rPr>
        <w:t>n</w:t>
      </w:r>
      <w:r w:rsidRPr="00A3748B">
        <w:rPr>
          <w:i/>
          <w:iCs/>
          <w:szCs w:val="36"/>
        </w:rPr>
        <w:t>ternationales.</w:t>
      </w:r>
    </w:p>
    <w:p w14:paraId="4399D8D5" w14:textId="77777777" w:rsidR="00B01930" w:rsidRPr="00A3748B" w:rsidRDefault="00B01930" w:rsidP="00B01930">
      <w:pPr>
        <w:spacing w:before="120" w:after="120"/>
        <w:jc w:val="both"/>
        <w:rPr>
          <w:i/>
          <w:szCs w:val="36"/>
        </w:rPr>
      </w:pPr>
      <w:r w:rsidRPr="00A3748B">
        <w:rPr>
          <w:i/>
          <w:iCs/>
          <w:szCs w:val="36"/>
        </w:rPr>
        <w:t>Adieu donc, Notre Cher Maître et notre Vieil Ami. Bonne nuit. Tu nous a a</w:t>
      </w:r>
      <w:r w:rsidRPr="00A3748B">
        <w:rPr>
          <w:i/>
          <w:iCs/>
          <w:szCs w:val="36"/>
        </w:rPr>
        <w:t>p</w:t>
      </w:r>
      <w:r w:rsidRPr="00A3748B">
        <w:rPr>
          <w:i/>
          <w:iCs/>
          <w:szCs w:val="36"/>
        </w:rPr>
        <w:t>porté à la fois « l’Eau sacrée du Gange et la Terre de l’Acropole », en nous in</w:t>
      </w:r>
      <w:r w:rsidRPr="00A3748B">
        <w:rPr>
          <w:i/>
          <w:iCs/>
          <w:szCs w:val="36"/>
        </w:rPr>
        <w:t>i</w:t>
      </w:r>
      <w:r w:rsidRPr="00A3748B">
        <w:rPr>
          <w:i/>
          <w:iCs/>
          <w:szCs w:val="36"/>
        </w:rPr>
        <w:t>tiant à l’histoire des idées politiques. Des milliers d’heures de souvenirs vie</w:t>
      </w:r>
      <w:r w:rsidRPr="00A3748B">
        <w:rPr>
          <w:i/>
          <w:iCs/>
          <w:szCs w:val="36"/>
        </w:rPr>
        <w:t>n</w:t>
      </w:r>
      <w:r w:rsidRPr="00A3748B">
        <w:rPr>
          <w:i/>
          <w:iCs/>
          <w:szCs w:val="36"/>
        </w:rPr>
        <w:t>dront à notre mémoire, car tu as projeté avec brio chacun(e) de nous vers l’universalité de la pensée, en termes humanistes… Ceux qui ont eu le bonheur de te connaître en tant que collègues, au travers du respect que tu as eu de la Chine, pe</w:t>
      </w:r>
      <w:r w:rsidRPr="00A3748B">
        <w:rPr>
          <w:i/>
          <w:iCs/>
          <w:szCs w:val="36"/>
        </w:rPr>
        <w:t>n</w:t>
      </w:r>
      <w:r w:rsidRPr="00A3748B">
        <w:rPr>
          <w:i/>
          <w:iCs/>
          <w:szCs w:val="36"/>
        </w:rPr>
        <w:t>sent, j’en suis sûr, que les drapeaux seront en berne pour t’honorer, ce soir, à la « Cité interdite</w:t>
      </w:r>
      <w:r w:rsidRPr="00A3748B">
        <w:rPr>
          <w:i/>
          <w:szCs w:val="36"/>
        </w:rPr>
        <w:t> »…</w:t>
      </w:r>
    </w:p>
    <w:p w14:paraId="0020423E" w14:textId="77777777" w:rsidR="00B01930" w:rsidRPr="00320A86" w:rsidRDefault="00B01930" w:rsidP="00B01930">
      <w:pPr>
        <w:spacing w:before="120" w:after="120"/>
        <w:ind w:left="2520"/>
        <w:jc w:val="right"/>
      </w:pPr>
      <w:r>
        <w:t xml:space="preserve">Pr. </w:t>
      </w:r>
      <w:r w:rsidRPr="00320A86">
        <w:t>M</w:t>
      </w:r>
      <w:r>
        <w:t xml:space="preserve">ichel </w:t>
      </w:r>
      <w:r w:rsidRPr="00320A86">
        <w:t>B</w:t>
      </w:r>
      <w:r>
        <w:t>ergès</w:t>
      </w:r>
    </w:p>
    <w:p w14:paraId="7099F659" w14:textId="77777777" w:rsidR="00B01930" w:rsidRDefault="00B01930" w:rsidP="00B01930">
      <w:pPr>
        <w:jc w:val="both"/>
      </w:pPr>
      <w:r>
        <w:br w:type="page"/>
      </w:r>
    </w:p>
    <w:p w14:paraId="5D8CAC84" w14:textId="77777777" w:rsidR="00B01930" w:rsidRDefault="00B01930" w:rsidP="00B01930">
      <w:pPr>
        <w:jc w:val="both"/>
      </w:pPr>
    </w:p>
    <w:p w14:paraId="78C339AA" w14:textId="77777777" w:rsidR="00B01930" w:rsidRDefault="00B01930" w:rsidP="00B01930">
      <w:pPr>
        <w:jc w:val="both"/>
      </w:pPr>
    </w:p>
    <w:p w14:paraId="7488164E" w14:textId="77777777" w:rsidR="00B01930" w:rsidRPr="00283FCC" w:rsidRDefault="00B01930" w:rsidP="00B01930">
      <w:pPr>
        <w:spacing w:after="120"/>
        <w:ind w:firstLine="0"/>
        <w:jc w:val="center"/>
        <w:rPr>
          <w:b/>
          <w:i/>
        </w:rPr>
      </w:pPr>
      <w:bookmarkStart w:id="2" w:name="Analyser_idees_pol_texte_00"/>
      <w:r>
        <w:rPr>
          <w:b/>
        </w:rPr>
        <w:t>Analyser les idées politiques</w:t>
      </w:r>
      <w:r w:rsidRPr="00283FCC">
        <w:rPr>
          <w:b/>
        </w:rPr>
        <w:t>.</w:t>
      </w:r>
      <w:r w:rsidRPr="00283FCC">
        <w:rPr>
          <w:b/>
        </w:rPr>
        <w:br/>
      </w:r>
      <w:r>
        <w:rPr>
          <w:i/>
        </w:rPr>
        <w:t>Hommages au Pr. Jean-Louis Martres</w:t>
      </w:r>
    </w:p>
    <w:p w14:paraId="23CCAFBD" w14:textId="77777777" w:rsidR="00B01930" w:rsidRDefault="00B01930" w:rsidP="00B01930">
      <w:pPr>
        <w:jc w:val="both"/>
      </w:pPr>
    </w:p>
    <w:p w14:paraId="7E7EB3CF" w14:textId="77777777" w:rsidR="00B01930" w:rsidRDefault="00B01930" w:rsidP="00B01930">
      <w:pPr>
        <w:pStyle w:val="titrechap"/>
        <w:rPr>
          <w:szCs w:val="36"/>
        </w:rPr>
      </w:pPr>
      <w:r>
        <w:t>“</w:t>
      </w:r>
      <w:r w:rsidRPr="00320A86">
        <w:t>Jean-Louis Martres, témoignage :</w:t>
      </w:r>
      <w:r>
        <w:br/>
      </w:r>
      <w:r w:rsidRPr="00320A86">
        <w:t>le ma</w:t>
      </w:r>
      <w:r w:rsidRPr="00320A86">
        <w:t>î</w:t>
      </w:r>
      <w:r w:rsidRPr="00320A86">
        <w:t>tre caché</w:t>
      </w:r>
      <w:r>
        <w:t>.”</w:t>
      </w:r>
    </w:p>
    <w:bookmarkEnd w:id="2"/>
    <w:p w14:paraId="5DC4F758" w14:textId="77777777" w:rsidR="00B01930" w:rsidRDefault="00B01930" w:rsidP="00B01930">
      <w:pPr>
        <w:jc w:val="both"/>
      </w:pPr>
    </w:p>
    <w:p w14:paraId="6851E194" w14:textId="77777777" w:rsidR="00B01930" w:rsidRDefault="00B01930" w:rsidP="00B01930">
      <w:pPr>
        <w:pStyle w:val="suite"/>
      </w:pPr>
      <w:r w:rsidRPr="00320A86">
        <w:t>Daniel Lagraula</w:t>
      </w:r>
    </w:p>
    <w:p w14:paraId="2847D936" w14:textId="77777777" w:rsidR="00B01930" w:rsidRDefault="00B01930" w:rsidP="00B01930">
      <w:pPr>
        <w:jc w:val="both"/>
      </w:pPr>
    </w:p>
    <w:p w14:paraId="6764BC6A" w14:textId="77777777" w:rsidR="00B01930" w:rsidRDefault="00B01930" w:rsidP="00B01930">
      <w:pPr>
        <w:jc w:val="both"/>
      </w:pPr>
    </w:p>
    <w:p w14:paraId="1E9D1982" w14:textId="77777777" w:rsidR="00B01930" w:rsidRDefault="00B01930" w:rsidP="00B01930">
      <w:pPr>
        <w:jc w:val="both"/>
      </w:pPr>
    </w:p>
    <w:p w14:paraId="0BE85264" w14:textId="77777777" w:rsidR="00B01930" w:rsidRDefault="00B01930" w:rsidP="00B01930">
      <w:pPr>
        <w:jc w:val="both"/>
      </w:pPr>
    </w:p>
    <w:p w14:paraId="6AAD88B6"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1E62ABC6" w14:textId="77777777" w:rsidR="00B01930" w:rsidRPr="00320A86" w:rsidRDefault="00B01930" w:rsidP="00B01930">
      <w:pPr>
        <w:spacing w:before="120" w:after="120"/>
        <w:jc w:val="both"/>
        <w:rPr>
          <w:rFonts w:cs="Arial"/>
        </w:rPr>
      </w:pPr>
      <w:r w:rsidRPr="00320A86">
        <w:rPr>
          <w:rFonts w:cs="Arial"/>
        </w:rPr>
        <w:t>Pourquoi « le Maître caché », après tant d’éloges officiels larg</w:t>
      </w:r>
      <w:r w:rsidRPr="00320A86">
        <w:rPr>
          <w:rFonts w:cs="Arial"/>
        </w:rPr>
        <w:t>e</w:t>
      </w:r>
      <w:r w:rsidRPr="00320A86">
        <w:rPr>
          <w:rFonts w:cs="Arial"/>
        </w:rPr>
        <w:t>ment mér</w:t>
      </w:r>
      <w:r w:rsidRPr="00320A86">
        <w:rPr>
          <w:rFonts w:cs="Arial"/>
        </w:rPr>
        <w:t>i</w:t>
      </w:r>
      <w:r w:rsidRPr="00320A86">
        <w:rPr>
          <w:rFonts w:cs="Arial"/>
        </w:rPr>
        <w:t>tés ? Parce que récemment encore, « </w:t>
      </w:r>
      <w:r w:rsidRPr="00C83DB1">
        <w:rPr>
          <w:rFonts w:cs="Arial"/>
          <w:i/>
        </w:rPr>
        <w:t>il professore </w:t>
      </w:r>
      <w:r w:rsidRPr="00320A86">
        <w:rPr>
          <w:rFonts w:cs="Arial"/>
        </w:rPr>
        <w:t>», bien las, très affecté depuis la disparition d’un être cher, me confiait encore son incompréhension devant le silence, ou l’hostilité, qui marquaient toute sa carrière universitaire, y compris depuis sa retraite. Sentiment d’autant plus ressenti qu’il m’avouait qu’enseigner lui manquait.</w:t>
      </w:r>
      <w:r w:rsidRPr="00320A86">
        <w:rPr>
          <w:rFonts w:eastAsia="MS Mincho" w:cs="MS Mincho"/>
        </w:rPr>
        <w:t xml:space="preserve">  </w:t>
      </w:r>
      <w:r w:rsidRPr="00320A86">
        <w:rPr>
          <w:rFonts w:cs="Arial"/>
        </w:rPr>
        <w:t>Au terme d’une relation originale et extraordinaire commencée en 1973 (!), ce qui reste présent, c’est un enseignant peu commun, fascinant, déro</w:t>
      </w:r>
      <w:r w:rsidRPr="00320A86">
        <w:rPr>
          <w:rFonts w:cs="Arial"/>
        </w:rPr>
        <w:t>u</w:t>
      </w:r>
      <w:r w:rsidRPr="00320A86">
        <w:rPr>
          <w:rFonts w:cs="Arial"/>
        </w:rPr>
        <w:t>lant d’une voix très douce, enveloppante, le fil d’une réflexion d’une originalité étonnante, brillante, et conduisant au plus haut degré de l’intelligence et de la culture.</w:t>
      </w:r>
    </w:p>
    <w:p w14:paraId="4A6495DC" w14:textId="77777777" w:rsidR="00B01930" w:rsidRPr="00320A86" w:rsidRDefault="00B01930" w:rsidP="00B01930">
      <w:pPr>
        <w:spacing w:before="120" w:after="120"/>
        <w:jc w:val="both"/>
        <w:rPr>
          <w:rFonts w:eastAsia="MS Mincho" w:cs="MS Mincho"/>
        </w:rPr>
      </w:pPr>
      <w:r w:rsidRPr="00320A86">
        <w:rPr>
          <w:rFonts w:cs="Arial"/>
        </w:rPr>
        <w:t>Pourtant, lorsqu’il me reconduisait chez moi dans son véhicule (pour m’éviter l’autobus depuis le Campus), et que je lui faisais o</w:t>
      </w:r>
      <w:r w:rsidRPr="00320A86">
        <w:rPr>
          <w:rFonts w:cs="Arial"/>
        </w:rPr>
        <w:t>b</w:t>
      </w:r>
      <w:r w:rsidRPr="00320A86">
        <w:rPr>
          <w:rFonts w:cs="Arial"/>
        </w:rPr>
        <w:t>server que tel point de son cours du matin me semblait à parfaire, ou à discuter, il me répondait, avec une jubilation toute en retenue : « vous avez raison, je l’ai inventé ce m</w:t>
      </w:r>
      <w:r w:rsidRPr="00320A86">
        <w:rPr>
          <w:rFonts w:cs="Arial"/>
        </w:rPr>
        <w:t>a</w:t>
      </w:r>
      <w:r w:rsidRPr="00320A86">
        <w:rPr>
          <w:rFonts w:cs="Arial"/>
        </w:rPr>
        <w:t xml:space="preserve">tin ». </w:t>
      </w:r>
      <w:r w:rsidRPr="00320A86">
        <w:rPr>
          <w:rFonts w:eastAsia="MS Mincho" w:cs="MS Mincho"/>
        </w:rPr>
        <w:t> </w:t>
      </w:r>
      <w:r w:rsidRPr="00320A86">
        <w:rPr>
          <w:rFonts w:cs="Arial"/>
        </w:rPr>
        <w:t>Dès 1975, il me donnait en toute confiance, toutes ses notes de cours d’histoire des idées polit</w:t>
      </w:r>
      <w:r w:rsidRPr="00320A86">
        <w:rPr>
          <w:rFonts w:cs="Arial"/>
        </w:rPr>
        <w:t>i</w:t>
      </w:r>
      <w:r w:rsidRPr="00320A86">
        <w:rPr>
          <w:rFonts w:cs="Arial"/>
        </w:rPr>
        <w:t>ques, pour les lui mettre en forme, ce que je fis (alors qu’il n’avait j</w:t>
      </w:r>
      <w:r w:rsidRPr="00320A86">
        <w:rPr>
          <w:rFonts w:cs="Arial"/>
        </w:rPr>
        <w:t>a</w:t>
      </w:r>
      <w:r w:rsidRPr="00320A86">
        <w:rPr>
          <w:rFonts w:cs="Arial"/>
        </w:rPr>
        <w:t>mais autorisé quiconque à les lire).</w:t>
      </w:r>
      <w:r w:rsidRPr="00320A86">
        <w:rPr>
          <w:rFonts w:eastAsia="MS Mincho" w:cs="MS Mincho"/>
        </w:rPr>
        <w:t> </w:t>
      </w:r>
      <w:r w:rsidRPr="00320A86">
        <w:rPr>
          <w:rFonts w:cs="Arial"/>
        </w:rPr>
        <w:t>Depuis, je n’eus de cesse de l’implorer de publier. Certes, sa rencontre avec la pensée antique ch</w:t>
      </w:r>
      <w:r w:rsidRPr="00320A86">
        <w:rPr>
          <w:rFonts w:cs="Arial"/>
        </w:rPr>
        <w:t>i</w:t>
      </w:r>
      <w:r w:rsidRPr="00320A86">
        <w:rPr>
          <w:rFonts w:cs="Arial"/>
        </w:rPr>
        <w:t xml:space="preserve">noise l’amena à repousser sans cesse ce projet pour produire son </w:t>
      </w:r>
      <w:r w:rsidRPr="00320A86">
        <w:rPr>
          <w:rFonts w:cs="Arial"/>
        </w:rPr>
        <w:lastRenderedPageBreak/>
        <w:t>« opus magnum » ; certes, ici et là, il publia des articles tant en phil</w:t>
      </w:r>
      <w:r w:rsidRPr="00320A86">
        <w:rPr>
          <w:rFonts w:cs="Arial"/>
        </w:rPr>
        <w:t>o</w:t>
      </w:r>
      <w:r w:rsidRPr="00320A86">
        <w:rPr>
          <w:rFonts w:cs="Arial"/>
        </w:rPr>
        <w:t xml:space="preserve">sophie politique (ex. la préface à </w:t>
      </w:r>
      <w:hyperlink r:id="rId18" w:history="1">
        <w:r w:rsidRPr="00C83DB1">
          <w:rPr>
            <w:rStyle w:val="Hyperlien"/>
            <w:rFonts w:cs="Arial"/>
            <w:i/>
          </w:rPr>
          <w:t>L’Art de la politique chez les légistes chinois de son étudiant de Bordeaux</w:t>
        </w:r>
      </w:hyperlink>
      <w:r w:rsidRPr="00320A86">
        <w:rPr>
          <w:rFonts w:cs="Arial"/>
        </w:rPr>
        <w:t>, Xu Zhen Zhou, 1995, qu’il me confia pour relecture avant publication, qui représe</w:t>
      </w:r>
      <w:r w:rsidRPr="00320A86">
        <w:rPr>
          <w:rFonts w:cs="Arial"/>
        </w:rPr>
        <w:t>n</w:t>
      </w:r>
      <w:r w:rsidRPr="00320A86">
        <w:rPr>
          <w:rFonts w:cs="Arial"/>
        </w:rPr>
        <w:t>ta la quintessence de sa pensée), qu’en relations internationales, où sa capacité intelle</w:t>
      </w:r>
      <w:r w:rsidRPr="00320A86">
        <w:rPr>
          <w:rFonts w:cs="Arial"/>
        </w:rPr>
        <w:t>c</w:t>
      </w:r>
      <w:r w:rsidRPr="00320A86">
        <w:rPr>
          <w:rFonts w:cs="Arial"/>
        </w:rPr>
        <w:t>tuelle et son sens de la pédagogie sont inégalés. Mais il se heurta su</w:t>
      </w:r>
      <w:r w:rsidRPr="00320A86">
        <w:rPr>
          <w:rFonts w:cs="Arial"/>
        </w:rPr>
        <w:t>r</w:t>
      </w:r>
      <w:r w:rsidRPr="00320A86">
        <w:rPr>
          <w:rFonts w:cs="Arial"/>
        </w:rPr>
        <w:t>tout à la résistance du monde universitaire, qui le considérait « comme un être étra</w:t>
      </w:r>
      <w:r w:rsidRPr="00320A86">
        <w:rPr>
          <w:rFonts w:cs="Arial"/>
        </w:rPr>
        <w:t>n</w:t>
      </w:r>
      <w:r w:rsidRPr="00320A86">
        <w:rPr>
          <w:rFonts w:cs="Arial"/>
        </w:rPr>
        <w:t>ge », si ce n’est sentant le soufre !</w:t>
      </w:r>
    </w:p>
    <w:p w14:paraId="0FD5E4FA" w14:textId="77777777" w:rsidR="00B01930" w:rsidRPr="00320A86" w:rsidRDefault="00B01930" w:rsidP="00B01930">
      <w:pPr>
        <w:spacing w:before="120" w:after="120"/>
        <w:jc w:val="both"/>
        <w:rPr>
          <w:rFonts w:eastAsia="MS Mincho" w:cs="MS Mincho"/>
        </w:rPr>
      </w:pPr>
      <w:r w:rsidRPr="00320A86">
        <w:rPr>
          <w:rFonts w:cs="Arial"/>
        </w:rPr>
        <w:t xml:space="preserve">Cet été 2012, il me reçut chez lui pour m’offrir, enfin, son opus </w:t>
      </w:r>
      <w:r w:rsidRPr="00C83DB1">
        <w:rPr>
          <w:rFonts w:cs="Arial"/>
          <w:i/>
        </w:rPr>
        <w:t>Les Grilles de la pensée politique</w:t>
      </w:r>
      <w:r w:rsidRPr="00320A86">
        <w:rPr>
          <w:rFonts w:cs="Arial"/>
        </w:rPr>
        <w:t>, mais édité – comme il me l’avait a</w:t>
      </w:r>
      <w:r w:rsidRPr="00320A86">
        <w:rPr>
          <w:rFonts w:cs="Arial"/>
        </w:rPr>
        <w:t>n</w:t>
      </w:r>
      <w:r w:rsidRPr="00320A86">
        <w:rPr>
          <w:rFonts w:cs="Arial"/>
        </w:rPr>
        <w:t>noncé en 2011 – par… China Century Press Group c°, de Hong Kong ! Car aucun éditeur fra</w:t>
      </w:r>
      <w:r w:rsidRPr="00320A86">
        <w:rPr>
          <w:rFonts w:cs="Arial"/>
        </w:rPr>
        <w:t>n</w:t>
      </w:r>
      <w:r w:rsidRPr="00320A86">
        <w:rPr>
          <w:rFonts w:cs="Arial"/>
        </w:rPr>
        <w:t>çais ne voulait publier son œuvre en un seul volume.</w:t>
      </w:r>
      <w:r>
        <w:rPr>
          <w:rFonts w:eastAsia="MS Mincho" w:cs="MS Mincho"/>
        </w:rPr>
        <w:t xml:space="preserve"> </w:t>
      </w:r>
      <w:r w:rsidRPr="00320A86">
        <w:rPr>
          <w:rFonts w:cs="Arial"/>
        </w:rPr>
        <w:t>En dépit d’une dédicace tout à son image, mais hélas prémonitoire sur son avenir, je lui promis de le lire sans délai et – comme il le savait – avec le goût du commentaire. Bien m’en a pris, car hélas, je fus obligé de l’avertir très vite que, compte tenu de no</w:t>
      </w:r>
      <w:r w:rsidRPr="00320A86">
        <w:rPr>
          <w:rFonts w:cs="Arial"/>
        </w:rPr>
        <w:t>m</w:t>
      </w:r>
      <w:r w:rsidRPr="00320A86">
        <w:rPr>
          <w:rFonts w:cs="Arial"/>
        </w:rPr>
        <w:t>breuses erreurs d’impression, mais aussi de fond, il ne fallait pas me</w:t>
      </w:r>
      <w:r w:rsidRPr="00320A86">
        <w:rPr>
          <w:rFonts w:cs="Arial"/>
        </w:rPr>
        <w:t>t</w:t>
      </w:r>
      <w:r w:rsidRPr="00320A86">
        <w:rPr>
          <w:rFonts w:cs="Arial"/>
        </w:rPr>
        <w:t>tre en vente le livre pour l’instant, sous peine de voir ses détracteurs faire feu de tout bois. C’est sans h</w:t>
      </w:r>
      <w:r w:rsidRPr="00320A86">
        <w:rPr>
          <w:rFonts w:cs="Arial"/>
        </w:rPr>
        <w:t>é</w:t>
      </w:r>
      <w:r w:rsidRPr="00320A86">
        <w:rPr>
          <w:rFonts w:cs="Arial"/>
        </w:rPr>
        <w:t>siter qu’il acquiesça. Il prit mes notes et partit pour Pékin afin de faire retirer une édition. Gageons que tous ceux qui lui ont rendu hommage a</w:t>
      </w:r>
      <w:r w:rsidRPr="00320A86">
        <w:rPr>
          <w:rFonts w:cs="Arial"/>
        </w:rPr>
        <w:t>u</w:t>
      </w:r>
      <w:r w:rsidRPr="00320A86">
        <w:rPr>
          <w:rFonts w:cs="Arial"/>
        </w:rPr>
        <w:t>jourd’hui auront à cœur de tout faire pour que ce livre magistral, d’une écriture rare en ce doma</w:t>
      </w:r>
      <w:r w:rsidRPr="00320A86">
        <w:rPr>
          <w:rFonts w:cs="Arial"/>
        </w:rPr>
        <w:t>i</w:t>
      </w:r>
      <w:r w:rsidRPr="00320A86">
        <w:rPr>
          <w:rFonts w:cs="Arial"/>
        </w:rPr>
        <w:t>ne avec des phrases d’une réelle beauté, soit publié rapid</w:t>
      </w:r>
      <w:r w:rsidRPr="00320A86">
        <w:rPr>
          <w:rFonts w:cs="Arial"/>
        </w:rPr>
        <w:t>e</w:t>
      </w:r>
      <w:r w:rsidRPr="00320A86">
        <w:rPr>
          <w:rFonts w:cs="Arial"/>
        </w:rPr>
        <w:t>ment.</w:t>
      </w:r>
      <w:r>
        <w:rPr>
          <w:rFonts w:eastAsia="MS Mincho" w:cs="MS Mincho"/>
        </w:rPr>
        <w:t xml:space="preserve"> </w:t>
      </w:r>
      <w:r w:rsidRPr="00320A86">
        <w:rPr>
          <w:rFonts w:cs="Arial"/>
        </w:rPr>
        <w:t>Jean-Louis Martres fut, toutes proportions gardées, ce qu’était Léo Strauss aux États-Unis pour nombre d’étudiants. À la différence notable que grâce à la subt</w:t>
      </w:r>
      <w:r w:rsidRPr="00320A86">
        <w:rPr>
          <w:rFonts w:cs="Arial"/>
        </w:rPr>
        <w:t>i</w:t>
      </w:r>
      <w:r w:rsidRPr="00320A86">
        <w:rPr>
          <w:rFonts w:cs="Arial"/>
        </w:rPr>
        <w:t>lité de sa pensée, il ne pouvait y avoir de dogmatisme possible ni de sect</w:t>
      </w:r>
      <w:r w:rsidRPr="00320A86">
        <w:rPr>
          <w:rFonts w:cs="Arial"/>
        </w:rPr>
        <w:t>a</w:t>
      </w:r>
      <w:r w:rsidRPr="00320A86">
        <w:rPr>
          <w:rFonts w:cs="Arial"/>
        </w:rPr>
        <w:t xml:space="preserve">teurs. </w:t>
      </w:r>
      <w:r w:rsidRPr="00320A86">
        <w:rPr>
          <w:rFonts w:eastAsia="MS Mincho" w:cs="MS Mincho"/>
        </w:rPr>
        <w:t> </w:t>
      </w:r>
      <w:r w:rsidRPr="00320A86">
        <w:rPr>
          <w:rFonts w:cs="Arial"/>
        </w:rPr>
        <w:t xml:space="preserve">Il était un maître qui laissait chacun suivre sa voie, poussant </w:t>
      </w:r>
      <w:r w:rsidRPr="00C83DB1">
        <w:rPr>
          <w:rFonts w:cs="Arial"/>
          <w:i/>
        </w:rPr>
        <w:t>de facto</w:t>
      </w:r>
      <w:r w:rsidRPr="00320A86">
        <w:rPr>
          <w:rFonts w:cs="Arial"/>
        </w:rPr>
        <w:t xml:space="preserve"> à se cult</w:t>
      </w:r>
      <w:r w:rsidRPr="00320A86">
        <w:rPr>
          <w:rFonts w:cs="Arial"/>
        </w:rPr>
        <w:t>i</w:t>
      </w:r>
      <w:r w:rsidRPr="00320A86">
        <w:rPr>
          <w:rFonts w:cs="Arial"/>
        </w:rPr>
        <w:t xml:space="preserve">ver, à savoir non pas quoi penser, mais penser tout simplement. </w:t>
      </w:r>
    </w:p>
    <w:p w14:paraId="1BBE0C4F" w14:textId="77777777" w:rsidR="00B01930" w:rsidRPr="00320A86" w:rsidRDefault="00B01930" w:rsidP="00B01930">
      <w:pPr>
        <w:spacing w:before="120" w:after="120"/>
        <w:jc w:val="both"/>
        <w:rPr>
          <w:rFonts w:cs="Arial"/>
        </w:rPr>
      </w:pPr>
      <w:r w:rsidRPr="00320A86">
        <w:rPr>
          <w:rFonts w:cs="Arial"/>
        </w:rPr>
        <w:t xml:space="preserve">Il fut </w:t>
      </w:r>
      <w:r w:rsidRPr="00C83DB1">
        <w:rPr>
          <w:rFonts w:cs="Arial"/>
          <w:i/>
        </w:rPr>
        <w:t>un maître caché</w:t>
      </w:r>
      <w:r w:rsidRPr="00320A86">
        <w:rPr>
          <w:rFonts w:cs="Arial"/>
        </w:rPr>
        <w:t>, tissant, par sa personnalité, son intelligence peu co</w:t>
      </w:r>
      <w:r w:rsidRPr="00320A86">
        <w:rPr>
          <w:rFonts w:cs="Arial"/>
        </w:rPr>
        <w:t>m</w:t>
      </w:r>
      <w:r w:rsidRPr="00320A86">
        <w:rPr>
          <w:rFonts w:cs="Arial"/>
        </w:rPr>
        <w:t>mune, et son sens aigu de la vanité des choses, et donc de sa propre œuvre, des liens invisibles qui défiaient le temps. C’est au titre de quarante ans de cette lia</w:t>
      </w:r>
      <w:r w:rsidRPr="00320A86">
        <w:rPr>
          <w:rFonts w:cs="Arial"/>
        </w:rPr>
        <w:t>i</w:t>
      </w:r>
      <w:r w:rsidRPr="00320A86">
        <w:rPr>
          <w:rFonts w:cs="Arial"/>
        </w:rPr>
        <w:t>son singulière qui fût la mienne avec lui que j’écris ce témoignage. Les Dieux de l’Olympe, ou le Dragon c</w:t>
      </w:r>
      <w:r w:rsidRPr="00320A86">
        <w:rPr>
          <w:rFonts w:cs="Arial"/>
        </w:rPr>
        <w:t>é</w:t>
      </w:r>
      <w:r w:rsidRPr="00320A86">
        <w:rPr>
          <w:rFonts w:cs="Arial"/>
        </w:rPr>
        <w:t>leste partagent maintenant le privilège de sa présence.</w:t>
      </w:r>
    </w:p>
    <w:p w14:paraId="64EB0318" w14:textId="77777777" w:rsidR="00B01930" w:rsidRPr="00320A86" w:rsidRDefault="00B01930" w:rsidP="00B01930">
      <w:pPr>
        <w:spacing w:before="120" w:after="120"/>
        <w:jc w:val="both"/>
      </w:pPr>
      <w:r w:rsidRPr="00320A86">
        <w:t>Un point important, encore. Les vibrants hommages rendus à l’être exce</w:t>
      </w:r>
      <w:r w:rsidRPr="00320A86">
        <w:t>p</w:t>
      </w:r>
      <w:r w:rsidRPr="00320A86">
        <w:t xml:space="preserve">tionnel que fut Hervé Coutau-Bégarie – lors d’une journée d’études à l’École militaire le 22 février 2013 sous l’égide de </w:t>
      </w:r>
      <w:r w:rsidRPr="00320A86">
        <w:lastRenderedPageBreak/>
        <w:t>l’« Institut de Stratégie comparée » (</w:t>
      </w:r>
      <w:r w:rsidRPr="00320A86">
        <w:rPr>
          <w:smallCaps/>
        </w:rPr>
        <w:t>Isc</w:t>
      </w:r>
      <w:r w:rsidRPr="00320A86">
        <w:t>) – publiés par l’</w:t>
      </w:r>
      <w:r w:rsidRPr="00320A86">
        <w:rPr>
          <w:smallCaps/>
        </w:rPr>
        <w:t>Isc</w:t>
      </w:r>
      <w:r w:rsidRPr="00320A86">
        <w:t xml:space="preserve"> en 2015 : « Hervé Coutau-Bégarie, 1956-2012, L’homme, l’historien, le strat</w:t>
      </w:r>
      <w:r w:rsidRPr="00320A86">
        <w:t>é</w:t>
      </w:r>
      <w:r w:rsidRPr="00320A86">
        <w:t>giste », mentionnent, dans certaines contributions, le nom de Jean-Louis Martres, sans autres précisions que, par exemple, les mots m</w:t>
      </w:r>
      <w:r w:rsidRPr="00320A86">
        <w:t>ê</w:t>
      </w:r>
      <w:r w:rsidRPr="00320A86">
        <w:t>mes d’Hervé Coutau-Bégarie qualifiant ce dernier de « professeur e</w:t>
      </w:r>
      <w:r w:rsidRPr="00320A86">
        <w:t>x</w:t>
      </w:r>
      <w:r w:rsidRPr="00320A86">
        <w:t>ceptionnel</w:t>
      </w:r>
      <w:r>
        <w:t> </w:t>
      </w:r>
      <w:r>
        <w:rPr>
          <w:rStyle w:val="Appelnotedebasdep"/>
        </w:rPr>
        <w:footnoteReference w:id="1"/>
      </w:r>
      <w:r w:rsidRPr="00320A86">
        <w:t> ». On pourrait y ajouter ce qu’il disait lors d’un entr</w:t>
      </w:r>
      <w:r w:rsidRPr="00320A86">
        <w:t>e</w:t>
      </w:r>
      <w:r w:rsidRPr="00320A86">
        <w:t xml:space="preserve">tien publié par </w:t>
      </w:r>
      <w:r w:rsidRPr="00C83DB1">
        <w:rPr>
          <w:i/>
        </w:rPr>
        <w:t>La Nouvelle Revue d’Histoire </w:t>
      </w:r>
      <w:r w:rsidRPr="00320A86">
        <w:t>: « Il allait par la suite dev</w:t>
      </w:r>
      <w:r w:rsidRPr="00320A86">
        <w:t>e</w:t>
      </w:r>
      <w:r w:rsidRPr="00320A86">
        <w:t>nir mon maître</w:t>
      </w:r>
      <w:r>
        <w:t> </w:t>
      </w:r>
      <w:r>
        <w:rPr>
          <w:rStyle w:val="Appelnotedebasdep"/>
        </w:rPr>
        <w:footnoteReference w:id="2"/>
      </w:r>
      <w:r w:rsidRPr="00320A86">
        <w:t> ».</w:t>
      </w:r>
    </w:p>
    <w:p w14:paraId="26E2AC1A" w14:textId="77777777" w:rsidR="00B01930" w:rsidRPr="00320A86" w:rsidRDefault="00B01930" w:rsidP="00B01930">
      <w:pPr>
        <w:spacing w:before="120" w:after="120"/>
        <w:jc w:val="both"/>
      </w:pPr>
      <w:r w:rsidRPr="00320A86">
        <w:t>Ce n’est pas amoindrir l’intelligence exceptionnelle, le savoir e</w:t>
      </w:r>
      <w:r w:rsidRPr="00320A86">
        <w:t>n</w:t>
      </w:r>
      <w:r w:rsidRPr="00320A86">
        <w:t>cyclopédique – hors du commun – servis par une mémoire phénom</w:t>
      </w:r>
      <w:r w:rsidRPr="00320A86">
        <w:t>é</w:t>
      </w:r>
      <w:r w:rsidRPr="00320A86">
        <w:t>nale que de souligner que Jean Louis Martres fût un acteur clef dans le parcours d’Hervé Coutau-Bégarie, puisque en fait, c’est lui qui dirigea sa grande thèse !</w:t>
      </w:r>
    </w:p>
    <w:p w14:paraId="60F12900" w14:textId="77777777" w:rsidR="00B01930" w:rsidRPr="00320A86" w:rsidRDefault="00B01930" w:rsidP="00B01930">
      <w:pPr>
        <w:spacing w:before="120" w:after="120"/>
        <w:jc w:val="both"/>
      </w:pPr>
      <w:r w:rsidRPr="00320A86">
        <w:t>Lorsque Georges-Henri Soutou, à propos de celle-ci (1980 – publiée [1</w:t>
      </w:r>
      <w:r w:rsidRPr="00320A86">
        <w:rPr>
          <w:vertAlign w:val="superscript"/>
        </w:rPr>
        <w:t>ère</w:t>
      </w:r>
      <w:r w:rsidRPr="00320A86">
        <w:t xml:space="preserve"> éd</w:t>
      </w:r>
      <w:r w:rsidRPr="00320A86">
        <w:t>i</w:t>
      </w:r>
      <w:r w:rsidRPr="00320A86">
        <w:t xml:space="preserve">tion] en 1983 aux éditions Économica sous le titre : </w:t>
      </w:r>
      <w:r w:rsidRPr="00C83DB1">
        <w:rPr>
          <w:i/>
        </w:rPr>
        <w:t>Nouvelle Histoire, stratégie et idéologie des nouveaux historiens</w:t>
      </w:r>
      <w:r w:rsidRPr="00320A86">
        <w:t>), écrit : « On notera le sous titre “stratégie et idéologie”</w:t>
      </w:r>
      <w:r>
        <w:t> </w:t>
      </w:r>
      <w:r>
        <w:rPr>
          <w:rStyle w:val="Appelnotedebasdep"/>
        </w:rPr>
        <w:footnoteReference w:id="3"/>
      </w:r>
      <w:r w:rsidRPr="00320A86">
        <w:t>, qui était pour l’époque un angle d’attaque tout à fait original, et percutant</w:t>
      </w:r>
      <w:r>
        <w:t> </w:t>
      </w:r>
      <w:r>
        <w:rPr>
          <w:rStyle w:val="Appelnotedebasdep"/>
        </w:rPr>
        <w:footnoteReference w:id="4"/>
      </w:r>
      <w:r w:rsidRPr="00320A86">
        <w:t> » ; ou lorsque Jean Pierre Poussou souligne qu’Hervé Coutau-Bégarie « … eût l’idée d’étudier sous cet angle [la stratégie] la manière dont Fe</w:t>
      </w:r>
      <w:r w:rsidRPr="00320A86">
        <w:t>r</w:t>
      </w:r>
      <w:r w:rsidRPr="00320A86">
        <w:t>nand Braudel et son entourage avaient crée, puis développé l’École des Ha</w:t>
      </w:r>
      <w:r w:rsidRPr="00320A86">
        <w:t>u</w:t>
      </w:r>
      <w:r w:rsidRPr="00320A86">
        <w:t>tes Études en Sciences Sociales</w:t>
      </w:r>
      <w:r>
        <w:t> </w:t>
      </w:r>
      <w:r>
        <w:rPr>
          <w:rStyle w:val="Appelnotedebasdep"/>
        </w:rPr>
        <w:footnoteReference w:id="5"/>
      </w:r>
      <w:r w:rsidRPr="00320A86">
        <w:t> », ils ne savent peut être pas que Jean Louis Martres était l’inspirateur de ce travail et surtout de cette approche originale !</w:t>
      </w:r>
    </w:p>
    <w:p w14:paraId="1EBED0C0" w14:textId="77777777" w:rsidR="00B01930" w:rsidRPr="00320A86" w:rsidRDefault="00B01930" w:rsidP="00B01930">
      <w:pPr>
        <w:spacing w:before="120" w:after="120"/>
        <w:jc w:val="both"/>
      </w:pPr>
      <w:r w:rsidRPr="00320A86">
        <w:t>De même, si Hervé Coutau-Bégarie devint Le Grand maître de l’histoire et de la stratégie navale française – qui ouvrirent la voie au stratégiste hors pair qu’il fût –, c’est parce que, comme il le dit lui-</w:t>
      </w:r>
      <w:r w:rsidRPr="00320A86">
        <w:lastRenderedPageBreak/>
        <w:t>même, c’est avec Jean Louis Ma</w:t>
      </w:r>
      <w:r w:rsidRPr="00320A86">
        <w:t>r</w:t>
      </w:r>
      <w:r w:rsidRPr="00320A86">
        <w:t>tres, théoricien de la Puissance, qu’il débuta dans le champ des études milita</w:t>
      </w:r>
      <w:r w:rsidRPr="00320A86">
        <w:t>i</w:t>
      </w:r>
      <w:r w:rsidRPr="00320A86">
        <w:t>res</w:t>
      </w:r>
      <w:r>
        <w:t> </w:t>
      </w:r>
      <w:r>
        <w:rPr>
          <w:rStyle w:val="Appelnotedebasdep"/>
        </w:rPr>
        <w:footnoteReference w:id="6"/>
      </w:r>
      <w:r w:rsidRPr="00320A86">
        <w:t>.</w:t>
      </w:r>
    </w:p>
    <w:p w14:paraId="195B10DF" w14:textId="77777777" w:rsidR="00B01930" w:rsidRPr="00320A86" w:rsidRDefault="00B01930" w:rsidP="00B01930">
      <w:pPr>
        <w:spacing w:before="120" w:after="120"/>
        <w:jc w:val="both"/>
      </w:pPr>
      <w:r w:rsidRPr="00320A86">
        <w:t>Nous pouvons même préciser que ce dernier nous confia, en son temps, qu’il conseillait à son docteur, pour « émerger » dans le sérail universitaire et de la recherche, de faire fructifier ses talents dans « une niche intellectuelle », un d</w:t>
      </w:r>
      <w:r w:rsidRPr="00320A86">
        <w:t>o</w:t>
      </w:r>
      <w:r w:rsidRPr="00320A86">
        <w:t>maine en friche, et de publier un maximum d’opus. Et il se désolait que son s</w:t>
      </w:r>
      <w:r w:rsidRPr="00320A86">
        <w:t>a</w:t>
      </w:r>
      <w:r w:rsidRPr="00320A86">
        <w:t>voir hors du commun et son travail ne soient aussi vite reconnus… Jean Louis Martres me fît part de son extrême tristesse face à la mort inéluctable qui empo</w:t>
      </w:r>
      <w:r w:rsidRPr="00320A86">
        <w:t>r</w:t>
      </w:r>
      <w:r w:rsidRPr="00320A86">
        <w:t>tera celui qui restait pour lui un être d’une exceptionnelle intelligence et doté d’une capacité d’apprendre surnaturelle. Il me disait à son sujet : « Je ne sais pas comment il fait, tout ce dont il parle, il l’a lu »…</w:t>
      </w:r>
    </w:p>
    <w:p w14:paraId="55A2FA8D" w14:textId="77777777" w:rsidR="00B01930" w:rsidRPr="00320A86" w:rsidRDefault="00B01930" w:rsidP="00B01930">
      <w:pPr>
        <w:spacing w:before="120" w:after="120"/>
        <w:jc w:val="both"/>
      </w:pPr>
      <w:r w:rsidRPr="00320A86">
        <w:t>La mort les a finalement reliés à nouveau, non plus sur Terre, mais dans cette Éternité si fragile du château de carte de la vieille Univers</w:t>
      </w:r>
      <w:r w:rsidRPr="00320A86">
        <w:t>i</w:t>
      </w:r>
      <w:r w:rsidRPr="00320A86">
        <w:t>té depuis l’Antiquité.</w:t>
      </w:r>
    </w:p>
    <w:p w14:paraId="6872CE42" w14:textId="77777777" w:rsidR="00B01930" w:rsidRPr="00E07116" w:rsidRDefault="00B01930" w:rsidP="00B01930">
      <w:pPr>
        <w:jc w:val="both"/>
      </w:pPr>
    </w:p>
    <w:p w14:paraId="175FAE6B" w14:textId="77777777" w:rsidR="00B01930" w:rsidRDefault="00B01930" w:rsidP="00B01930">
      <w:r>
        <w:br w:type="page"/>
      </w:r>
    </w:p>
    <w:p w14:paraId="4CB2FCB0" w14:textId="77777777" w:rsidR="00B01930" w:rsidRPr="00E07116" w:rsidRDefault="00B01930" w:rsidP="00B01930"/>
    <w:p w14:paraId="0994C029" w14:textId="77777777" w:rsidR="00B01930" w:rsidRPr="00E07116" w:rsidRDefault="00B01930" w:rsidP="00B01930">
      <w:pPr>
        <w:jc w:val="both"/>
      </w:pPr>
    </w:p>
    <w:p w14:paraId="2A9C9EAA" w14:textId="77777777" w:rsidR="00B01930" w:rsidRPr="00E07116" w:rsidRDefault="00B01930" w:rsidP="00B01930">
      <w:pPr>
        <w:jc w:val="both"/>
      </w:pPr>
    </w:p>
    <w:p w14:paraId="557FBB52" w14:textId="77777777" w:rsidR="00B01930" w:rsidRPr="00283FCC" w:rsidRDefault="00B01930" w:rsidP="00B01930">
      <w:pPr>
        <w:spacing w:after="120"/>
        <w:ind w:firstLine="0"/>
        <w:jc w:val="center"/>
        <w:rPr>
          <w:b/>
          <w:i/>
        </w:rPr>
      </w:pPr>
      <w:bookmarkStart w:id="3" w:name="Analyser_idees_pol_pt_1"/>
      <w:r>
        <w:rPr>
          <w:b/>
        </w:rPr>
        <w:t>Analyser les idées politiques</w:t>
      </w:r>
      <w:r w:rsidRPr="00283FCC">
        <w:rPr>
          <w:b/>
        </w:rPr>
        <w:t>.</w:t>
      </w:r>
      <w:r w:rsidRPr="00283FCC">
        <w:rPr>
          <w:b/>
        </w:rPr>
        <w:br/>
      </w:r>
      <w:r>
        <w:rPr>
          <w:i/>
        </w:rPr>
        <w:t>Hommages au Pr. Jean-Louis Martres</w:t>
      </w:r>
    </w:p>
    <w:p w14:paraId="20421148" w14:textId="77777777" w:rsidR="00B01930" w:rsidRPr="00E07116" w:rsidRDefault="00B01930" w:rsidP="00B01930">
      <w:pPr>
        <w:jc w:val="both"/>
      </w:pPr>
    </w:p>
    <w:p w14:paraId="219DBE7D" w14:textId="77777777" w:rsidR="00B01930" w:rsidRPr="00384B20" w:rsidRDefault="00B01930" w:rsidP="00B01930">
      <w:pPr>
        <w:pStyle w:val="partie"/>
        <w:jc w:val="center"/>
        <w:rPr>
          <w:sz w:val="72"/>
        </w:rPr>
      </w:pPr>
      <w:r w:rsidRPr="00384B20">
        <w:rPr>
          <w:sz w:val="72"/>
        </w:rPr>
        <w:t>Première partie</w:t>
      </w:r>
    </w:p>
    <w:p w14:paraId="3BA19841" w14:textId="77777777" w:rsidR="00B01930" w:rsidRPr="00E07116" w:rsidRDefault="00B01930" w:rsidP="00B01930">
      <w:pPr>
        <w:jc w:val="both"/>
      </w:pPr>
    </w:p>
    <w:p w14:paraId="415ABD18" w14:textId="77777777" w:rsidR="00B01930" w:rsidRPr="00384B20" w:rsidRDefault="00B01930" w:rsidP="00B01930">
      <w:pPr>
        <w:pStyle w:val="Titreniveau2"/>
      </w:pPr>
      <w:r>
        <w:t>ANALYSER LES IDÉES</w:t>
      </w:r>
      <w:r>
        <w:br/>
        <w:t>POLITIQUES</w:t>
      </w:r>
    </w:p>
    <w:bookmarkEnd w:id="3"/>
    <w:p w14:paraId="5115267F" w14:textId="77777777" w:rsidR="00B01930" w:rsidRPr="00E07116" w:rsidRDefault="00B01930" w:rsidP="00B01930">
      <w:pPr>
        <w:jc w:val="both"/>
      </w:pPr>
    </w:p>
    <w:p w14:paraId="3372BBBE" w14:textId="77777777" w:rsidR="00B01930" w:rsidRPr="00E07116" w:rsidRDefault="00B01930" w:rsidP="00B01930">
      <w:pPr>
        <w:jc w:val="both"/>
      </w:pPr>
    </w:p>
    <w:p w14:paraId="53992730" w14:textId="77777777" w:rsidR="00B01930" w:rsidRPr="00E07116" w:rsidRDefault="00B01930" w:rsidP="00B01930">
      <w:pPr>
        <w:jc w:val="both"/>
      </w:pPr>
    </w:p>
    <w:p w14:paraId="35813AFF" w14:textId="77777777" w:rsidR="00B01930" w:rsidRPr="00E07116" w:rsidRDefault="00B01930" w:rsidP="00B01930">
      <w:pPr>
        <w:jc w:val="both"/>
      </w:pPr>
    </w:p>
    <w:p w14:paraId="39C12B51" w14:textId="77777777" w:rsidR="00B01930" w:rsidRPr="00E07116" w:rsidRDefault="00B01930" w:rsidP="00B01930">
      <w:pPr>
        <w:jc w:val="both"/>
      </w:pPr>
    </w:p>
    <w:p w14:paraId="42A7A4BB" w14:textId="77777777" w:rsidR="00B01930" w:rsidRPr="00E07116" w:rsidRDefault="00B01930" w:rsidP="00B01930">
      <w:pPr>
        <w:jc w:val="both"/>
      </w:pPr>
    </w:p>
    <w:p w14:paraId="34677FC3" w14:textId="77777777" w:rsidR="00B01930" w:rsidRPr="00E07116" w:rsidRDefault="00B01930" w:rsidP="00B01930">
      <w:pPr>
        <w:jc w:val="both"/>
      </w:pPr>
    </w:p>
    <w:p w14:paraId="019D2FEA" w14:textId="77777777" w:rsidR="00B01930" w:rsidRPr="00E07116" w:rsidRDefault="00B01930" w:rsidP="00B01930">
      <w:pPr>
        <w:jc w:val="both"/>
      </w:pPr>
    </w:p>
    <w:p w14:paraId="0643CFD8"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72894EE9" w14:textId="77777777" w:rsidR="00B01930" w:rsidRPr="00E07116" w:rsidRDefault="00B01930" w:rsidP="00B01930">
      <w:pPr>
        <w:jc w:val="both"/>
      </w:pPr>
    </w:p>
    <w:p w14:paraId="18A523E3" w14:textId="77777777" w:rsidR="00B01930" w:rsidRDefault="00B01930" w:rsidP="00B01930">
      <w:pPr>
        <w:jc w:val="both"/>
      </w:pPr>
      <w:r w:rsidRPr="00E07116">
        <w:br w:type="page"/>
      </w:r>
    </w:p>
    <w:p w14:paraId="125E6A99" w14:textId="77777777" w:rsidR="00B01930" w:rsidRDefault="00B01930">
      <w:pPr>
        <w:jc w:val="both"/>
      </w:pPr>
    </w:p>
    <w:p w14:paraId="4B2C2CB9" w14:textId="77777777" w:rsidR="00B01930" w:rsidRDefault="00B01930">
      <w:pPr>
        <w:jc w:val="both"/>
      </w:pPr>
    </w:p>
    <w:p w14:paraId="78BC976F" w14:textId="77777777" w:rsidR="00B01930" w:rsidRPr="009D4882" w:rsidRDefault="00B01930" w:rsidP="00B01930">
      <w:pPr>
        <w:spacing w:after="120"/>
        <w:ind w:firstLine="0"/>
        <w:jc w:val="center"/>
        <w:rPr>
          <w:b/>
          <w:color w:val="000080"/>
        </w:rPr>
      </w:pPr>
      <w:bookmarkStart w:id="4" w:name="Analyser_idees_pol_pt_1_texte_01"/>
      <w:r w:rsidRPr="009D4882">
        <w:rPr>
          <w:b/>
          <w:color w:val="000080"/>
        </w:rPr>
        <w:t>Première partie</w:t>
      </w:r>
      <w:r w:rsidRPr="009D4882">
        <w:rPr>
          <w:b/>
          <w:color w:val="000080"/>
        </w:rPr>
        <w:br/>
      </w:r>
      <w:r w:rsidRPr="00B903FB">
        <w:rPr>
          <w:i/>
          <w:color w:val="000080"/>
        </w:rPr>
        <w:t>Analyser les idées politiques</w:t>
      </w:r>
    </w:p>
    <w:p w14:paraId="760A828B" w14:textId="77777777" w:rsidR="00B01930" w:rsidRDefault="00B01930" w:rsidP="00620264">
      <w:pPr>
        <w:pStyle w:val="Titreniveau1"/>
        <w:rPr>
          <w:szCs w:val="36"/>
        </w:rPr>
      </w:pPr>
      <w:r>
        <w:rPr>
          <w:szCs w:val="36"/>
        </w:rPr>
        <w:t>1</w:t>
      </w:r>
    </w:p>
    <w:p w14:paraId="0C3F0D34" w14:textId="77777777" w:rsidR="00B01930" w:rsidRDefault="00B01930" w:rsidP="00B01930">
      <w:pPr>
        <w:jc w:val="both"/>
        <w:rPr>
          <w:szCs w:val="36"/>
        </w:rPr>
      </w:pPr>
    </w:p>
    <w:p w14:paraId="69EA3D5C" w14:textId="77777777" w:rsidR="00B01930" w:rsidRPr="00843F3E" w:rsidRDefault="00B01930" w:rsidP="00B01930">
      <w:pPr>
        <w:pStyle w:val="Titreniveau2"/>
      </w:pPr>
      <w:r>
        <w:t>“Introduction critiques</w:t>
      </w:r>
      <w:r>
        <w:br/>
        <w:t>à la pensée martrienne</w:t>
      </w:r>
      <w:r>
        <w:br/>
        <w:t>des idées politiques.”</w:t>
      </w:r>
    </w:p>
    <w:bookmarkEnd w:id="4"/>
    <w:p w14:paraId="5A40D879" w14:textId="77777777" w:rsidR="00B01930" w:rsidRDefault="00B01930" w:rsidP="00B01930">
      <w:pPr>
        <w:jc w:val="both"/>
        <w:rPr>
          <w:szCs w:val="36"/>
        </w:rPr>
      </w:pPr>
    </w:p>
    <w:p w14:paraId="04BD82EF" w14:textId="77777777" w:rsidR="00B01930" w:rsidRPr="00E10719" w:rsidRDefault="00B01930" w:rsidP="00B01930">
      <w:pPr>
        <w:pStyle w:val="suite"/>
      </w:pPr>
      <w:r w:rsidRPr="00E10719">
        <w:t>Daniel LAGRAULA</w:t>
      </w:r>
    </w:p>
    <w:p w14:paraId="7554D0A8" w14:textId="77777777" w:rsidR="00B01930" w:rsidRDefault="00B01930">
      <w:pPr>
        <w:jc w:val="both"/>
      </w:pPr>
    </w:p>
    <w:p w14:paraId="51D5A1F5" w14:textId="77777777" w:rsidR="00B01930" w:rsidRDefault="00B01930">
      <w:pPr>
        <w:jc w:val="both"/>
      </w:pPr>
    </w:p>
    <w:p w14:paraId="0BB3279F" w14:textId="77777777" w:rsidR="00B01930" w:rsidRDefault="00B01930">
      <w:pPr>
        <w:ind w:right="90" w:firstLine="0"/>
        <w:jc w:val="both"/>
        <w:rPr>
          <w:sz w:val="20"/>
        </w:rPr>
      </w:pPr>
      <w:hyperlink w:anchor="tdm" w:history="1">
        <w:r>
          <w:rPr>
            <w:rStyle w:val="Hyperlien"/>
            <w:sz w:val="20"/>
          </w:rPr>
          <w:t>Retour à la table des matières</w:t>
        </w:r>
      </w:hyperlink>
    </w:p>
    <w:p w14:paraId="7303BCA6" w14:textId="77777777" w:rsidR="00B01930" w:rsidRPr="00320A86" w:rsidRDefault="00B01930" w:rsidP="00B01930">
      <w:pPr>
        <w:spacing w:before="120" w:after="120"/>
        <w:jc w:val="both"/>
        <w:rPr>
          <w:szCs w:val="28"/>
        </w:rPr>
      </w:pPr>
      <w:r w:rsidRPr="00320A86">
        <w:rPr>
          <w:szCs w:val="28"/>
        </w:rPr>
        <w:t>Savoir penser et non quoi penser, écrivions-nous dans le prélude d’hommage à Jean Louis Martres dans cet ouvrage… Suivre son cours « d’analyse des idées politiques</w:t>
      </w:r>
      <w:r>
        <w:rPr>
          <w:szCs w:val="28"/>
        </w:rPr>
        <w:t> </w:t>
      </w:r>
      <w:r>
        <w:rPr>
          <w:rStyle w:val="Appelnotedebasdep"/>
          <w:szCs w:val="28"/>
        </w:rPr>
        <w:footnoteReference w:id="7"/>
      </w:r>
      <w:r w:rsidRPr="00320A86">
        <w:rPr>
          <w:szCs w:val="28"/>
        </w:rPr>
        <w:t> », c’était se placer sur les deux r</w:t>
      </w:r>
      <w:r w:rsidRPr="00320A86">
        <w:rPr>
          <w:szCs w:val="28"/>
        </w:rPr>
        <w:t>e</w:t>
      </w:r>
      <w:r w:rsidRPr="00320A86">
        <w:rPr>
          <w:szCs w:val="28"/>
        </w:rPr>
        <w:t>gistres évoqués par Hanna Harendt</w:t>
      </w:r>
      <w:r>
        <w:rPr>
          <w:szCs w:val="28"/>
        </w:rPr>
        <w:t> </w:t>
      </w:r>
      <w:r>
        <w:rPr>
          <w:rStyle w:val="Appelnotedebasdep"/>
          <w:szCs w:val="28"/>
        </w:rPr>
        <w:footnoteReference w:id="8"/>
      </w:r>
      <w:r w:rsidRPr="00320A86">
        <w:rPr>
          <w:szCs w:val="28"/>
        </w:rPr>
        <w:t> : connaître qui implique un o</w:t>
      </w:r>
      <w:r w:rsidRPr="00320A86">
        <w:rPr>
          <w:szCs w:val="28"/>
        </w:rPr>
        <w:t>b</w:t>
      </w:r>
      <w:r w:rsidRPr="00320A86">
        <w:rPr>
          <w:szCs w:val="28"/>
        </w:rPr>
        <w:t>jet, penser, qui renvoie à la question du sens</w:t>
      </w:r>
      <w:r>
        <w:rPr>
          <w:szCs w:val="28"/>
        </w:rPr>
        <w:t> </w:t>
      </w:r>
      <w:r>
        <w:rPr>
          <w:rStyle w:val="Appelnotedebasdep"/>
          <w:szCs w:val="28"/>
        </w:rPr>
        <w:footnoteReference w:id="9"/>
      </w:r>
      <w:r w:rsidRPr="00320A86">
        <w:rPr>
          <w:szCs w:val="28"/>
        </w:rPr>
        <w:t>.</w:t>
      </w:r>
    </w:p>
    <w:p w14:paraId="71692DDA" w14:textId="77777777" w:rsidR="00B01930" w:rsidRPr="00320A86" w:rsidRDefault="00B01930" w:rsidP="00B01930">
      <w:pPr>
        <w:spacing w:before="120" w:after="120"/>
        <w:jc w:val="both"/>
        <w:rPr>
          <w:szCs w:val="28"/>
        </w:rPr>
      </w:pPr>
      <w:r w:rsidRPr="00320A86">
        <w:rPr>
          <w:szCs w:val="28"/>
        </w:rPr>
        <w:lastRenderedPageBreak/>
        <w:t>C’est avec ces deux précieux bagages que nous avons entrepris à ses côtés, liés par une originale relation, ce long voyage (sur quarante ans) sur ce qu’on pourrait appeler « la route de la soie des idées polit</w:t>
      </w:r>
      <w:r w:rsidRPr="00320A86">
        <w:rPr>
          <w:szCs w:val="28"/>
        </w:rPr>
        <w:t>i</w:t>
      </w:r>
      <w:r w:rsidRPr="00320A86">
        <w:rPr>
          <w:szCs w:val="28"/>
        </w:rPr>
        <w:t>ques », où se croisaient pr</w:t>
      </w:r>
      <w:r w:rsidRPr="00320A86">
        <w:rPr>
          <w:szCs w:val="28"/>
        </w:rPr>
        <w:t>o</w:t>
      </w:r>
      <w:r w:rsidRPr="00320A86">
        <w:rPr>
          <w:szCs w:val="28"/>
        </w:rPr>
        <w:t>phètes et empereurs, docteurs de la foi et philosophes, où religions, idéologies et doctrines se combattaient, s’excommuniaient ou bien se fondaient en des art</w:t>
      </w:r>
      <w:r w:rsidRPr="00320A86">
        <w:rPr>
          <w:szCs w:val="28"/>
        </w:rPr>
        <w:t>e</w:t>
      </w:r>
      <w:r w:rsidRPr="00320A86">
        <w:rPr>
          <w:szCs w:val="28"/>
        </w:rPr>
        <w:t>facts aussi sublimes qu’irréalisables dans le monde « sublunaire » (pour utiliser la termin</w:t>
      </w:r>
      <w:r w:rsidRPr="00320A86">
        <w:rPr>
          <w:szCs w:val="28"/>
        </w:rPr>
        <w:t>o</w:t>
      </w:r>
      <w:r w:rsidRPr="00320A86">
        <w:rPr>
          <w:szCs w:val="28"/>
        </w:rPr>
        <w:t>logie d’Aristote). L’herbier des idées politiques qui nous tenait lieu de guide se transforma en un palimpseste dessinant une carte inédite de la pensée politique.</w:t>
      </w:r>
    </w:p>
    <w:p w14:paraId="6B1106A5" w14:textId="77777777" w:rsidR="00B01930" w:rsidRPr="00320A86" w:rsidRDefault="00B01930" w:rsidP="00B01930">
      <w:pPr>
        <w:spacing w:before="120" w:after="120"/>
        <w:jc w:val="both"/>
        <w:rPr>
          <w:szCs w:val="28"/>
        </w:rPr>
      </w:pPr>
      <w:r w:rsidRPr="00320A86">
        <w:rPr>
          <w:szCs w:val="28"/>
        </w:rPr>
        <w:t>Inédite, tel est bien le mot, car si l’infatigable arpenteur couvrait de notes son carnet de voyage et s’il livrait oralement, année après année, ses découvertes, il ne traçait, ni ne publiait, cette nouvelle carte. Aussi plaidions-nous sans cesse pour qu’elle ne fût pas perdue « dans le s</w:t>
      </w:r>
      <w:r w:rsidRPr="00320A86">
        <w:rPr>
          <w:szCs w:val="28"/>
        </w:rPr>
        <w:t>a</w:t>
      </w:r>
      <w:r w:rsidRPr="00320A86">
        <w:rPr>
          <w:szCs w:val="28"/>
        </w:rPr>
        <w:t>ble et dans le silence des caravanes</w:t>
      </w:r>
      <w:r>
        <w:rPr>
          <w:szCs w:val="28"/>
        </w:rPr>
        <w:t> </w:t>
      </w:r>
      <w:r>
        <w:rPr>
          <w:rStyle w:val="Appelnotedebasdep"/>
          <w:szCs w:val="28"/>
        </w:rPr>
        <w:footnoteReference w:id="10"/>
      </w:r>
      <w:r w:rsidRPr="00320A86">
        <w:rPr>
          <w:szCs w:val="28"/>
        </w:rPr>
        <w:t> ». C’est ainsi qu’il écrivit la pr</w:t>
      </w:r>
      <w:r w:rsidRPr="00320A86">
        <w:rPr>
          <w:szCs w:val="28"/>
        </w:rPr>
        <w:t>é</w:t>
      </w:r>
      <w:r w:rsidRPr="00320A86">
        <w:rPr>
          <w:szCs w:val="28"/>
        </w:rPr>
        <w:t>face à « l’art de la politique chez les légistes chinois</w:t>
      </w:r>
      <w:r>
        <w:rPr>
          <w:szCs w:val="28"/>
        </w:rPr>
        <w:t> </w:t>
      </w:r>
      <w:r>
        <w:rPr>
          <w:rStyle w:val="Appelnotedebasdep"/>
          <w:szCs w:val="28"/>
        </w:rPr>
        <w:footnoteReference w:id="11"/>
      </w:r>
      <w:r w:rsidRPr="00320A86">
        <w:rPr>
          <w:szCs w:val="28"/>
        </w:rPr>
        <w:t> » quintesse</w:t>
      </w:r>
      <w:r w:rsidRPr="00320A86">
        <w:rPr>
          <w:szCs w:val="28"/>
        </w:rPr>
        <w:t>n</w:t>
      </w:r>
      <w:r w:rsidRPr="00320A86">
        <w:rPr>
          <w:szCs w:val="28"/>
        </w:rPr>
        <w:t xml:space="preserve">ce, à ce moment, de sa pensée. </w:t>
      </w:r>
    </w:p>
    <w:p w14:paraId="0738CAED" w14:textId="77777777" w:rsidR="00B01930" w:rsidRPr="00320A86" w:rsidRDefault="00B01930" w:rsidP="00B01930">
      <w:pPr>
        <w:spacing w:before="120" w:after="120"/>
        <w:jc w:val="both"/>
        <w:rPr>
          <w:szCs w:val="28"/>
        </w:rPr>
      </w:pPr>
      <w:r w:rsidRPr="00320A86">
        <w:rPr>
          <w:szCs w:val="28"/>
        </w:rPr>
        <w:t>Cette route de la soie (virtuelle) le conduisit, comme le fait la route de la soie physique, en Chine. Il eut le bonheur ainsi d’enseigner à l’Université Beida de Beijing (Pékin), mais intellectuellement surtout, l’immersion dans la pensée p</w:t>
      </w:r>
      <w:r w:rsidRPr="00320A86">
        <w:rPr>
          <w:szCs w:val="28"/>
        </w:rPr>
        <w:t>o</w:t>
      </w:r>
      <w:r w:rsidRPr="00320A86">
        <w:rPr>
          <w:szCs w:val="28"/>
        </w:rPr>
        <w:t>litique classique chinoise le conforta dans ce « regard éloigné</w:t>
      </w:r>
      <w:r>
        <w:rPr>
          <w:szCs w:val="28"/>
        </w:rPr>
        <w:t> </w:t>
      </w:r>
      <w:r>
        <w:rPr>
          <w:rStyle w:val="Appelnotedebasdep"/>
          <w:szCs w:val="28"/>
        </w:rPr>
        <w:footnoteReference w:id="12"/>
      </w:r>
      <w:r w:rsidRPr="00320A86">
        <w:rPr>
          <w:szCs w:val="28"/>
        </w:rPr>
        <w:t> » qu’il avait par rapport à sa matière, et le poussa sans cesse à remettre l’ouvrage sur le métier, jusqu’à l’écriture de son opus magnum.</w:t>
      </w:r>
    </w:p>
    <w:p w14:paraId="28CD97A1" w14:textId="77777777" w:rsidR="00B01930" w:rsidRPr="00320A86" w:rsidRDefault="00B01930" w:rsidP="00B01930">
      <w:pPr>
        <w:spacing w:before="120" w:after="120"/>
        <w:jc w:val="both"/>
        <w:rPr>
          <w:szCs w:val="28"/>
        </w:rPr>
      </w:pPr>
      <w:r w:rsidRPr="00320A86">
        <w:rPr>
          <w:szCs w:val="28"/>
        </w:rPr>
        <w:lastRenderedPageBreak/>
        <w:t>Il est vrai que ce n’était point la seule raison qui motivait le report de ce lourd travail de rédaction. D’une part l’originalité de son appr</w:t>
      </w:r>
      <w:r w:rsidRPr="00320A86">
        <w:rPr>
          <w:szCs w:val="28"/>
        </w:rPr>
        <w:t>o</w:t>
      </w:r>
      <w:r w:rsidRPr="00320A86">
        <w:rPr>
          <w:szCs w:val="28"/>
        </w:rPr>
        <w:t>che postulait une con</w:t>
      </w:r>
      <w:r w:rsidRPr="00320A86">
        <w:rPr>
          <w:szCs w:val="28"/>
        </w:rPr>
        <w:t>s</w:t>
      </w:r>
      <w:r w:rsidRPr="00320A86">
        <w:rPr>
          <w:szCs w:val="28"/>
        </w:rPr>
        <w:t>tante évolution, affinant hypothèses, revisitant sans cesse les sources au sein d’un immense corpus. D’autre part, conséquence de sa pensée en mouvement et de son attachement à l’</w:t>
      </w:r>
      <w:r w:rsidRPr="00C83DB1">
        <w:rPr>
          <w:i/>
          <w:szCs w:val="28"/>
        </w:rPr>
        <w:t>Alma Mater</w:t>
      </w:r>
      <w:r w:rsidRPr="00320A86">
        <w:rPr>
          <w:szCs w:val="28"/>
        </w:rPr>
        <w:t>, il aimait l’oralité comme mode d’expression des résu</w:t>
      </w:r>
      <w:r w:rsidRPr="00320A86">
        <w:rPr>
          <w:szCs w:val="28"/>
        </w:rPr>
        <w:t>l</w:t>
      </w:r>
      <w:r w:rsidRPr="00320A86">
        <w:rPr>
          <w:szCs w:val="28"/>
        </w:rPr>
        <w:t>tats de son travail. Il savait fasciner son auditoire par une voix aussi douce que claire, aux inflexions prenantes, et par un langage limpide et capt</w:t>
      </w:r>
      <w:r w:rsidRPr="00320A86">
        <w:rPr>
          <w:szCs w:val="28"/>
        </w:rPr>
        <w:t>i</w:t>
      </w:r>
      <w:r w:rsidRPr="00320A86">
        <w:rPr>
          <w:szCs w:val="28"/>
        </w:rPr>
        <w:t>vant. Difficile d’oublier l’illustration du sens oriental du destin telle qu’il le fit :</w:t>
      </w:r>
    </w:p>
    <w:p w14:paraId="723EB16F" w14:textId="77777777" w:rsidR="00B01930" w:rsidRDefault="00B01930" w:rsidP="00B01930">
      <w:pPr>
        <w:pStyle w:val="citation"/>
      </w:pPr>
    </w:p>
    <w:p w14:paraId="6A29E722" w14:textId="77777777" w:rsidR="00B01930" w:rsidRDefault="00B01930" w:rsidP="00B01930">
      <w:pPr>
        <w:pStyle w:val="citation"/>
      </w:pPr>
      <w:r w:rsidRPr="00320A86">
        <w:t>« Un jour, alors qu’il était endormi, un homme vit arriver la mort. Pris d’une grande frayeur il s’enfuit. Après quelques lieues croyant avoir conjuré le sort il s’arrêta. Mais la mort à nouveau p</w:t>
      </w:r>
      <w:r w:rsidRPr="00320A86">
        <w:t>a</w:t>
      </w:r>
      <w:r w:rsidRPr="00320A86">
        <w:t>rut. Alors il repartit. À chaque arrêt, la mort se présentait à lui. Enfin, le soir, épu</w:t>
      </w:r>
      <w:r w:rsidRPr="00320A86">
        <w:t>i</w:t>
      </w:r>
      <w:r w:rsidRPr="00320A86">
        <w:t>sé par sa course, il arriva dans une ville. La mort n’étant pas là il se prépara à pa</w:t>
      </w:r>
      <w:r w:rsidRPr="00320A86">
        <w:t>s</w:t>
      </w:r>
      <w:r w:rsidRPr="00320A86">
        <w:t>ser la nuit. Mais, à l’heure de s’endormir, la mort vint et lui dit : “pou</w:t>
      </w:r>
      <w:r w:rsidRPr="00320A86">
        <w:t>r</w:t>
      </w:r>
      <w:r w:rsidRPr="00320A86">
        <w:t>quoi me fuyais-tu ce matin ? Je voulais seulement te dire que je t’attendrai ce soir à S</w:t>
      </w:r>
      <w:r w:rsidRPr="00320A86">
        <w:t>a</w:t>
      </w:r>
      <w:r w:rsidRPr="00320A86">
        <w:t>marcande”. »</w:t>
      </w:r>
    </w:p>
    <w:p w14:paraId="6494EE46" w14:textId="77777777" w:rsidR="00B01930" w:rsidRPr="00320A86" w:rsidRDefault="00B01930" w:rsidP="00B01930">
      <w:pPr>
        <w:pStyle w:val="citation"/>
      </w:pPr>
    </w:p>
    <w:p w14:paraId="4085D4FD" w14:textId="77777777" w:rsidR="00B01930" w:rsidRPr="00320A86" w:rsidRDefault="00B01930" w:rsidP="00B01930">
      <w:pPr>
        <w:spacing w:before="120" w:after="120"/>
        <w:jc w:val="both"/>
        <w:rPr>
          <w:szCs w:val="28"/>
        </w:rPr>
      </w:pPr>
      <w:r w:rsidRPr="00320A86">
        <w:rPr>
          <w:szCs w:val="28"/>
        </w:rPr>
        <w:t>Aussi redoutait-il que l’écriture, les mots, figent les choses, les « calcifient », en tout cas entraînent la perte de la subtilité et de la complexité de son travail et, in fine, une perte de sens</w:t>
      </w:r>
      <w:r>
        <w:rPr>
          <w:szCs w:val="28"/>
        </w:rPr>
        <w:t> </w:t>
      </w:r>
      <w:r>
        <w:rPr>
          <w:rStyle w:val="Appelnotedebasdep"/>
          <w:szCs w:val="28"/>
        </w:rPr>
        <w:footnoteReference w:id="13"/>
      </w:r>
      <w:r w:rsidRPr="00320A86">
        <w:rPr>
          <w:szCs w:val="28"/>
        </w:rPr>
        <w:t>. Mais il finit par « rendre les armes » et par offrir ce « livre qui est essentiellement un signal d’amitié à tous ceux qui ont suivi mes cours et maintes fois m’ont demandé de leur laisser en souvenir ce que leur je</w:t>
      </w:r>
      <w:r w:rsidRPr="00320A86">
        <w:rPr>
          <w:szCs w:val="28"/>
        </w:rPr>
        <w:t>u</w:t>
      </w:r>
      <w:r w:rsidRPr="00320A86">
        <w:rPr>
          <w:szCs w:val="28"/>
        </w:rPr>
        <w:t>nesse excuse d’avoir cru formateur</w:t>
      </w:r>
      <w:r>
        <w:rPr>
          <w:szCs w:val="28"/>
        </w:rPr>
        <w:t> </w:t>
      </w:r>
      <w:r>
        <w:rPr>
          <w:rStyle w:val="Appelnotedebasdep"/>
          <w:szCs w:val="28"/>
        </w:rPr>
        <w:footnoteReference w:id="14"/>
      </w:r>
      <w:r w:rsidRPr="00320A86">
        <w:rPr>
          <w:szCs w:val="28"/>
        </w:rPr>
        <w:t> ».</w:t>
      </w:r>
    </w:p>
    <w:p w14:paraId="6948B46A" w14:textId="77777777" w:rsidR="00B01930" w:rsidRPr="00320A86" w:rsidRDefault="00B01930" w:rsidP="00B01930">
      <w:pPr>
        <w:spacing w:before="120" w:after="120"/>
        <w:jc w:val="both"/>
        <w:rPr>
          <w:szCs w:val="28"/>
        </w:rPr>
      </w:pPr>
      <w:r w:rsidRPr="00320A86">
        <w:rPr>
          <w:szCs w:val="28"/>
        </w:rPr>
        <w:t>Ce livre, dont il explique dès l’introduction, qu’il s’agit d’un essai et dont il expose longuement les choix et les limites dans un vocab</w:t>
      </w:r>
      <w:r w:rsidRPr="00320A86">
        <w:rPr>
          <w:szCs w:val="28"/>
        </w:rPr>
        <w:t>u</w:t>
      </w:r>
      <w:r w:rsidRPr="00320A86">
        <w:rPr>
          <w:szCs w:val="28"/>
        </w:rPr>
        <w:t>laire remarquable qui, tout au long de l’ouvrage, enchante le lecteur sans rien enlever à son caractère de recherche en sciences humaines. Il n’est pas exagéré de reprendre à son sujet les mots que lui-même e</w:t>
      </w:r>
      <w:r w:rsidRPr="00320A86">
        <w:rPr>
          <w:szCs w:val="28"/>
        </w:rPr>
        <w:t>m</w:t>
      </w:r>
      <w:r w:rsidRPr="00320A86">
        <w:rPr>
          <w:szCs w:val="28"/>
        </w:rPr>
        <w:t>ploie pour tels grands auteurs de la pensée politique « dans cette con</w:t>
      </w:r>
      <w:r w:rsidRPr="00320A86">
        <w:rPr>
          <w:szCs w:val="28"/>
        </w:rPr>
        <w:t>s</w:t>
      </w:r>
      <w:r w:rsidRPr="00320A86">
        <w:rPr>
          <w:szCs w:val="28"/>
        </w:rPr>
        <w:t>tellation étincellent quelques astres marquant les points card</w:t>
      </w:r>
      <w:r w:rsidRPr="00320A86">
        <w:rPr>
          <w:szCs w:val="28"/>
        </w:rPr>
        <w:t>i</w:t>
      </w:r>
      <w:r w:rsidRPr="00320A86">
        <w:rPr>
          <w:szCs w:val="28"/>
        </w:rPr>
        <w:t xml:space="preserve">naux et </w:t>
      </w:r>
      <w:r w:rsidRPr="00320A86">
        <w:rPr>
          <w:szCs w:val="28"/>
        </w:rPr>
        <w:lastRenderedPageBreak/>
        <w:t>les temples pluriels</w:t>
      </w:r>
      <w:r>
        <w:rPr>
          <w:szCs w:val="28"/>
        </w:rPr>
        <w:t> </w:t>
      </w:r>
      <w:r>
        <w:rPr>
          <w:rStyle w:val="Appelnotedebasdep"/>
          <w:szCs w:val="28"/>
        </w:rPr>
        <w:footnoteReference w:id="15"/>
      </w:r>
      <w:r w:rsidRPr="00320A86">
        <w:rPr>
          <w:szCs w:val="28"/>
        </w:rPr>
        <w:t> » et, ce faisant, quels que soient les débats quant à son œuvre, « il est difficile de refuser un moment de plaisir stim</w:t>
      </w:r>
      <w:r w:rsidRPr="00320A86">
        <w:rPr>
          <w:szCs w:val="28"/>
        </w:rPr>
        <w:t>u</w:t>
      </w:r>
      <w:r w:rsidRPr="00320A86">
        <w:rPr>
          <w:szCs w:val="28"/>
        </w:rPr>
        <w:t>lant</w:t>
      </w:r>
      <w:r>
        <w:rPr>
          <w:szCs w:val="28"/>
        </w:rPr>
        <w:t> </w:t>
      </w:r>
      <w:r>
        <w:rPr>
          <w:rStyle w:val="Appelnotedebasdep"/>
          <w:szCs w:val="28"/>
        </w:rPr>
        <w:footnoteReference w:id="16"/>
      </w:r>
      <w:r w:rsidRPr="00320A86">
        <w:rPr>
          <w:szCs w:val="28"/>
        </w:rPr>
        <w:t> ».</w:t>
      </w:r>
    </w:p>
    <w:p w14:paraId="253E43CA" w14:textId="77777777" w:rsidR="00B01930" w:rsidRPr="00320A86" w:rsidRDefault="00B01930" w:rsidP="00B01930">
      <w:pPr>
        <w:spacing w:before="120" w:after="120"/>
        <w:jc w:val="both"/>
        <w:rPr>
          <w:szCs w:val="28"/>
        </w:rPr>
      </w:pPr>
      <w:r w:rsidRPr="00320A86">
        <w:rPr>
          <w:szCs w:val="28"/>
        </w:rPr>
        <w:t>A fortiori lorsqu’il conclut ironiquement son livre en citant Woody Allen. Ce qui ne répond guère, comme il le reconnaît, aux canons un</w:t>
      </w:r>
      <w:r w:rsidRPr="00320A86">
        <w:rPr>
          <w:szCs w:val="28"/>
        </w:rPr>
        <w:t>i</w:t>
      </w:r>
      <w:r w:rsidRPr="00320A86">
        <w:rPr>
          <w:szCs w:val="28"/>
        </w:rPr>
        <w:t>versitaires. Preuve s’il en est que son « regard éloigné » allait bien au-delà d’une posture académique de circonstance et témoigne de la pa</w:t>
      </w:r>
      <w:r w:rsidRPr="00320A86">
        <w:rPr>
          <w:szCs w:val="28"/>
        </w:rPr>
        <w:t>r</w:t>
      </w:r>
      <w:r w:rsidRPr="00320A86">
        <w:rPr>
          <w:szCs w:val="28"/>
        </w:rPr>
        <w:t>faite conscience qu’il avait de la relat</w:t>
      </w:r>
      <w:r w:rsidRPr="00320A86">
        <w:rPr>
          <w:szCs w:val="28"/>
        </w:rPr>
        <w:t>i</w:t>
      </w:r>
      <w:r w:rsidRPr="00320A86">
        <w:rPr>
          <w:szCs w:val="28"/>
        </w:rPr>
        <w:t>vité, si ce n’est de la vacuité, des choses en ce bas monde.</w:t>
      </w:r>
    </w:p>
    <w:p w14:paraId="60BB6AD5" w14:textId="77777777" w:rsidR="00B01930" w:rsidRPr="00320A86" w:rsidRDefault="00B01930" w:rsidP="00B01930">
      <w:pPr>
        <w:spacing w:before="120" w:after="120"/>
        <w:jc w:val="both"/>
        <w:rPr>
          <w:szCs w:val="28"/>
        </w:rPr>
      </w:pPr>
      <w:r w:rsidRPr="00320A86">
        <w:rPr>
          <w:szCs w:val="28"/>
        </w:rPr>
        <w:t>Ce plaisir stimulant de la lecture n’empêche pas, tant au regard de notre pr</w:t>
      </w:r>
      <w:r w:rsidRPr="00320A86">
        <w:rPr>
          <w:szCs w:val="28"/>
        </w:rPr>
        <w:t>é</w:t>
      </w:r>
      <w:r w:rsidRPr="00320A86">
        <w:rPr>
          <w:szCs w:val="28"/>
        </w:rPr>
        <w:t>misse connaître et penser, qu’en accord avec sa propre conception du « travail de l’œuvre</w:t>
      </w:r>
      <w:r>
        <w:rPr>
          <w:szCs w:val="28"/>
        </w:rPr>
        <w:t> </w:t>
      </w:r>
      <w:r>
        <w:rPr>
          <w:rStyle w:val="Appelnotedebasdep"/>
          <w:szCs w:val="28"/>
        </w:rPr>
        <w:footnoteReference w:id="17"/>
      </w:r>
      <w:r w:rsidRPr="00320A86">
        <w:rPr>
          <w:szCs w:val="28"/>
        </w:rPr>
        <w:t> », de faire une présentation crit</w:t>
      </w:r>
      <w:r w:rsidRPr="00320A86">
        <w:rPr>
          <w:szCs w:val="28"/>
        </w:rPr>
        <w:t>i</w:t>
      </w:r>
      <w:r w:rsidRPr="00320A86">
        <w:rPr>
          <w:szCs w:val="28"/>
        </w:rPr>
        <w:t>que (au sens philosophique du te</w:t>
      </w:r>
      <w:r w:rsidRPr="00320A86">
        <w:rPr>
          <w:szCs w:val="28"/>
        </w:rPr>
        <w:t>r</w:t>
      </w:r>
      <w:r w:rsidRPr="00320A86">
        <w:rPr>
          <w:szCs w:val="28"/>
        </w:rPr>
        <w:t>me). Non point parce qu’« avant l’oubli vient le procès</w:t>
      </w:r>
      <w:r>
        <w:rPr>
          <w:szCs w:val="28"/>
        </w:rPr>
        <w:t> </w:t>
      </w:r>
      <w:r>
        <w:rPr>
          <w:rStyle w:val="Appelnotedebasdep"/>
          <w:szCs w:val="28"/>
        </w:rPr>
        <w:footnoteReference w:id="18"/>
      </w:r>
      <w:r w:rsidRPr="00320A86">
        <w:rPr>
          <w:szCs w:val="28"/>
        </w:rPr>
        <w:t> », mais parce que, comme toute œuvre de l’esprit, sa « fertilité intellectuelle ou tout simplement les défis [qu’elle] soulève</w:t>
      </w:r>
      <w:r>
        <w:rPr>
          <w:szCs w:val="28"/>
        </w:rPr>
        <w:t> </w:t>
      </w:r>
      <w:r>
        <w:rPr>
          <w:rStyle w:val="Appelnotedebasdep"/>
          <w:szCs w:val="28"/>
        </w:rPr>
        <w:footnoteReference w:id="19"/>
      </w:r>
      <w:r w:rsidRPr="00320A86">
        <w:rPr>
          <w:szCs w:val="28"/>
        </w:rPr>
        <w:t> » justifie cet intérêt. Il s’agit d’inviter le lecteur à que</w:t>
      </w:r>
      <w:r w:rsidRPr="00320A86">
        <w:rPr>
          <w:szCs w:val="28"/>
        </w:rPr>
        <w:t>l</w:t>
      </w:r>
      <w:r w:rsidRPr="00320A86">
        <w:rPr>
          <w:szCs w:val="28"/>
        </w:rPr>
        <w:t>ques préparatifs avant d’aller à la découverte des nouvelles contrées dont Jean-Louis Martres a dressé la cartographie.</w:t>
      </w:r>
    </w:p>
    <w:p w14:paraId="10FE4E0A" w14:textId="77777777" w:rsidR="00B01930" w:rsidRPr="00320A86" w:rsidRDefault="00B01930" w:rsidP="00B01930">
      <w:pPr>
        <w:spacing w:before="120" w:after="120"/>
        <w:jc w:val="both"/>
        <w:rPr>
          <w:szCs w:val="28"/>
        </w:rPr>
      </w:pPr>
      <w:r w:rsidRPr="00320A86">
        <w:rPr>
          <w:szCs w:val="28"/>
        </w:rPr>
        <w:t>Nous nous attacherons à rester dans l’argumentaire martrien, soit pour pa</w:t>
      </w:r>
      <w:r w:rsidRPr="00320A86">
        <w:rPr>
          <w:szCs w:val="28"/>
        </w:rPr>
        <w:t>r</w:t>
      </w:r>
      <w:r w:rsidRPr="00320A86">
        <w:rPr>
          <w:szCs w:val="28"/>
        </w:rPr>
        <w:t>fois l’expliciter, soit pour être dans le seul questionnement, soit enfin pour rel</w:t>
      </w:r>
      <w:r w:rsidRPr="00320A86">
        <w:rPr>
          <w:szCs w:val="28"/>
        </w:rPr>
        <w:t>e</w:t>
      </w:r>
      <w:r w:rsidRPr="00320A86">
        <w:rPr>
          <w:szCs w:val="28"/>
        </w:rPr>
        <w:t>ver ce qui nous paraît – disons-le –, contradictoire en l’état de la publication. Cette a</w:t>
      </w:r>
      <w:r w:rsidRPr="00320A86">
        <w:rPr>
          <w:szCs w:val="28"/>
        </w:rPr>
        <w:t>p</w:t>
      </w:r>
      <w:r w:rsidRPr="00320A86">
        <w:rPr>
          <w:szCs w:val="28"/>
        </w:rPr>
        <w:t>proche critique se conçoit dans un débat dépourvu de toute quérulence. Elle ne prétend pas à l’exhaustivité, encore moins à l’érudition, ce n’est qu’une invite, une introduction à la pensée martrienne de l’histoire des idées politiques.</w:t>
      </w:r>
    </w:p>
    <w:p w14:paraId="07049540" w14:textId="77777777" w:rsidR="00B01930" w:rsidRPr="00320A86" w:rsidRDefault="00B01930" w:rsidP="00B01930">
      <w:pPr>
        <w:spacing w:before="120" w:after="120"/>
        <w:jc w:val="both"/>
        <w:rPr>
          <w:szCs w:val="28"/>
        </w:rPr>
      </w:pPr>
      <w:r w:rsidRPr="00320A86">
        <w:rPr>
          <w:szCs w:val="28"/>
        </w:rPr>
        <w:t>Les points qui ont retenu notre attention, parmi d’autres possibles, sont regroupés sous deux thèmes : méthode et concepts (I.), hypoth</w:t>
      </w:r>
      <w:r w:rsidRPr="00320A86">
        <w:rPr>
          <w:szCs w:val="28"/>
        </w:rPr>
        <w:t>è</w:t>
      </w:r>
      <w:r w:rsidRPr="00320A86">
        <w:rPr>
          <w:szCs w:val="28"/>
        </w:rPr>
        <w:t>ses et histoire (II.).</w:t>
      </w:r>
    </w:p>
    <w:p w14:paraId="55DE73E4" w14:textId="77777777" w:rsidR="00B01930" w:rsidRDefault="00B01930" w:rsidP="00B01930">
      <w:pPr>
        <w:spacing w:before="120" w:after="120"/>
        <w:jc w:val="both"/>
        <w:rPr>
          <w:b/>
          <w:szCs w:val="28"/>
        </w:rPr>
      </w:pPr>
    </w:p>
    <w:p w14:paraId="5210E225" w14:textId="77777777" w:rsidR="00B01930" w:rsidRPr="00320A86" w:rsidRDefault="00B01930" w:rsidP="00B01930">
      <w:pPr>
        <w:spacing w:before="120" w:after="120"/>
        <w:jc w:val="both"/>
        <w:rPr>
          <w:b/>
          <w:szCs w:val="28"/>
        </w:rPr>
      </w:pPr>
    </w:p>
    <w:p w14:paraId="6CC089FE" w14:textId="77777777" w:rsidR="00B01930" w:rsidRPr="00E10719" w:rsidRDefault="00B01930" w:rsidP="00B01930">
      <w:pPr>
        <w:pStyle w:val="planche"/>
      </w:pPr>
      <w:bookmarkStart w:id="5" w:name="Analyser_idees_pol_pt_1_texte_01_I"/>
      <w:r w:rsidRPr="00E10719">
        <w:t>I. Méthode et concepts</w:t>
      </w:r>
    </w:p>
    <w:bookmarkEnd w:id="5"/>
    <w:p w14:paraId="317ACC56" w14:textId="77777777" w:rsidR="00B01930" w:rsidRPr="00320A86" w:rsidRDefault="00B01930" w:rsidP="00B01930">
      <w:pPr>
        <w:spacing w:before="120" w:after="120"/>
        <w:jc w:val="both"/>
        <w:rPr>
          <w:rFonts w:cs="Arial"/>
          <w:szCs w:val="28"/>
        </w:rPr>
      </w:pPr>
    </w:p>
    <w:p w14:paraId="4EFDCAD8"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795BA4DF" w14:textId="77777777" w:rsidR="00B01930" w:rsidRPr="00320A86" w:rsidRDefault="00B01930" w:rsidP="00B01930">
      <w:pPr>
        <w:spacing w:before="120" w:after="120"/>
        <w:jc w:val="both"/>
      </w:pPr>
      <w:r w:rsidRPr="00320A86">
        <w:rPr>
          <w:rFonts w:cs="Arial"/>
          <w:szCs w:val="28"/>
        </w:rPr>
        <w:t xml:space="preserve">À l’origine </w:t>
      </w:r>
      <w:r w:rsidRPr="00320A86">
        <w:t>de la démarche de Jean-Louis Martres, se trouve le constat que l’approche purement historique n’expliquait pas les étra</w:t>
      </w:r>
      <w:r w:rsidRPr="00320A86">
        <w:t>n</w:t>
      </w:r>
      <w:r w:rsidRPr="00320A86">
        <w:t>ges ressemblances qui unissent des doctrines, des idéologies, des r</w:t>
      </w:r>
      <w:r w:rsidRPr="00320A86">
        <w:t>é</w:t>
      </w:r>
      <w:r w:rsidRPr="00320A86">
        <w:t>gimes politiques qui en sont issus, que le temps et l’espace ont séparé ou qui, avec des présupposés radicalement divergents, se matérialisent dans le monde sublunaire de la même façon. Co</w:t>
      </w:r>
      <w:r w:rsidRPr="00320A86">
        <w:t>m</w:t>
      </w:r>
      <w:r w:rsidRPr="00320A86">
        <w:t>ment expliquer que la parenté des idées politiques apparues à une même époque est moins grande que l’identité qui peut rapprocher certains types de pensée à travers les siècles ? L’approche traditionnelle de l’histoire des idées politiques n’explique pas non plus les mécanismes de construction et d’évolution des idées politiques.</w:t>
      </w:r>
    </w:p>
    <w:p w14:paraId="4BD0E823" w14:textId="77777777" w:rsidR="00B01930" w:rsidRPr="00320A86" w:rsidRDefault="00B01930" w:rsidP="00B01930">
      <w:pPr>
        <w:spacing w:before="120" w:after="120"/>
        <w:jc w:val="both"/>
      </w:pPr>
      <w:r w:rsidRPr="00320A86">
        <w:t>L’approche historique présente un caractère d’inachevé qui pr</w:t>
      </w:r>
      <w:r w:rsidRPr="00320A86">
        <w:t>o</w:t>
      </w:r>
      <w:r w:rsidRPr="00320A86">
        <w:t>vient de la recherche du sens précis du texte ou des filiations, des re</w:t>
      </w:r>
      <w:r w:rsidRPr="00320A86">
        <w:t>s</w:t>
      </w:r>
      <w:r w:rsidRPr="00320A86">
        <w:t>semblances ou des diff</w:t>
      </w:r>
      <w:r w:rsidRPr="00320A86">
        <w:t>é</w:t>
      </w:r>
      <w:r w:rsidRPr="00320A86">
        <w:t>rences. Ce qui conduit à dégager des « courants », mais ne répond pas vraiment à la question posée. L’état de la matière fait apparaître, de surcroît, que chaque époque semble plus préoccupée de savoir si les pendules idéologiques ma</w:t>
      </w:r>
      <w:r w:rsidRPr="00320A86">
        <w:t>r</w:t>
      </w:r>
      <w:r w:rsidRPr="00320A86">
        <w:t>quaient autrefois le même temps que le leur. Il est donc plus intéressant de s</w:t>
      </w:r>
      <w:r w:rsidRPr="00320A86">
        <w:t>a</w:t>
      </w:r>
      <w:r w:rsidRPr="00320A86">
        <w:t>voir comment marchent, ou sont construites les pendules</w:t>
      </w:r>
      <w:r>
        <w:t> </w:t>
      </w:r>
      <w:r>
        <w:rPr>
          <w:rStyle w:val="Appelnotedebasdep"/>
        </w:rPr>
        <w:footnoteReference w:id="20"/>
      </w:r>
      <w:r w:rsidRPr="00320A86">
        <w:t>.</w:t>
      </w:r>
    </w:p>
    <w:p w14:paraId="28665A90" w14:textId="77777777" w:rsidR="00B01930" w:rsidRPr="00320A86" w:rsidRDefault="00B01930" w:rsidP="00B01930">
      <w:pPr>
        <w:spacing w:before="120" w:after="120"/>
        <w:jc w:val="both"/>
      </w:pPr>
      <w:r w:rsidRPr="00320A86">
        <w:t>Or « l’histoire – c’est un fait – se prête mal à une typologie</w:t>
      </w:r>
      <w:r>
        <w:t> </w:t>
      </w:r>
      <w:r>
        <w:rPr>
          <w:rStyle w:val="Appelnotedebasdep"/>
        </w:rPr>
        <w:footnoteReference w:id="21"/>
      </w:r>
      <w:r w:rsidRPr="00320A86">
        <w:t> », aussi doit-elle « s’écrire à l’aide des sciences humaines et implique des invariants</w:t>
      </w:r>
      <w:r>
        <w:t> </w:t>
      </w:r>
      <w:r>
        <w:rPr>
          <w:rStyle w:val="Appelnotedebasdep"/>
        </w:rPr>
        <w:footnoteReference w:id="22"/>
      </w:r>
      <w:r w:rsidRPr="00320A86">
        <w:t> ».</w:t>
      </w:r>
    </w:p>
    <w:p w14:paraId="79AD039A" w14:textId="77777777" w:rsidR="00B01930" w:rsidRPr="00320A86" w:rsidRDefault="00B01930" w:rsidP="00B01930">
      <w:pPr>
        <w:spacing w:before="120" w:after="120"/>
        <w:jc w:val="both"/>
      </w:pPr>
      <w:r w:rsidRPr="00320A86">
        <w:lastRenderedPageBreak/>
        <w:t>Ainsi, la problématique martrienne et la recherche d’une méthode adéquate sont d’autant plus légitimes que « l’histoire sans la science politique ne porte aucun fruit</w:t>
      </w:r>
      <w:r>
        <w:t> </w:t>
      </w:r>
      <w:r>
        <w:rPr>
          <w:rStyle w:val="Appelnotedebasdep"/>
        </w:rPr>
        <w:footnoteReference w:id="23"/>
      </w:r>
      <w:r w:rsidRPr="00320A86">
        <w:t> ». Or la méthode structuraliste, en son principe, répondait à cette exigence d’enrichissement par la r</w:t>
      </w:r>
      <w:r w:rsidRPr="00320A86">
        <w:t>e</w:t>
      </w:r>
      <w:r w:rsidRPr="00320A86">
        <w:t>cherche de possibles invariants de la pensée politique. « Les invariants sont-ils organisables en système hypothético-déductif ? C’est là une question de fait dont l’intérêt demeure secondaire</w:t>
      </w:r>
      <w:r>
        <w:t> </w:t>
      </w:r>
      <w:r>
        <w:rPr>
          <w:rStyle w:val="Appelnotedebasdep"/>
        </w:rPr>
        <w:footnoteReference w:id="24"/>
      </w:r>
      <w:r w:rsidRPr="00320A86">
        <w:t> ». Pourtant il se</w:t>
      </w:r>
      <w:r w:rsidRPr="00320A86">
        <w:t>m</w:t>
      </w:r>
      <w:r w:rsidRPr="00320A86">
        <w:t>ble que la querelle perdure au nom du positivisme historique, s’inscrivant dans une controverse quasi théologique dont les intelle</w:t>
      </w:r>
      <w:r w:rsidRPr="00320A86">
        <w:t>c</w:t>
      </w:r>
      <w:r w:rsidRPr="00320A86">
        <w:t>tuels ont le secret et dont Jean-Louis Martres montre dans son ouvrage qu’elle reflète une idiosyncrasie occidentale. L’hypothèse d’invariants de la pensée pol</w:t>
      </w:r>
      <w:r w:rsidRPr="00320A86">
        <w:t>i</w:t>
      </w:r>
      <w:r w:rsidRPr="00320A86">
        <w:t>tique, rendant celle-ci passible d’une approche stru</w:t>
      </w:r>
      <w:r w:rsidRPr="00320A86">
        <w:t>c</w:t>
      </w:r>
      <w:r w:rsidRPr="00320A86">
        <w:t>turale, se doublait du constat prégnant de la constante transformation des idées polit</w:t>
      </w:r>
      <w:r w:rsidRPr="00320A86">
        <w:t>i</w:t>
      </w:r>
      <w:r w:rsidRPr="00320A86">
        <w:t>ques, aussi bien dans le temps que dans l’espace ou encore leur forme. Jean-Louis Martres n’entendait nullement faire l’impasse sur la lux</w:t>
      </w:r>
      <w:r w:rsidRPr="00320A86">
        <w:t>u</w:t>
      </w:r>
      <w:r w:rsidRPr="00320A86">
        <w:t>riance de l’imaginaire de l’homme</w:t>
      </w:r>
      <w:r>
        <w:t> </w:t>
      </w:r>
      <w:r>
        <w:rPr>
          <w:rStyle w:val="Appelnotedebasdep"/>
        </w:rPr>
        <w:footnoteReference w:id="25"/>
      </w:r>
      <w:r w:rsidRPr="00320A86">
        <w:t>. Aussi son appr</w:t>
      </w:r>
      <w:r w:rsidRPr="00320A86">
        <w:t>o</w:t>
      </w:r>
      <w:r w:rsidRPr="00320A86">
        <w:t>che fut-elle tant synchronique (recherche des structures), que diachronique (r</w:t>
      </w:r>
      <w:r w:rsidRPr="00320A86">
        <w:t>e</w:t>
      </w:r>
      <w:r w:rsidRPr="00320A86">
        <w:t>cherche des modes de transformation). D’aucuns peuvent se demander si son hypothèse était un chemin de connaissa</w:t>
      </w:r>
      <w:r w:rsidRPr="00320A86">
        <w:t>n</w:t>
      </w:r>
      <w:r w:rsidRPr="00320A86">
        <w:t>ce digne d’être emprunté ? Est-ce dénué de fondement aujourd’hui ? Laissons à nouveau parler Paul Veyne :</w:t>
      </w:r>
    </w:p>
    <w:p w14:paraId="7D701B1C" w14:textId="77777777" w:rsidR="00B01930" w:rsidRDefault="00B01930" w:rsidP="00B01930">
      <w:pPr>
        <w:pStyle w:val="citation"/>
      </w:pPr>
    </w:p>
    <w:p w14:paraId="50CCFE3A" w14:textId="77777777" w:rsidR="00B01930" w:rsidRDefault="00B01930" w:rsidP="00B01930">
      <w:pPr>
        <w:pStyle w:val="citation"/>
      </w:pPr>
      <w:r w:rsidRPr="00320A86">
        <w:t>« Il y a assurément des schémas qui se répètent, parce que la combin</w:t>
      </w:r>
      <w:r w:rsidRPr="00320A86">
        <w:t>a</w:t>
      </w:r>
      <w:r w:rsidRPr="00320A86">
        <w:t>toire des s</w:t>
      </w:r>
      <w:r w:rsidRPr="00320A86">
        <w:t>o</w:t>
      </w:r>
      <w:r w:rsidRPr="00320A86">
        <w:t>lutions possibles à un problème n’est pas infinie</w:t>
      </w:r>
      <w:r>
        <w:t> </w:t>
      </w:r>
      <w:r>
        <w:rPr>
          <w:rStyle w:val="Appelnotedebasdep"/>
        </w:rPr>
        <w:footnoteReference w:id="26"/>
      </w:r>
      <w:r w:rsidRPr="00320A86">
        <w:t>. »</w:t>
      </w:r>
    </w:p>
    <w:p w14:paraId="6341D70D" w14:textId="77777777" w:rsidR="00B01930" w:rsidRPr="00320A86" w:rsidRDefault="00B01930" w:rsidP="00B01930">
      <w:pPr>
        <w:pStyle w:val="citation"/>
      </w:pPr>
      <w:r>
        <w:br w:type="page"/>
      </w:r>
    </w:p>
    <w:p w14:paraId="6FE401B6" w14:textId="77777777" w:rsidR="00B01930" w:rsidRDefault="00B01930" w:rsidP="00B01930">
      <w:pPr>
        <w:spacing w:before="120" w:after="120"/>
        <w:jc w:val="both"/>
      </w:pPr>
      <w:r w:rsidRPr="00320A86">
        <w:t>Écoutons encore Gilles Lapouge :</w:t>
      </w:r>
    </w:p>
    <w:p w14:paraId="192283DA" w14:textId="77777777" w:rsidR="00B01930" w:rsidRPr="00320A86" w:rsidRDefault="00B01930" w:rsidP="00B01930">
      <w:pPr>
        <w:spacing w:before="120" w:after="120"/>
        <w:jc w:val="both"/>
        <w:rPr>
          <w:i/>
        </w:rPr>
      </w:pPr>
    </w:p>
    <w:p w14:paraId="5C2908DA" w14:textId="77777777" w:rsidR="00B01930" w:rsidRDefault="00B01930" w:rsidP="00B01930">
      <w:pPr>
        <w:pStyle w:val="citation"/>
      </w:pPr>
      <w:r w:rsidRPr="00320A86">
        <w:t>« La machine combinatoire des sociétés n’est pas d’une fécondité in</w:t>
      </w:r>
      <w:r w:rsidRPr="00320A86">
        <w:t>é</w:t>
      </w:r>
      <w:r w:rsidRPr="00320A86">
        <w:t>puisable le nombre de solutions que peut produire le groupe h</w:t>
      </w:r>
      <w:r w:rsidRPr="00320A86">
        <w:t>u</w:t>
      </w:r>
      <w:r w:rsidRPr="00320A86">
        <w:t>main est limité […]. Le discours humain, comme celui de l’histoire […] est un di</w:t>
      </w:r>
      <w:r w:rsidRPr="00320A86">
        <w:t>s</w:t>
      </w:r>
      <w:r w:rsidRPr="00320A86">
        <w:t>cours monotone</w:t>
      </w:r>
      <w:r>
        <w:t> </w:t>
      </w:r>
      <w:r w:rsidRPr="008F703F">
        <w:rPr>
          <w:rStyle w:val="Appelnotedebasdep"/>
          <w:i/>
        </w:rPr>
        <w:footnoteReference w:id="27"/>
      </w:r>
      <w:r w:rsidRPr="00320A86">
        <w:t>. »</w:t>
      </w:r>
    </w:p>
    <w:p w14:paraId="2D45780D" w14:textId="77777777" w:rsidR="00B01930" w:rsidRPr="00320A86" w:rsidRDefault="00B01930" w:rsidP="00B01930">
      <w:pPr>
        <w:pStyle w:val="citation"/>
        <w:rPr>
          <w:rStyle w:val="Appelnotedebasdep1"/>
          <w:i/>
        </w:rPr>
      </w:pPr>
    </w:p>
    <w:p w14:paraId="5D1B50EE" w14:textId="77777777" w:rsidR="00B01930" w:rsidRPr="00320A86" w:rsidRDefault="00B01930" w:rsidP="00B01930">
      <w:pPr>
        <w:spacing w:before="120" w:after="120"/>
        <w:jc w:val="both"/>
      </w:pPr>
      <w:r w:rsidRPr="00320A86">
        <w:t>La méthode est-elle obsolète ? Un historien écrit, à propos de la mythologie grecque :</w:t>
      </w:r>
    </w:p>
    <w:p w14:paraId="7BFC9BDD" w14:textId="77777777" w:rsidR="00B01930" w:rsidRDefault="00B01930" w:rsidP="00B01930">
      <w:pPr>
        <w:pStyle w:val="citation"/>
      </w:pPr>
    </w:p>
    <w:p w14:paraId="24F47296" w14:textId="77777777" w:rsidR="00B01930" w:rsidRDefault="00B01930" w:rsidP="00B01930">
      <w:pPr>
        <w:pStyle w:val="citation"/>
      </w:pPr>
      <w:r w:rsidRPr="00320A86">
        <w:t>« L’histoire doit prendre en compte […] les articulations originales de sa narration. Mais il doit se montrer attentif aux éléments récu</w:t>
      </w:r>
      <w:r w:rsidRPr="00320A86">
        <w:t>r</w:t>
      </w:r>
      <w:r w:rsidRPr="00320A86">
        <w:t>rents que l’on retrouve dans toutes les versions […] qui en forment sinon le squele</w:t>
      </w:r>
      <w:r w:rsidRPr="00320A86">
        <w:t>t</w:t>
      </w:r>
      <w:r w:rsidRPr="00320A86">
        <w:t>te, du moins les articul</w:t>
      </w:r>
      <w:r w:rsidRPr="00320A86">
        <w:t>a</w:t>
      </w:r>
      <w:r w:rsidRPr="00320A86">
        <w:t>tions</w:t>
      </w:r>
      <w:r>
        <w:t> </w:t>
      </w:r>
      <w:r>
        <w:rPr>
          <w:rStyle w:val="Appelnotedebasdep"/>
        </w:rPr>
        <w:footnoteReference w:id="28"/>
      </w:r>
      <w:r w:rsidRPr="00320A86">
        <w:t>. »</w:t>
      </w:r>
    </w:p>
    <w:p w14:paraId="50DC9D5D" w14:textId="77777777" w:rsidR="00B01930" w:rsidRPr="00320A86" w:rsidRDefault="00B01930" w:rsidP="00B01930">
      <w:pPr>
        <w:pStyle w:val="citation"/>
      </w:pPr>
    </w:p>
    <w:p w14:paraId="3A8DCD74" w14:textId="77777777" w:rsidR="00B01930" w:rsidRPr="00320A86" w:rsidRDefault="00B01930" w:rsidP="00B01930">
      <w:pPr>
        <w:spacing w:before="120" w:after="120"/>
        <w:jc w:val="both"/>
      </w:pPr>
      <w:r w:rsidRPr="00320A86">
        <w:t>Il est significatif qu’on retrouve sous la plume de cet historien la notion de squelette déjà utilisée par Jean-Louis Martres comme obje</w:t>
      </w:r>
      <w:r w:rsidRPr="00320A86">
        <w:t>c</w:t>
      </w:r>
      <w:r w:rsidRPr="00320A86">
        <w:t>tif de sa méthode</w:t>
      </w:r>
      <w:r>
        <w:t> </w:t>
      </w:r>
      <w:r>
        <w:rPr>
          <w:rStyle w:val="Appelnotedebasdep"/>
        </w:rPr>
        <w:footnoteReference w:id="29"/>
      </w:r>
      <w:r w:rsidRPr="00320A86">
        <w:t>. L’historien cité montre qu’approche historique et approche structurale sont complémentaires et non antinomiques, car, en définitive, la méthode n’est que le chemin lorsqu’on l’a parcouru et le savoir scientifique, qu’une quête en perpétuel renouvell</w:t>
      </w:r>
      <w:r w:rsidRPr="00320A86">
        <w:t>e</w:t>
      </w:r>
      <w:r w:rsidRPr="00320A86">
        <w:t>ment</w:t>
      </w:r>
      <w:r>
        <w:t> </w:t>
      </w:r>
      <w:r>
        <w:rPr>
          <w:rStyle w:val="Appelnotedebasdep"/>
        </w:rPr>
        <w:footnoteReference w:id="30"/>
      </w:r>
      <w:r w:rsidRPr="00320A86">
        <w:t>. La « disgrâce actuelle [du structuralisme] tient davantage aux nécessités stratégiques des luttes académiques qu’à [sa] valeur réelle</w:t>
      </w:r>
      <w:r>
        <w:t> </w:t>
      </w:r>
      <w:r>
        <w:rPr>
          <w:rStyle w:val="Appelnotedebasdep"/>
        </w:rPr>
        <w:footnoteReference w:id="31"/>
      </w:r>
      <w:r w:rsidRPr="00320A86">
        <w:t> ». Au d</w:t>
      </w:r>
      <w:r w:rsidRPr="00320A86">
        <w:t>e</w:t>
      </w:r>
      <w:r w:rsidRPr="00320A86">
        <w:t>meurant, on pourrait opposer aux thuriféraires de la seule m</w:t>
      </w:r>
      <w:r w:rsidRPr="00320A86">
        <w:t>é</w:t>
      </w:r>
      <w:r w:rsidRPr="00320A86">
        <w:t>thode historique positiviste, le point de vue du toujours ic</w:t>
      </w:r>
      <w:r w:rsidRPr="00320A86">
        <w:t>o</w:t>
      </w:r>
      <w:r w:rsidRPr="00320A86">
        <w:t>noclaste, Paul Veyne : l’histoire n’explique pas et n’a pas de méth</w:t>
      </w:r>
      <w:r w:rsidRPr="00320A86">
        <w:t>o</w:t>
      </w:r>
      <w:r w:rsidRPr="00320A86">
        <w:t>de</w:t>
      </w:r>
      <w:r>
        <w:t> </w:t>
      </w:r>
      <w:r>
        <w:rPr>
          <w:rStyle w:val="Appelnotedebasdep"/>
        </w:rPr>
        <w:footnoteReference w:id="32"/>
      </w:r>
      <w:r w:rsidRPr="00320A86">
        <w:t> ! Mais ce serait s’égarer dans un vain débat qui n’est pas de notre pr</w:t>
      </w:r>
      <w:r w:rsidRPr="00320A86">
        <w:t>o</w:t>
      </w:r>
      <w:r w:rsidRPr="00320A86">
        <w:t xml:space="preserve">pos. </w:t>
      </w:r>
      <w:r w:rsidRPr="00320A86">
        <w:lastRenderedPageBreak/>
        <w:t>D’ailleurs la pensée martrienne ne serait-elle pas une variété ép</w:t>
      </w:r>
      <w:r w:rsidRPr="00320A86">
        <w:t>i</w:t>
      </w:r>
      <w:r w:rsidRPr="00320A86">
        <w:t>phyte de l’histoire ? En effet, tout part et tout revient à l’histoire des idées politiques…</w:t>
      </w:r>
    </w:p>
    <w:p w14:paraId="6D0FBEB8" w14:textId="77777777" w:rsidR="00B01930" w:rsidRPr="00320A86" w:rsidRDefault="00B01930" w:rsidP="00B01930">
      <w:pPr>
        <w:spacing w:before="120" w:after="120"/>
        <w:jc w:val="both"/>
      </w:pPr>
      <w:r w:rsidRPr="00320A86">
        <w:t>Ce qui est certain c’est que Jean-Louis Martres refuse, dès l’introduction de son livre et tout au long de celui-ci, le structuralisme lorsqu’il se pare des atours de l’explication métaphysique</w:t>
      </w:r>
      <w:r>
        <w:t> </w:t>
      </w:r>
      <w:r>
        <w:rPr>
          <w:rStyle w:val="Appelnotedebasdep"/>
        </w:rPr>
        <w:footnoteReference w:id="33"/>
      </w:r>
      <w:r w:rsidRPr="00320A86">
        <w:t>. C’est en ce sens que l’ouvrage s’appelle « les grilles de la pensée politique » et non sous un titre qui eut été trop « lévi-straussien ». De surcroît, le titre souligne un point clef de sa pensée illustré par l’image qu’il e</w:t>
      </w:r>
      <w:r w:rsidRPr="00320A86">
        <w:t>m</w:t>
      </w:r>
      <w:r w:rsidRPr="00320A86">
        <w:t>ployait à la fin de son cours, et qu’il a reprise dans son livre, la roue qu’un écureuil sans mémoire fait tourner</w:t>
      </w:r>
      <w:r>
        <w:t> </w:t>
      </w:r>
      <w:r>
        <w:rPr>
          <w:rStyle w:val="Appelnotedebasdep"/>
        </w:rPr>
        <w:footnoteReference w:id="34"/>
      </w:r>
      <w:r w:rsidRPr="00320A86">
        <w:t>, à moins que lassé il pui</w:t>
      </w:r>
      <w:r w:rsidRPr="00320A86">
        <w:t>s</w:t>
      </w:r>
      <w:r w:rsidRPr="00320A86">
        <w:t>se chercher un autre jouet</w:t>
      </w:r>
      <w:r>
        <w:t> </w:t>
      </w:r>
      <w:r>
        <w:rPr>
          <w:rStyle w:val="Appelnotedebasdep"/>
        </w:rPr>
        <w:footnoteReference w:id="35"/>
      </w:r>
      <w:r w:rsidRPr="00320A86">
        <w:t>, en d’autres termes liberté et contrai</w:t>
      </w:r>
      <w:r w:rsidRPr="00320A86">
        <w:t>n</w:t>
      </w:r>
      <w:r w:rsidRPr="00320A86">
        <w:t>te sont les deux faces indissociables de la pensée de Jean-Louis Ma</w:t>
      </w:r>
      <w:r w:rsidRPr="00320A86">
        <w:t>r</w:t>
      </w:r>
      <w:r w:rsidRPr="00320A86">
        <w:t>tres.</w:t>
      </w:r>
    </w:p>
    <w:p w14:paraId="1014820C" w14:textId="77777777" w:rsidR="00B01930" w:rsidRPr="00320A86" w:rsidRDefault="00B01930" w:rsidP="00B01930">
      <w:pPr>
        <w:spacing w:before="120" w:after="120"/>
        <w:jc w:val="both"/>
      </w:pPr>
      <w:r w:rsidRPr="00320A86">
        <w:t>La recherche d’invariants par la méthode structurale s’appuie sur le concept signifiant de Code : « la définition d’un code est d’être tradu</w:t>
      </w:r>
      <w:r w:rsidRPr="00320A86">
        <w:t>i</w:t>
      </w:r>
      <w:r w:rsidRPr="00320A86">
        <w:t>sible dans un autre code : cette propriété qui le définit s’appelle stru</w:t>
      </w:r>
      <w:r w:rsidRPr="00320A86">
        <w:t>c</w:t>
      </w:r>
      <w:r w:rsidRPr="00320A86">
        <w:t>ture</w:t>
      </w:r>
      <w:r>
        <w:t> </w:t>
      </w:r>
      <w:r>
        <w:rPr>
          <w:rStyle w:val="Appelnotedebasdep"/>
        </w:rPr>
        <w:footnoteReference w:id="36"/>
      </w:r>
      <w:r w:rsidRPr="00320A86">
        <w:t> ». Toute modification d’un des éléments se répercute sur les a</w:t>
      </w:r>
      <w:r w:rsidRPr="00320A86">
        <w:t>u</w:t>
      </w:r>
      <w:r w:rsidRPr="00320A86">
        <w:t>tres du fait de l’appartenance à un groupe de transformations. On doit donc pouvoir prévoir la réaction du modèle en cas de modific</w:t>
      </w:r>
      <w:r w:rsidRPr="00320A86">
        <w:t>a</w:t>
      </w:r>
      <w:r w:rsidRPr="00320A86">
        <w:t>tion d’un des éléments. Le fonctionnement du modèle rend ainsi compte de tous les faits constatés.</w:t>
      </w:r>
    </w:p>
    <w:p w14:paraId="7DCDBABB" w14:textId="77777777" w:rsidR="00B01930" w:rsidRPr="00320A86" w:rsidRDefault="00B01930" w:rsidP="00B01930">
      <w:pPr>
        <w:spacing w:before="120" w:after="120"/>
        <w:jc w:val="both"/>
      </w:pPr>
      <w:r w:rsidRPr="00320A86">
        <w:t>Telle est bien la proposition de Jean-Louis Martres lorsqu’il ident</w:t>
      </w:r>
      <w:r w:rsidRPr="00320A86">
        <w:t>i</w:t>
      </w:r>
      <w:r w:rsidRPr="00320A86">
        <w:t>fie trois codes, trois archétypes, selon l’aménagement du code de v</w:t>
      </w:r>
      <w:r w:rsidRPr="00320A86">
        <w:t>a</w:t>
      </w:r>
      <w:r w:rsidRPr="00320A86">
        <w:t>leurs initial, à savoir le fait que le jugement sur le Bien et sur le Mal est à l’origine de toute constru</w:t>
      </w:r>
      <w:r w:rsidRPr="00320A86">
        <w:t>c</w:t>
      </w:r>
      <w:r w:rsidRPr="00320A86">
        <w:t>tion politique, et inversement, la connaissance de l’un des points de l’idéologie, ou de la doctrine, pe</w:t>
      </w:r>
      <w:r w:rsidRPr="00320A86">
        <w:t>r</w:t>
      </w:r>
      <w:r w:rsidRPr="00320A86">
        <w:t>met de restituer le jugement de valeur initial, la logique du modèle prévalant sur le discours. Pour des raisons didactiques, ces codes ont été nommés de façon plus évocatrice que des numéros (code</w:t>
      </w:r>
      <w:r>
        <w:t> </w:t>
      </w:r>
      <w:r w:rsidRPr="00320A86">
        <w:t>1, c</w:t>
      </w:r>
      <w:r w:rsidRPr="00320A86">
        <w:t>o</w:t>
      </w:r>
      <w:r w:rsidRPr="00320A86">
        <w:t>de 2…), bien que Jean-Louis Martres utilise ceux-ci. Le code n° 1 est appelé par commodité « manichéen inégalitaire », le code n° 2 « relati</w:t>
      </w:r>
      <w:r w:rsidRPr="00320A86">
        <w:lastRenderedPageBreak/>
        <w:t>viste</w:t>
      </w:r>
      <w:r>
        <w:t> </w:t>
      </w:r>
      <w:r>
        <w:rPr>
          <w:rStyle w:val="Appelnotedebasdep"/>
        </w:rPr>
        <w:footnoteReference w:id="37"/>
      </w:r>
      <w:r w:rsidRPr="00320A86">
        <w:t> », le code n° 3 « syncrétique ». Il faut surtout soul</w:t>
      </w:r>
      <w:r w:rsidRPr="00320A86">
        <w:t>i</w:t>
      </w:r>
      <w:r w:rsidRPr="00320A86">
        <w:t>gner que la pensée martrienne ne concerne que le discours, elle est d’ordre purement terrestre et ne prétend contester l’une ou l’autre des doctr</w:t>
      </w:r>
      <w:r w:rsidRPr="00320A86">
        <w:t>i</w:t>
      </w:r>
      <w:r w:rsidRPr="00320A86">
        <w:t>nes, ou prétendre dire que celle-ci est plus vraie que celle-là. Les fins idéales étant, par définition, hors de l’expérience, il n’est pas de son propos de se prononcer sur elles</w:t>
      </w:r>
      <w:r>
        <w:t> </w:t>
      </w:r>
      <w:r>
        <w:rPr>
          <w:rStyle w:val="Appelnotedebasdep"/>
        </w:rPr>
        <w:footnoteReference w:id="38"/>
      </w:r>
      <w:r w:rsidRPr="00320A86">
        <w:t>.</w:t>
      </w:r>
    </w:p>
    <w:p w14:paraId="588196DC" w14:textId="77777777" w:rsidR="00B01930" w:rsidRPr="00320A86" w:rsidRDefault="00B01930" w:rsidP="00B01930">
      <w:pPr>
        <w:spacing w:before="120" w:after="120"/>
        <w:jc w:val="both"/>
      </w:pPr>
      <w:r w:rsidRPr="00320A86">
        <w:t>Toutefois, on peut noter, ici ou là, une certaine oscillation dans l’utilisation du concept de code. Tantôt, il est véritablement la struct</w:t>
      </w:r>
      <w:r w:rsidRPr="00320A86">
        <w:t>u</w:t>
      </w:r>
      <w:r w:rsidRPr="00320A86">
        <w:t>re, c’est-à-dire liée à la nature de l’Homme</w:t>
      </w:r>
      <w:r>
        <w:t> </w:t>
      </w:r>
      <w:r>
        <w:rPr>
          <w:rStyle w:val="Appelnotedebasdep"/>
        </w:rPr>
        <w:footnoteReference w:id="39"/>
      </w:r>
      <w:r w:rsidRPr="00320A86">
        <w:t>, seul l’aménagement des valeurs Bien/Mal est le code. Il utilise alors l’analogie de « l’ordinateur [qui] reste, le logiciel [lui] est mod</w:t>
      </w:r>
      <w:r w:rsidRPr="00320A86">
        <w:t>i</w:t>
      </w:r>
      <w:r w:rsidRPr="00320A86">
        <w:t>fié</w:t>
      </w:r>
      <w:r>
        <w:t> </w:t>
      </w:r>
      <w:r>
        <w:rPr>
          <w:rStyle w:val="Appelnotedebasdep"/>
        </w:rPr>
        <w:footnoteReference w:id="40"/>
      </w:r>
      <w:r w:rsidRPr="00320A86">
        <w:t> ». Tantôt, à l’occasion de l’étude du changement des idées politiques, il pa</w:t>
      </w:r>
      <w:r w:rsidRPr="00320A86">
        <w:t>r</w:t>
      </w:r>
      <w:r w:rsidRPr="00320A86">
        <w:t>le de code transformationnel, qui se définit par un mécanisme propre au code n° 1, qu’il complète par une approche fonctionnelle</w:t>
      </w:r>
      <w:r>
        <w:t> </w:t>
      </w:r>
      <w:r>
        <w:rPr>
          <w:rStyle w:val="Appelnotedebasdep"/>
        </w:rPr>
        <w:footnoteReference w:id="41"/>
      </w:r>
      <w:r w:rsidRPr="00320A86">
        <w:t>. Il est vrai qu’il met en évidence un mécanisme identifiable et stable, qui peut s’assimiler à un code, mais le choix n’est pas explicité. Le « carcan » des mots, en l’espèce ceux de structure ou code, avec leurs connot</w:t>
      </w:r>
      <w:r w:rsidRPr="00320A86">
        <w:t>a</w:t>
      </w:r>
      <w:r w:rsidRPr="00320A86">
        <w:t>tions diverses (fruits des querelles acad</w:t>
      </w:r>
      <w:r w:rsidRPr="00320A86">
        <w:t>é</w:t>
      </w:r>
      <w:r w:rsidRPr="00320A86">
        <w:t>miques), Jean-Louis Martres essaie d’y pallier lorsqu’il précise</w:t>
      </w:r>
      <w:r>
        <w:t> </w:t>
      </w:r>
      <w:r>
        <w:rPr>
          <w:rStyle w:val="Appelnotedebasdep"/>
        </w:rPr>
        <w:footnoteReference w:id="42"/>
      </w:r>
      <w:r w:rsidRPr="00320A86">
        <w:t xml:space="preserve"> qu’« il faudrait disti</w:t>
      </w:r>
      <w:r w:rsidRPr="00320A86">
        <w:t>n</w:t>
      </w:r>
      <w:r w:rsidRPr="00320A86">
        <w:t>guer deux choses lorsque le terme de structure est employé : d’une part la stru</w:t>
      </w:r>
      <w:r w:rsidRPr="00320A86">
        <w:t>c</w:t>
      </w:r>
      <w:r w:rsidRPr="00320A86">
        <w:t>ture quasi génétique qui ne permet pas à l’homme de multiplier ind</w:t>
      </w:r>
      <w:r w:rsidRPr="00320A86">
        <w:t>é</w:t>
      </w:r>
      <w:r w:rsidRPr="00320A86">
        <w:t>finiment son appréhension des choses et d’autre part, le code pr</w:t>
      </w:r>
      <w:r w:rsidRPr="00320A86">
        <w:t>o</w:t>
      </w:r>
      <w:r w:rsidRPr="00320A86">
        <w:t>grammateur, variable et ouvert qui permet la différenciation des cult</w:t>
      </w:r>
      <w:r w:rsidRPr="00320A86">
        <w:t>u</w:t>
      </w:r>
      <w:r w:rsidRPr="00320A86">
        <w:t>res. Il existerait ainsi une structure relevant de la nature et des “stru</w:t>
      </w:r>
      <w:r w:rsidRPr="00320A86">
        <w:t>c</w:t>
      </w:r>
      <w:r w:rsidRPr="00320A86">
        <w:t>tures secondaires” dépendant de la culture ».</w:t>
      </w:r>
    </w:p>
    <w:p w14:paraId="7E856ABB" w14:textId="77777777" w:rsidR="00B01930" w:rsidRPr="00320A86" w:rsidRDefault="00B01930" w:rsidP="00B01930">
      <w:pPr>
        <w:spacing w:before="120" w:after="120"/>
        <w:jc w:val="both"/>
      </w:pPr>
      <w:r w:rsidRPr="00320A86">
        <w:t>Pour notre part,</w:t>
      </w:r>
      <w:r>
        <w:t> </w:t>
      </w:r>
      <w:r>
        <w:rPr>
          <w:rStyle w:val="Appelnotedebasdep"/>
        </w:rPr>
        <w:footnoteReference w:id="43"/>
      </w:r>
      <w:r w:rsidRPr="00320A86">
        <w:t xml:space="preserve"> nous avions proposé de recourir au concept de « grammaire », au sens de la « grammaire générative »</w:t>
      </w:r>
      <w:r>
        <w:t> </w:t>
      </w:r>
      <w:r>
        <w:rPr>
          <w:rStyle w:val="Appelnotedebasdep"/>
        </w:rPr>
        <w:footnoteReference w:id="44"/>
      </w:r>
      <w:r w:rsidRPr="00320A86">
        <w:t xml:space="preserve">, ordonnant </w:t>
      </w:r>
      <w:r w:rsidRPr="00320A86">
        <w:lastRenderedPageBreak/>
        <w:t>et produ</w:t>
      </w:r>
      <w:r w:rsidRPr="00320A86">
        <w:t>i</w:t>
      </w:r>
      <w:r w:rsidRPr="00320A86">
        <w:t>sant les idées politiques. C’est-à-dire qu’il y aurait le discours et le principe ordonnateur, la structure. On peut noter que, dans la l</w:t>
      </w:r>
      <w:r w:rsidRPr="00320A86">
        <w:t>o</w:t>
      </w:r>
      <w:r w:rsidRPr="00320A86">
        <w:t xml:space="preserve">gique structurale, Jean-Louis Martres indique que l’origine du code reste </w:t>
      </w:r>
      <w:r w:rsidRPr="00C83DB1">
        <w:rPr>
          <w:i/>
        </w:rPr>
        <w:t>terra incognita</w:t>
      </w:r>
      <w:r w:rsidRPr="00320A86">
        <w:t>, le processus de fécondation, dit-il, reste opaque et on reconnaît la structure que lors de la formulation (idéol</w:t>
      </w:r>
      <w:r w:rsidRPr="00320A86">
        <w:t>o</w:t>
      </w:r>
      <w:r w:rsidRPr="00320A86">
        <w:t>gique ou doctrinale)</w:t>
      </w:r>
      <w:r>
        <w:t> </w:t>
      </w:r>
      <w:r>
        <w:rPr>
          <w:rStyle w:val="Appelnotedebasdep"/>
        </w:rPr>
        <w:footnoteReference w:id="45"/>
      </w:r>
      <w:r w:rsidRPr="00320A86">
        <w:t>.</w:t>
      </w:r>
    </w:p>
    <w:p w14:paraId="5F5C8EF4" w14:textId="77777777" w:rsidR="00B01930" w:rsidRPr="00320A86" w:rsidRDefault="00B01930" w:rsidP="00B01930">
      <w:pPr>
        <w:spacing w:before="120" w:after="120"/>
        <w:jc w:val="both"/>
      </w:pPr>
      <w:r w:rsidRPr="00320A86">
        <w:t>Si la notion de structure suppose une lecture attentive du texte pour en co</w:t>
      </w:r>
      <w:r w:rsidRPr="00320A86">
        <w:t>m</w:t>
      </w:r>
      <w:r w:rsidRPr="00320A86">
        <w:t>prendre l’utilisation « ouverte » qu’en fait Jean-Louis Martres et, in fine, const</w:t>
      </w:r>
      <w:r w:rsidRPr="00320A86">
        <w:t>a</w:t>
      </w:r>
      <w:r w:rsidRPr="00320A86">
        <w:t>ter sa cohérence avec sa recherche, en revanche l’utilisation des termes d’« arbre généalogique</w:t>
      </w:r>
      <w:r>
        <w:t> </w:t>
      </w:r>
      <w:r>
        <w:rPr>
          <w:rStyle w:val="Appelnotedebasdep"/>
        </w:rPr>
        <w:footnoteReference w:id="46"/>
      </w:r>
      <w:r w:rsidRPr="00320A86">
        <w:t> » dans la seconde partie du livre (titre I, chapitre 2, « De la log</w:t>
      </w:r>
      <w:r w:rsidRPr="00320A86">
        <w:t>i</w:t>
      </w:r>
      <w:r w:rsidRPr="00320A86">
        <w:t>que des contraires »), comme la lecture qui s’ensuit, peut laisser penser qu’il s’agit, peu ou prou, d’une réintroduction, même a minima, de l’idée de « courants », c’est-à-dire de la vision « continuiste » des idées politiques. Ce qui serait en décalage, alors, avec l’hypothèse structurale, même revisitée, mais au</w:t>
      </w:r>
      <w:r w:rsidRPr="00320A86">
        <w:t>s</w:t>
      </w:r>
      <w:r w:rsidRPr="00320A86">
        <w:t>si avec les développements sur un code transformationnel des idées politiques</w:t>
      </w:r>
      <w:r>
        <w:t> </w:t>
      </w:r>
      <w:r>
        <w:rPr>
          <w:rStyle w:val="Appelnotedebasdep"/>
        </w:rPr>
        <w:footnoteReference w:id="47"/>
      </w:r>
      <w:r w:rsidRPr="00320A86">
        <w:t>, sans oublier la critique faite de cette vision class</w:t>
      </w:r>
      <w:r w:rsidRPr="00320A86">
        <w:t>i</w:t>
      </w:r>
      <w:r w:rsidRPr="00320A86">
        <w:t>que des idées politiques…</w:t>
      </w:r>
    </w:p>
    <w:p w14:paraId="7CE50CC4" w14:textId="77777777" w:rsidR="00B01930" w:rsidRPr="00320A86" w:rsidRDefault="00B01930" w:rsidP="00B01930">
      <w:pPr>
        <w:spacing w:before="120" w:after="120"/>
        <w:jc w:val="both"/>
      </w:pPr>
      <w:r w:rsidRPr="00320A86">
        <w:t>Une dernière question, dans le cadre de cette brève introduction : l’identification des structures à partir de l’aménagement du jugement sur le Bien et sur le Mal est-elle hétérodoxe et fruit de l’imaginaire de l’auteur ? Il semble que non. Ainsi Arnold Toynbee</w:t>
      </w:r>
      <w:r>
        <w:t> </w:t>
      </w:r>
      <w:r>
        <w:rPr>
          <w:rStyle w:val="Appelnotedebasdep"/>
        </w:rPr>
        <w:footnoteReference w:id="48"/>
      </w:r>
      <w:r w:rsidRPr="00320A86">
        <w:t xml:space="preserve"> estime-t-il que la distinction Bien-Mal et l’obligation de prendre parti sont inscrites dans la raison humaine. Pour Karl Jaspers, aucune grande philosophie n’est dénuée de pensée politique, même pas celle de grands métaph</w:t>
      </w:r>
      <w:r w:rsidRPr="00320A86">
        <w:t>y</w:t>
      </w:r>
      <w:r w:rsidRPr="00320A86">
        <w:t xml:space="preserve">siciens, et tous les philosophes ont suivi une grande idée politique ; </w:t>
      </w:r>
      <w:r w:rsidRPr="00320A86">
        <w:lastRenderedPageBreak/>
        <w:t>une philosophie se révèle à son expression politique</w:t>
      </w:r>
      <w:r>
        <w:t> </w:t>
      </w:r>
      <w:r>
        <w:rPr>
          <w:rStyle w:val="Appelnotedebasdep"/>
        </w:rPr>
        <w:footnoteReference w:id="49"/>
      </w:r>
      <w:r w:rsidRPr="00320A86">
        <w:t>. La même idée prévaut chez Donoso Cortés :</w:t>
      </w:r>
    </w:p>
    <w:p w14:paraId="7A27AB25" w14:textId="77777777" w:rsidR="00B01930" w:rsidRDefault="00B01930" w:rsidP="00B01930">
      <w:pPr>
        <w:pStyle w:val="citation"/>
      </w:pPr>
    </w:p>
    <w:p w14:paraId="5EDD92AA" w14:textId="77777777" w:rsidR="00B01930" w:rsidRDefault="00B01930" w:rsidP="00B01930">
      <w:pPr>
        <w:pStyle w:val="citation"/>
      </w:pPr>
      <w:r w:rsidRPr="00320A86">
        <w:t>« Toute grande question politique suppose et enveloppe une grande question thé</w:t>
      </w:r>
      <w:r w:rsidRPr="00320A86">
        <w:t>o</w:t>
      </w:r>
      <w:r w:rsidRPr="00320A86">
        <w:t>logique</w:t>
      </w:r>
      <w:r>
        <w:t> </w:t>
      </w:r>
      <w:r w:rsidRPr="008F703F">
        <w:rPr>
          <w:rStyle w:val="Appelnotedebasdep"/>
          <w:i/>
        </w:rPr>
        <w:footnoteReference w:id="50"/>
      </w:r>
      <w:r w:rsidRPr="00320A86">
        <w:t>. »</w:t>
      </w:r>
    </w:p>
    <w:p w14:paraId="75507712" w14:textId="77777777" w:rsidR="00B01930" w:rsidRPr="00320A86" w:rsidRDefault="00B01930" w:rsidP="00B01930">
      <w:pPr>
        <w:pStyle w:val="citation"/>
      </w:pPr>
    </w:p>
    <w:p w14:paraId="2AF4DC49" w14:textId="77777777" w:rsidR="00B01930" w:rsidRPr="00320A86" w:rsidRDefault="00B01930" w:rsidP="00B01930">
      <w:pPr>
        <w:spacing w:before="120" w:after="120"/>
        <w:jc w:val="both"/>
      </w:pPr>
      <w:r w:rsidRPr="00320A86">
        <w:t>Constat repris par le pire adversaire en idées de Donoso Cortés, J</w:t>
      </w:r>
      <w:r w:rsidRPr="00320A86">
        <w:t>o</w:t>
      </w:r>
      <w:r w:rsidRPr="00320A86">
        <w:t>seph Proudhon :</w:t>
      </w:r>
    </w:p>
    <w:p w14:paraId="0EB3A1FB" w14:textId="77777777" w:rsidR="00B01930" w:rsidRDefault="00B01930" w:rsidP="00B01930">
      <w:pPr>
        <w:pStyle w:val="citation"/>
      </w:pPr>
    </w:p>
    <w:p w14:paraId="1C59DC46" w14:textId="77777777" w:rsidR="00B01930" w:rsidRDefault="00B01930" w:rsidP="00B01930">
      <w:pPr>
        <w:pStyle w:val="citation"/>
      </w:pPr>
      <w:r w:rsidRPr="00320A86">
        <w:t>« Il est surprenant qu’au fond de notre politique nous trouvions to</w:t>
      </w:r>
      <w:r w:rsidRPr="00320A86">
        <w:t>u</w:t>
      </w:r>
      <w:r w:rsidRPr="00320A86">
        <w:t>jours la thé</w:t>
      </w:r>
      <w:r w:rsidRPr="00320A86">
        <w:t>o</w:t>
      </w:r>
      <w:r w:rsidRPr="00320A86">
        <w:t>logie</w:t>
      </w:r>
      <w:r>
        <w:t> </w:t>
      </w:r>
      <w:r w:rsidRPr="008F703F">
        <w:rPr>
          <w:rStyle w:val="Appelnotedebasdep"/>
          <w:i/>
        </w:rPr>
        <w:footnoteReference w:id="51"/>
      </w:r>
      <w:r w:rsidRPr="00320A86">
        <w:t>. »</w:t>
      </w:r>
    </w:p>
    <w:p w14:paraId="3E6424D9" w14:textId="77777777" w:rsidR="00B01930" w:rsidRPr="00320A86" w:rsidRDefault="00B01930" w:rsidP="00B01930">
      <w:pPr>
        <w:pStyle w:val="citation"/>
      </w:pPr>
    </w:p>
    <w:p w14:paraId="22E6743F" w14:textId="77777777" w:rsidR="00B01930" w:rsidRPr="00320A86" w:rsidRDefault="00B01930" w:rsidP="00B01930">
      <w:pPr>
        <w:spacing w:before="120" w:after="120"/>
        <w:jc w:val="both"/>
      </w:pPr>
    </w:p>
    <w:p w14:paraId="7E065F70" w14:textId="77777777" w:rsidR="00B01930" w:rsidRPr="00D041A4" w:rsidRDefault="00B01930" w:rsidP="00B01930">
      <w:pPr>
        <w:pStyle w:val="planche"/>
      </w:pPr>
      <w:bookmarkStart w:id="6" w:name="Analyser_idees_pol_pt_1_texte_01_II"/>
      <w:r w:rsidRPr="00D041A4">
        <w:t>II. Hypothèses et histoire</w:t>
      </w:r>
    </w:p>
    <w:bookmarkEnd w:id="6"/>
    <w:p w14:paraId="558841A0" w14:textId="77777777" w:rsidR="00B01930" w:rsidRPr="00320A86" w:rsidRDefault="00B01930" w:rsidP="00B01930">
      <w:pPr>
        <w:spacing w:before="120" w:after="120"/>
        <w:jc w:val="both"/>
      </w:pPr>
    </w:p>
    <w:p w14:paraId="674A6D5E"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2D528B9D" w14:textId="77777777" w:rsidR="00B01930" w:rsidRPr="00320A86" w:rsidRDefault="00B01930" w:rsidP="00B01930">
      <w:pPr>
        <w:spacing w:before="120" w:after="120"/>
        <w:jc w:val="both"/>
      </w:pPr>
      <w:r w:rsidRPr="00320A86">
        <w:t xml:space="preserve">Par cet intitulé, nous entendons évoquer un certain nombre de points qui questionnent le lecteur lors de son périple, lorsqu’il confronte les structures identifiées, et leurs conséquences, avec leurs illustrations </w:t>
      </w:r>
      <w:r w:rsidRPr="00C83DB1">
        <w:rPr>
          <w:i/>
        </w:rPr>
        <w:t>au sein même de l’œuvre martrienne</w:t>
      </w:r>
      <w:r w:rsidRPr="00320A86">
        <w:t>. Par ce questionn</w:t>
      </w:r>
      <w:r w:rsidRPr="00320A86">
        <w:t>e</w:t>
      </w:r>
      <w:r w:rsidRPr="00320A86">
        <w:t>ment, il s’agit seulement d’inciter le le</w:t>
      </w:r>
      <w:r w:rsidRPr="00320A86">
        <w:t>c</w:t>
      </w:r>
      <w:r w:rsidRPr="00320A86">
        <w:t>teur à exercer sa faculté d’observation pour connaître et penser.</w:t>
      </w:r>
    </w:p>
    <w:p w14:paraId="52C2BF0E" w14:textId="77777777" w:rsidR="00B01930" w:rsidRPr="00320A86" w:rsidRDefault="00B01930" w:rsidP="00B01930">
      <w:pPr>
        <w:spacing w:before="120" w:after="120"/>
        <w:jc w:val="both"/>
      </w:pPr>
      <w:r w:rsidRPr="00320A86">
        <w:t>Au préalable, résumons de façon extrêmement succincte – au ri</w:t>
      </w:r>
      <w:r w:rsidRPr="00320A86">
        <w:t>s</w:t>
      </w:r>
      <w:r w:rsidRPr="00320A86">
        <w:t>que de car</w:t>
      </w:r>
      <w:r w:rsidRPr="00320A86">
        <w:t>i</w:t>
      </w:r>
      <w:r w:rsidRPr="00320A86">
        <w:t>caturer un livre d’une densité et d’une richesse extrême – l’hypothèse martrie</w:t>
      </w:r>
      <w:r w:rsidRPr="00320A86">
        <w:t>n</w:t>
      </w:r>
      <w:r w:rsidRPr="00320A86">
        <w:t>ne.</w:t>
      </w:r>
    </w:p>
    <w:p w14:paraId="14285EB2" w14:textId="77777777" w:rsidR="00B01930" w:rsidRPr="00320A86" w:rsidRDefault="00B01930" w:rsidP="00B01930">
      <w:pPr>
        <w:spacing w:before="120" w:after="120"/>
        <w:jc w:val="both"/>
      </w:pPr>
      <w:r w:rsidRPr="00320A86">
        <w:t xml:space="preserve">À partir d’une démarche synchronique qui implique d’immobiliser le corpus des idées politiques « maintenu [ainsi] dans un état statique, </w:t>
      </w:r>
      <w:r w:rsidRPr="00320A86">
        <w:lastRenderedPageBreak/>
        <w:t>afin de le livrer à une étude anatomique</w:t>
      </w:r>
      <w:r>
        <w:t> </w:t>
      </w:r>
      <w:r>
        <w:rPr>
          <w:rStyle w:val="Appelnotedebasdep"/>
        </w:rPr>
        <w:footnoteReference w:id="52"/>
      </w:r>
      <w:r w:rsidRPr="00320A86">
        <w:t> », il s’agit de dresser une typologie des idées. Puis de rendre compte d’une incontournable réal</w:t>
      </w:r>
      <w:r w:rsidRPr="00320A86">
        <w:t>i</w:t>
      </w:r>
      <w:r w:rsidRPr="00320A86">
        <w:t>té historique, à savoir le mouvement des idées politiques et la diversité de leur forme, par une démarche diachronique et fonctionnelle pour rendre « la liberté au corpus</w:t>
      </w:r>
      <w:r>
        <w:t> </w:t>
      </w:r>
      <w:r>
        <w:rPr>
          <w:rStyle w:val="Appelnotedebasdep"/>
        </w:rPr>
        <w:footnoteReference w:id="53"/>
      </w:r>
      <w:r w:rsidRPr="00320A86">
        <w:t> »</w:t>
      </w:r>
      <w:r>
        <w:t> </w:t>
      </w:r>
      <w:r>
        <w:rPr>
          <w:rStyle w:val="Appelnotedebasdep"/>
        </w:rPr>
        <w:footnoteReference w:id="54"/>
      </w:r>
      <w:r w:rsidRPr="00320A86">
        <w:t>.</w:t>
      </w:r>
    </w:p>
    <w:p w14:paraId="6BC587A3" w14:textId="77777777" w:rsidR="00B01930" w:rsidRPr="00320A86" w:rsidRDefault="00B01930" w:rsidP="00B01930">
      <w:pPr>
        <w:spacing w:before="120" w:after="120"/>
        <w:jc w:val="both"/>
      </w:pPr>
      <w:r w:rsidRPr="00320A86">
        <w:t>Il existerait des codes</w:t>
      </w:r>
      <w:r>
        <w:t> </w:t>
      </w:r>
      <w:r>
        <w:rPr>
          <w:rStyle w:val="Appelnotedebasdep"/>
        </w:rPr>
        <w:footnoteReference w:id="55"/>
      </w:r>
      <w:r w:rsidRPr="00320A86">
        <w:t xml:space="preserve"> de la pensée politique, construits à partir de la notion et de la position du Bien et du Mal, </w:t>
      </w:r>
      <w:r w:rsidRPr="00C83DB1">
        <w:rPr>
          <w:i/>
        </w:rPr>
        <w:t>considérés comme e</w:t>
      </w:r>
      <w:r w:rsidRPr="00C83DB1">
        <w:rPr>
          <w:i/>
        </w:rPr>
        <w:t>s</w:t>
      </w:r>
      <w:r w:rsidRPr="00C83DB1">
        <w:rPr>
          <w:i/>
        </w:rPr>
        <w:t>sences</w:t>
      </w:r>
      <w:r w:rsidRPr="00320A86">
        <w:t>, qui, selon leur agencement, déterminent en stricte logique une chaîne de conséquences sur le détenteur du pouvoir, l’exercice du pouvoir et les fins du pouvoir. Si le « déterminisme structural » est rigoureux, lié à la nature du raisonnement, « en revanche la progra</w:t>
      </w:r>
      <w:r w:rsidRPr="00320A86">
        <w:t>m</w:t>
      </w:r>
      <w:r w:rsidRPr="00320A86">
        <w:t>mation du code dépend des circonstances et des réactions individue</w:t>
      </w:r>
      <w:r w:rsidRPr="00320A86">
        <w:t>l</w:t>
      </w:r>
      <w:r w:rsidRPr="00320A86">
        <w:t>les face à des défis historiques singuliers</w:t>
      </w:r>
      <w:r>
        <w:t> </w:t>
      </w:r>
      <w:r>
        <w:rPr>
          <w:rStyle w:val="Appelnotedebasdep"/>
        </w:rPr>
        <w:footnoteReference w:id="56"/>
      </w:r>
      <w:r w:rsidRPr="00320A86">
        <w:t> ». Cela n’exclut pas tout</w:t>
      </w:r>
      <w:r w:rsidRPr="00320A86">
        <w:t>e</w:t>
      </w:r>
      <w:r w:rsidRPr="00320A86">
        <w:t>fois que le logiciel du code obéisse, aussi, à des règles précises de construction dont la matière est la réalité politique, sociale, économ</w:t>
      </w:r>
      <w:r w:rsidRPr="00320A86">
        <w:t>i</w:t>
      </w:r>
      <w:r w:rsidRPr="00320A86">
        <w:t>que, etc., à un moment donné.</w:t>
      </w:r>
    </w:p>
    <w:p w14:paraId="13F1622B" w14:textId="77777777" w:rsidR="00B01930" w:rsidRPr="00320A86" w:rsidRDefault="00B01930" w:rsidP="00B01930">
      <w:pPr>
        <w:spacing w:before="120" w:after="120"/>
        <w:jc w:val="both"/>
      </w:pPr>
    </w:p>
    <w:p w14:paraId="2E4FB91B" w14:textId="77777777" w:rsidR="00B01930" w:rsidRPr="00320A86" w:rsidRDefault="00B01930" w:rsidP="00B01930">
      <w:pPr>
        <w:spacing w:before="120" w:after="120"/>
        <w:jc w:val="both"/>
      </w:pPr>
      <w:r w:rsidRPr="00320A86">
        <w:t xml:space="preserve">II. 1. </w:t>
      </w:r>
      <w:r w:rsidRPr="00D041A4">
        <w:rPr>
          <w:i/>
          <w:color w:val="FF0000"/>
        </w:rPr>
        <w:t>Le code n° 1 (« manichéen inégalitaire »)</w:t>
      </w:r>
    </w:p>
    <w:p w14:paraId="437CFE1A" w14:textId="77777777" w:rsidR="00B01930" w:rsidRDefault="00B01930" w:rsidP="00B01930">
      <w:pPr>
        <w:spacing w:before="120" w:after="120"/>
        <w:jc w:val="both"/>
      </w:pPr>
    </w:p>
    <w:p w14:paraId="2D2CF540" w14:textId="77777777" w:rsidR="00B01930" w:rsidRPr="00320A86" w:rsidRDefault="00B01930" w:rsidP="00B01930">
      <w:pPr>
        <w:spacing w:before="120" w:after="120"/>
        <w:jc w:val="both"/>
      </w:pPr>
      <w:r w:rsidRPr="00320A86">
        <w:t>Ce code se caractérise par un aménagement du Bien et du Mal strictement antithétiques. Bien et Mal sont séparés et, surtout, sépar</w:t>
      </w:r>
      <w:r w:rsidRPr="00320A86">
        <w:t>a</w:t>
      </w:r>
      <w:r w:rsidRPr="00320A86">
        <w:t>bles. Par ailleurs, le Bien est supérieur au Mal ; il existe une possibil</w:t>
      </w:r>
      <w:r w:rsidRPr="00320A86">
        <w:t>i</w:t>
      </w:r>
      <w:r w:rsidRPr="00320A86">
        <w:t>té individuelle et sociale de connaître l’application concrète des deux principes, mais aussi une possibilité transcendante offerte à l’homme de réaliser le Bien par la destruction du Mal. Le Politique est alors l’instrument de ce projet. Il y a un optimisme fondamental qui justifie l’idée de Progrès et la capacité de l’homme en tant qu’individu ou e</w:t>
      </w:r>
      <w:r w:rsidRPr="00320A86">
        <w:t>s</w:t>
      </w:r>
      <w:r w:rsidRPr="00320A86">
        <w:t>pèce de réaliser ce destin par la victoire du Bien. Dès lors seul le d</w:t>
      </w:r>
      <w:r w:rsidRPr="00320A86">
        <w:t>é</w:t>
      </w:r>
      <w:r w:rsidRPr="00320A86">
        <w:t>tenteur de la Vérité peut gouverner. Comment en effet refuser le Po</w:t>
      </w:r>
      <w:r w:rsidRPr="00320A86">
        <w:t>u</w:t>
      </w:r>
      <w:r w:rsidRPr="00320A86">
        <w:lastRenderedPageBreak/>
        <w:t>voir à celui qui peut édifier la Cité débarrassée de tous les maux ? Il faut être fou, ou pervers, pour refuser le pouvoir à celui qui peut sa</w:t>
      </w:r>
      <w:r w:rsidRPr="00320A86">
        <w:t>u</w:t>
      </w:r>
      <w:r w:rsidRPr="00320A86">
        <w:t>ver la cité, ou l’Humanité. Il est vrai que l’homme est libre et cette liberté constitue la source de sa faiblesse face au Mal. L’exercice du Pouvoir consistera, alors, à rendre l’homme meilleur, à changer l’homme, cet exercice du pouvoir sera forcément « totalitaire » et fo</w:t>
      </w:r>
      <w:r w:rsidRPr="00320A86">
        <w:t>n</w:t>
      </w:r>
      <w:r w:rsidRPr="00320A86">
        <w:t>dament</w:t>
      </w:r>
      <w:r w:rsidRPr="00320A86">
        <w:t>a</w:t>
      </w:r>
      <w:r w:rsidRPr="00320A86">
        <w:t>lement « innocent</w:t>
      </w:r>
      <w:r>
        <w:t> </w:t>
      </w:r>
      <w:r>
        <w:rPr>
          <w:rStyle w:val="Appelnotedebasdep"/>
        </w:rPr>
        <w:footnoteReference w:id="57"/>
      </w:r>
      <w:r w:rsidRPr="00320A86">
        <w:t> », du seul fait de la certitude d’agir au nom du Bien pour que tous puissent accéder au Paradis céleste ou te</w:t>
      </w:r>
      <w:r w:rsidRPr="00320A86">
        <w:t>r</w:t>
      </w:r>
      <w:r w:rsidRPr="00320A86">
        <w:t>restre. D’où, en toute bonne conscience, procès, autodafés, bûchers, terreur, camps de rééducation ou d’extermination, à défaut hôpitaux psychiatriques.</w:t>
      </w:r>
    </w:p>
    <w:p w14:paraId="30C96EDE" w14:textId="77777777" w:rsidR="00B01930" w:rsidRPr="00320A86" w:rsidRDefault="00B01930" w:rsidP="00B01930">
      <w:pPr>
        <w:spacing w:before="120" w:after="120"/>
        <w:jc w:val="both"/>
      </w:pPr>
      <w:r w:rsidRPr="00320A86">
        <w:t>Mais d’autres conséquences structurales sont liées à ce code n° 1. Telle que la propagation nécessaire de l’idée de Bien par le prosél</w:t>
      </w:r>
      <w:r w:rsidRPr="00320A86">
        <w:t>y</w:t>
      </w:r>
      <w:r w:rsidRPr="00320A86">
        <w:t>tisme ou la guerre « juste ». Ou encore le double circuit de décision, c’est-à-dire que les institutions politiques sont, sous une forme ou une autre, doublées par un circuit réel aux mains des militants de la cause (cf. les partis nazis ou communistes). De même la cause ou « la face de Dieu</w:t>
      </w:r>
      <w:r>
        <w:t> </w:t>
      </w:r>
      <w:r>
        <w:rPr>
          <w:rStyle w:val="Appelnotedebasdep"/>
        </w:rPr>
        <w:footnoteReference w:id="58"/>
      </w:r>
      <w:r w:rsidRPr="00320A86">
        <w:t> », c’est-à-dire que le Mal, comme la supériorité du Bien et son inéluctable victoire (le Sens de l’Histoire), ne sont pas les fruits d’une opinion, mais résultent d’une cause transcendante, extérieure, que celui qui les professe ne fait que rapporter, révéler : Dieu, rempl</w:t>
      </w:r>
      <w:r w:rsidRPr="00320A86">
        <w:t>a</w:t>
      </w:r>
      <w:r w:rsidRPr="00320A86">
        <w:t>cé par la Nature, l’Économie, la Science. Enfin le code n° 1 de par sa construction fait prévaloir l’avenir « lieu de tous les espoirs […] conduisant nécessairement à une dévalorisation du présent</w:t>
      </w:r>
      <w:r>
        <w:t> </w:t>
      </w:r>
      <w:r>
        <w:rPr>
          <w:rStyle w:val="Appelnotedebasdep"/>
        </w:rPr>
        <w:footnoteReference w:id="59"/>
      </w:r>
      <w:r w:rsidRPr="00320A86">
        <w:t> ». La s</w:t>
      </w:r>
      <w:r w:rsidRPr="00320A86">
        <w:t>o</w:t>
      </w:r>
      <w:r w:rsidRPr="00320A86">
        <w:t>ciété se juge à l’aune du Paradis annoncé. L’Utopie est le premier temps du mécanisme par la proposition d’une cité idéale (décalque inverse de la cité réelle, le Bien se construisant par opposition aux maux constatés). Le décalage entre cette Cité du Bien et la réalité pr</w:t>
      </w:r>
      <w:r w:rsidRPr="00320A86">
        <w:t>o</w:t>
      </w:r>
      <w:r w:rsidRPr="00320A86">
        <w:t>voque des oppositions, des contestations, c’est l’Hérésie qui conduit au changement du Politique ou de la politique</w:t>
      </w:r>
      <w:r>
        <w:t> </w:t>
      </w:r>
      <w:r>
        <w:rPr>
          <w:rStyle w:val="Appelnotedebasdep"/>
        </w:rPr>
        <w:footnoteReference w:id="60"/>
      </w:r>
      <w:r w:rsidRPr="00320A86">
        <w:t>. Le mouvement, de façon différente, selon les époques et les aires géographiques, met en jeu une lutte entre le pouvoir spirituel et le pouvoir temporel. La log</w:t>
      </w:r>
      <w:r w:rsidRPr="00320A86">
        <w:t>i</w:t>
      </w:r>
      <w:r w:rsidRPr="00320A86">
        <w:t>que du code veut que le pouvoir spirituel (qui détient la connai</w:t>
      </w:r>
      <w:r w:rsidRPr="00320A86">
        <w:t>s</w:t>
      </w:r>
      <w:r w:rsidRPr="00320A86">
        <w:t xml:space="preserve">sance du Bien) capture le temporel et en fasse l’instrument de la réalisation du Bien, mais le </w:t>
      </w:r>
      <w:r w:rsidRPr="00320A86">
        <w:lastRenderedPageBreak/>
        <w:t>temporel peut aussi s’inféoder le spirituel, et enfin la lutte peut tendre à un partage, souvent instable, du fait qu’un seul pouvoir peut incarner le Bien.</w:t>
      </w:r>
    </w:p>
    <w:p w14:paraId="3AAF1397" w14:textId="77777777" w:rsidR="00B01930" w:rsidRPr="00320A86" w:rsidRDefault="00B01930" w:rsidP="00B01930">
      <w:pPr>
        <w:spacing w:before="120" w:after="120"/>
        <w:jc w:val="both"/>
      </w:pPr>
      <w:r w:rsidRPr="00320A86">
        <w:t>On comprend dès lors que le christianisme, le marxisme, le nazi</w:t>
      </w:r>
      <w:r w:rsidRPr="00320A86">
        <w:t>s</w:t>
      </w:r>
      <w:r w:rsidRPr="00320A86">
        <w:t>me même, qui comme doctrines sont aux antipodes les unes des a</w:t>
      </w:r>
      <w:r w:rsidRPr="00320A86">
        <w:t>u</w:t>
      </w:r>
      <w:r w:rsidRPr="00320A86">
        <w:t>tres, largement constru</w:t>
      </w:r>
      <w:r w:rsidRPr="00320A86">
        <w:t>i</w:t>
      </w:r>
      <w:r w:rsidRPr="00320A86">
        <w:t>tes sur leurs exclusions réciproques, à partir de prémisses radicalement différe</w:t>
      </w:r>
      <w:r w:rsidRPr="00320A86">
        <w:t>n</w:t>
      </w:r>
      <w:r w:rsidRPr="00320A86">
        <w:t xml:space="preserve">tes, </w:t>
      </w:r>
      <w:r w:rsidRPr="00C83DB1">
        <w:rPr>
          <w:i/>
        </w:rPr>
        <w:t>in fine</w:t>
      </w:r>
      <w:r w:rsidRPr="00320A86">
        <w:t>, ont produit les mêmes conséquences à l’apogée de leur réalisation dans le monde sublunaire, quel que soit le Discours, quels que soient les ho</w:t>
      </w:r>
      <w:r w:rsidRPr="00320A86">
        <w:t>m</w:t>
      </w:r>
      <w:r w:rsidRPr="00320A86">
        <w:t>mes, et par-delà les époques ; la structure n° 1 étant le « moteur » de ces religions et idé</w:t>
      </w:r>
      <w:r w:rsidRPr="00320A86">
        <w:t>o</w:t>
      </w:r>
      <w:r w:rsidRPr="00320A86">
        <w:t>logies</w:t>
      </w:r>
      <w:r>
        <w:t> </w:t>
      </w:r>
      <w:r>
        <w:rPr>
          <w:rStyle w:val="Appelnotedebasdep"/>
        </w:rPr>
        <w:footnoteReference w:id="61"/>
      </w:r>
      <w:r w:rsidRPr="00320A86">
        <w:t>. Le problème est qu’à la lecture, Jean-Louis Martres se</w:t>
      </w:r>
      <w:r w:rsidRPr="00320A86">
        <w:t>m</w:t>
      </w:r>
      <w:r w:rsidRPr="00320A86">
        <w:t>ble exclure l’islam du code n° 1</w:t>
      </w:r>
      <w:r>
        <w:t> </w:t>
      </w:r>
      <w:r>
        <w:rPr>
          <w:rStyle w:val="Appelnotedebasdep"/>
        </w:rPr>
        <w:footnoteReference w:id="62"/>
      </w:r>
      <w:r w:rsidRPr="00320A86">
        <w:t>. Il paraît surprenant en effet de soul</w:t>
      </w:r>
      <w:r w:rsidRPr="00320A86">
        <w:t>i</w:t>
      </w:r>
      <w:r w:rsidRPr="00320A86">
        <w:t>gner qu’il est illusoire de rechercher trop de traits communs avec le christianisme, la « structure » des deux religions étant fort dissembl</w:t>
      </w:r>
      <w:r w:rsidRPr="00320A86">
        <w:t>a</w:t>
      </w:r>
      <w:r w:rsidRPr="00320A86">
        <w:t>bles</w:t>
      </w:r>
      <w:r>
        <w:t> </w:t>
      </w:r>
      <w:r>
        <w:rPr>
          <w:rStyle w:val="Appelnotedebasdep"/>
        </w:rPr>
        <w:footnoteReference w:id="63"/>
      </w:r>
      <w:r w:rsidRPr="00320A86">
        <w:t>. Nonobstant un code « manichéen inégalitaire » sans équiv</w:t>
      </w:r>
      <w:r w:rsidRPr="00320A86">
        <w:t>o</w:t>
      </w:r>
      <w:r w:rsidRPr="00320A86">
        <w:t>que et non contestable selon la définition martrienne, l’islam est histor</w:t>
      </w:r>
      <w:r w:rsidRPr="00320A86">
        <w:t>i</w:t>
      </w:r>
      <w:r w:rsidRPr="00320A86">
        <w:t>quement guerrier et conquérant pour propager la foi en Allah et son prophète</w:t>
      </w:r>
      <w:r>
        <w:t> </w:t>
      </w:r>
      <w:r>
        <w:rPr>
          <w:rStyle w:val="Appelnotedebasdep"/>
        </w:rPr>
        <w:footnoteReference w:id="64"/>
      </w:r>
      <w:r w:rsidRPr="00320A86">
        <w:t>. L’impératif de conversion, plus explicité et fort dès l’origine que dans le christianisme, justifie, à la zone frontière de l’espace de la foi (</w:t>
      </w:r>
      <w:r w:rsidRPr="00C83DB1">
        <w:rPr>
          <w:i/>
        </w:rPr>
        <w:t>Dar al islam</w:t>
      </w:r>
      <w:r w:rsidRPr="00320A86">
        <w:t>) qu’on puisse passer d’une guerre « défensive » à la guerre « offensive »</w:t>
      </w:r>
      <w:r>
        <w:t> </w:t>
      </w:r>
      <w:r>
        <w:rPr>
          <w:rStyle w:val="Appelnotedebasdep"/>
        </w:rPr>
        <w:footnoteReference w:id="65"/>
      </w:r>
      <w:r w:rsidRPr="00320A86">
        <w:t>. Par ailleurs, les « infidèles », à défaut de se convertir, doivent payer tribut pour avoir le droit de v</w:t>
      </w:r>
      <w:r w:rsidRPr="00320A86">
        <w:t>i</w:t>
      </w:r>
      <w:r w:rsidRPr="00320A86">
        <w:t>vre en terre d’islam. Juifs et chrétiens ont constamment été victimes de discriminations juridiques et de persécutions. Pire : les droits o</w:t>
      </w:r>
      <w:r w:rsidRPr="00320A86">
        <w:t>c</w:t>
      </w:r>
      <w:r w:rsidRPr="00320A86">
        <w:t>troyés étaient révocables et régulièrement révoqués, afin de les obl</w:t>
      </w:r>
      <w:r w:rsidRPr="00320A86">
        <w:t>i</w:t>
      </w:r>
      <w:r w:rsidRPr="00320A86">
        <w:t>ger à les racheter sous peine de confiscation des biens, expul</w:t>
      </w:r>
      <w:r w:rsidRPr="00320A86">
        <w:lastRenderedPageBreak/>
        <w:t>sion ou pe</w:t>
      </w:r>
      <w:r w:rsidRPr="00320A86">
        <w:t>r</w:t>
      </w:r>
      <w:r w:rsidRPr="00320A86">
        <w:t>sécutions. Enfin, l’athéisme est, encore aujourd’hui, ina</w:t>
      </w:r>
      <w:r w:rsidRPr="00320A86">
        <w:t>c</w:t>
      </w:r>
      <w:r w:rsidRPr="00320A86">
        <w:t>ceptable</w:t>
      </w:r>
      <w:r>
        <w:t> </w:t>
      </w:r>
      <w:r>
        <w:rPr>
          <w:rStyle w:val="Appelnotedebasdep"/>
        </w:rPr>
        <w:footnoteReference w:id="66"/>
      </w:r>
      <w:r w:rsidRPr="00320A86">
        <w:t>.</w:t>
      </w:r>
    </w:p>
    <w:p w14:paraId="698F52A2" w14:textId="77777777" w:rsidR="00B01930" w:rsidRPr="00320A86" w:rsidRDefault="00B01930" w:rsidP="00B01930">
      <w:pPr>
        <w:spacing w:before="120" w:after="120"/>
        <w:jc w:val="both"/>
      </w:pPr>
      <w:r w:rsidRPr="00320A86">
        <w:t>Jean-Louis Martres a-t-il succombé à une vision forgée sur une image idéal</w:t>
      </w:r>
      <w:r w:rsidRPr="00320A86">
        <w:t>i</w:t>
      </w:r>
      <w:r w:rsidRPr="00320A86">
        <w:t xml:space="preserve">sée de la période maure en Espagne : </w:t>
      </w:r>
      <w:r w:rsidRPr="00BF00DD">
        <w:rPr>
          <w:i/>
        </w:rPr>
        <w:t>Al Andalus</w:t>
      </w:r>
      <w:r w:rsidRPr="00320A86">
        <w:t xml:space="preserve"> (711-1492) ? Ce n’est pas ce</w:t>
      </w:r>
      <w:r w:rsidRPr="00320A86">
        <w:t>r</w:t>
      </w:r>
      <w:r w:rsidRPr="00320A86">
        <w:t>tain au regard de la préface qu’il a écrite à l’ouvrage de son collègue de la F</w:t>
      </w:r>
      <w:r w:rsidRPr="00320A86">
        <w:t>a</w:t>
      </w:r>
      <w:r w:rsidRPr="00320A86">
        <w:t xml:space="preserve">culté de Droit de Bordeaux, Claude Horrut, </w:t>
      </w:r>
      <w:r w:rsidRPr="00BF00DD">
        <w:rPr>
          <w:i/>
        </w:rPr>
        <w:t>Ibn Khaldûn. Un islam des Lumières </w:t>
      </w:r>
      <w:r w:rsidRPr="00320A86">
        <w:t>?</w:t>
      </w:r>
      <w:r>
        <w:t> </w:t>
      </w:r>
      <w:r>
        <w:rPr>
          <w:rStyle w:val="Appelnotedebasdep"/>
        </w:rPr>
        <w:footnoteReference w:id="67"/>
      </w:r>
      <w:r w:rsidRPr="00320A86">
        <w:t>. Jacques Ellul ou A</w:t>
      </w:r>
      <w:r w:rsidRPr="00320A86">
        <w:t>n</w:t>
      </w:r>
      <w:r w:rsidRPr="00320A86">
        <w:t>dré Fontaine, en leur temps, avaient critiqué cette vision idyllique, française et allemande, produite par des intellectuels experts en rati</w:t>
      </w:r>
      <w:r w:rsidRPr="00320A86">
        <w:t>o</w:t>
      </w:r>
      <w:r w:rsidRPr="00320A86">
        <w:t>cination et tenants d’un certain « politiquement correct »</w:t>
      </w:r>
      <w:r>
        <w:t> </w:t>
      </w:r>
      <w:r>
        <w:rPr>
          <w:rStyle w:val="Appelnotedebasdep"/>
        </w:rPr>
        <w:footnoteReference w:id="68"/>
      </w:r>
      <w:r w:rsidRPr="00320A86">
        <w:t>. Pour ce qui nous préoccupe, à savoir la cohérence de la pensée martrienne, il y a là un point d’achoppement non seulement troublant, mais de nature à écorner sérieusement toute la construction de Jean-Louis Martres.</w:t>
      </w:r>
    </w:p>
    <w:p w14:paraId="3A61F555" w14:textId="77777777" w:rsidR="00B01930" w:rsidRPr="00320A86" w:rsidRDefault="00B01930" w:rsidP="00B01930">
      <w:pPr>
        <w:spacing w:before="120" w:after="120"/>
        <w:jc w:val="both"/>
      </w:pPr>
      <w:r w:rsidRPr="00320A86">
        <w:t>D’autant que ce déport de la pensée vis-à-vis de l’islam résulte, v</w:t>
      </w:r>
      <w:r w:rsidRPr="00320A86">
        <w:t>i</w:t>
      </w:r>
      <w:r w:rsidRPr="00320A86">
        <w:t>siblement, du constat que le Coran a fait l’objet de multiples interpr</w:t>
      </w:r>
      <w:r w:rsidRPr="00320A86">
        <w:t>é</w:t>
      </w:r>
      <w:r w:rsidRPr="00320A86">
        <w:t>tations donnant naissance à des écoles et des pratiques différentes s</w:t>
      </w:r>
      <w:r w:rsidRPr="00320A86">
        <w:t>e</w:t>
      </w:r>
      <w:r w:rsidRPr="00320A86">
        <w:t>lon les aires géographiques, les ethnies, les époques. Jean Louis Ma</w:t>
      </w:r>
      <w:r w:rsidRPr="00320A86">
        <w:t>r</w:t>
      </w:r>
      <w:r w:rsidRPr="00320A86">
        <w:t>tres n’hésite pas à affirmer que l’islam, du fait de cette « diversité » symptomatique, pourrait même lutter contre le « totalitarisme » thé</w:t>
      </w:r>
      <w:r w:rsidRPr="00320A86">
        <w:t>o</w:t>
      </w:r>
      <w:r w:rsidRPr="00320A86">
        <w:t>cratique</w:t>
      </w:r>
      <w:r>
        <w:t> </w:t>
      </w:r>
      <w:r>
        <w:rPr>
          <w:rStyle w:val="Appelnotedebasdep"/>
        </w:rPr>
        <w:footnoteReference w:id="69"/>
      </w:r>
      <w:r w:rsidRPr="00320A86">
        <w:t>. Il y a là une contradiction conséquente quant à la validité du code n° 1 qui se trouve réduit à une structure purement occident</w:t>
      </w:r>
      <w:r w:rsidRPr="00320A86">
        <w:t>a</w:t>
      </w:r>
      <w:r w:rsidRPr="00320A86">
        <w:t>le, et non plus universelle. Or structuralement peu importent les œuvres mult</w:t>
      </w:r>
      <w:r w:rsidRPr="00320A86">
        <w:t>i</w:t>
      </w:r>
      <w:r w:rsidRPr="00320A86">
        <w:t>ples, les disputes religieuses, ce qui compte c’est le squelette. Les querelles théolog</w:t>
      </w:r>
      <w:r w:rsidRPr="00320A86">
        <w:t>i</w:t>
      </w:r>
      <w:r w:rsidRPr="00320A86">
        <w:t xml:space="preserve">ques non aucune incidence lorsqu’il s’agit de déterminer l’appartenance d’une pensée à tel ou tel code, en </w:t>
      </w:r>
      <w:r w:rsidRPr="00320A86">
        <w:lastRenderedPageBreak/>
        <w:t>l’espèce le code n° 1. Les modalités ne sont que des « artefacts » qui ne pe</w:t>
      </w:r>
      <w:r w:rsidRPr="00320A86">
        <w:t>u</w:t>
      </w:r>
      <w:r w:rsidRPr="00320A86">
        <w:t>vent intervenir dans la définition du code n° 1. Ce n’est que si la do</w:t>
      </w:r>
      <w:r w:rsidRPr="00320A86">
        <w:t>c</w:t>
      </w:r>
      <w:r w:rsidRPr="00320A86">
        <w:t>trine comporte des éléments de raisonnement visant à ru</w:t>
      </w:r>
      <w:r w:rsidRPr="00320A86">
        <w:t>i</w:t>
      </w:r>
      <w:r w:rsidRPr="00320A86">
        <w:t>ner l’existence transcendante du Bien, qu’alors on peut penser qu’il y a une possible subversion du code n° 1</w:t>
      </w:r>
      <w:r>
        <w:t> </w:t>
      </w:r>
      <w:r>
        <w:rPr>
          <w:rStyle w:val="Appelnotedebasdep"/>
        </w:rPr>
        <w:footnoteReference w:id="70"/>
      </w:r>
      <w:r w:rsidRPr="00320A86">
        <w:t>. Ce n’est pas le cas, même a</w:t>
      </w:r>
      <w:r w:rsidRPr="00320A86">
        <w:t>u</w:t>
      </w:r>
      <w:r w:rsidRPr="00320A86">
        <w:t>jourd’hui, des interpr</w:t>
      </w:r>
      <w:r w:rsidRPr="00320A86">
        <w:t>é</w:t>
      </w:r>
      <w:r w:rsidRPr="00320A86">
        <w:t>tations de l’islam. Le Coran reste la Vérité, la Seule Vérité dans l’espace m</w:t>
      </w:r>
      <w:r w:rsidRPr="00320A86">
        <w:t>u</w:t>
      </w:r>
      <w:r w:rsidRPr="00320A86">
        <w:t>sulman, mais aussi vis-à-vis du monde. La mutation est, peut être, en cours vers une laïcisation, mais l’histoire, à ce jour, n’autorise pas à refuser l’appartenance de l’islam au code n° 1.</w:t>
      </w:r>
    </w:p>
    <w:p w14:paraId="5B0D879B" w14:textId="77777777" w:rsidR="00B01930" w:rsidRPr="00320A86" w:rsidRDefault="00B01930" w:rsidP="00B01930">
      <w:pPr>
        <w:spacing w:before="120" w:after="120"/>
        <w:jc w:val="both"/>
      </w:pPr>
      <w:r w:rsidRPr="00320A86">
        <w:t>Sinon, Jean-Louis Martres devait soutenir la même argumentation pour le christianisme qui, dès l’origine, a fait l’objet de multiples i</w:t>
      </w:r>
      <w:r w:rsidRPr="00320A86">
        <w:t>n</w:t>
      </w:r>
      <w:r w:rsidRPr="00320A86">
        <w:t>terprétations. C’est l’une d’elles, parmi d’autres, qui a triomphé et donné le christianisme tel qu’on le connaît, secoué régulièrement par des hérésies, combattues par l’Église Catholique apostolique et r</w:t>
      </w:r>
      <w:r w:rsidRPr="00320A86">
        <w:t>o</w:t>
      </w:r>
      <w:r w:rsidRPr="00320A86">
        <w:t>maine qui définit l’orthodoxie</w:t>
      </w:r>
      <w:r>
        <w:t> </w:t>
      </w:r>
      <w:r>
        <w:rPr>
          <w:rStyle w:val="Appelnotedebasdep"/>
        </w:rPr>
        <w:footnoteReference w:id="71"/>
      </w:r>
      <w:r w:rsidRPr="00320A86">
        <w:t>. Si on accepte la thèse martrienne sur l’islam, alors ce ne serait plus le code n° 1 qui ferait la particul</w:t>
      </w:r>
      <w:r w:rsidRPr="00320A86">
        <w:t>a</w:t>
      </w:r>
      <w:r w:rsidRPr="00320A86">
        <w:t>rité du christianisme (et serait même une des caractéristiques majeures de l’Occident). C’est l’Église Catholique qui l’incarnerait, en quelque sorte, dans la longue durée. Or ce sont les circonstances historiques qui ont fait qu’elle s’est identifiée aux institutions et à la forme polit</w:t>
      </w:r>
      <w:r w:rsidRPr="00320A86">
        <w:t>i</w:t>
      </w:r>
      <w:r w:rsidRPr="00320A86">
        <w:t>que de l’Empire romain. Autrement dit, c’est un accident historique qui ferait la particularité du code n° 1. En ce cas, tout l’intérêt de la théorie de l’universalité des codes et surtout toute la constru</w:t>
      </w:r>
      <w:r w:rsidRPr="00320A86">
        <w:t>c</w:t>
      </w:r>
      <w:r w:rsidRPr="00320A86">
        <w:t>tion du code n° 1 se trouve fortement compromise.</w:t>
      </w:r>
    </w:p>
    <w:p w14:paraId="31183B52" w14:textId="77777777" w:rsidR="00B01930" w:rsidRPr="00320A86" w:rsidRDefault="00B01930" w:rsidP="00B01930">
      <w:pPr>
        <w:spacing w:before="120" w:after="120"/>
        <w:jc w:val="both"/>
      </w:pPr>
      <w:r w:rsidRPr="00320A86">
        <w:t>L’interprétation martrienne de l’islam est d’autant plus déconce</w:t>
      </w:r>
      <w:r w:rsidRPr="00320A86">
        <w:t>r</w:t>
      </w:r>
      <w:r w:rsidRPr="00320A86">
        <w:t>tante qu’elle reconnaît que la falsafa (la philosophie) dans l’islam a été stoppée dès le XII</w:t>
      </w:r>
      <w:r w:rsidRPr="00320A86">
        <w:rPr>
          <w:vertAlign w:val="superscript"/>
        </w:rPr>
        <w:t>e</w:t>
      </w:r>
      <w:r w:rsidRPr="00320A86">
        <w:t> siècle et s’est même rigidifiée</w:t>
      </w:r>
      <w:r>
        <w:t> </w:t>
      </w:r>
      <w:r>
        <w:rPr>
          <w:rStyle w:val="Appelnotedebasdep"/>
        </w:rPr>
        <w:footnoteReference w:id="72"/>
      </w:r>
      <w:r w:rsidRPr="00320A86">
        <w:t>. Autrement dit, même si Averroès avait ouvert quelque voie rationnelle pour une le</w:t>
      </w:r>
      <w:r w:rsidRPr="00320A86">
        <w:t>c</w:t>
      </w:r>
      <w:r w:rsidRPr="00320A86">
        <w:t>ture « apaisée »</w:t>
      </w:r>
      <w:r>
        <w:t> </w:t>
      </w:r>
      <w:r>
        <w:rPr>
          <w:rStyle w:val="Appelnotedebasdep"/>
        </w:rPr>
        <w:footnoteReference w:id="73"/>
      </w:r>
      <w:r w:rsidRPr="00320A86">
        <w:t xml:space="preserve"> du Coran, cela n’autorise pas l’affirmation selon l</w:t>
      </w:r>
      <w:r w:rsidRPr="00320A86">
        <w:t>a</w:t>
      </w:r>
      <w:r w:rsidRPr="00320A86">
        <w:t>quelle l’islam ne relève pas du code n° 1.</w:t>
      </w:r>
    </w:p>
    <w:p w14:paraId="09A895DB" w14:textId="77777777" w:rsidR="00B01930" w:rsidRPr="00320A86" w:rsidRDefault="00B01930" w:rsidP="00B01930">
      <w:pPr>
        <w:spacing w:before="120" w:after="120"/>
        <w:jc w:val="both"/>
      </w:pPr>
      <w:r w:rsidRPr="00320A86">
        <w:t xml:space="preserve">Au demeurant, qu’il nous soit permis de souligner qu’Averroès (1126-1198) n’écarte pas la Révélation. Il la réserve à une élite, ce qui </w:t>
      </w:r>
      <w:r w:rsidRPr="00320A86">
        <w:lastRenderedPageBreak/>
        <w:t>est strictement conforme à la logique du code n° 1. Même si la subtil</w:t>
      </w:r>
      <w:r w:rsidRPr="00320A86">
        <w:t>i</w:t>
      </w:r>
      <w:r w:rsidRPr="00320A86">
        <w:t>té de la pensée du phil</w:t>
      </w:r>
      <w:r w:rsidRPr="00320A86">
        <w:t>o</w:t>
      </w:r>
      <w:r w:rsidRPr="00320A86">
        <w:t>sophe peut ouvrir quelques brèches, peut-on vraiment penser que l’averroïsme serait à même de « détrôner » le c</w:t>
      </w:r>
      <w:r w:rsidRPr="00320A86">
        <w:t>o</w:t>
      </w:r>
      <w:r w:rsidRPr="00320A86">
        <w:t>de n° 1 ? Hamadi Redissi</w:t>
      </w:r>
      <w:r>
        <w:t> </w:t>
      </w:r>
      <w:r>
        <w:rPr>
          <w:rStyle w:val="Appelnotedebasdep"/>
        </w:rPr>
        <w:footnoteReference w:id="74"/>
      </w:r>
      <w:r w:rsidRPr="00320A86">
        <w:t xml:space="preserve"> fait observer que si les Arabes au IX</w:t>
      </w:r>
      <w:r w:rsidRPr="00320A86">
        <w:rPr>
          <w:vertAlign w:val="superscript"/>
        </w:rPr>
        <w:t>e</w:t>
      </w:r>
      <w:r w:rsidRPr="00320A86">
        <w:t xml:space="preserve"> siècle ont rencontré la pensée grecque, et par là même plus ou moins l’idée de démocratie, ils ont traduit celle-ci par : </w:t>
      </w:r>
      <w:r w:rsidRPr="00BF00DD">
        <w:rPr>
          <w:i/>
        </w:rPr>
        <w:t>Cité de la r</w:t>
      </w:r>
      <w:r w:rsidRPr="00BF00DD">
        <w:rPr>
          <w:i/>
        </w:rPr>
        <w:t>o</w:t>
      </w:r>
      <w:r w:rsidRPr="00BF00DD">
        <w:rPr>
          <w:i/>
        </w:rPr>
        <w:t>ture</w:t>
      </w:r>
      <w:r w:rsidRPr="00320A86">
        <w:t xml:space="preserve">, </w:t>
      </w:r>
      <w:r w:rsidRPr="00BF00DD">
        <w:rPr>
          <w:i/>
        </w:rPr>
        <w:t>Cité luxurieuse et lieu de libertinage</w:t>
      </w:r>
      <w:r w:rsidRPr="00320A86">
        <w:t xml:space="preserve"> (Al Fârâbî – 877-950). Ils ont assimilé ce régime à l’anarchie et à une variante de la cité ignora</w:t>
      </w:r>
      <w:r w:rsidRPr="00320A86">
        <w:t>n</w:t>
      </w:r>
      <w:r w:rsidRPr="00320A86">
        <w:t>te [c’est-à-dire du Bien]. Ils n’ont jamais, selon lui, imaginé un peuple laïc</w:t>
      </w:r>
      <w:r>
        <w:t> </w:t>
      </w:r>
      <w:r>
        <w:rPr>
          <w:rStyle w:val="Appelnotedebasdep"/>
        </w:rPr>
        <w:footnoteReference w:id="75"/>
      </w:r>
      <w:r w:rsidRPr="00320A86">
        <w:t>.</w:t>
      </w:r>
    </w:p>
    <w:p w14:paraId="2389969A" w14:textId="77777777" w:rsidR="00B01930" w:rsidRPr="00320A86" w:rsidRDefault="00B01930" w:rsidP="00B01930">
      <w:pPr>
        <w:spacing w:before="120" w:after="120"/>
        <w:jc w:val="both"/>
      </w:pPr>
      <w:r w:rsidRPr="00320A86">
        <w:t>Il ne s’agit pas de nier la diversité des interprétations, ni leur int</w:t>
      </w:r>
      <w:r w:rsidRPr="00320A86">
        <w:t>é</w:t>
      </w:r>
      <w:r w:rsidRPr="00320A86">
        <w:t>rêt ou leur originalité, dans le contexte qui est le leur, à savoir l’islam, mais nous relevons l’incohérence de la déduction qui semble en être faite au regard de l’hypothèse initiale quant au code n° 1.</w:t>
      </w:r>
    </w:p>
    <w:p w14:paraId="70635394" w14:textId="77777777" w:rsidR="00B01930" w:rsidRPr="00320A86" w:rsidRDefault="00B01930" w:rsidP="00B01930">
      <w:pPr>
        <w:spacing w:before="120" w:after="120"/>
        <w:jc w:val="both"/>
      </w:pPr>
      <w:r w:rsidRPr="00320A86">
        <w:t>Si l’islam est le point d’achoppement de la pensée martrienne au regard de ses propres postulats, d’autres points méritent que le lecteur qui entend penser s’y arrête.</w:t>
      </w:r>
    </w:p>
    <w:p w14:paraId="2D8A5977" w14:textId="77777777" w:rsidR="00B01930" w:rsidRPr="00320A86" w:rsidRDefault="00B01930" w:rsidP="00B01930">
      <w:pPr>
        <w:spacing w:before="120" w:after="120"/>
        <w:jc w:val="both"/>
      </w:pPr>
      <w:r w:rsidRPr="00320A86">
        <w:t xml:space="preserve">– Tout d’abord la notion d’Utopie qui, </w:t>
      </w:r>
      <w:r w:rsidRPr="00BF00DD">
        <w:rPr>
          <w:i/>
        </w:rPr>
        <w:t>a priori</w:t>
      </w:r>
      <w:r w:rsidRPr="00320A86">
        <w:t>, est liée strictement au code n° 1.</w:t>
      </w:r>
    </w:p>
    <w:p w14:paraId="2F96F815" w14:textId="77777777" w:rsidR="00B01930" w:rsidRPr="00320A86" w:rsidRDefault="00B01930" w:rsidP="00B01930">
      <w:pPr>
        <w:spacing w:before="120" w:after="120"/>
        <w:jc w:val="both"/>
      </w:pPr>
      <w:r w:rsidRPr="00320A86">
        <w:t>Abordant l’Antiquité, Jean-Louis Martres écrit que l’imaginaire occidental est le même, et il emploie le terme d’utopie à l’occasion de développements r</w:t>
      </w:r>
      <w:r w:rsidRPr="00320A86">
        <w:t>e</w:t>
      </w:r>
      <w:r w:rsidRPr="00320A86">
        <w:t>latifs aux pensées grecques et romaines. Il inclut</w:t>
      </w:r>
      <w:r>
        <w:t> </w:t>
      </w:r>
      <w:r>
        <w:rPr>
          <w:rStyle w:val="Appelnotedebasdep"/>
        </w:rPr>
        <w:footnoteReference w:id="76"/>
      </w:r>
      <w:r w:rsidRPr="00320A86">
        <w:t xml:space="preserve"> </w:t>
      </w:r>
      <w:r w:rsidRPr="00BF00DD">
        <w:rPr>
          <w:i/>
        </w:rPr>
        <w:t>de facto</w:t>
      </w:r>
      <w:r w:rsidRPr="00320A86">
        <w:t xml:space="preserve"> l’Antiquité dans la structure binaire qui est le propre du code </w:t>
      </w:r>
      <w:r w:rsidRPr="00320A86">
        <w:lastRenderedPageBreak/>
        <w:t>n° 1, lequel, hormis Platon, transforma et façonna notre pensée seul</w:t>
      </w:r>
      <w:r w:rsidRPr="00320A86">
        <w:t>e</w:t>
      </w:r>
      <w:r w:rsidRPr="00320A86">
        <w:t>ment depuis « la Révolution chrétienne ». L’Antiquité ne connaissait pas la Vérité. Écoles, sectes, n’étaient ni dogmat</w:t>
      </w:r>
      <w:r w:rsidRPr="00320A86">
        <w:t>i</w:t>
      </w:r>
      <w:r w:rsidRPr="00320A86">
        <w:t>ques, ni prosélytes. Chacun ouvrait « sa boutique » et attendait « le client »</w:t>
      </w:r>
      <w:r>
        <w:t> </w:t>
      </w:r>
      <w:r>
        <w:rPr>
          <w:rStyle w:val="Appelnotedebasdep"/>
        </w:rPr>
        <w:footnoteReference w:id="77"/>
      </w:r>
      <w:r w:rsidRPr="00320A86">
        <w:t>. Jean-Louis Martres écrit</w:t>
      </w:r>
      <w:r>
        <w:t> </w:t>
      </w:r>
      <w:r>
        <w:rPr>
          <w:rStyle w:val="Appelnotedebasdep"/>
        </w:rPr>
        <w:footnoteReference w:id="78"/>
      </w:r>
      <w:r w:rsidRPr="00320A86">
        <w:t xml:space="preserve">, et nous a confirmé </w:t>
      </w:r>
      <w:r w:rsidRPr="00BF00DD">
        <w:rPr>
          <w:i/>
        </w:rPr>
        <w:t>de vivo</w:t>
      </w:r>
      <w:r w:rsidRPr="00320A86">
        <w:t xml:space="preserve"> que le monde païen était d’essence relativiste (code n° 2). Dès lors le terme d’utopie est-il vraiment adapté ? N’affaiblit-il pas la démonstration quant à la sing</w:t>
      </w:r>
      <w:r w:rsidRPr="00320A86">
        <w:t>u</w:t>
      </w:r>
      <w:r w:rsidRPr="00320A86">
        <w:t>larité du code n° 1</w:t>
      </w:r>
      <w:r>
        <w:t> </w:t>
      </w:r>
      <w:r>
        <w:rPr>
          <w:rStyle w:val="Appelnotedebasdep"/>
        </w:rPr>
        <w:footnoteReference w:id="79"/>
      </w:r>
      <w:r w:rsidRPr="00320A86">
        <w:t> ?</w:t>
      </w:r>
    </w:p>
    <w:p w14:paraId="4DB80CE7" w14:textId="77777777" w:rsidR="00B01930" w:rsidRPr="00320A86" w:rsidRDefault="00B01930" w:rsidP="00B01930">
      <w:pPr>
        <w:spacing w:before="120" w:after="120"/>
        <w:jc w:val="both"/>
      </w:pPr>
      <w:r w:rsidRPr="00320A86">
        <w:t>De même quand il suggère que lorsque l’utopie « épouse et insp</w:t>
      </w:r>
      <w:r w:rsidRPr="00320A86">
        <w:t>i</w:t>
      </w:r>
      <w:r w:rsidRPr="00320A86">
        <w:t>re » la prat</w:t>
      </w:r>
      <w:r w:rsidRPr="00320A86">
        <w:t>i</w:t>
      </w:r>
      <w:r w:rsidRPr="00320A86">
        <w:t>que, alors la légitimité serait à son apogée et il y aurait apaisement des passions. Il nous semble que cela est contradictoire avec le postulat du code n° 1 selon lequel la réalisation de l’Utopie en sa plénitude, c’est-à-dire la Cité idéale, est, par logique structurale, le « totalitarisme » (ou la tyrannie).</w:t>
      </w:r>
    </w:p>
    <w:p w14:paraId="28D3DA81" w14:textId="77777777" w:rsidR="00B01930" w:rsidRPr="00320A86" w:rsidRDefault="00B01930" w:rsidP="00B01930">
      <w:pPr>
        <w:spacing w:before="120" w:after="120"/>
        <w:jc w:val="both"/>
      </w:pPr>
      <w:r w:rsidRPr="00320A86">
        <w:t>– Ensuite, la liaison entre code n° 1, prosélytisme et guerre « juste », éludée pour l’islam, se pose pour le judaïsme, mais en sens contraire.</w:t>
      </w:r>
    </w:p>
    <w:p w14:paraId="62723F82" w14:textId="77777777" w:rsidR="00B01930" w:rsidRPr="00320A86" w:rsidRDefault="00B01930" w:rsidP="00B01930">
      <w:pPr>
        <w:spacing w:before="120" w:after="120"/>
        <w:jc w:val="both"/>
      </w:pPr>
      <w:r w:rsidRPr="00320A86">
        <w:t>En effet, cette liaison dérivée ne s’est pas concrétisée, fût-ce à un moment, même court, dans l’Histoire pour le peuple hébreu. Si dans l’Antiquité on trouve des conversions, celles-ci furent l’exception</w:t>
      </w:r>
      <w:r>
        <w:t> </w:t>
      </w:r>
      <w:r>
        <w:rPr>
          <w:rStyle w:val="Appelnotedebasdep"/>
        </w:rPr>
        <w:footnoteReference w:id="80"/>
      </w:r>
      <w:r w:rsidRPr="00320A86">
        <w:t xml:space="preserve"> et, en tout cas, ne résultèrent pas d’un prosélytisme. Pas plus que le j</w:t>
      </w:r>
      <w:r w:rsidRPr="00320A86">
        <w:t>u</w:t>
      </w:r>
      <w:r w:rsidRPr="00320A86">
        <w:t>daïsme n’a produit de manifestations an</w:t>
      </w:r>
      <w:r w:rsidRPr="00320A86">
        <w:t>a</w:t>
      </w:r>
      <w:r w:rsidRPr="00320A86">
        <w:t>logues à la croisade ou au djihad, alors même que l’Ancien Testament érigeait les Hébreux en Peuple élu d’un Dieu unique qui s’adresse au monde entier. Ce</w:t>
      </w:r>
      <w:r w:rsidRPr="00320A86">
        <w:t>r</w:t>
      </w:r>
      <w:r w:rsidRPr="00320A86">
        <w:t>tes, on peut expliquer cette curieuse exception au code n°</w:t>
      </w:r>
      <w:r>
        <w:t> </w:t>
      </w:r>
      <w:r w:rsidRPr="00320A86">
        <w:t>1 par les textes. La Bible (</w:t>
      </w:r>
      <w:r w:rsidRPr="00BF00DD">
        <w:rPr>
          <w:i/>
        </w:rPr>
        <w:t>Lévitique</w:t>
      </w:r>
      <w:r w:rsidRPr="00320A86">
        <w:t xml:space="preserve"> 20 ; 24-25) dit que Yahvé a voulu séparer les H</w:t>
      </w:r>
      <w:r w:rsidRPr="00320A86">
        <w:t>é</w:t>
      </w:r>
      <w:r w:rsidRPr="00320A86">
        <w:t>breux des a</w:t>
      </w:r>
      <w:r w:rsidRPr="00320A86">
        <w:t>u</w:t>
      </w:r>
      <w:r w:rsidRPr="00320A86">
        <w:t>tres peuples. Ils ne doivent pas se mélanger, « le peuple n’est pas compté parmi les nations</w:t>
      </w:r>
      <w:r>
        <w:t> </w:t>
      </w:r>
      <w:r>
        <w:rPr>
          <w:rStyle w:val="Appelnotedebasdep"/>
        </w:rPr>
        <w:footnoteReference w:id="81"/>
      </w:r>
      <w:r w:rsidRPr="00320A86">
        <w:t xml:space="preserve"> ». La nourriture elle-même sert à </w:t>
      </w:r>
      <w:r w:rsidRPr="00320A86">
        <w:lastRenderedPageBreak/>
        <w:t>isoler les Juifs des non-juifs</w:t>
      </w:r>
      <w:r>
        <w:t> </w:t>
      </w:r>
      <w:r>
        <w:rPr>
          <w:rStyle w:val="Appelnotedebasdep"/>
        </w:rPr>
        <w:footnoteReference w:id="82"/>
      </w:r>
      <w:r w:rsidRPr="00320A86">
        <w:t>. Mais l’hypothèse martrienne du c</w:t>
      </w:r>
      <w:r w:rsidRPr="00320A86">
        <w:t>o</w:t>
      </w:r>
      <w:r w:rsidRPr="00320A86">
        <w:t>de n° 1 implique le lien. Bien entendu il est dépendant, comme toutes les liaisons du code, des circonstances historiques, des enjeux de puissa</w:t>
      </w:r>
      <w:r w:rsidRPr="00320A86">
        <w:t>n</w:t>
      </w:r>
      <w:r w:rsidRPr="00320A86">
        <w:t>ce etc., mais à un moment il y aura, au minimum, théorisation, si ce n’est pratique de la conversion pacifique ou guerrière. Or il n’en est rien. Les guerres successives d’Israël n’ont pas eu pour fondement la conversion</w:t>
      </w:r>
      <w:r>
        <w:t> </w:t>
      </w:r>
      <w:r>
        <w:rPr>
          <w:rStyle w:val="Appelnotedebasdep"/>
        </w:rPr>
        <w:footnoteReference w:id="83"/>
      </w:r>
      <w:r w:rsidRPr="00320A86">
        <w:t>.</w:t>
      </w:r>
    </w:p>
    <w:p w14:paraId="53FB445A" w14:textId="77777777" w:rsidR="00B01930" w:rsidRPr="00320A86" w:rsidRDefault="00B01930" w:rsidP="00B01930">
      <w:pPr>
        <w:spacing w:before="120" w:after="120"/>
        <w:jc w:val="both"/>
      </w:pPr>
      <w:r w:rsidRPr="00320A86">
        <w:t>Jean-Louis Martres a avancé</w:t>
      </w:r>
      <w:r>
        <w:t> </w:t>
      </w:r>
      <w:r>
        <w:rPr>
          <w:rStyle w:val="Appelnotedebasdep"/>
        </w:rPr>
        <w:footnoteReference w:id="84"/>
      </w:r>
      <w:r w:rsidRPr="00320A86">
        <w:t xml:space="preserve"> que cette particularité résulterait de la clôture biologique de la judéité qui ne peut résulter que de la fili</w:t>
      </w:r>
      <w:r w:rsidRPr="00320A86">
        <w:t>a</w:t>
      </w:r>
      <w:r w:rsidRPr="00320A86">
        <w:t>tion, notamment m</w:t>
      </w:r>
      <w:r w:rsidRPr="00320A86">
        <w:t>a</w:t>
      </w:r>
      <w:r w:rsidRPr="00320A86">
        <w:t>triarcale.</w:t>
      </w:r>
    </w:p>
    <w:p w14:paraId="697A20A3" w14:textId="77777777" w:rsidR="00B01930" w:rsidRPr="00320A86" w:rsidRDefault="00B01930" w:rsidP="00B01930">
      <w:pPr>
        <w:spacing w:before="120" w:after="120"/>
        <w:jc w:val="both"/>
      </w:pPr>
      <w:r w:rsidRPr="00320A86">
        <w:t>Cette « clôture biologique » rend impossible, ou inutile, le prosél</w:t>
      </w:r>
      <w:r w:rsidRPr="00320A86">
        <w:t>y</w:t>
      </w:r>
      <w:r w:rsidRPr="00320A86">
        <w:t>tisme ou la guerre « sainte ».</w:t>
      </w:r>
    </w:p>
    <w:p w14:paraId="0D42F54B" w14:textId="77777777" w:rsidR="00B01930" w:rsidRPr="00320A86" w:rsidRDefault="00B01930" w:rsidP="00B01930">
      <w:pPr>
        <w:spacing w:before="120" w:after="120"/>
        <w:jc w:val="both"/>
      </w:pPr>
      <w:r w:rsidRPr="00320A86">
        <w:t>On pourrait envisager  une autre explication, complémentaire. Le  judaïsme est bâti sur une conception d’un Dieu unique parlant à  l’ensemble de l’humanité mais il n’en reste pas moins qu’il a pactisé avec un seul peuple : les hébreux (Israël est devenu le peuple de Dieu par l’alliance conclue au Sinaï (Ex. 19-24),  à qui il a attribué un sol précis qu’il doit conquérir et conserver s’il veut ne pas être abandonné par Yahvé.</w:t>
      </w:r>
    </w:p>
    <w:p w14:paraId="5CC8FD2F" w14:textId="77777777" w:rsidR="00B01930" w:rsidRPr="00320A86" w:rsidRDefault="00B01930" w:rsidP="00B01930">
      <w:pPr>
        <w:spacing w:before="120" w:after="120"/>
        <w:jc w:val="both"/>
      </w:pPr>
      <w:r w:rsidRPr="00320A86">
        <w:t>Pour préserver le pacte, et rester élus, non seulement, comme on l’a vue ci-dessus, les juifs doivent s’isoler mais, de surcroît, ils do</w:t>
      </w:r>
      <w:r w:rsidRPr="00320A86">
        <w:t>i</w:t>
      </w:r>
      <w:r w:rsidRPr="00320A86">
        <w:t>vent rester enracinés en Palestine (et y revenir « l’an prochain à Jér</w:t>
      </w:r>
      <w:r w:rsidRPr="00320A86">
        <w:t>u</w:t>
      </w:r>
      <w:r w:rsidRPr="00320A86">
        <w:t>salem », quel que soit en réalité le moment dans l’Histoire). Il y a donc un frein supplémentaire sérieux à l’expansionnisme religieux. En revanche on peut se demander si, lorsque les ci</w:t>
      </w:r>
      <w:r w:rsidRPr="00320A86">
        <w:t>r</w:t>
      </w:r>
      <w:r w:rsidRPr="00320A86">
        <w:t>constances historiques s’y prêtent,  la guerre juste (« sainte ») – de conversion dans le sch</w:t>
      </w:r>
      <w:r w:rsidRPr="00320A86">
        <w:t>é</w:t>
      </w:r>
      <w:r w:rsidRPr="00320A86">
        <w:t xml:space="preserve">ma n° 1 donc expansionniste – ne s’exprime pas, dans le judaïsme, sous la forme de la conquête territoriale,  mais strictement limitée au périmètre géographique donné à l’origine aux hébreux par Dieu, sans pouvoir outrepasser, sous peine d’encourir la colère du Tout Puissant. </w:t>
      </w:r>
      <w:r w:rsidRPr="00320A86">
        <w:lastRenderedPageBreak/>
        <w:t>Le contexte historique, géop</w:t>
      </w:r>
      <w:r w:rsidRPr="00320A86">
        <w:t>o</w:t>
      </w:r>
      <w:r w:rsidRPr="00320A86">
        <w:t>litique, définit les modalités de la « reconquête » (des implantations d’avant la seconde guerre mondiale, à la guerre de 1948, à l’extension du territoire suite à celle de 1967, et enfin le système des colonies depuis cette date). Séparation par la naissance et les rites, délimitation d’un territoire irrévocablement fixé et sacré – condition du salut eschatologique –, sont des éléments qui expliqueraient  la particularité du judaïsme au regard  de la guerre « sainte ». Celle-ci existe mais sous la forme spécifique d’un but terr</w:t>
      </w:r>
      <w:r w:rsidRPr="00320A86">
        <w:t>i</w:t>
      </w:r>
      <w:r w:rsidRPr="00320A86">
        <w:t>torial bien circonscrit, exclusif de toute conversion de par la nature même du judaïsme.</w:t>
      </w:r>
    </w:p>
    <w:p w14:paraId="25A5E418" w14:textId="77777777" w:rsidR="00B01930" w:rsidRPr="00320A86" w:rsidRDefault="00B01930" w:rsidP="00B01930">
      <w:pPr>
        <w:spacing w:before="120" w:after="120"/>
        <w:jc w:val="both"/>
      </w:pPr>
      <w:r w:rsidRPr="00320A86">
        <w:t>Faut-il « doubler » cette ébauche d’explication avec une autre fa</w:t>
      </w:r>
      <w:r w:rsidRPr="00320A86">
        <w:t>i</w:t>
      </w:r>
      <w:r w:rsidRPr="00320A86">
        <w:t>sant appel à la manifestation du code n° 1 dans la durée ? Au risque de verser dans une v</w:t>
      </w:r>
      <w:r w:rsidRPr="00320A86">
        <w:t>i</w:t>
      </w:r>
      <w:r w:rsidRPr="00320A86">
        <w:t>sion eschatologique chrétienne de l’Histoire ?</w:t>
      </w:r>
    </w:p>
    <w:p w14:paraId="682C3566" w14:textId="77777777" w:rsidR="00B01930" w:rsidRPr="00320A86" w:rsidRDefault="00B01930" w:rsidP="00B01930">
      <w:pPr>
        <w:spacing w:before="120" w:after="120"/>
        <w:jc w:val="both"/>
      </w:pPr>
      <w:r w:rsidRPr="00320A86">
        <w:t>Le judaïsme indiscutablement est de type « manichéen inégalita</w:t>
      </w:r>
      <w:r w:rsidRPr="00320A86">
        <w:t>i</w:t>
      </w:r>
      <w:r w:rsidRPr="00320A86">
        <w:t>re ». Au long de son histoire, il s’est enrichi, notamment, d’éléments qui en sont des dérivés logiques et fonctionnels au regard des circon</w:t>
      </w:r>
      <w:r w:rsidRPr="00320A86">
        <w:t>s</w:t>
      </w:r>
      <w:r w:rsidRPr="00320A86">
        <w:t>tances et des questions du peuple juif qui cherchait des réponses à ses tribulations. Parmi ces dérivés on peut signaler la Résurrection des morts, apparue tardivement (</w:t>
      </w:r>
      <w:r w:rsidRPr="00BF00DD">
        <w:rPr>
          <w:i/>
        </w:rPr>
        <w:t>Daniel</w:t>
      </w:r>
      <w:r w:rsidRPr="00320A86">
        <w:t>, 164 av. J.-C.), pour répondre à l’incompréhension des Juifs qui ne comprenaient pas que bons ou m</w:t>
      </w:r>
      <w:r w:rsidRPr="00320A86">
        <w:t>é</w:t>
      </w:r>
      <w:r w:rsidRPr="00320A86">
        <w:t>chants tous étaient voués au néant une fois mort</w:t>
      </w:r>
      <w:r>
        <w:t> </w:t>
      </w:r>
      <w:r>
        <w:rPr>
          <w:rStyle w:val="Appelnotedebasdep"/>
        </w:rPr>
        <w:footnoteReference w:id="85"/>
      </w:r>
      <w:r w:rsidRPr="00320A86">
        <w:t>, de même pour les idées d’Enfer et de Diable.</w:t>
      </w:r>
    </w:p>
    <w:p w14:paraId="03096B3E" w14:textId="77777777" w:rsidR="00B01930" w:rsidRPr="00320A86" w:rsidRDefault="00B01930" w:rsidP="00B01930">
      <w:pPr>
        <w:spacing w:before="120" w:after="120"/>
        <w:jc w:val="both"/>
      </w:pPr>
      <w:r w:rsidRPr="00320A86">
        <w:t>La lutte contre Rome, l’effervescence religieuse extraordinaire qui travaillait la Palestine, a ouvert la porte à la possibilité de voir le code n° 1 se réaliser ple</w:t>
      </w:r>
      <w:r w:rsidRPr="00320A86">
        <w:t>i</w:t>
      </w:r>
      <w:r w:rsidRPr="00320A86">
        <w:t>nement. Ce fut le christianisme et la totale cassure avec le judaïsme opérée par un homme, Saint Paul qui comprit toute la portée révolutionnaire de cette césure pour assurer la propagation de « la bonne nouvelle ».</w:t>
      </w:r>
    </w:p>
    <w:p w14:paraId="1B63CD31" w14:textId="77777777" w:rsidR="00B01930" w:rsidRPr="00320A86" w:rsidRDefault="00B01930" w:rsidP="00B01930">
      <w:pPr>
        <w:spacing w:before="120" w:after="120"/>
        <w:jc w:val="both"/>
      </w:pPr>
      <w:r w:rsidRPr="00320A86">
        <w:t>À Rome les soubresauts politiques, sociaux, les cultes à mystères qui proliféraient, ont concouru à la propagation de cette doctrine in</w:t>
      </w:r>
      <w:r w:rsidRPr="00320A86">
        <w:t>é</w:t>
      </w:r>
      <w:r w:rsidRPr="00320A86">
        <w:t>dite, totalement no</w:t>
      </w:r>
      <w:r w:rsidRPr="00320A86">
        <w:t>u</w:t>
      </w:r>
      <w:r w:rsidRPr="00320A86">
        <w:t>velle et résolument conquérante des esprits : par le prosélytisme qui est un d</w:t>
      </w:r>
      <w:r w:rsidRPr="00320A86">
        <w:t>e</w:t>
      </w:r>
      <w:r w:rsidRPr="00320A86">
        <w:t>voir, le refus du mode de vie romain et de la soumission aux lois sacrilèges.</w:t>
      </w:r>
    </w:p>
    <w:p w14:paraId="5EC395F6" w14:textId="77777777" w:rsidR="00B01930" w:rsidRPr="00320A86" w:rsidRDefault="00B01930" w:rsidP="00B01930">
      <w:pPr>
        <w:spacing w:before="120" w:after="120"/>
        <w:jc w:val="both"/>
      </w:pPr>
      <w:r w:rsidRPr="00320A86">
        <w:lastRenderedPageBreak/>
        <w:t>Ensuite, une fois majoritaire, la religion chrétienne, par pure log</w:t>
      </w:r>
      <w:r w:rsidRPr="00320A86">
        <w:t>i</w:t>
      </w:r>
      <w:r w:rsidRPr="00320A86">
        <w:t>que doctr</w:t>
      </w:r>
      <w:r w:rsidRPr="00320A86">
        <w:t>i</w:t>
      </w:r>
      <w:r w:rsidRPr="00320A86">
        <w:t>nale</w:t>
      </w:r>
      <w:r>
        <w:t> </w:t>
      </w:r>
      <w:r>
        <w:rPr>
          <w:rStyle w:val="Appelnotedebasdep"/>
        </w:rPr>
        <w:footnoteReference w:id="86"/>
      </w:r>
      <w:r w:rsidRPr="00320A86">
        <w:t>, persécutera les « païens ».</w:t>
      </w:r>
    </w:p>
    <w:p w14:paraId="105CE1F3" w14:textId="77777777" w:rsidR="00B01930" w:rsidRPr="00320A86" w:rsidRDefault="00B01930" w:rsidP="00B01930">
      <w:pPr>
        <w:spacing w:before="120" w:after="120"/>
        <w:jc w:val="both"/>
      </w:pPr>
      <w:r w:rsidRPr="00320A86">
        <w:t>Autrement dit, le prosélytisme et la guerre « juste », qui auraient dû émerger du judaïsme, et se trouvaient entravés par « la clôture de la filiation » selon Jean-Louis Martres, auraient trouvé leur vecteur d’expression par le christianisme, qui fit ainsi le lien logique avec le code de valeurs du code n° 1.</w:t>
      </w:r>
    </w:p>
    <w:p w14:paraId="5654EA1D" w14:textId="77777777" w:rsidR="00B01930" w:rsidRPr="00320A86" w:rsidRDefault="00B01930" w:rsidP="00B01930">
      <w:pPr>
        <w:spacing w:before="120" w:after="120"/>
        <w:jc w:val="both"/>
      </w:pPr>
      <w:r w:rsidRPr="00320A86">
        <w:t>D’aucuns peuvent voir là la confirmation de la réécriture de l’Histoire par le christianisme, qui se considère comme accompliss</w:t>
      </w:r>
      <w:r w:rsidRPr="00320A86">
        <w:t>e</w:t>
      </w:r>
      <w:r w:rsidRPr="00320A86">
        <w:t>ment de l’inéluctable. Tout était écrit, selon la vision téléologique qui l’inspire en conformité avec le code n° 1. Alors qu’en fait, on le voit même par ces quelques lignes, il a fallu moult circonstances histor</w:t>
      </w:r>
      <w:r w:rsidRPr="00320A86">
        <w:t>i</w:t>
      </w:r>
      <w:r w:rsidRPr="00320A86">
        <w:t>ques, et le rôle d’individualités, pour que germe et fasse souche la nouvelle doctrine. Sans oublier ensuite toutes les vicissitudes polit</w:t>
      </w:r>
      <w:r w:rsidRPr="00320A86">
        <w:t>i</w:t>
      </w:r>
      <w:r w:rsidRPr="00320A86">
        <w:t>ques, sociales, doctrinales qui font que le christianisme aurait pu se résorber, ou être différent</w:t>
      </w:r>
      <w:r>
        <w:t> </w:t>
      </w:r>
      <w:r>
        <w:rPr>
          <w:rStyle w:val="Appelnotedebasdep"/>
        </w:rPr>
        <w:footnoteReference w:id="87"/>
      </w:r>
      <w:r w:rsidRPr="00320A86">
        <w:t>. C’est peut-être son immense proximité avec le code n° 1 qui a fait qu’il a, sous une forme non écrite d’avance, pu exercer sa force d’attraction et convaincre les Empereurs et les monarques barbares de l’embrasser pour a</w:t>
      </w:r>
      <w:r w:rsidRPr="00320A86">
        <w:t>c</w:t>
      </w:r>
      <w:r w:rsidRPr="00320A86">
        <w:t>quérir, ou renforcer, leur pouvoir.</w:t>
      </w:r>
    </w:p>
    <w:p w14:paraId="12A63547" w14:textId="77777777" w:rsidR="00B01930" w:rsidRPr="00320A86" w:rsidRDefault="00B01930" w:rsidP="00B01930">
      <w:pPr>
        <w:spacing w:before="120" w:after="120"/>
        <w:jc w:val="both"/>
      </w:pPr>
      <w:r w:rsidRPr="00320A86">
        <w:t>Pour autant la coupure du lien entre code n° 1, prosélytisme et guerre « sainte » au sein du judaïsme ne trouve pas de réponse total</w:t>
      </w:r>
      <w:r w:rsidRPr="00320A86">
        <w:t>e</w:t>
      </w:r>
      <w:r w:rsidRPr="00320A86">
        <w:t>ment satisfaisante, en l’état.</w:t>
      </w:r>
    </w:p>
    <w:p w14:paraId="0D569700" w14:textId="77777777" w:rsidR="00B01930" w:rsidRPr="00320A86" w:rsidRDefault="00B01930" w:rsidP="00B01930">
      <w:pPr>
        <w:spacing w:before="120" w:after="120"/>
        <w:jc w:val="both"/>
      </w:pPr>
      <w:r w:rsidRPr="00320A86">
        <w:t>– Cette problématique de la logique structurale du code n° 1 connaît une a</w:t>
      </w:r>
      <w:r w:rsidRPr="00320A86">
        <w:t>u</w:t>
      </w:r>
      <w:r w:rsidRPr="00320A86">
        <w:t>tre exception. Elle concerne le cœur même du code qui veut que le spirituel ait vocation à assujettir le temporel si le rapport de forces s’y prête.</w:t>
      </w:r>
    </w:p>
    <w:p w14:paraId="4DEB82F0" w14:textId="77777777" w:rsidR="00B01930" w:rsidRPr="00320A86" w:rsidRDefault="00B01930" w:rsidP="00B01930">
      <w:pPr>
        <w:spacing w:before="120" w:after="120"/>
        <w:jc w:val="both"/>
      </w:pPr>
      <w:r w:rsidRPr="00320A86">
        <w:t>Or les Coptes refusèrent obstinément le lien entre État et Église et furent, pour cela, persécutés par les chrétiens (du courant dom</w:t>
      </w:r>
      <w:r w:rsidRPr="00320A86">
        <w:t>i</w:t>
      </w:r>
      <w:r w:rsidRPr="00320A86">
        <w:t>nant)</w:t>
      </w:r>
      <w:r>
        <w:t> </w:t>
      </w:r>
      <w:r>
        <w:rPr>
          <w:rStyle w:val="Appelnotedebasdep"/>
        </w:rPr>
        <w:footnoteReference w:id="88"/>
      </w:r>
      <w:r w:rsidRPr="00320A86">
        <w:t xml:space="preserve">. Cette position n’a jamais varié. Pourtant, selon l’hypothèse </w:t>
      </w:r>
      <w:r w:rsidRPr="00320A86">
        <w:lastRenderedPageBreak/>
        <w:t>martrie</w:t>
      </w:r>
      <w:r w:rsidRPr="00320A86">
        <w:t>n</w:t>
      </w:r>
      <w:r w:rsidRPr="00320A86">
        <w:t>ne, peu importe le di</w:t>
      </w:r>
      <w:r w:rsidRPr="00320A86">
        <w:t>s</w:t>
      </w:r>
      <w:r w:rsidRPr="00320A86">
        <w:t>cours, la logique structurale prévaut. D’ailleurs c’est bien ce qui s’est passé avec le thème chrétien du « Rendez à C</w:t>
      </w:r>
      <w:r w:rsidRPr="00320A86">
        <w:t>é</w:t>
      </w:r>
      <w:r w:rsidRPr="00320A86">
        <w:t>sar ce qui est à César, et à Dieu ce qui est à Dieu », d’autant que « mon royaume n’est pas de ce monde » professe le Christ.</w:t>
      </w:r>
    </w:p>
    <w:p w14:paraId="5F0B03E8" w14:textId="77777777" w:rsidR="00B01930" w:rsidRPr="00320A86" w:rsidRDefault="00B01930" w:rsidP="00B01930">
      <w:pPr>
        <w:spacing w:before="120" w:after="120"/>
        <w:jc w:val="both"/>
      </w:pPr>
      <w:r w:rsidRPr="00320A86">
        <w:t>Or l’Église a constamment cherché à capturer le pouvoir, luttant contre l’Empereur au profit de la théocratie pontificale</w:t>
      </w:r>
      <w:r>
        <w:t> </w:t>
      </w:r>
      <w:r>
        <w:rPr>
          <w:rStyle w:val="Appelnotedebasdep"/>
        </w:rPr>
        <w:footnoteReference w:id="89"/>
      </w:r>
      <w:r w:rsidRPr="00320A86">
        <w:t>, puis che</w:t>
      </w:r>
      <w:r w:rsidRPr="00320A86">
        <w:t>r</w:t>
      </w:r>
      <w:r w:rsidRPr="00320A86">
        <w:t>chant à soumettre le Monarque pour finir par refuser la République ou la Démocratie libérale parl</w:t>
      </w:r>
      <w:r w:rsidRPr="00320A86">
        <w:t>e</w:t>
      </w:r>
      <w:r w:rsidRPr="00320A86">
        <w:t>mentaire, et, in fine, s’en accommoder</w:t>
      </w:r>
      <w:r>
        <w:t> </w:t>
      </w:r>
      <w:r>
        <w:rPr>
          <w:rStyle w:val="Appelnotedebasdep"/>
        </w:rPr>
        <w:footnoteReference w:id="90"/>
      </w:r>
      <w:r w:rsidRPr="00320A86">
        <w:t>.</w:t>
      </w:r>
    </w:p>
    <w:p w14:paraId="44A1C980" w14:textId="77777777" w:rsidR="00B01930" w:rsidRPr="00320A86" w:rsidRDefault="00B01930" w:rsidP="00B01930">
      <w:pPr>
        <w:spacing w:before="120" w:after="120"/>
        <w:jc w:val="both"/>
      </w:pPr>
      <w:r w:rsidRPr="00320A86">
        <w:t>Jean-Louis Martres, à juste titre, avec une rare subtilité, intègre n</w:t>
      </w:r>
      <w:r w:rsidRPr="00320A86">
        <w:t>o</w:t>
      </w:r>
      <w:r w:rsidRPr="00320A86">
        <w:t>tamment dans sa démarche diachronique toute la complexité du réel et ne manque pas de décrire, ou de mentionner tous les facteurs qui pe</w:t>
      </w:r>
      <w:r w:rsidRPr="00320A86">
        <w:t>u</w:t>
      </w:r>
      <w:r w:rsidRPr="00320A86">
        <w:t>vent intervenir dans la réalis</w:t>
      </w:r>
      <w:r w:rsidRPr="00320A86">
        <w:t>a</w:t>
      </w:r>
      <w:r w:rsidRPr="00320A86">
        <w:t>tion, ou non, du code, comme de toutes ses composantes, même si, néanmoins, le sujet reste ouvert concernant les Coptes.</w:t>
      </w:r>
    </w:p>
    <w:p w14:paraId="0DBC14C3" w14:textId="77777777" w:rsidR="00B01930" w:rsidRPr="00320A86" w:rsidRDefault="00B01930" w:rsidP="00B01930">
      <w:pPr>
        <w:spacing w:before="120" w:after="120"/>
        <w:jc w:val="both"/>
      </w:pPr>
      <w:r w:rsidRPr="00320A86">
        <w:t>En conclusion, constatons que si l’on concède que, pour des motifs qu’il ne nous appartient pas de rechercher ou d’expliciter dans le c</w:t>
      </w:r>
      <w:r w:rsidRPr="00320A86">
        <w:t>a</w:t>
      </w:r>
      <w:r w:rsidRPr="00320A86">
        <w:t>dre sommaire de ce</w:t>
      </w:r>
      <w:r w:rsidRPr="00320A86">
        <w:t>t</w:t>
      </w:r>
      <w:r w:rsidRPr="00320A86">
        <w:t>te introduction, Jean-Louis Martes se montre en ce qui concerne l’islam, soit ambivalent, soit en contradiction avec ses hypothèses, les autres points ne sont pas totalement dirimants en ce qui concerne l’intérêt heuristique de la structure n° 1. Il appartient au lecteur-voyageur d’en découvrir la nouveauté explicative en toute l</w:t>
      </w:r>
      <w:r w:rsidRPr="00320A86">
        <w:t>i</w:t>
      </w:r>
      <w:r w:rsidRPr="00320A86">
        <w:t>berté.</w:t>
      </w:r>
    </w:p>
    <w:p w14:paraId="0375277A" w14:textId="77777777" w:rsidR="00B01930" w:rsidRDefault="00B01930" w:rsidP="00B01930">
      <w:pPr>
        <w:spacing w:before="120" w:after="120"/>
        <w:jc w:val="both"/>
      </w:pPr>
      <w:r w:rsidRPr="00320A86">
        <w:t>Mais que ce soit en 1972-1976, lors de son cours, ou par la suite jusqu’à son livre, il est intéressant de citer ce texte de Gilles Lapo</w:t>
      </w:r>
      <w:r w:rsidRPr="00320A86">
        <w:t>u</w:t>
      </w:r>
      <w:r w:rsidRPr="00320A86">
        <w:t>ge</w:t>
      </w:r>
      <w:r>
        <w:t> </w:t>
      </w:r>
      <w:r>
        <w:rPr>
          <w:rStyle w:val="Appelnotedebasdep"/>
        </w:rPr>
        <w:footnoteReference w:id="91"/>
      </w:r>
      <w:r w:rsidRPr="00320A86">
        <w:t> :</w:t>
      </w:r>
    </w:p>
    <w:p w14:paraId="4078345C" w14:textId="77777777" w:rsidR="00B01930" w:rsidRPr="00320A86" w:rsidRDefault="00B01930" w:rsidP="00B01930">
      <w:pPr>
        <w:spacing w:before="120" w:after="120"/>
        <w:jc w:val="both"/>
      </w:pPr>
      <w:r>
        <w:br w:type="page"/>
      </w:r>
    </w:p>
    <w:p w14:paraId="5E7D7A5F" w14:textId="77777777" w:rsidR="00B01930" w:rsidRPr="00320A86" w:rsidRDefault="00B01930" w:rsidP="00B01930">
      <w:pPr>
        <w:pStyle w:val="citation"/>
      </w:pPr>
      <w:r w:rsidRPr="00320A86">
        <w:t>« L’histoire n’a d’autre pouvoir que d’agencer la mort […] Co</w:t>
      </w:r>
      <w:r w:rsidRPr="00320A86">
        <w:t>m</w:t>
      </w:r>
      <w:r w:rsidRPr="00320A86">
        <w:t>ment s’interdire de rêver ? […] N’est-il pas tentateur d’échanger Rome, Bab</w:t>
      </w:r>
      <w:r w:rsidRPr="00320A86">
        <w:t>y</w:t>
      </w:r>
      <w:r w:rsidRPr="00320A86">
        <w:t>lone […] contre les résidences de la léthargie ? Là se dre</w:t>
      </w:r>
      <w:r w:rsidRPr="00320A86">
        <w:t>s</w:t>
      </w:r>
      <w:r w:rsidRPr="00320A86">
        <w:t>sent les belles constructions du sommeil et de la raison, au bord des Empires du di</w:t>
      </w:r>
      <w:r w:rsidRPr="00320A86">
        <w:t>a</w:t>
      </w:r>
      <w:r w:rsidRPr="00320A86">
        <w:t>mant. L’ordre et la pâleur, l’ennui, l’hébétude, la perfection délivrent des cr</w:t>
      </w:r>
      <w:r w:rsidRPr="00320A86">
        <w:t>é</w:t>
      </w:r>
      <w:r w:rsidRPr="00320A86">
        <w:t>puscules : la Raison triomphe et le Temps recule enfin […]. La do</w:t>
      </w:r>
      <w:r w:rsidRPr="00320A86">
        <w:t>u</w:t>
      </w:r>
      <w:r w:rsidRPr="00320A86">
        <w:t>ceur de vivre annonce celle de mourir ».</w:t>
      </w:r>
    </w:p>
    <w:p w14:paraId="0ECC7D42" w14:textId="77777777" w:rsidR="00B01930" w:rsidRPr="00320A86" w:rsidRDefault="00B01930" w:rsidP="00B01930">
      <w:pPr>
        <w:spacing w:before="120" w:after="120"/>
        <w:jc w:val="both"/>
      </w:pPr>
    </w:p>
    <w:p w14:paraId="55EE1249" w14:textId="77777777" w:rsidR="00B01930" w:rsidRPr="00320A86" w:rsidRDefault="00B01930" w:rsidP="00B01930">
      <w:pPr>
        <w:spacing w:before="120" w:after="120"/>
        <w:jc w:val="both"/>
      </w:pPr>
      <w:r w:rsidRPr="00320A86">
        <w:t xml:space="preserve">II. 2. </w:t>
      </w:r>
      <w:r w:rsidRPr="00644411">
        <w:rPr>
          <w:i/>
          <w:color w:val="FF0000"/>
        </w:rPr>
        <w:t>Le code n° 2 (« relativiste »)</w:t>
      </w:r>
    </w:p>
    <w:p w14:paraId="29405509" w14:textId="77777777" w:rsidR="00B01930" w:rsidRDefault="00B01930" w:rsidP="00B01930">
      <w:pPr>
        <w:spacing w:before="120" w:after="120"/>
        <w:jc w:val="both"/>
      </w:pPr>
    </w:p>
    <w:p w14:paraId="240AFDEF" w14:textId="77777777" w:rsidR="00B01930" w:rsidRPr="00320A86" w:rsidRDefault="00B01930" w:rsidP="00B01930">
      <w:pPr>
        <w:spacing w:before="120" w:after="120"/>
        <w:jc w:val="both"/>
      </w:pPr>
      <w:r w:rsidRPr="00320A86">
        <w:t>Contrairement au code n° 1 qui fait scintiller les lumières de la C</w:t>
      </w:r>
      <w:r w:rsidRPr="00320A86">
        <w:t>i</w:t>
      </w:r>
      <w:r w:rsidRPr="00320A86">
        <w:t>té du Bien « sur la colline » d’où le Mal a été expulsé et qui rayonne sur le monde, le code n° 2 repose sur un agencement du code de v</w:t>
      </w:r>
      <w:r w:rsidRPr="00320A86">
        <w:t>a</w:t>
      </w:r>
      <w:r w:rsidRPr="00320A86">
        <w:t>leurs dans lequel il n’y a pas de disjonction entre Bien et Mal, les deux sont sur un plan d’égalité. Il s’en déduit qu’il y a toujours la même somme de Bien et la même somme de Mal, accroître l’un r</w:t>
      </w:r>
      <w:r w:rsidRPr="00320A86">
        <w:t>e</w:t>
      </w:r>
      <w:r w:rsidRPr="00320A86">
        <w:t>vient à accroître l’autre.</w:t>
      </w:r>
    </w:p>
    <w:p w14:paraId="54BC6E20" w14:textId="77777777" w:rsidR="00B01930" w:rsidRPr="00320A86" w:rsidRDefault="00B01930" w:rsidP="00B01930">
      <w:pPr>
        <w:spacing w:before="120" w:after="120"/>
        <w:jc w:val="both"/>
      </w:pPr>
      <w:r w:rsidRPr="00320A86">
        <w:t>Les deux notions n’existent pas en soi. Elles sont changeantes s</w:t>
      </w:r>
      <w:r w:rsidRPr="00320A86">
        <w:t>e</w:t>
      </w:r>
      <w:r w:rsidRPr="00320A86">
        <w:t>lon les ci</w:t>
      </w:r>
      <w:r w:rsidRPr="00320A86">
        <w:t>r</w:t>
      </w:r>
      <w:r w:rsidRPr="00320A86">
        <w:t>constances, les espaces, et leur perception par les hommes. Sur le plan du po</w:t>
      </w:r>
      <w:r w:rsidRPr="00320A86">
        <w:t>u</w:t>
      </w:r>
      <w:r w:rsidRPr="00320A86">
        <w:t>voir il s’en évince que celui-ci appartient à celui qui saura le conquérir. Car le Pouvoir n’a pas d’autre fondement que sa conquête et son exercice, pour lui-même et les avantages qu’il proc</w:t>
      </w:r>
      <w:r w:rsidRPr="00320A86">
        <w:t>u</w:t>
      </w:r>
      <w:r w:rsidRPr="00320A86">
        <w:t>re, ne serait-ce que la domination des ho</w:t>
      </w:r>
      <w:r w:rsidRPr="00320A86">
        <w:t>m</w:t>
      </w:r>
      <w:r w:rsidRPr="00320A86">
        <w:t>mes.</w:t>
      </w:r>
    </w:p>
    <w:p w14:paraId="5BD99338" w14:textId="77777777" w:rsidR="00B01930" w:rsidRPr="00320A86" w:rsidRDefault="00B01930" w:rsidP="00B01930">
      <w:pPr>
        <w:spacing w:before="120" w:after="120"/>
        <w:jc w:val="both"/>
      </w:pPr>
      <w:r w:rsidRPr="00320A86">
        <w:t>Dès lors, le Prince est guidé par la seule efficacité. Force, ruse, a</w:t>
      </w:r>
      <w:r w:rsidRPr="00320A86">
        <w:t>p</w:t>
      </w:r>
      <w:r w:rsidRPr="00320A86">
        <w:t>parence, secret, tous les moyens sont bons pour séduire le peuple, ou conserver le po</w:t>
      </w:r>
      <w:r w:rsidRPr="00320A86">
        <w:t>u</w:t>
      </w:r>
      <w:r w:rsidRPr="00320A86">
        <w:t>voir, car, la conquête faite, il faut durer. Mais si on se place du côté des gouve</w:t>
      </w:r>
      <w:r w:rsidRPr="00320A86">
        <w:t>r</w:t>
      </w:r>
      <w:r w:rsidRPr="00320A86">
        <w:t>nés, la vision est inverse, il s’agit de limiter le Prince, d’assurer le pluralisme des opinions, puisqu’il n’y a pas de Vérité, afin de vivre dans un monde supportable et de pouvoir choisir ce qu’on considère comme utile à son bonheur ici bas.</w:t>
      </w:r>
    </w:p>
    <w:p w14:paraId="44F1C421" w14:textId="77777777" w:rsidR="00B01930" w:rsidRPr="00320A86" w:rsidRDefault="00B01930" w:rsidP="00B01930">
      <w:pPr>
        <w:spacing w:before="120" w:after="120"/>
        <w:jc w:val="both"/>
      </w:pPr>
      <w:r w:rsidRPr="00320A86">
        <w:t>Ce code a dominé – peut-être imparfaitement ? – le monde antique occide</w:t>
      </w:r>
      <w:r w:rsidRPr="00320A86">
        <w:t>n</w:t>
      </w:r>
      <w:r w:rsidRPr="00320A86">
        <w:t>tal. L’illustration archétypale, selon Jean-Louis Martres, étant Héraclite qui pr</w:t>
      </w:r>
      <w:r w:rsidRPr="00320A86">
        <w:t>o</w:t>
      </w:r>
      <w:r w:rsidRPr="00320A86">
        <w:t xml:space="preserve">fesse un absolu relativisme, ainsi qu’Aristote, dont l’œuvre politique s’articule sur la recherche « des possibles politiques </w:t>
      </w:r>
      <w:r w:rsidRPr="00320A86">
        <w:lastRenderedPageBreak/>
        <w:t>pour mieux vivre ensemble</w:t>
      </w:r>
      <w:r>
        <w:t> </w:t>
      </w:r>
      <w:r>
        <w:rPr>
          <w:rStyle w:val="Appelnotedebasdep"/>
        </w:rPr>
        <w:footnoteReference w:id="92"/>
      </w:r>
      <w:r w:rsidRPr="00320A86">
        <w:t> » ; il tente de conjuguer l’incertitude fondamentale et la recherche du bonheur co</w:t>
      </w:r>
      <w:r w:rsidRPr="00320A86">
        <w:t>m</w:t>
      </w:r>
      <w:r w:rsidRPr="00320A86">
        <w:t>mun. L’un se situe sur un plan plutôt « théorique », l’autre sur un plan plus « opérationnel »</w:t>
      </w:r>
      <w:r>
        <w:t> </w:t>
      </w:r>
      <w:r>
        <w:rPr>
          <w:rStyle w:val="Appelnotedebasdep"/>
        </w:rPr>
        <w:footnoteReference w:id="93"/>
      </w:r>
      <w:r w:rsidRPr="00320A86">
        <w:t>.</w:t>
      </w:r>
    </w:p>
    <w:p w14:paraId="09FDF857" w14:textId="77777777" w:rsidR="00B01930" w:rsidRPr="00320A86" w:rsidRDefault="00B01930" w:rsidP="00B01930">
      <w:pPr>
        <w:spacing w:before="120" w:after="120"/>
        <w:jc w:val="both"/>
      </w:pPr>
      <w:r w:rsidRPr="00320A86">
        <w:t>Mais, nonobstant les disputes autour d’Héraclite, un fil relie Ari</w:t>
      </w:r>
      <w:r w:rsidRPr="00320A86">
        <w:t>s</w:t>
      </w:r>
      <w:r w:rsidRPr="00320A86">
        <w:t>tote à la « lumière noire d’Héraclite</w:t>
      </w:r>
      <w:r>
        <w:t> </w:t>
      </w:r>
      <w:r>
        <w:rPr>
          <w:rStyle w:val="Appelnotedebasdep"/>
        </w:rPr>
        <w:footnoteReference w:id="94"/>
      </w:r>
      <w:r w:rsidRPr="00320A86">
        <w:t> ». En ce monde antique esse</w:t>
      </w:r>
      <w:r w:rsidRPr="00320A86">
        <w:t>n</w:t>
      </w:r>
      <w:r w:rsidRPr="00320A86">
        <w:t>tiellement relativiste, Platon a exercé une « séduction [qui] a relégué ses rivaux à des places plus s</w:t>
      </w:r>
      <w:r w:rsidRPr="00320A86">
        <w:t>e</w:t>
      </w:r>
      <w:r w:rsidRPr="00320A86">
        <w:t>condaires</w:t>
      </w:r>
      <w:r>
        <w:t> </w:t>
      </w:r>
      <w:r>
        <w:rPr>
          <w:rStyle w:val="Appelnotedebasdep"/>
        </w:rPr>
        <w:footnoteReference w:id="95"/>
      </w:r>
      <w:r w:rsidRPr="00320A86">
        <w:t> » de par la puissance d’attraction du code n° 1 qui, pour la première fois, atteignait une pl</w:t>
      </w:r>
      <w:r w:rsidRPr="00320A86">
        <w:t>é</w:t>
      </w:r>
      <w:r w:rsidRPr="00320A86">
        <w:t>nitude doctrinale.</w:t>
      </w:r>
    </w:p>
    <w:p w14:paraId="6F2CC69E" w14:textId="77777777" w:rsidR="00B01930" w:rsidRPr="00320A86" w:rsidRDefault="00B01930" w:rsidP="00B01930">
      <w:pPr>
        <w:spacing w:before="120" w:after="120"/>
        <w:jc w:val="both"/>
      </w:pPr>
      <w:r w:rsidRPr="00320A86">
        <w:t>Depuis la « Révolution chrétienne » le code n° 1 a durablement structuré la pensée politique ainsi que l’histoire de l’Occident. Le c</w:t>
      </w:r>
      <w:r w:rsidRPr="00320A86">
        <w:t>o</w:t>
      </w:r>
      <w:r w:rsidRPr="00320A86">
        <w:t>de n° 2 s’est résorbé, mais n’a pas disparu, empruntant des voies so</w:t>
      </w:r>
      <w:r w:rsidRPr="00320A86">
        <w:t>u</w:t>
      </w:r>
      <w:r w:rsidRPr="00320A86">
        <w:t>terraines pour ressurgir, ici ou là, dans des pratiques sociales et artist</w:t>
      </w:r>
      <w:r w:rsidRPr="00320A86">
        <w:t>i</w:t>
      </w:r>
      <w:r w:rsidRPr="00320A86">
        <w:t>ques ou des doctrines plus ou moins exem</w:t>
      </w:r>
      <w:r w:rsidRPr="00320A86">
        <w:t>p</w:t>
      </w:r>
      <w:r w:rsidRPr="00320A86">
        <w:t>tes de code n° 1 selon les époques et les lieux, soit parce qu’il est difficile d’échapper à son e</w:t>
      </w:r>
      <w:r w:rsidRPr="00320A86">
        <w:t>n</w:t>
      </w:r>
      <w:r w:rsidRPr="00320A86">
        <w:t>vironnement épistémologique, soit par prudence à l’égard des risques encourus à trop s’exprimer ouvertement.</w:t>
      </w:r>
    </w:p>
    <w:p w14:paraId="23CC9143" w14:textId="77777777" w:rsidR="00B01930" w:rsidRPr="00320A86" w:rsidRDefault="00B01930" w:rsidP="00B01930">
      <w:pPr>
        <w:spacing w:before="120" w:after="120"/>
        <w:jc w:val="both"/>
      </w:pPr>
      <w:r w:rsidRPr="00320A86">
        <w:t>Si le libéralisme politique et la démocratie peuvent paraître nat</w:t>
      </w:r>
      <w:r w:rsidRPr="00320A86">
        <w:t>u</w:t>
      </w:r>
      <w:r w:rsidRPr="00320A86">
        <w:t>rellement être associés au code n° 2, Jean-Louis Martres montre qu’il n’en est rien. Ce lien n’est pas sans ambiguïté due aux conditions d’élaboration et à la logique propre de ces deux pensées, et il démêle avec minutie le complexe écheveau des rel</w:t>
      </w:r>
      <w:r w:rsidRPr="00320A86">
        <w:t>a</w:t>
      </w:r>
      <w:r w:rsidRPr="00320A86">
        <w:t>tions entre relativisme, libéralisme et démocratie. En revanche la pensée polit</w:t>
      </w:r>
      <w:r w:rsidRPr="00320A86">
        <w:t>i</w:t>
      </w:r>
      <w:r w:rsidRPr="00320A86">
        <w:t>que classique chinoise se présente comme structuralement l’archétype du code n° 2. D’où peut être son étrangeté pour l’Occident qui, regardé depuis l’Empire du Milieu, dévoile toute sa singularité, ce qui remet en que</w:t>
      </w:r>
      <w:r w:rsidRPr="00320A86">
        <w:t>s</w:t>
      </w:r>
      <w:r w:rsidRPr="00320A86">
        <w:t>tion sa prétention à considérer ses valeurs comme universelles. Mais la Chine n’est pas la seule aire sur notre route à nous questionner. S’agissant d’un essai, Jean-Louis Martres ne pouvait embrasser toutes les aires, toutes les époques et toutes les pensées pol</w:t>
      </w:r>
      <w:r w:rsidRPr="00320A86">
        <w:t>i</w:t>
      </w:r>
      <w:r w:rsidRPr="00320A86">
        <w:t xml:space="preserve">tiques. Nous nous autoriserons donc un détour, hors du livre, afin de confronter, </w:t>
      </w:r>
      <w:r w:rsidRPr="00320A86">
        <w:lastRenderedPageBreak/>
        <w:t>brièvement, telle pensée ou tel(s) phénomène(s) avec les hypothèses martrie</w:t>
      </w:r>
      <w:r w:rsidRPr="00320A86">
        <w:t>n</w:t>
      </w:r>
      <w:r w:rsidRPr="00320A86">
        <w:t>nes.</w:t>
      </w:r>
    </w:p>
    <w:p w14:paraId="79ED8689" w14:textId="77777777" w:rsidR="00B01930" w:rsidRPr="00320A86" w:rsidRDefault="00B01930" w:rsidP="00B01930">
      <w:pPr>
        <w:spacing w:before="120" w:after="120"/>
        <w:jc w:val="both"/>
      </w:pPr>
      <w:r w:rsidRPr="00320A86">
        <w:t>– D’abord, quant au libéralisme et la démocratie.</w:t>
      </w:r>
    </w:p>
    <w:p w14:paraId="284F35C0" w14:textId="77777777" w:rsidR="00B01930" w:rsidRPr="00320A86" w:rsidRDefault="00B01930" w:rsidP="00B01930">
      <w:pPr>
        <w:spacing w:before="120" w:after="120"/>
        <w:jc w:val="both"/>
      </w:pPr>
      <w:r w:rsidRPr="00320A86">
        <w:t>Le libéralisme accepte l’égalité des opinions et les modes de vie individuels différents. En ce sens, il incarne la première manifestation politique du relat</w:t>
      </w:r>
      <w:r w:rsidRPr="00320A86">
        <w:t>i</w:t>
      </w:r>
      <w:r w:rsidRPr="00320A86">
        <w:t>visme en Occident</w:t>
      </w:r>
      <w:r>
        <w:t> </w:t>
      </w:r>
      <w:r>
        <w:rPr>
          <w:rStyle w:val="Appelnotedebasdep"/>
        </w:rPr>
        <w:footnoteReference w:id="96"/>
      </w:r>
      <w:r w:rsidRPr="00320A86">
        <w:t>. Mais la forme la plus proche du code n° 2, au regard du contexte, serait, au sens strict, l’anarchisme</w:t>
      </w:r>
      <w:r>
        <w:t> </w:t>
      </w:r>
      <w:r>
        <w:rPr>
          <w:rStyle w:val="Appelnotedebasdep"/>
        </w:rPr>
        <w:footnoteReference w:id="97"/>
      </w:r>
      <w:r w:rsidRPr="00320A86">
        <w:t>.</w:t>
      </w:r>
    </w:p>
    <w:p w14:paraId="01CDC385" w14:textId="77777777" w:rsidR="00B01930" w:rsidRPr="00320A86" w:rsidRDefault="00B01930" w:rsidP="00B01930">
      <w:pPr>
        <w:spacing w:before="120" w:after="120"/>
        <w:jc w:val="both"/>
      </w:pPr>
      <w:r w:rsidRPr="00320A86">
        <w:t>Si le libéralisme accepte la prémisse égalitaire, en revanche, il r</w:t>
      </w:r>
      <w:r w:rsidRPr="00320A86">
        <w:t>e</w:t>
      </w:r>
      <w:r w:rsidRPr="00320A86">
        <w:t>fuse un monde aléatoire. Tout le travail doctrinal du libéralisme consistera à circonscrire le relativisme</w:t>
      </w:r>
      <w:r>
        <w:t> </w:t>
      </w:r>
      <w:r>
        <w:rPr>
          <w:rStyle w:val="Appelnotedebasdep"/>
        </w:rPr>
        <w:footnoteReference w:id="98"/>
      </w:r>
      <w:r w:rsidRPr="00320A86">
        <w:t>. Cette pente doctrinale était d’autant plus probable que le libéralisme s’est constitué sur la destru</w:t>
      </w:r>
      <w:r w:rsidRPr="00320A86">
        <w:t>c</w:t>
      </w:r>
      <w:r w:rsidRPr="00320A86">
        <w:t>tion de l’édifice chrétien. Né du monde thé</w:t>
      </w:r>
      <w:r w:rsidRPr="00320A86">
        <w:t>o</w:t>
      </w:r>
      <w:r w:rsidRPr="00320A86">
        <w:t>logico-politique</w:t>
      </w:r>
      <w:r>
        <w:t> </w:t>
      </w:r>
      <w:r>
        <w:rPr>
          <w:rStyle w:val="Appelnotedebasdep"/>
        </w:rPr>
        <w:footnoteReference w:id="99"/>
      </w:r>
      <w:r w:rsidRPr="00320A86">
        <w:t xml:space="preserve"> il s’est construit contre lui. La doctrine va tenter, en toute ill</w:t>
      </w:r>
      <w:r w:rsidRPr="00320A86">
        <w:t>u</w:t>
      </w:r>
      <w:r w:rsidRPr="00320A86">
        <w:t>sion, de trouver un fondement rationnel extrinsèque au libér</w:t>
      </w:r>
      <w:r w:rsidRPr="00320A86">
        <w:t>a</w:t>
      </w:r>
      <w:r w:rsidRPr="00320A86">
        <w:t>lisme : le Contrat social, les Droits naturels, etc. S’il accepte certains principes du rel</w:t>
      </w:r>
      <w:r w:rsidRPr="00320A86">
        <w:t>a</w:t>
      </w:r>
      <w:r w:rsidRPr="00320A86">
        <w:t>tivisme, il en rejette, parfois violemment, d’autres. D’où un dogmatisme pr</w:t>
      </w:r>
      <w:r w:rsidRPr="00320A86">
        <w:t>o</w:t>
      </w:r>
      <w:r w:rsidRPr="00320A86">
        <w:t>pre au code n° 1, pour tenter de stabiliser le principe glissant du relat</w:t>
      </w:r>
      <w:r w:rsidRPr="00320A86">
        <w:t>i</w:t>
      </w:r>
      <w:r w:rsidRPr="00320A86">
        <w:t>visme</w:t>
      </w:r>
      <w:r>
        <w:t> </w:t>
      </w:r>
      <w:r>
        <w:rPr>
          <w:rStyle w:val="Appelnotedebasdep"/>
        </w:rPr>
        <w:footnoteReference w:id="100"/>
      </w:r>
      <w:r w:rsidRPr="00320A86">
        <w:t>. La logique doctrinale essaie de donner cohérence à un écl</w:t>
      </w:r>
      <w:r w:rsidRPr="00320A86">
        <w:t>a</w:t>
      </w:r>
      <w:r w:rsidRPr="00320A86">
        <w:t>tement général logique qui d</w:t>
      </w:r>
      <w:r w:rsidRPr="00320A86">
        <w:t>é</w:t>
      </w:r>
      <w:r w:rsidRPr="00320A86">
        <w:t xml:space="preserve">bouche sur le doute quant à la valeur </w:t>
      </w:r>
      <w:r w:rsidRPr="00320A86">
        <w:lastRenderedPageBreak/>
        <w:t>et au sens du Politique. Autrement dit, le lib</w:t>
      </w:r>
      <w:r w:rsidRPr="00320A86">
        <w:t>é</w:t>
      </w:r>
      <w:r w:rsidRPr="00320A86">
        <w:t>ralisme ne s’identifie pas, strictement, au relativisme, en dépit du concept de l</w:t>
      </w:r>
      <w:r w:rsidRPr="00320A86">
        <w:t>i</w:t>
      </w:r>
      <w:r w:rsidRPr="00320A86">
        <w:t>berté qui le fonde.</w:t>
      </w:r>
    </w:p>
    <w:p w14:paraId="4DD284B5" w14:textId="77777777" w:rsidR="00B01930" w:rsidRPr="00320A86" w:rsidRDefault="00B01930" w:rsidP="00B01930">
      <w:pPr>
        <w:spacing w:before="120" w:after="120"/>
        <w:jc w:val="both"/>
      </w:pPr>
      <w:r w:rsidRPr="00320A86">
        <w:t>Ce paradoxe est d’autant plus marqué que le libéralisme s’est tro</w:t>
      </w:r>
      <w:r w:rsidRPr="00320A86">
        <w:t>u</w:t>
      </w:r>
      <w:r w:rsidRPr="00320A86">
        <w:t>vé associé à l’avènement de la démocratie. Or, selon la thèse ma</w:t>
      </w:r>
      <w:r w:rsidRPr="00320A86">
        <w:t>r</w:t>
      </w:r>
      <w:r w:rsidRPr="00320A86">
        <w:t>trienne, celle-ci est le produit du code transformationnel de la struct</w:t>
      </w:r>
      <w:r w:rsidRPr="00320A86">
        <w:t>u</w:t>
      </w:r>
      <w:r w:rsidRPr="00320A86">
        <w:t>re n° 1 (utopie, hérésie, révolution). Après un combat opposant l’Empire et l’Église, puis l’Église et le monarque, c’est le peuple qui est devenu le porteur de l’idée de Bien. Mais la démocratie postule la diversité des opinions, par là même elle a ouvert la voie à l’émergence et à la diffusion du relativisme. Son origine structurale est de nature manichéenne inégalitaire. Deux radicaux antinomiques fondent la d</w:t>
      </w:r>
      <w:r w:rsidRPr="00320A86">
        <w:t>é</w:t>
      </w:r>
      <w:r w:rsidRPr="00320A86">
        <w:t>mocratie : le code n° 1 et le code n° 2. Dès lors, selon Jean-Louis Martres, elle serait une abstraction taxinomique</w:t>
      </w:r>
      <w:r>
        <w:t> </w:t>
      </w:r>
      <w:r>
        <w:rPr>
          <w:rStyle w:val="Appelnotedebasdep"/>
        </w:rPr>
        <w:footnoteReference w:id="101"/>
      </w:r>
      <w:r w:rsidRPr="00320A86">
        <w:t>. Aussi se trouve-t-elle sans relations rigides et constantes avec les institutions qui s’en réclament, chaque État démocratique ayant ses spécific</w:t>
      </w:r>
      <w:r w:rsidRPr="00320A86">
        <w:t>i</w:t>
      </w:r>
      <w:r w:rsidRPr="00320A86">
        <w:t>tés ; d’autant plus que le libéralisme, pour sa part, a germé sur un terreau hist</w:t>
      </w:r>
      <w:r w:rsidRPr="00320A86">
        <w:t>o</w:t>
      </w:r>
      <w:r w:rsidRPr="00320A86">
        <w:t>rique qui engendré différentes formes doctrinales en Occident. Ces histoires singulières font que le libéralisme n’est donc pas un invariant unive</w:t>
      </w:r>
      <w:r w:rsidRPr="00320A86">
        <w:t>r</w:t>
      </w:r>
      <w:r w:rsidRPr="00320A86">
        <w:t>sel</w:t>
      </w:r>
      <w:r>
        <w:t> </w:t>
      </w:r>
      <w:r>
        <w:rPr>
          <w:rStyle w:val="Appelnotedebasdep"/>
        </w:rPr>
        <w:footnoteReference w:id="102"/>
      </w:r>
      <w:r w:rsidRPr="00320A86">
        <w:t>.</w:t>
      </w:r>
    </w:p>
    <w:p w14:paraId="2039E0DC" w14:textId="77777777" w:rsidR="00B01930" w:rsidRPr="00320A86" w:rsidRDefault="00B01930" w:rsidP="00B01930">
      <w:pPr>
        <w:spacing w:before="120" w:after="120"/>
        <w:jc w:val="both"/>
      </w:pPr>
      <w:r w:rsidRPr="00320A86">
        <w:t>La prégnance du code n° 1, en régime démocratique libéral, se m</w:t>
      </w:r>
      <w:r w:rsidRPr="00320A86">
        <w:t>a</w:t>
      </w:r>
      <w:r w:rsidRPr="00320A86">
        <w:t>nifesterait par la persistance de l’Utopie sous la forme du Bonheur, toujours promis jamais atteint, l’hérésie se serait transformée, selon Jean-Louis Martres, sous la forme des alternances de partis prompts à prétendre détenir les clefs de ce Bonheur pour accéder au pouvoir, la révolution s’est métamorphosée en changement des équipes polit</w:t>
      </w:r>
      <w:r w:rsidRPr="00320A86">
        <w:t>i</w:t>
      </w:r>
      <w:r w:rsidRPr="00320A86">
        <w:t>ques</w:t>
      </w:r>
      <w:r>
        <w:t> </w:t>
      </w:r>
      <w:r>
        <w:rPr>
          <w:rStyle w:val="Appelnotedebasdep"/>
        </w:rPr>
        <w:footnoteReference w:id="103"/>
      </w:r>
      <w:r w:rsidRPr="00320A86">
        <w:t>.</w:t>
      </w:r>
    </w:p>
    <w:p w14:paraId="67741EE0" w14:textId="77777777" w:rsidR="00B01930" w:rsidRPr="00320A86" w:rsidRDefault="00B01930" w:rsidP="00B01930">
      <w:pPr>
        <w:spacing w:before="120" w:after="120"/>
        <w:jc w:val="both"/>
      </w:pPr>
      <w:r w:rsidRPr="00320A86">
        <w:t xml:space="preserve">Nous ajouterons qu’en élevant la souveraineté du Peuple comme principe de gouvernement le Prince, une fois élu, ne peut être destitué, sinon le peuple se destituerait lui-même. Aurait-il failli, commis les pires vilenies, qu’il pourrait invoquer l’onction populaire et le sacre </w:t>
      </w:r>
      <w:r w:rsidRPr="00320A86">
        <w:lastRenderedPageBreak/>
        <w:t>des urnes pour ne pas quitter le pouvoir. Suprême ruse du politique qui enferme les gouvernés dans les rets qu’ils ont eux-mêmes faço</w:t>
      </w:r>
      <w:r w:rsidRPr="00320A86">
        <w:t>n</w:t>
      </w:r>
      <w:r w:rsidRPr="00320A86">
        <w:t>nés.</w:t>
      </w:r>
    </w:p>
    <w:p w14:paraId="6CD17819" w14:textId="77777777" w:rsidR="00B01930" w:rsidRPr="00320A86" w:rsidRDefault="00B01930" w:rsidP="00B01930">
      <w:pPr>
        <w:spacing w:before="120" w:after="120"/>
        <w:jc w:val="both"/>
      </w:pPr>
      <w:r w:rsidRPr="00320A86">
        <w:t>Ce qui nous conduit à, très succinctement, aborder l’épure du code n° 2, au sein d’un monde ordonné par le code n° 1, à savoir Machiavel (1469-1527) qui, au fond, serait le pendant de Platon, archétype du code n° 1 dans un monde p</w:t>
      </w:r>
      <w:r w:rsidRPr="00320A86">
        <w:t>é</w:t>
      </w:r>
      <w:r w:rsidRPr="00320A86">
        <w:t>nétré du code n° 2.</w:t>
      </w:r>
    </w:p>
    <w:p w14:paraId="3AF95988" w14:textId="77777777" w:rsidR="00B01930" w:rsidRPr="00320A86" w:rsidRDefault="00B01930" w:rsidP="00B01930">
      <w:pPr>
        <w:spacing w:before="120" w:after="120"/>
        <w:jc w:val="both"/>
      </w:pPr>
      <w:r w:rsidRPr="00320A86">
        <w:t>Dans l’Antiquité, Calliclés</w:t>
      </w:r>
      <w:r>
        <w:t> </w:t>
      </w:r>
      <w:r>
        <w:rPr>
          <w:rStyle w:val="Appelnotedebasdep"/>
        </w:rPr>
        <w:footnoteReference w:id="104"/>
      </w:r>
      <w:r w:rsidRPr="00320A86">
        <w:t xml:space="preserve"> et Thrasymaque</w:t>
      </w:r>
      <w:r>
        <w:t> </w:t>
      </w:r>
      <w:r>
        <w:rPr>
          <w:rStyle w:val="Appelnotedebasdep"/>
        </w:rPr>
        <w:footnoteReference w:id="105"/>
      </w:r>
      <w:r w:rsidRPr="00320A86">
        <w:t xml:space="preserve"> énoncent déjà ce qui devie</w:t>
      </w:r>
      <w:r w:rsidRPr="00320A86">
        <w:t>n</w:t>
      </w:r>
      <w:r w:rsidRPr="00320A86">
        <w:t>dra le machiavélisme, mais ils le font avec répugnance et précaution, ou r</w:t>
      </w:r>
      <w:r w:rsidRPr="00320A86">
        <w:t>é</w:t>
      </w:r>
      <w:r w:rsidRPr="00320A86">
        <w:t>serve. Ils ne l’expriment pas en leur nom propre, il y a une forme de tabou</w:t>
      </w:r>
      <w:r>
        <w:t> </w:t>
      </w:r>
      <w:r>
        <w:rPr>
          <w:rStyle w:val="Appelnotedebasdep"/>
        </w:rPr>
        <w:footnoteReference w:id="106"/>
      </w:r>
      <w:r w:rsidRPr="00320A86">
        <w:t>. Machi</w:t>
      </w:r>
      <w:r w:rsidRPr="00320A86">
        <w:t>a</w:t>
      </w:r>
      <w:r w:rsidRPr="00320A86">
        <w:t>vel, lui, ignore le souverain Bien et divulgue la pratique du Pouvoir. Il ne cherche pas la nature du Po</w:t>
      </w:r>
      <w:r w:rsidRPr="00320A86">
        <w:t>u</w:t>
      </w:r>
      <w:r w:rsidRPr="00320A86">
        <w:t>voir, mais seulement les conditions de la conquête et de la conserv</w:t>
      </w:r>
      <w:r w:rsidRPr="00320A86">
        <w:t>a</w:t>
      </w:r>
      <w:r w:rsidRPr="00320A86">
        <w:t>tion de celui-ci. Le Politique est pensé en termes de relations où ch</w:t>
      </w:r>
      <w:r w:rsidRPr="00320A86">
        <w:t>a</w:t>
      </w:r>
      <w:r w:rsidRPr="00320A86">
        <w:t>cun des protagonistes détient une certaine puissance. Sa propre pui</w:t>
      </w:r>
      <w:r w:rsidRPr="00320A86">
        <w:t>s</w:t>
      </w:r>
      <w:r w:rsidRPr="00320A86">
        <w:t>sance résulte donc d’un rapport qu’il doit comprendre et utiliser au mieux. Le pouvoir, ainsi entendu, suppose la nécessité comme princ</w:t>
      </w:r>
      <w:r w:rsidRPr="00320A86">
        <w:t>i</w:t>
      </w:r>
      <w:r w:rsidRPr="00320A86">
        <w:t>pe d’action. Le Prince doit con</w:t>
      </w:r>
      <w:r w:rsidRPr="00320A86">
        <w:t>s</w:t>
      </w:r>
      <w:r w:rsidRPr="00320A86">
        <w:t>tamment calculer ses actions et les moyens d’arriver à ses fins. Machiavel libère le Prince de tout idéal inaccessible, car ce qui est vertu en morale peut-être vice en politique. Il n’y a ni Bien ni Mal absolus, ils « sont ambivalents et le Prince a les moyens de leur faire subir la transformation de l’un dans l’autre</w:t>
      </w:r>
      <w:r>
        <w:t> </w:t>
      </w:r>
      <w:r>
        <w:rPr>
          <w:rStyle w:val="Appelnotedebasdep"/>
        </w:rPr>
        <w:footnoteReference w:id="107"/>
      </w:r>
      <w:r w:rsidRPr="00320A86">
        <w:t> ». La ruse et le crime, immoraux, peuvent apporter la paix ; mais le Pri</w:t>
      </w:r>
      <w:r w:rsidRPr="00320A86">
        <w:t>n</w:t>
      </w:r>
      <w:r w:rsidRPr="00320A86">
        <w:t>ce ne pourra le dire, il devra mentir pour ne pas dévoiler la face ob</w:t>
      </w:r>
      <w:r w:rsidRPr="00320A86">
        <w:t>s</w:t>
      </w:r>
      <w:r w:rsidRPr="00320A86">
        <w:t>cure des gouvernants.</w:t>
      </w:r>
    </w:p>
    <w:p w14:paraId="0AEC9964" w14:textId="77777777" w:rsidR="00B01930" w:rsidRPr="00320A86" w:rsidRDefault="00B01930" w:rsidP="00B01930">
      <w:pPr>
        <w:spacing w:before="120" w:after="120"/>
        <w:jc w:val="both"/>
      </w:pPr>
      <w:r w:rsidRPr="00320A86">
        <w:t>Comme la quantité de Bien ne peut augmenter, améliorer les ch</w:t>
      </w:r>
      <w:r w:rsidRPr="00320A86">
        <w:t>o</w:t>
      </w:r>
      <w:r w:rsidRPr="00320A86">
        <w:t>ses se fera au détriment de certains, c’est-à-dire qu’il n’y a pas de pr</w:t>
      </w:r>
      <w:r w:rsidRPr="00320A86">
        <w:t>o</w:t>
      </w:r>
      <w:r w:rsidRPr="00320A86">
        <w:t>grès, mais le Prince ne peut le révéler. Le Prince doit donc nécessa</w:t>
      </w:r>
      <w:r w:rsidRPr="00320A86">
        <w:t>i</w:t>
      </w:r>
      <w:r w:rsidRPr="00320A86">
        <w:t>rement mentir, dissimuler, omettre, cultiver l’apparence de la moral</w:t>
      </w:r>
      <w:r w:rsidRPr="00320A86">
        <w:t>i</w:t>
      </w:r>
      <w:r w:rsidRPr="00320A86">
        <w:t>té, et du progrès possible. Certes il peut posséder les qualités qu’il pr</w:t>
      </w:r>
      <w:r w:rsidRPr="00320A86">
        <w:t>é</w:t>
      </w:r>
      <w:r w:rsidRPr="00320A86">
        <w:t xml:space="preserve">tend avoir, mais il ne saurait être prisonnier de celles-ci. Les sujets </w:t>
      </w:r>
      <w:r w:rsidRPr="00320A86">
        <w:lastRenderedPageBreak/>
        <w:t>s’accommoderaient du mal, de la cruauté, de la trahison, du m</w:t>
      </w:r>
      <w:r w:rsidRPr="00320A86">
        <w:t>o</w:t>
      </w:r>
      <w:r w:rsidRPr="00320A86">
        <w:t>ment que les actions sont couvertes par le Bien commun. Mais si le Prince s’exprime en cynique, alors il est un homme parmi d’autres voué à la haine. Par définition le Prince «  doit dire le juste […] il ne peut dire l’injuste</w:t>
      </w:r>
      <w:r>
        <w:t> </w:t>
      </w:r>
      <w:r>
        <w:rPr>
          <w:rStyle w:val="Appelnotedebasdep"/>
        </w:rPr>
        <w:footnoteReference w:id="108"/>
      </w:r>
      <w:r w:rsidRPr="00320A86">
        <w:t> », ce serait absurde.</w:t>
      </w:r>
    </w:p>
    <w:p w14:paraId="31C542C8" w14:textId="77777777" w:rsidR="00B01930" w:rsidRPr="00320A86" w:rsidRDefault="00B01930" w:rsidP="00B01930">
      <w:pPr>
        <w:spacing w:before="120" w:after="120"/>
        <w:jc w:val="both"/>
      </w:pPr>
      <w:r w:rsidRPr="00320A86">
        <w:t>Mais « désirer le pouvoir, l’exercer, c’est faire de la politique au sens péjor</w:t>
      </w:r>
      <w:r w:rsidRPr="00320A86">
        <w:t>a</w:t>
      </w:r>
      <w:r w:rsidRPr="00320A86">
        <w:t>tif et laudatif du mot […] il n’a jamais existé, il n’existe pas, de politique absolument pure, absolument droite, absolument d</w:t>
      </w:r>
      <w:r w:rsidRPr="00320A86">
        <w:t>é</w:t>
      </w:r>
      <w:r w:rsidRPr="00320A86">
        <w:t>sintéressée, à côté d’une autre qui serait irrémédiablement corrompue, malhonnête, déplorable</w:t>
      </w:r>
      <w:r>
        <w:t> </w:t>
      </w:r>
      <w:r>
        <w:rPr>
          <w:rStyle w:val="Appelnotedebasdep"/>
        </w:rPr>
        <w:footnoteReference w:id="109"/>
      </w:r>
      <w:r w:rsidRPr="00320A86">
        <w:t> ». Pour la simple raison que « quiconque [a] une certaine ambition politique [doit entrer], néce</w:t>
      </w:r>
      <w:r w:rsidRPr="00320A86">
        <w:t>s</w:t>
      </w:r>
      <w:r w:rsidRPr="00320A86">
        <w:t>sairement en lutte avec des concurrents, ce qui implique la présence de partisans et de militants, une action de propagande, des manœuvres, de la duplic</w:t>
      </w:r>
      <w:r w:rsidRPr="00320A86">
        <w:t>i</w:t>
      </w:r>
      <w:r w:rsidRPr="00320A86">
        <w:t>té, des intrigues</w:t>
      </w:r>
      <w:r>
        <w:t> </w:t>
      </w:r>
      <w:r>
        <w:rPr>
          <w:rStyle w:val="Appelnotedebasdep"/>
        </w:rPr>
        <w:footnoteReference w:id="110"/>
      </w:r>
      <w:r w:rsidRPr="00320A86">
        <w:t> ». Nonobstant la position contradictoire sur le s</w:t>
      </w:r>
      <w:r w:rsidRPr="00320A86">
        <w:t>u</w:t>
      </w:r>
      <w:r w:rsidRPr="00320A86">
        <w:t>jet, historiciste et positiviste explicite, d’un collègue politologue de la F</w:t>
      </w:r>
      <w:r w:rsidRPr="00320A86">
        <w:t>a</w:t>
      </w:r>
      <w:r w:rsidRPr="00320A86">
        <w:t>culté de Bordeaux, M</w:t>
      </w:r>
      <w:r w:rsidRPr="00320A86">
        <w:t>i</w:t>
      </w:r>
      <w:r w:rsidRPr="00320A86">
        <w:t>chel Bergès</w:t>
      </w:r>
      <w:r>
        <w:t> </w:t>
      </w:r>
      <w:r>
        <w:rPr>
          <w:rStyle w:val="Appelnotedebasdep"/>
        </w:rPr>
        <w:footnoteReference w:id="111"/>
      </w:r>
      <w:r w:rsidRPr="00320A86">
        <w:t>, prise en compte par Jean-Louis Martres, celui-ci maintient qu’au sein du monde chrétien occ</w:t>
      </w:r>
      <w:r w:rsidRPr="00320A86">
        <w:t>i</w:t>
      </w:r>
      <w:r w:rsidRPr="00320A86">
        <w:t>dental, Machiavel reste la figure emblématique du code n° 2</w:t>
      </w:r>
      <w:r>
        <w:t> </w:t>
      </w:r>
      <w:r>
        <w:rPr>
          <w:rStyle w:val="Appelnotedebasdep"/>
        </w:rPr>
        <w:footnoteReference w:id="112"/>
      </w:r>
      <w:r w:rsidRPr="00320A86">
        <w:t>.</w:t>
      </w:r>
    </w:p>
    <w:p w14:paraId="779FC7FF" w14:textId="77777777" w:rsidR="00B01930" w:rsidRPr="00320A86" w:rsidRDefault="00B01930" w:rsidP="00B01930">
      <w:pPr>
        <w:spacing w:before="120" w:after="120"/>
        <w:jc w:val="both"/>
      </w:pPr>
      <w:r w:rsidRPr="00320A86">
        <w:t>Il est vrai qu’avant d’avoir lu Machiavel, chacun a une certaine n</w:t>
      </w:r>
      <w:r w:rsidRPr="00320A86">
        <w:t>o</w:t>
      </w:r>
      <w:r w:rsidRPr="00320A86">
        <w:t>tion du machiavélisme. Il est l’indice d’une représentation collective. Le machiavélisme implique l’idée d’une étrange maîtrise de sa conduite. On ne saurait être m</w:t>
      </w:r>
      <w:r w:rsidRPr="00320A86">
        <w:t>a</w:t>
      </w:r>
      <w:r w:rsidRPr="00320A86">
        <w:t>chiavélique comme on est rusé ou trompeur, par tempérament. Rien en littérat</w:t>
      </w:r>
      <w:r w:rsidRPr="00320A86">
        <w:t>u</w:t>
      </w:r>
      <w:r w:rsidRPr="00320A86">
        <w:t>re n’a produit ce type</w:t>
      </w:r>
      <w:r>
        <w:t> </w:t>
      </w:r>
      <w:r>
        <w:rPr>
          <w:rStyle w:val="Appelnotedebasdep"/>
        </w:rPr>
        <w:footnoteReference w:id="113"/>
      </w:r>
      <w:r w:rsidRPr="00320A86">
        <w:t>. « Lorsque l’accusation porte sur un homme politique elle acquiert une portée singulière […], le comportement paraît dévoiler un ra</w:t>
      </w:r>
      <w:r w:rsidRPr="00320A86">
        <w:t>p</w:t>
      </w:r>
      <w:r w:rsidRPr="00320A86">
        <w:t>port de l’homme à l’homme essentiel, répondre à une vocation in</w:t>
      </w:r>
      <w:r w:rsidRPr="00320A86">
        <w:t>s</w:t>
      </w:r>
      <w:r w:rsidRPr="00320A86">
        <w:t xml:space="preserve">crite dans la </w:t>
      </w:r>
      <w:r w:rsidRPr="00320A86">
        <w:lastRenderedPageBreak/>
        <w:t>nature de la politique, traduire un maléfice dont l’origine tient à la n</w:t>
      </w:r>
      <w:r w:rsidRPr="00320A86">
        <w:t>a</w:t>
      </w:r>
      <w:r w:rsidRPr="00320A86">
        <w:t>ture même du pouvoir</w:t>
      </w:r>
      <w:r>
        <w:t> </w:t>
      </w:r>
      <w:r>
        <w:rPr>
          <w:rStyle w:val="Appelnotedebasdep"/>
        </w:rPr>
        <w:footnoteReference w:id="114"/>
      </w:r>
      <w:r w:rsidRPr="00320A86">
        <w:t> ». C’est le nom donné à la polit</w:t>
      </w:r>
      <w:r w:rsidRPr="00320A86">
        <w:t>i</w:t>
      </w:r>
      <w:r w:rsidRPr="00320A86">
        <w:t>que en tant qu’elle est le Mal, c’est l’immoralité consubsta</w:t>
      </w:r>
      <w:r w:rsidRPr="00320A86">
        <w:t>n</w:t>
      </w:r>
      <w:r w:rsidRPr="00320A86">
        <w:t>tielle à la politique.</w:t>
      </w:r>
    </w:p>
    <w:p w14:paraId="47C87D91" w14:textId="77777777" w:rsidR="00B01930" w:rsidRPr="00320A86" w:rsidRDefault="00B01930" w:rsidP="00B01930">
      <w:pPr>
        <w:spacing w:before="120" w:after="120"/>
        <w:jc w:val="both"/>
      </w:pPr>
      <w:r w:rsidRPr="00320A86">
        <w:t>Il faut souligner que, paradoxalement, les masses – qui veulent croire en la moralité des hommes politiques et en leurs promesses – sont fascinées par les grandes figures « machiavéliennes » de l’histoire. Ainsi, en France, Richelieu, Mazarin, Talleyrand, Fouché, pour ne citer que les plus illustres, sont une source inépuisable de l</w:t>
      </w:r>
      <w:r w:rsidRPr="00320A86">
        <w:t>i</w:t>
      </w:r>
      <w:r w:rsidRPr="00320A86">
        <w:t>vres, articles de revues</w:t>
      </w:r>
      <w:r>
        <w:t> </w:t>
      </w:r>
      <w:r>
        <w:rPr>
          <w:rStyle w:val="Appelnotedebasdep"/>
        </w:rPr>
        <w:footnoteReference w:id="115"/>
      </w:r>
      <w:r w:rsidRPr="00320A86">
        <w:t>.</w:t>
      </w:r>
    </w:p>
    <w:p w14:paraId="71860E4C" w14:textId="77777777" w:rsidR="00B01930" w:rsidRPr="00320A86" w:rsidRDefault="00B01930" w:rsidP="00B01930">
      <w:pPr>
        <w:spacing w:before="120" w:after="120"/>
        <w:jc w:val="both"/>
      </w:pPr>
      <w:r w:rsidRPr="00320A86">
        <w:t>D’autres écrits, de même nature que ceux de Machiavel, ont été publiés aux XVII</w:t>
      </w:r>
      <w:r w:rsidRPr="00320A86">
        <w:rPr>
          <w:vertAlign w:val="superscript"/>
        </w:rPr>
        <w:t>e</w:t>
      </w:r>
      <w:r w:rsidRPr="00320A86">
        <w:t xml:space="preserve"> et XVIII</w:t>
      </w:r>
      <w:r w:rsidRPr="00320A86">
        <w:rPr>
          <w:vertAlign w:val="superscript"/>
        </w:rPr>
        <w:t>e</w:t>
      </w:r>
      <w:r w:rsidRPr="00320A86">
        <w:t xml:space="preserve"> siècles, sans connaître la même postérité. Peut-être n’étaient-ils pas aussi proches de l’essence du code n° 2</w:t>
      </w:r>
      <w:r>
        <w:t> </w:t>
      </w:r>
      <w:r>
        <w:rPr>
          <w:rStyle w:val="Appelnotedebasdep"/>
        </w:rPr>
        <w:footnoteReference w:id="116"/>
      </w:r>
      <w:r w:rsidRPr="00320A86">
        <w:t> ?</w:t>
      </w:r>
    </w:p>
    <w:p w14:paraId="3EDF65A8" w14:textId="77777777" w:rsidR="00B01930" w:rsidRPr="00320A86" w:rsidRDefault="00B01930" w:rsidP="00B01930">
      <w:pPr>
        <w:spacing w:before="120" w:after="120"/>
        <w:jc w:val="both"/>
      </w:pPr>
      <w:r w:rsidRPr="00320A86">
        <w:t>Enfin, et surtout, il est juste, pour terminer sur ce sujet, de me</w:t>
      </w:r>
      <w:r w:rsidRPr="00320A86">
        <w:t>n</w:t>
      </w:r>
      <w:r w:rsidRPr="00320A86">
        <w:t>tionner, pour compléter Jean-Louis Martres, qu’en d’autres temps, bien antérieurs à Machi</w:t>
      </w:r>
      <w:r w:rsidRPr="00320A86">
        <w:t>a</w:t>
      </w:r>
      <w:r w:rsidRPr="00320A86">
        <w:t>vel, et « sous d’autres cieux », des écrits avaient dévoilé l’exercice du pouvoir et conseillé le Prince. Ce fut le cas, parmi d’autres, de  l’Arthashaśāstra (savoir concernant la riche</w:t>
      </w:r>
      <w:r w:rsidRPr="00320A86">
        <w:t>s</w:t>
      </w:r>
      <w:r w:rsidRPr="00320A86">
        <w:t>se), traité politique de l’Inde ancienne rédigé par Kau</w:t>
      </w:r>
      <w:r w:rsidRPr="00320A86">
        <w:rPr>
          <w:rFonts w:eastAsia="Arial Unicode MS" w:cs="Arial Unicode MS"/>
        </w:rPr>
        <w:t>t</w:t>
      </w:r>
      <w:r w:rsidRPr="00320A86">
        <w:t>i</w:t>
      </w:r>
      <w:r w:rsidRPr="00320A86">
        <w:t>liya (321-297 av. J.-C.)</w:t>
      </w:r>
      <w:r>
        <w:t> </w:t>
      </w:r>
      <w:r>
        <w:rPr>
          <w:rStyle w:val="Appelnotedebasdep"/>
        </w:rPr>
        <w:footnoteReference w:id="117"/>
      </w:r>
      <w:r w:rsidRPr="00320A86">
        <w:t>.</w:t>
      </w:r>
    </w:p>
    <w:p w14:paraId="1B4BB52D" w14:textId="77777777" w:rsidR="00B01930" w:rsidRPr="00320A86" w:rsidRDefault="00B01930" w:rsidP="00B01930">
      <w:pPr>
        <w:spacing w:before="120" w:after="120"/>
        <w:jc w:val="both"/>
      </w:pPr>
      <w:r w:rsidRPr="00320A86">
        <w:t>– Venons-en maintenant à la Chine.</w:t>
      </w:r>
    </w:p>
    <w:p w14:paraId="42723C57" w14:textId="77777777" w:rsidR="00B01930" w:rsidRPr="00320A86" w:rsidRDefault="00B01930" w:rsidP="00B01930">
      <w:pPr>
        <w:spacing w:before="120" w:after="120"/>
        <w:jc w:val="both"/>
      </w:pPr>
      <w:r w:rsidRPr="00320A86">
        <w:t>L’hétérotopie chinoise est indubitablement l’élément qui a le plus conforté l’exigence de changement de perspective originaire de Jean-Louis Martres.</w:t>
      </w:r>
    </w:p>
    <w:p w14:paraId="3381A9E7" w14:textId="77777777" w:rsidR="00B01930" w:rsidRPr="00320A86" w:rsidRDefault="00B01930" w:rsidP="00B01930">
      <w:pPr>
        <w:spacing w:before="120" w:after="120"/>
        <w:jc w:val="both"/>
      </w:pPr>
      <w:r w:rsidRPr="00320A86">
        <w:t>L’altérité de la pensée chinoise fait de celle-ci un « autre part » d’où la pe</w:t>
      </w:r>
      <w:r w:rsidRPr="00320A86">
        <w:t>n</w:t>
      </w:r>
      <w:r w:rsidRPr="00320A86">
        <w:t>sée occidentale révèle toute son originalité, mais aussi sa relativité. Ce qui pouvait passer pour universel ne l’est plus. La pe</w:t>
      </w:r>
      <w:r w:rsidRPr="00320A86">
        <w:t>n</w:t>
      </w:r>
      <w:r w:rsidRPr="00320A86">
        <w:lastRenderedPageBreak/>
        <w:t>sée chinoise ne comporte pas de concepts ou de principes familiers aux lecteurs occidentaux</w:t>
      </w:r>
      <w:r>
        <w:t> </w:t>
      </w:r>
      <w:r>
        <w:rPr>
          <w:rStyle w:val="Appelnotedebasdep"/>
        </w:rPr>
        <w:footnoteReference w:id="118"/>
      </w:r>
      <w:r w:rsidRPr="00320A86">
        <w:t>.</w:t>
      </w:r>
    </w:p>
    <w:p w14:paraId="105FC3A9" w14:textId="77777777" w:rsidR="00B01930" w:rsidRPr="00320A86" w:rsidRDefault="00B01930" w:rsidP="00B01930">
      <w:pPr>
        <w:spacing w:before="120" w:after="120"/>
        <w:jc w:val="both"/>
      </w:pPr>
      <w:r w:rsidRPr="00320A86">
        <w:t>Pour Jean-Louis Martres, la pensée politique classique chinoise est l’exact contrepoint de la pensée occidentale en ce qu’elle est, pour lui, façonnée par le code n° 2.</w:t>
      </w:r>
    </w:p>
    <w:p w14:paraId="44E1DB79" w14:textId="77777777" w:rsidR="00B01930" w:rsidRPr="00320A86" w:rsidRDefault="00B01930" w:rsidP="00B01930">
      <w:pPr>
        <w:spacing w:before="120" w:after="120"/>
        <w:jc w:val="both"/>
      </w:pPr>
      <w:r w:rsidRPr="00320A86">
        <w:t>De fait si on se reporte aux spécialistes de la pensée chinoise, il ressort, en résumé, que la pensée chinoise, dans son ensemble, ne connaît pas la dualité abstraite Bien-Mal</w:t>
      </w:r>
      <w:r>
        <w:t> </w:t>
      </w:r>
      <w:r>
        <w:rPr>
          <w:rStyle w:val="Appelnotedebasdep"/>
        </w:rPr>
        <w:footnoteReference w:id="119"/>
      </w:r>
      <w:r w:rsidRPr="00320A86">
        <w:t>. Il n’y a ni Dieu, ni Justice, ni Vérité, donc ni doute ni p</w:t>
      </w:r>
      <w:r w:rsidRPr="00320A86">
        <w:t>é</w:t>
      </w:r>
      <w:r w:rsidRPr="00320A86">
        <w:t>ché</w:t>
      </w:r>
      <w:r>
        <w:t> </w:t>
      </w:r>
      <w:r>
        <w:rPr>
          <w:rStyle w:val="Appelnotedebasdep"/>
        </w:rPr>
        <w:footnoteReference w:id="120"/>
      </w:r>
      <w:r w:rsidRPr="00320A86">
        <w:t>. La vie n’est pas haïssable et ne nécessite pas de Salut, pas plus que de Nirv</w:t>
      </w:r>
      <w:r w:rsidRPr="00320A86">
        <w:rPr>
          <w:rFonts w:eastAsia="Arial Unicode MS" w:cs="Arial Unicode MS"/>
        </w:rPr>
        <w:t>â</w:t>
      </w:r>
      <w:r w:rsidRPr="00320A86">
        <w:t>na hindou. D’ailleurs, il n’y a pas de notion de Créateur</w:t>
      </w:r>
      <w:r>
        <w:t> </w:t>
      </w:r>
      <w:r>
        <w:rPr>
          <w:rStyle w:val="Appelnotedebasdep"/>
        </w:rPr>
        <w:footnoteReference w:id="121"/>
      </w:r>
      <w:r w:rsidRPr="00320A86">
        <w:t>. Le culte occidental de la Vérité lai</w:t>
      </w:r>
      <w:r w:rsidRPr="00320A86">
        <w:t>s</w:t>
      </w:r>
      <w:r w:rsidRPr="00320A86">
        <w:t>se place à une culture de la transformation, du processus, des circon</w:t>
      </w:r>
      <w:r w:rsidRPr="00320A86">
        <w:t>s</w:t>
      </w:r>
      <w:r w:rsidRPr="00320A86">
        <w:t>tances. La pensée chinoise se situe en termes de contingence, de rég</w:t>
      </w:r>
      <w:r w:rsidRPr="00320A86">
        <w:t>u</w:t>
      </w:r>
      <w:r w:rsidRPr="00320A86">
        <w:t>lation. L’Histoire est donc dépourvue de toute Cause finale, et la Ch</w:t>
      </w:r>
      <w:r w:rsidRPr="00320A86">
        <w:t>i</w:t>
      </w:r>
      <w:r w:rsidRPr="00320A86">
        <w:t>ne n’a ni épopée ni cosmogonie sur l’origine du monde</w:t>
      </w:r>
      <w:r>
        <w:t> </w:t>
      </w:r>
      <w:r>
        <w:rPr>
          <w:rStyle w:val="Appelnotedebasdep"/>
        </w:rPr>
        <w:footnoteReference w:id="122"/>
      </w:r>
      <w:r w:rsidRPr="00320A86">
        <w:t>. Dès lors, « l’idée […] de pr</w:t>
      </w:r>
      <w:r w:rsidRPr="00320A86">
        <w:t>o</w:t>
      </w:r>
      <w:r w:rsidRPr="00320A86">
        <w:t>grès est absente</w:t>
      </w:r>
      <w:r>
        <w:t> </w:t>
      </w:r>
      <w:r>
        <w:rPr>
          <w:rStyle w:val="Appelnotedebasdep"/>
        </w:rPr>
        <w:footnoteReference w:id="123"/>
      </w:r>
      <w:r w:rsidRPr="00320A86">
        <w:t> ».</w:t>
      </w:r>
    </w:p>
    <w:p w14:paraId="27AD89D3" w14:textId="77777777" w:rsidR="00B01930" w:rsidRPr="00320A86" w:rsidRDefault="00B01930" w:rsidP="00B01930">
      <w:pPr>
        <w:spacing w:before="120" w:after="120"/>
        <w:jc w:val="both"/>
      </w:pPr>
      <w:r w:rsidRPr="00320A86">
        <w:t>Ces quelques lignes suffisent à montrer que Jean-Louis Martres a pu légit</w:t>
      </w:r>
      <w:r w:rsidRPr="00320A86">
        <w:t>i</w:t>
      </w:r>
      <w:r w:rsidRPr="00320A86">
        <w:t>mement rattacher la pensée chinoise au code n° 2. On peut trouver une autre i</w:t>
      </w:r>
      <w:r w:rsidRPr="00320A86">
        <w:t>l</w:t>
      </w:r>
      <w:r w:rsidRPr="00320A86">
        <w:t xml:space="preserve">lustration de l’essence relativiste de celle-ci, et ce, </w:t>
      </w:r>
      <w:r w:rsidRPr="00320A86">
        <w:lastRenderedPageBreak/>
        <w:t>au niveau du vécu des Ch</w:t>
      </w:r>
      <w:r w:rsidRPr="00320A86">
        <w:t>i</w:t>
      </w:r>
      <w:r w:rsidRPr="00320A86">
        <w:t>nois, dans ce qu’écrit le biographe du grand reporter et écrivain Lucien Bodard (1914-1988) qui naquit et vécu en Chine :</w:t>
      </w:r>
    </w:p>
    <w:p w14:paraId="478D2776" w14:textId="77777777" w:rsidR="00B01930" w:rsidRDefault="00B01930" w:rsidP="00B01930">
      <w:pPr>
        <w:pStyle w:val="citation"/>
      </w:pPr>
    </w:p>
    <w:p w14:paraId="0D2FC278" w14:textId="77777777" w:rsidR="00B01930" w:rsidRDefault="00B01930" w:rsidP="00B01930">
      <w:pPr>
        <w:pStyle w:val="citation"/>
      </w:pPr>
      <w:r w:rsidRPr="00320A86">
        <w:t>« Tels les Chinois, il conçoit la vie comme une combinaison, un jeu perm</w:t>
      </w:r>
      <w:r w:rsidRPr="00320A86">
        <w:t>a</w:t>
      </w:r>
      <w:r w:rsidRPr="00320A86">
        <w:t>nent dans lequel se retourne la chance avec un cynisme total et sans remords, tout n’est que signe, messages, gestes banals qui servent à c</w:t>
      </w:r>
      <w:r w:rsidRPr="00320A86">
        <w:t>a</w:t>
      </w:r>
      <w:r w:rsidRPr="00320A86">
        <w:t>cher les grandes décisions</w:t>
      </w:r>
      <w:r>
        <w:t> </w:t>
      </w:r>
      <w:r w:rsidRPr="008F703F">
        <w:rPr>
          <w:rStyle w:val="Appelnotedebasdep"/>
          <w:i/>
        </w:rPr>
        <w:footnoteReference w:id="124"/>
      </w:r>
      <w:r w:rsidRPr="00320A86">
        <w:t>. »</w:t>
      </w:r>
    </w:p>
    <w:p w14:paraId="7C443EF2" w14:textId="77777777" w:rsidR="00B01930" w:rsidRPr="00320A86" w:rsidRDefault="00B01930" w:rsidP="00B01930">
      <w:pPr>
        <w:pStyle w:val="citation"/>
      </w:pPr>
    </w:p>
    <w:p w14:paraId="612FC372" w14:textId="77777777" w:rsidR="00B01930" w:rsidRPr="00320A86" w:rsidRDefault="00B01930" w:rsidP="00B01930">
      <w:pPr>
        <w:spacing w:before="120" w:after="120"/>
        <w:jc w:val="both"/>
      </w:pPr>
      <w:r w:rsidRPr="00320A86">
        <w:t>On peut ajouter que Mozi (IV</w:t>
      </w:r>
      <w:r w:rsidRPr="00320A86">
        <w:rPr>
          <w:vertAlign w:val="superscript"/>
        </w:rPr>
        <w:t>e</w:t>
      </w:r>
      <w:r w:rsidRPr="00320A86">
        <w:t>-III</w:t>
      </w:r>
      <w:r w:rsidRPr="00320A86">
        <w:rPr>
          <w:vertAlign w:val="superscript"/>
        </w:rPr>
        <w:t xml:space="preserve">e </w:t>
      </w:r>
      <w:r w:rsidRPr="00320A86">
        <w:t>siècles av. J.-C.), qui développa une pensée proche du principe de non-contradiction occidental o</w:t>
      </w:r>
      <w:r w:rsidRPr="00320A86">
        <w:t>u</w:t>
      </w:r>
      <w:r w:rsidRPr="00320A86">
        <w:t>vrant sur une possible logique formelle, fut minoritaire</w:t>
      </w:r>
      <w:r>
        <w:t> </w:t>
      </w:r>
      <w:r>
        <w:rPr>
          <w:rStyle w:val="Appelnotedebasdep"/>
        </w:rPr>
        <w:footnoteReference w:id="125"/>
      </w:r>
      <w:r w:rsidRPr="00320A86">
        <w:t>, et les « mozistes » connurent un reflux. Ce</w:t>
      </w:r>
      <w:r w:rsidRPr="00320A86">
        <w:t>t</w:t>
      </w:r>
      <w:r w:rsidRPr="00320A86">
        <w:t>te pensée « n’a pas pris</w:t>
      </w:r>
      <w:r>
        <w:t> </w:t>
      </w:r>
      <w:r>
        <w:rPr>
          <w:rStyle w:val="Appelnotedebasdep"/>
        </w:rPr>
        <w:footnoteReference w:id="126"/>
      </w:r>
      <w:r w:rsidRPr="00320A86">
        <w:t> ». De même, le nihilisme total de Yangzi, en pure logique relativiste, fut aussi un échec au plan social et politique, car inapplicable</w:t>
      </w:r>
      <w:r>
        <w:t> </w:t>
      </w:r>
      <w:r>
        <w:rPr>
          <w:rStyle w:val="Appelnotedebasdep"/>
        </w:rPr>
        <w:footnoteReference w:id="127"/>
      </w:r>
      <w:r w:rsidRPr="00320A86">
        <w:t>. La n</w:t>
      </w:r>
      <w:r w:rsidRPr="00320A86">
        <w:t>o</w:t>
      </w:r>
      <w:r w:rsidRPr="00320A86">
        <w:t>tion de milieu, non pas au sens géométrique occidental (c’est-à-dire i</w:t>
      </w:r>
      <w:r w:rsidRPr="00320A86">
        <w:t>m</w:t>
      </w:r>
      <w:r w:rsidRPr="00320A86">
        <w:t>mobil</w:t>
      </w:r>
      <w:r w:rsidRPr="00320A86">
        <w:t>i</w:t>
      </w:r>
      <w:r w:rsidRPr="00320A86">
        <w:t>sé, défini), mais régulé, en évolution, resta le point central de la pensée chinoise.</w:t>
      </w:r>
    </w:p>
    <w:p w14:paraId="0069DE3C" w14:textId="77777777" w:rsidR="00B01930" w:rsidRPr="00320A86" w:rsidRDefault="00B01930" w:rsidP="00B01930">
      <w:pPr>
        <w:spacing w:before="120" w:after="120"/>
        <w:jc w:val="both"/>
      </w:pPr>
      <w:r w:rsidRPr="00320A86">
        <w:t>Rejoignant le code n° 2 martrien, on peut constater que dépourvue de tran</w:t>
      </w:r>
      <w:r w:rsidRPr="00320A86">
        <w:t>s</w:t>
      </w:r>
      <w:r w:rsidRPr="00320A86">
        <w:t>cendance fixe, toute la pensée politique classique chinoise est, dès lors, orientée sur l’exercice du pouvoir. La réalité sociale et polit</w:t>
      </w:r>
      <w:r w:rsidRPr="00320A86">
        <w:t>i</w:t>
      </w:r>
      <w:r w:rsidRPr="00320A86">
        <w:t>que étant conçue selon un dispositif à manipuler, la finalité du mo</w:t>
      </w:r>
      <w:r w:rsidRPr="00320A86">
        <w:t>n</w:t>
      </w:r>
      <w:r w:rsidRPr="00320A86">
        <w:t>de sublunaire est strictement fonctionnelle. Le politique est axé excl</w:t>
      </w:r>
      <w:r w:rsidRPr="00320A86">
        <w:t>u</w:t>
      </w:r>
      <w:r w:rsidRPr="00320A86">
        <w:t>sivement sur l’efficacité. C’est un art de l’ajustement, de l’exploitation des circonstances. Aussi, pendant 2132 ans, la seule forme de pouvoir fut l’Empire</w:t>
      </w:r>
      <w:r>
        <w:t> </w:t>
      </w:r>
      <w:r>
        <w:rPr>
          <w:rStyle w:val="Appelnotedebasdep"/>
        </w:rPr>
        <w:footnoteReference w:id="128"/>
      </w:r>
      <w:r w:rsidRPr="00320A86">
        <w:t xml:space="preserve">. Les dynasties se succéderont, mais </w:t>
      </w:r>
      <w:r w:rsidRPr="00320A86">
        <w:lastRenderedPageBreak/>
        <w:t>l’Empire resta indestructible, contrairement à l’Empire romain qui ne survécût que symboliquement.</w:t>
      </w:r>
    </w:p>
    <w:p w14:paraId="787F53E6" w14:textId="77777777" w:rsidR="00B01930" w:rsidRPr="00320A86" w:rsidRDefault="00B01930" w:rsidP="00B01930">
      <w:pPr>
        <w:spacing w:before="120" w:after="120"/>
        <w:jc w:val="both"/>
      </w:pPr>
      <w:r w:rsidRPr="00320A86">
        <w:t>Aucune autre « structure » politique ne fut considérée comme so</w:t>
      </w:r>
      <w:r w:rsidRPr="00320A86">
        <w:t>u</w:t>
      </w:r>
      <w:r w:rsidRPr="00320A86">
        <w:t>haitable et légitime. Même les souverains d’origines sociales, ou et</w:t>
      </w:r>
      <w:r w:rsidRPr="00320A86">
        <w:t>h</w:t>
      </w:r>
      <w:r w:rsidRPr="00320A86">
        <w:t>niques, nouvelles se plièrent et s’ajustèrent à cette forme politique. Cette hégémonie intellectuelle ne fut pas la conséquence d’une coerc</w:t>
      </w:r>
      <w:r w:rsidRPr="00320A86">
        <w:t>i</w:t>
      </w:r>
      <w:r w:rsidRPr="00320A86">
        <w:t>tion excessive ni d’un « lavage de cerveau ». Si le contexte des Royaumes combattants joua un rôle, l’Empire fut aussi un concept intellectuel accepté. Il n’y eut jamais de crise de légitimité. Cette pe</w:t>
      </w:r>
      <w:r w:rsidRPr="00320A86">
        <w:t>n</w:t>
      </w:r>
      <w:r w:rsidRPr="00320A86">
        <w:t>sée compta de nombreuses écoles qui se combattirent pour avoir « l’oreille du Prince », mais elles ne remirent jamais en cause le m</w:t>
      </w:r>
      <w:r w:rsidRPr="00320A86">
        <w:t>o</w:t>
      </w:r>
      <w:r w:rsidRPr="00320A86">
        <w:t>narchisme en tant que référe</w:t>
      </w:r>
      <w:r w:rsidRPr="00320A86">
        <w:t>n</w:t>
      </w:r>
      <w:r w:rsidRPr="00320A86">
        <w:t>ce d’efficacité, seul critère du politique.</w:t>
      </w:r>
    </w:p>
    <w:p w14:paraId="47C28FEC" w14:textId="77777777" w:rsidR="00B01930" w:rsidRPr="00320A86" w:rsidRDefault="00B01930" w:rsidP="00B01930">
      <w:pPr>
        <w:spacing w:before="120" w:after="120"/>
        <w:jc w:val="both"/>
      </w:pPr>
      <w:r w:rsidRPr="00320A86">
        <w:t>Ainsi Jean-Louis Martres montre que la pensée politique chinoise dans le droit fil du relativisme (ou « réalisme ») produisit aussi bien un discours au rel</w:t>
      </w:r>
      <w:r w:rsidRPr="00320A86">
        <w:t>a</w:t>
      </w:r>
      <w:r w:rsidRPr="00320A86">
        <w:t>tivisme poussé jusqu’à son terme (taoïsme)</w:t>
      </w:r>
      <w:r>
        <w:t> </w:t>
      </w:r>
      <w:r>
        <w:rPr>
          <w:rStyle w:val="Appelnotedebasdep"/>
        </w:rPr>
        <w:footnoteReference w:id="129"/>
      </w:r>
      <w:r w:rsidRPr="00320A86">
        <w:t xml:space="preserve"> qui était philosophiquement coh</w:t>
      </w:r>
      <w:r w:rsidRPr="00320A86">
        <w:t>é</w:t>
      </w:r>
      <w:r w:rsidRPr="00320A86">
        <w:t>rent, mais socialement impossible ; que le confucianisme, qui pensait socialement, donc politiquement, et r</w:t>
      </w:r>
      <w:r w:rsidRPr="00320A86">
        <w:t>e</w:t>
      </w:r>
      <w:r w:rsidRPr="00320A86">
        <w:t>cherchait, empiriquement, des règles que ch</w:t>
      </w:r>
      <w:r w:rsidRPr="00320A86">
        <w:t>a</w:t>
      </w:r>
      <w:r w:rsidRPr="00320A86">
        <w:t>cun doit respecter pour un « vivre ensemble » possible.</w:t>
      </w:r>
    </w:p>
    <w:p w14:paraId="0E183238" w14:textId="77777777" w:rsidR="00B01930" w:rsidRPr="00320A86" w:rsidRDefault="00B01930" w:rsidP="00B01930">
      <w:pPr>
        <w:spacing w:before="120" w:after="120"/>
        <w:jc w:val="both"/>
      </w:pPr>
      <w:r w:rsidRPr="00320A86">
        <w:t>Enfin, il y a le Légisme et Han Fei Tse (Han Feizi, 280-333 av. J. C.) au di</w:t>
      </w:r>
      <w:r w:rsidRPr="00320A86">
        <w:t>s</w:t>
      </w:r>
      <w:r w:rsidRPr="00320A86">
        <w:t>cours sans concession sur le jeu des intérêts, la nature humaine telle qu’il la voit à travers l’histoire, et dont il déduit des conséquences brutales : un pouvoir o</w:t>
      </w:r>
      <w:r w:rsidRPr="00320A86">
        <w:t>m</w:t>
      </w:r>
      <w:r w:rsidRPr="00320A86">
        <w:t>nipotent, illimité. Han Feizi préconise des institutions réglées, des lois sévères, et même la terreur, pour obtenir l’ordre et l’obéissance. Le Prince doit s’appuyer sur une bureaucratie qui veillera sur tout, mais dit-il, il aura garde de lui faire confiance, car les fonctionnaires sont ses pires ennemis. Aussi les f</w:t>
      </w:r>
      <w:r w:rsidRPr="00320A86">
        <w:t>e</w:t>
      </w:r>
      <w:r w:rsidRPr="00320A86">
        <w:t>ra-t-il su</w:t>
      </w:r>
      <w:r w:rsidRPr="00320A86">
        <w:t>r</w:t>
      </w:r>
      <w:r w:rsidRPr="00320A86">
        <w:t>veiller par un réseau, indépendant du circuit officiel, qui lui rendra compte. Il lui faut manœuvrer grâce à son pouvoir de réco</w:t>
      </w:r>
      <w:r w:rsidRPr="00320A86">
        <w:t>m</w:t>
      </w:r>
      <w:r w:rsidRPr="00320A86">
        <w:t>pense, de punition, de destitution.</w:t>
      </w:r>
    </w:p>
    <w:p w14:paraId="514B4DE2" w14:textId="77777777" w:rsidR="00B01930" w:rsidRPr="00320A86" w:rsidRDefault="00B01930" w:rsidP="00B01930">
      <w:pPr>
        <w:spacing w:before="120" w:after="120"/>
        <w:jc w:val="both"/>
      </w:pPr>
      <w:r w:rsidRPr="00320A86">
        <w:t xml:space="preserve">Le Prince impénétrable et vide, comme le Dao (Tao, « la Voie ») n’est propre à rien, mais devient propre à tout « au centre vide d’une </w:t>
      </w:r>
      <w:r w:rsidRPr="00320A86">
        <w:lastRenderedPageBreak/>
        <w:t>roue dont tous les rayons convergent vers lui</w:t>
      </w:r>
      <w:r>
        <w:t> </w:t>
      </w:r>
      <w:r>
        <w:rPr>
          <w:rStyle w:val="Appelnotedebasdep"/>
        </w:rPr>
        <w:footnoteReference w:id="130"/>
      </w:r>
      <w:r w:rsidRPr="00320A86">
        <w:t> ». Donc le mona</w:t>
      </w:r>
      <w:r w:rsidRPr="00320A86">
        <w:t>r</w:t>
      </w:r>
      <w:r w:rsidRPr="00320A86">
        <w:t>que peut devenir un tyran : aussi faut-il l’insérer dans un corps de r</w:t>
      </w:r>
      <w:r w:rsidRPr="00320A86">
        <w:t>è</w:t>
      </w:r>
      <w:r w:rsidRPr="00320A86">
        <w:t>gles et de lois. Comme il ne doit exprimer ni désir ni sentiment, on peut se demander si, alors, il ne devient pas l’esclave de sa propre fonction. Il devient invisible, il n’existe plus. Suprême paradoxe de cette pensée qui allie les contraires et les rend glissants, le prix de l’omnipotence est d’exercer le moins possible ce pouvoir illimité.</w:t>
      </w:r>
    </w:p>
    <w:p w14:paraId="50F7B224" w14:textId="77777777" w:rsidR="00B01930" w:rsidRPr="00320A86" w:rsidRDefault="00B01930" w:rsidP="00B01930">
      <w:pPr>
        <w:spacing w:before="120" w:after="120"/>
        <w:jc w:val="both"/>
      </w:pPr>
      <w:r w:rsidRPr="00320A86">
        <w:t>Maniant avec aisance et subtilité toutes les possibilités offertes par le code n° 2, qui ne connaît pas les antinomies radicales et ouvre un large champ des possibles, les penseurs chinois ont, par leurs efforts, fondé un système politique centré sur le souverain qui fût une réussite, si on compare avec les autres syst</w:t>
      </w:r>
      <w:r w:rsidRPr="00320A86">
        <w:t>è</w:t>
      </w:r>
      <w:r w:rsidRPr="00320A86">
        <w:t>mes politiques prémodernes ou modernes</w:t>
      </w:r>
      <w:r>
        <w:t> </w:t>
      </w:r>
      <w:r>
        <w:rPr>
          <w:rStyle w:val="Appelnotedebasdep"/>
        </w:rPr>
        <w:footnoteReference w:id="131"/>
      </w:r>
      <w:r w:rsidRPr="00320A86">
        <w:t>. « La société chinoise […] était h</w:t>
      </w:r>
      <w:r w:rsidRPr="00320A86">
        <w:t>o</w:t>
      </w:r>
      <w:r w:rsidRPr="00320A86">
        <w:t>méostatique » et on pourrait dire que le principe de fonctionnement était le changement dans l’immobilisme ou peut-être l’immobilisme dans le chang</w:t>
      </w:r>
      <w:r w:rsidRPr="00320A86">
        <w:t>e</w:t>
      </w:r>
      <w:r w:rsidRPr="00320A86">
        <w:t>ment</w:t>
      </w:r>
      <w:r>
        <w:t> </w:t>
      </w:r>
      <w:r>
        <w:rPr>
          <w:rStyle w:val="Appelnotedebasdep"/>
        </w:rPr>
        <w:footnoteReference w:id="132"/>
      </w:r>
      <w:r w:rsidRPr="00320A86">
        <w:t>. « Le système [survivra plus de 2000 ans, aussi bien] avec des emp</w:t>
      </w:r>
      <w:r w:rsidRPr="00320A86">
        <w:t>e</w:t>
      </w:r>
      <w:r w:rsidRPr="00320A86">
        <w:t>reurs paysans, des empereurs généraux [ou] des empereurs nom</w:t>
      </w:r>
      <w:r w:rsidRPr="00320A86">
        <w:t>a</w:t>
      </w:r>
      <w:r w:rsidRPr="00320A86">
        <w:t>des</w:t>
      </w:r>
      <w:r>
        <w:t> </w:t>
      </w:r>
      <w:r>
        <w:rPr>
          <w:rStyle w:val="Appelnotedebasdep"/>
        </w:rPr>
        <w:footnoteReference w:id="133"/>
      </w:r>
      <w:r w:rsidRPr="00320A86">
        <w:t> ».</w:t>
      </w:r>
    </w:p>
    <w:p w14:paraId="4979DD27" w14:textId="77777777" w:rsidR="00B01930" w:rsidRPr="00320A86" w:rsidRDefault="00B01930" w:rsidP="00B01930">
      <w:pPr>
        <w:spacing w:before="120" w:after="120"/>
        <w:jc w:val="both"/>
      </w:pPr>
      <w:r w:rsidRPr="00320A86">
        <w:t>Ce sommaire survol de la pensée chinoise montre que la Chine est le lieu où, selon Jean-Louis Martres, le code n° 2 a trouvé sa pleine expression. Et les conclusions, notamment de Yuri Pines, trouvent une explication structurale. Dès lors que Bien et Mal n’existent pas en tant que transcendances et sont même r</w:t>
      </w:r>
      <w:r w:rsidRPr="00320A86">
        <w:t>é</w:t>
      </w:r>
      <w:r w:rsidRPr="00320A86">
        <w:t>versibles et indissociables, alors toute la question politique se concentre – et se résume – sur un seul problème : définir et tenter de réaliser la forme du pouvoir la plus e</w:t>
      </w:r>
      <w:r w:rsidRPr="00320A86">
        <w:t>f</w:t>
      </w:r>
      <w:r w:rsidRPr="00320A86">
        <w:t>ficace au regard des circonstances historiques dans lesquelles le débat s’engage</w:t>
      </w:r>
      <w:r>
        <w:t> </w:t>
      </w:r>
      <w:r>
        <w:rPr>
          <w:rStyle w:val="Appelnotedebasdep"/>
        </w:rPr>
        <w:footnoteReference w:id="134"/>
      </w:r>
      <w:r w:rsidRPr="00320A86">
        <w:t>. Une fois la forme acquise il n’y a plus lieu d’en changer. La mult</w:t>
      </w:r>
      <w:r w:rsidRPr="00320A86">
        <w:t>i</w:t>
      </w:r>
      <w:r w:rsidRPr="00320A86">
        <w:t>plicité des controverses, réflexions, louanges ou critiques (souvent violentes vis-à-vis du monarque régnant) ne comporte auc</w:t>
      </w:r>
      <w:r w:rsidRPr="00320A86">
        <w:t>u</w:t>
      </w:r>
      <w:r w:rsidRPr="00320A86">
        <w:t xml:space="preserve">ne vocation révolutionnaire. C’est ce qui distingue la « dispute » </w:t>
      </w:r>
      <w:r w:rsidRPr="00320A86">
        <w:lastRenderedPageBreak/>
        <w:t>do</w:t>
      </w:r>
      <w:r w:rsidRPr="00320A86">
        <w:t>c</w:t>
      </w:r>
      <w:r w:rsidRPr="00320A86">
        <w:t>trinale occidentale radicale, car liée à l’Utopie et la dispute chinoise, qui ne tourne qu’autour d’un seul axe : comment concilier la plénitude de pouvoir que le Prince doit avoir, assurer l’ordre et la stabilité, avec des mécanismes pour éviter la tyrannie : par les rites ? Les lois contraignantes pour tous ? Des combinaisons de diverses sol</w:t>
      </w:r>
      <w:r w:rsidRPr="00320A86">
        <w:t>u</w:t>
      </w:r>
      <w:r w:rsidRPr="00320A86">
        <w:t>tions</w:t>
      </w:r>
      <w:r>
        <w:t> </w:t>
      </w:r>
      <w:r>
        <w:rPr>
          <w:rStyle w:val="Appelnotedebasdep"/>
        </w:rPr>
        <w:footnoteReference w:id="135"/>
      </w:r>
      <w:r w:rsidRPr="00320A86">
        <w:t> ?</w:t>
      </w:r>
    </w:p>
    <w:p w14:paraId="63260558" w14:textId="77777777" w:rsidR="00B01930" w:rsidRPr="00320A86" w:rsidRDefault="00B01930" w:rsidP="00B01930">
      <w:pPr>
        <w:spacing w:before="120" w:after="120"/>
        <w:jc w:val="both"/>
      </w:pPr>
      <w:r w:rsidRPr="00320A86">
        <w:t>Déjà en 1972-1973, Jean-Louis Martres pressentait que le code n° 2 connotait, en dernier ressort, une société de nature plutôt immob</w:t>
      </w:r>
      <w:r w:rsidRPr="00320A86">
        <w:t>i</w:t>
      </w:r>
      <w:r w:rsidRPr="00320A86">
        <w:t>le qui, selon lui à l’époque, était le risque permanent des sociétés lib</w:t>
      </w:r>
      <w:r w:rsidRPr="00320A86">
        <w:t>é</w:t>
      </w:r>
      <w:r w:rsidRPr="00320A86">
        <w:t>rales.</w:t>
      </w:r>
    </w:p>
    <w:p w14:paraId="44A7FB8D" w14:textId="77777777" w:rsidR="00B01930" w:rsidRPr="00320A86" w:rsidRDefault="00B01930" w:rsidP="00B01930">
      <w:pPr>
        <w:spacing w:before="120" w:after="120"/>
        <w:jc w:val="both"/>
      </w:pPr>
      <w:r w:rsidRPr="00320A86">
        <w:t>Ce rapide voyage en Chine au bout de « la route de la soie des idées politiques » nous amène, sommairement, à aborder deux que</w:t>
      </w:r>
      <w:r w:rsidRPr="00320A86">
        <w:t>s</w:t>
      </w:r>
      <w:r w:rsidRPr="00320A86">
        <w:t>tions.</w:t>
      </w:r>
    </w:p>
    <w:p w14:paraId="7B6A305A" w14:textId="77777777" w:rsidR="00B01930" w:rsidRPr="00320A86" w:rsidRDefault="00B01930" w:rsidP="00B01930">
      <w:pPr>
        <w:spacing w:before="120" w:after="120"/>
        <w:jc w:val="both"/>
      </w:pPr>
      <w:r w:rsidRPr="00320A86">
        <w:t>Une fois refermé « le livre des merveilles » des classiques chinois on peut, tout d’abord, très prosaïquement interroger sur ce qui fait le quotidien de celui qui vit sous l’empire du code n° 1 ou du code n° 2.</w:t>
      </w:r>
    </w:p>
    <w:p w14:paraId="33CDEE9F" w14:textId="77777777" w:rsidR="00B01930" w:rsidRPr="00320A86" w:rsidRDefault="00B01930" w:rsidP="00B01930">
      <w:pPr>
        <w:spacing w:before="120" w:after="120"/>
        <w:jc w:val="both"/>
      </w:pPr>
      <w:r w:rsidRPr="00320A86">
        <w:t>Jean-Louis Martres affirme</w:t>
      </w:r>
      <w:r>
        <w:t> </w:t>
      </w:r>
      <w:r>
        <w:rPr>
          <w:rStyle w:val="Appelnotedebasdep"/>
        </w:rPr>
        <w:footnoteReference w:id="136"/>
      </w:r>
      <w:r w:rsidRPr="00320A86">
        <w:t>, à propos de la terreur préconisée par Han Fei Tse que sa « finalité est tout autre » que celle que le code n° 1 peut produire. Mais comme il écrit par ailleurs, au sujet de la dém</w:t>
      </w:r>
      <w:r w:rsidRPr="00320A86">
        <w:t>o</w:t>
      </w:r>
      <w:r w:rsidRPr="00320A86">
        <w:t>cratie et de la comparaison avec la pensée chinoise, qu’il faut r</w:t>
      </w:r>
      <w:r w:rsidRPr="00320A86">
        <w:t>e</w:t>
      </w:r>
      <w:r w:rsidRPr="00320A86">
        <w:t>garder les résultats et la pratique, il faut bien admettre qu’à cette aune, il n’y a guère de différence, pour le quidam, entre v</w:t>
      </w:r>
      <w:r w:rsidRPr="00320A86">
        <w:t>i</w:t>
      </w:r>
      <w:r w:rsidRPr="00320A86">
        <w:t>vre sous la terreur du code n° 1 ou la terreur du code n° 2… Pour celui qui vit « sous la bo</w:t>
      </w:r>
      <w:r w:rsidRPr="00320A86">
        <w:t>t</w:t>
      </w:r>
      <w:r w:rsidRPr="00320A86">
        <w:t>te » du pouvoir peu lui chaut la doctrine, réaliser le Bien ou l’ordre immanent</w:t>
      </w:r>
      <w:r>
        <w:t> </w:t>
      </w:r>
      <w:r>
        <w:rPr>
          <w:rStyle w:val="Appelnotedebasdep"/>
        </w:rPr>
        <w:footnoteReference w:id="137"/>
      </w:r>
      <w:r w:rsidRPr="00320A86">
        <w:t> !</w:t>
      </w:r>
    </w:p>
    <w:p w14:paraId="7E482266" w14:textId="77777777" w:rsidR="00B01930" w:rsidRPr="00320A86" w:rsidRDefault="00B01930" w:rsidP="00B01930">
      <w:pPr>
        <w:spacing w:before="120" w:after="120"/>
        <w:jc w:val="both"/>
      </w:pPr>
      <w:r w:rsidRPr="00320A86">
        <w:t>Ensuite quid de l’absence de lien entre relativisme et démocratie en Chine ?</w:t>
      </w:r>
    </w:p>
    <w:p w14:paraId="305C9EB0" w14:textId="77777777" w:rsidR="00B01930" w:rsidRPr="00320A86" w:rsidRDefault="00B01930" w:rsidP="00B01930">
      <w:pPr>
        <w:spacing w:before="120" w:after="120"/>
        <w:jc w:val="both"/>
      </w:pPr>
      <w:r w:rsidRPr="00320A86">
        <w:t>En Occident c’est par la combinaison du contexte historique avec la supr</w:t>
      </w:r>
      <w:r w:rsidRPr="00320A86">
        <w:t>é</w:t>
      </w:r>
      <w:r w:rsidRPr="00320A86">
        <w:t>matie du code n° 1 et son mécanisme de changement que le Peuple est devenu le souverain, porteur du Bien. C’est aussi par la l</w:t>
      </w:r>
      <w:r w:rsidRPr="00320A86">
        <w:t>o</w:t>
      </w:r>
      <w:r w:rsidRPr="00320A86">
        <w:lastRenderedPageBreak/>
        <w:t>gique démocratique qui postule l’égalité des opinions et l’acceptation de leur diversité qu’il y a une possibilité d’émergence politique du relativisme. Autrement dit on peut en conclure qu’il serait nécessaire que le code n° 1 soit prédominant – avec de surcroît un contexte hist</w:t>
      </w:r>
      <w:r w:rsidRPr="00320A86">
        <w:t>o</w:t>
      </w:r>
      <w:r w:rsidRPr="00320A86">
        <w:t>rique particulier – pour enfanter la démocratie qui, à son tour, prov</w:t>
      </w:r>
      <w:r w:rsidRPr="00320A86">
        <w:t>o</w:t>
      </w:r>
      <w:r w:rsidRPr="00320A86">
        <w:t>que l’éclosion du relativisme ?</w:t>
      </w:r>
    </w:p>
    <w:p w14:paraId="6C4094AF" w14:textId="77777777" w:rsidR="00B01930" w:rsidRPr="00320A86" w:rsidRDefault="00B01930" w:rsidP="00B01930">
      <w:pPr>
        <w:spacing w:before="120" w:after="120"/>
        <w:jc w:val="both"/>
      </w:pPr>
      <w:r w:rsidRPr="00320A86">
        <w:t>Ce qui voudrait dire qu’une pensée totalement structurée par le c</w:t>
      </w:r>
      <w:r w:rsidRPr="00320A86">
        <w:t>o</w:t>
      </w:r>
      <w:r w:rsidRPr="00320A86">
        <w:t>de n° 2 ne pourrait produire, spontanément, la démocratie ? Mais alors nous nous trouvons devant une nouvelle question : l’Antiquité occ</w:t>
      </w:r>
      <w:r w:rsidRPr="00320A86">
        <w:t>i</w:t>
      </w:r>
      <w:r w:rsidRPr="00320A86">
        <w:t>dentale, dont nous avons dit qu’elle était d’essence relativiste a, pou</w:t>
      </w:r>
      <w:r w:rsidRPr="00320A86">
        <w:t>r</w:t>
      </w:r>
      <w:r w:rsidRPr="00320A86">
        <w:t>tant, en Grèce inventé la démocratie ?</w:t>
      </w:r>
    </w:p>
    <w:p w14:paraId="0494FA1C" w14:textId="77777777" w:rsidR="00B01930" w:rsidRPr="00320A86" w:rsidRDefault="00B01930" w:rsidP="00B01930">
      <w:pPr>
        <w:spacing w:before="120" w:after="120"/>
        <w:jc w:val="both"/>
      </w:pPr>
      <w:r w:rsidRPr="00320A86">
        <w:t>D’un côté notre hypothèse explique l’histoire de la Chine jusqu’à sa re</w:t>
      </w:r>
      <w:r w:rsidRPr="00320A86">
        <w:t>n</w:t>
      </w:r>
      <w:r w:rsidRPr="00320A86">
        <w:t>contre dès le XIX</w:t>
      </w:r>
      <w:r w:rsidRPr="00320A86">
        <w:rPr>
          <w:vertAlign w:val="superscript"/>
        </w:rPr>
        <w:t>e </w:t>
      </w:r>
      <w:r w:rsidRPr="00320A86">
        <w:t>siècle avec la pensée occidentale et ses conséquences : importation de « concepts » politiques occide</w:t>
      </w:r>
      <w:r w:rsidRPr="00320A86">
        <w:t>n</w:t>
      </w:r>
      <w:r w:rsidRPr="00320A86">
        <w:t>taux</w:t>
      </w:r>
      <w:r>
        <w:t> </w:t>
      </w:r>
      <w:r>
        <w:rPr>
          <w:rStyle w:val="Appelnotedebasdep"/>
        </w:rPr>
        <w:footnoteReference w:id="138"/>
      </w:r>
      <w:r w:rsidRPr="00320A86">
        <w:t xml:space="preserve"> et utilisation de ceux-ci dans la lutte pour le pouvoir : de la Républ</w:t>
      </w:r>
      <w:r w:rsidRPr="00320A86">
        <w:t>i</w:t>
      </w:r>
      <w:r w:rsidRPr="00320A86">
        <w:t>que jusqu’à la doctrine marxiste version maoïste, aujourd’hui les Droits de l’homme etc. C’est cette contagion qui met en mouv</w:t>
      </w:r>
      <w:r w:rsidRPr="00320A86">
        <w:t>e</w:t>
      </w:r>
      <w:r w:rsidRPr="00320A86">
        <w:t>ment le code n° 1 et explique le renouveau du christianisme en Chine, l’apparition de sectes de type occidental ou le réveil de l’islam chez les Ou</w:t>
      </w:r>
      <w:r w:rsidRPr="00320A86">
        <w:t>ï</w:t>
      </w:r>
      <w:r w:rsidRPr="00320A86">
        <w:t>gours. La subversion du code N° 2 par le code n° 1 expliquerait ces phén</w:t>
      </w:r>
      <w:r w:rsidRPr="00320A86">
        <w:t>o</w:t>
      </w:r>
      <w:r w:rsidRPr="00320A86">
        <w:t>mènes, auxquels s’ajoute la lutte des puissances dans le cadre de la mondialisation et de la redistribution des cartes depuis la fin de l’U</w:t>
      </w:r>
      <w:r w:rsidRPr="00320A86">
        <w:rPr>
          <w:smallCaps/>
        </w:rPr>
        <w:t>rss</w:t>
      </w:r>
      <w:r w:rsidRPr="00320A86">
        <w:t>.</w:t>
      </w:r>
    </w:p>
    <w:p w14:paraId="624BB373" w14:textId="77777777" w:rsidR="00B01930" w:rsidRPr="00320A86" w:rsidRDefault="00B01930" w:rsidP="00B01930">
      <w:pPr>
        <w:spacing w:before="120" w:after="120"/>
        <w:jc w:val="both"/>
      </w:pPr>
      <w:r w:rsidRPr="00320A86">
        <w:t>Si cela est vérifié, la nature humaine étant identique partout, l’universalité des codes postulée par Jean-Louis Martres est exacte, mais cela signifie aussi qu’il y a une tectonique des codes d’une aire de prédominance d’un code à une autre aire, et en l’espèce il n’est pas sûr que le code n° 2 en sorte indemne.</w:t>
      </w:r>
    </w:p>
    <w:p w14:paraId="0D303439" w14:textId="77777777" w:rsidR="00B01930" w:rsidRPr="00320A86" w:rsidRDefault="00B01930" w:rsidP="00B01930">
      <w:pPr>
        <w:spacing w:before="120" w:after="120"/>
        <w:jc w:val="both"/>
      </w:pPr>
      <w:r w:rsidRPr="00320A86">
        <w:t>Mais d’un autre côté, nous ne répondons pas à la naissance de la démocratie en Grèce dans le cadre martrien. Sauf à dire qu’une pensée relativiste, sans m</w:t>
      </w:r>
      <w:r w:rsidRPr="00320A86">
        <w:t>o</w:t>
      </w:r>
      <w:r w:rsidRPr="00320A86">
        <w:t>de mineur manichéen inégalitaire suffisant, comme en Chine, s’en tient à la forme de régime politique le plus stable po</w:t>
      </w:r>
      <w:r w:rsidRPr="00320A86">
        <w:t>s</w:t>
      </w:r>
      <w:r w:rsidRPr="00320A86">
        <w:t>sible qu’elle ait trouvée au regard des conditions historiques de sa naissance (l’Empire pour la Chine).</w:t>
      </w:r>
    </w:p>
    <w:p w14:paraId="0D502256" w14:textId="77777777" w:rsidR="00B01930" w:rsidRPr="00320A86" w:rsidRDefault="00B01930" w:rsidP="00B01930">
      <w:pPr>
        <w:spacing w:before="120" w:after="120"/>
        <w:jc w:val="both"/>
      </w:pPr>
      <w:r w:rsidRPr="00320A86">
        <w:lastRenderedPageBreak/>
        <w:t>La Grèce aurait inventé la démocratie en fonction de ses propres conditions historiques et, surtout, un univers mental où le code n° 1 n’était pas totalement absent et fonctionnait en mode mineur suffisant (d’où Platon, possible dans toute sa splendeur intellectuelle, mais m</w:t>
      </w:r>
      <w:r w:rsidRPr="00320A86">
        <w:t>i</w:t>
      </w:r>
      <w:r w:rsidRPr="00320A86">
        <w:t>noritaire par là même).</w:t>
      </w:r>
    </w:p>
    <w:p w14:paraId="5641F67D" w14:textId="77777777" w:rsidR="00B01930" w:rsidRPr="00320A86" w:rsidRDefault="00B01930" w:rsidP="00B01930">
      <w:pPr>
        <w:spacing w:before="120" w:after="120"/>
        <w:jc w:val="both"/>
      </w:pPr>
      <w:r w:rsidRPr="00320A86">
        <w:t>En ce cas, Jean-Louis Martres a raison de déceler ici et là dans l’Antiquité les possibles traces des éléments liés au code n° 1. Mais, en l’état, il faut admettre que la question des conditions de « naissance structurale » de la démocratie (n</w:t>
      </w:r>
      <w:r w:rsidRPr="00320A86">
        <w:t>o</w:t>
      </w:r>
      <w:r w:rsidRPr="00320A86">
        <w:t>tamment en Grèce) reste ouverte.</w:t>
      </w:r>
    </w:p>
    <w:p w14:paraId="3B99EA8F" w14:textId="77777777" w:rsidR="00B01930" w:rsidRPr="00320A86" w:rsidRDefault="00B01930" w:rsidP="00B01930">
      <w:pPr>
        <w:spacing w:before="120" w:after="120"/>
        <w:jc w:val="both"/>
      </w:pPr>
      <w:r w:rsidRPr="00320A86">
        <w:t>– Lors de ce périple, qui n’est que reconnaissance, l’Inde a été « contournée » délibérément par Jean-Louis Martres, la Chine ayant absorbé tous ses efforts, déjà considérables. Choix assumé d’autant plus qu’il s’agit d’un « essai ». Pour notre part, sans être spécialiste, il nous paraît intéressant de pr</w:t>
      </w:r>
      <w:r w:rsidRPr="00320A86">
        <w:t>o</w:t>
      </w:r>
      <w:r w:rsidRPr="00320A86">
        <w:t>poser quelques idées, très sommaires, que nous lui avions soumises à travers maints échanges de vive voix. Nous y ajouterons des observations compléme</w:t>
      </w:r>
      <w:r w:rsidRPr="00320A86">
        <w:t>n</w:t>
      </w:r>
      <w:r w:rsidRPr="00320A86">
        <w:t>taires apparues à cette occasion touchant au lien entre codes et violences rel</w:t>
      </w:r>
      <w:r w:rsidRPr="00320A86">
        <w:t>i</w:t>
      </w:r>
      <w:r w:rsidRPr="00320A86">
        <w:t>gieuses.</w:t>
      </w:r>
    </w:p>
    <w:p w14:paraId="1AC83EED" w14:textId="77777777" w:rsidR="00B01930" w:rsidRPr="00320A86" w:rsidRDefault="00B01930" w:rsidP="00B01930">
      <w:pPr>
        <w:spacing w:before="120" w:after="120"/>
        <w:jc w:val="both"/>
      </w:pPr>
      <w:r w:rsidRPr="00320A86">
        <w:t>Si linguistiquement l’Inde appartient au monde indo-européen, f</w:t>
      </w:r>
      <w:r w:rsidRPr="00320A86">
        <w:t>a</w:t>
      </w:r>
      <w:r w:rsidRPr="00320A86">
        <w:t>cilitant la connaissance et la compréhension des textes, en revanche culturellement et s</w:t>
      </w:r>
      <w:r w:rsidRPr="00320A86">
        <w:t>o</w:t>
      </w:r>
      <w:r w:rsidRPr="00320A86">
        <w:t>cialement, elle laisse le voyageur des idées tout aussi perplexe que l’analyse de la pensée chinoise. Il semble que la distance entre la perception et la réalité soit de même nature que « l’écart entre la broderie et le tissu</w:t>
      </w:r>
      <w:r>
        <w:t> </w:t>
      </w:r>
      <w:r>
        <w:rPr>
          <w:rStyle w:val="Appelnotedebasdep"/>
        </w:rPr>
        <w:footnoteReference w:id="139"/>
      </w:r>
      <w:r w:rsidRPr="00320A86">
        <w:t> ». On remarque qu’en Inde il n’y aurait pas de définition incontestée du Bien et du Mal, ni de Dieu un</w:t>
      </w:r>
      <w:r w:rsidRPr="00320A86">
        <w:t>i</w:t>
      </w:r>
      <w:r w:rsidRPr="00320A86">
        <w:t>que. Aucun texte ne prime par rapport aux autres. C’est un relat</w:t>
      </w:r>
      <w:r w:rsidRPr="00320A86">
        <w:t>i</w:t>
      </w:r>
      <w:r w:rsidRPr="00320A86">
        <w:t>visme terre à terre qui anime la conduite. Ce qui importe c’est le su</w:t>
      </w:r>
      <w:r w:rsidRPr="00320A86">
        <w:t>c</w:t>
      </w:r>
      <w:r w:rsidRPr="00320A86">
        <w:t>cès en termes de statut, de pouvoir, d’argent. Les Indiens considèrent la poursuite du pouvoir comme une fin en soi et ils sont formidable</w:t>
      </w:r>
      <w:r w:rsidRPr="00320A86">
        <w:lastRenderedPageBreak/>
        <w:t>ment habiles à démonter la mécanique du po</w:t>
      </w:r>
      <w:r w:rsidRPr="00320A86">
        <w:t>u</w:t>
      </w:r>
      <w:r w:rsidRPr="00320A86">
        <w:t>voir et à s’y adapter. Dans cette lutte pour le pouvoir, ils sont passés maîtres dans le jeu de la d</w:t>
      </w:r>
      <w:r w:rsidRPr="00320A86">
        <w:t>i</w:t>
      </w:r>
      <w:r w:rsidRPr="00320A86">
        <w:t>vision, de l’intrigue, de la corruption. Ceux qui r</w:t>
      </w:r>
      <w:r w:rsidRPr="00320A86">
        <w:t>e</w:t>
      </w:r>
      <w:r w:rsidRPr="00320A86">
        <w:t>noncent à l’appât du pouvoir sont vénérés non parce que leur exemple peut su</w:t>
      </w:r>
      <w:r w:rsidRPr="00320A86">
        <w:t>s</w:t>
      </w:r>
      <w:r w:rsidRPr="00320A86">
        <w:t>citer l’émulation, mais en simple hommage à leur capacité à transce</w:t>
      </w:r>
      <w:r w:rsidRPr="00320A86">
        <w:t>n</w:t>
      </w:r>
      <w:r w:rsidRPr="00320A86">
        <w:t>der l’irrésistible. Pour autant le concept de moralité, les principes d’un niveau intellectuel ou m</w:t>
      </w:r>
      <w:r w:rsidRPr="00320A86">
        <w:t>o</w:t>
      </w:r>
      <w:r w:rsidRPr="00320A86">
        <w:t>ral élevés, apparaissent chers aux Indiens en tant que construction théorique, mais ils sont largement ignorés dans la vie quotidienne, car consid</w:t>
      </w:r>
      <w:r w:rsidRPr="00320A86">
        <w:t>é</w:t>
      </w:r>
      <w:r w:rsidRPr="00320A86">
        <w:t>rés comme impraticables. Enfin, les Indiens ne sont pas non violents, mais plutôt conscients des limites de la violence. Ils préfèrent une insolite coexistence avec une pui</w:t>
      </w:r>
      <w:r w:rsidRPr="00320A86">
        <w:t>s</w:t>
      </w:r>
      <w:r w:rsidRPr="00320A86">
        <w:t>sance supérieure à l’anéantissement suicidaire. Si en revanche la viole</w:t>
      </w:r>
      <w:r w:rsidRPr="00320A86">
        <w:t>n</w:t>
      </w:r>
      <w:r w:rsidRPr="00320A86">
        <w:t>ce est soutenue par une force supérieure en nombre, alors, les Indiens peuvent être au</w:t>
      </w:r>
      <w:r w:rsidRPr="00320A86">
        <w:t>s</w:t>
      </w:r>
      <w:r w:rsidRPr="00320A86">
        <w:t>si violents que n’importe quel peuple.</w:t>
      </w:r>
    </w:p>
    <w:p w14:paraId="0F22CECF" w14:textId="77777777" w:rsidR="00B01930" w:rsidRPr="00320A86" w:rsidRDefault="00B01930" w:rsidP="00B01930">
      <w:pPr>
        <w:spacing w:before="120" w:after="120"/>
        <w:jc w:val="both"/>
      </w:pPr>
      <w:r w:rsidRPr="00320A86">
        <w:t>Or, pour notre part, nous observons que cette violence est, souvent, la cons</w:t>
      </w:r>
      <w:r w:rsidRPr="00320A86">
        <w:t>é</w:t>
      </w:r>
      <w:r w:rsidRPr="00320A86">
        <w:t xml:space="preserve">quence d’une mobilisation faite par un discours religieux, quand bien même, </w:t>
      </w:r>
      <w:r w:rsidRPr="00BF00DD">
        <w:rPr>
          <w:i/>
        </w:rPr>
        <w:t>in fine</w:t>
      </w:r>
      <w:r w:rsidRPr="00320A86">
        <w:t>, il s’agit d’enjeux de pouvoir, de territoire ou de richesse. Quelle est vérit</w:t>
      </w:r>
      <w:r w:rsidRPr="00320A86">
        <w:t>a</w:t>
      </w:r>
      <w:r w:rsidRPr="00320A86">
        <w:t>blement la prégnance du code n° 2 qui semble caractériser, de prime abord, la pensée indienne ? Comment expliquer, hormis la racine sociale et agraire du mouvement, l’expansion, encore aujourd’hui, du parti naxalite, originaire du Be</w:t>
      </w:r>
      <w:r w:rsidRPr="00320A86">
        <w:t>n</w:t>
      </w:r>
      <w:r w:rsidRPr="00320A86">
        <w:t>gale, mais qui occupe actuellement entre 30 et 40 % des territoires de l’Est et du Centre de l’Inde ? Sachant qu’il s’agit, quasiment, du de</w:t>
      </w:r>
      <w:r w:rsidRPr="00320A86">
        <w:t>r</w:t>
      </w:r>
      <w:r w:rsidRPr="00320A86">
        <w:t>nier parti maoïste, c’est-à-dire le modèle même du code n° 1. Co</w:t>
      </w:r>
      <w:r w:rsidRPr="00320A86">
        <w:t>m</w:t>
      </w:r>
      <w:r w:rsidRPr="00320A86">
        <w:t>ment expliquer ce que, même les indianistes, qualifient de « fanatisme », lors des récurrentes secousses politiques sikh ? Il y a un irrédentisme ancien indéniable</w:t>
      </w:r>
      <w:r>
        <w:t> </w:t>
      </w:r>
      <w:r>
        <w:rPr>
          <w:rStyle w:val="Appelnotedebasdep"/>
        </w:rPr>
        <w:footnoteReference w:id="140"/>
      </w:r>
      <w:r w:rsidRPr="00320A86">
        <w:t>, mais la structure de pensée du si</w:t>
      </w:r>
      <w:r w:rsidRPr="00320A86">
        <w:t>k</w:t>
      </w:r>
      <w:r w:rsidRPr="00320A86">
        <w:t>hisme ne relève-t-elle pas du code n° 1 ? N’oublions pas non plus la forte présence de l’islam.</w:t>
      </w:r>
    </w:p>
    <w:p w14:paraId="4564A454" w14:textId="77777777" w:rsidR="00B01930" w:rsidRPr="00320A86" w:rsidRDefault="00B01930" w:rsidP="00B01930">
      <w:pPr>
        <w:spacing w:before="120" w:after="120"/>
        <w:jc w:val="both"/>
      </w:pPr>
      <w:r w:rsidRPr="00320A86">
        <w:t>Plus largement on a assisté à des mouvements de même nature chez les « hindouistes ». Peut-être faut-il alors voir dans la pensée i</w:t>
      </w:r>
      <w:r w:rsidRPr="00320A86">
        <w:t>n</w:t>
      </w:r>
      <w:r w:rsidRPr="00320A86">
        <w:t>dienne une mosa</w:t>
      </w:r>
      <w:r w:rsidRPr="00320A86">
        <w:t>ï</w:t>
      </w:r>
      <w:r w:rsidRPr="00320A86">
        <w:t>que de pensées relevant des codes n° 1 et n° 2 qui cohabitent, mais peuvent, selon les enjeux, s’affronter jusqu’aux e</w:t>
      </w:r>
      <w:r w:rsidRPr="00320A86">
        <w:t>x</w:t>
      </w:r>
      <w:r w:rsidRPr="00320A86">
        <w:t xml:space="preserve">trêmes. On peut, peut être, aussi avancer l’idée que l’essentiel de la culture indienne serait de nature syncrétique, mais contrairement à la </w:t>
      </w:r>
      <w:r w:rsidRPr="00320A86">
        <w:lastRenderedPageBreak/>
        <w:t>thèse martrienne qui en fait un modèle irréalisable</w:t>
      </w:r>
      <w:r>
        <w:t> </w:t>
      </w:r>
      <w:r>
        <w:rPr>
          <w:rStyle w:val="Appelnotedebasdep"/>
        </w:rPr>
        <w:footnoteReference w:id="141"/>
      </w:r>
      <w:r w:rsidRPr="00320A86">
        <w:t>, le g</w:t>
      </w:r>
      <w:r w:rsidRPr="00320A86">
        <w:t>é</w:t>
      </w:r>
      <w:r w:rsidRPr="00320A86">
        <w:t>nie indien serait justement l’exception qui confirme la règle ? Le code n° 2 serait plus prédominant que le code n° 1, mais celui-ci expliquerait les s</w:t>
      </w:r>
      <w:r w:rsidRPr="00320A86">
        <w:t>e</w:t>
      </w:r>
      <w:r w:rsidRPr="00320A86">
        <w:t>cousses « fanatiques » récurrentes ?</w:t>
      </w:r>
    </w:p>
    <w:p w14:paraId="41010F25" w14:textId="77777777" w:rsidR="00B01930" w:rsidRPr="00320A86" w:rsidRDefault="00B01930" w:rsidP="00B01930">
      <w:pPr>
        <w:spacing w:before="120" w:after="120"/>
        <w:jc w:val="both"/>
      </w:pPr>
      <w:r w:rsidRPr="00320A86">
        <w:t>Allons plus loin. En d’autres lieux ou époques, le Bouddhisme, qui en son essence se veut non violent, n’est pas exempt de tels soubr</w:t>
      </w:r>
      <w:r w:rsidRPr="00320A86">
        <w:t>e</w:t>
      </w:r>
      <w:r w:rsidRPr="00320A86">
        <w:t>sauts</w:t>
      </w:r>
      <w:r>
        <w:t> </w:t>
      </w:r>
      <w:r>
        <w:rPr>
          <w:rStyle w:val="Appelnotedebasdep"/>
        </w:rPr>
        <w:footnoteReference w:id="142"/>
      </w:r>
      <w:r w:rsidRPr="00320A86">
        <w:t>.</w:t>
      </w:r>
    </w:p>
    <w:p w14:paraId="60AED61B" w14:textId="77777777" w:rsidR="00B01930" w:rsidRPr="00320A86" w:rsidRDefault="00B01930" w:rsidP="00B01930">
      <w:pPr>
        <w:spacing w:before="120" w:after="120"/>
        <w:jc w:val="both"/>
      </w:pPr>
      <w:r w:rsidRPr="00320A86">
        <w:t>La lutte pour le pouvoir, les intérêts, les rivalités ancestrales, ou a</w:t>
      </w:r>
      <w:r w:rsidRPr="00320A86">
        <w:t>t</w:t>
      </w:r>
      <w:r w:rsidRPr="00320A86">
        <w:t>tisées par le colonialisme, et aujourd’hui par le jeu des puissances ou des grandes firmes, peuvent expliquer ces phénomènes</w:t>
      </w:r>
      <w:r>
        <w:t> </w:t>
      </w:r>
      <w:r>
        <w:rPr>
          <w:rStyle w:val="Appelnotedebasdep"/>
        </w:rPr>
        <w:footnoteReference w:id="143"/>
      </w:r>
      <w:r w:rsidRPr="00320A86">
        <w:t>. Mais ne peut-on formuler l’hypothèse que, dans un univers mental façonné par le code n° 2, les réactions violentes s</w:t>
      </w:r>
      <w:r w:rsidRPr="00320A86">
        <w:t>e</w:t>
      </w:r>
      <w:r w:rsidRPr="00320A86">
        <w:t>raient une défense lorsqu’il y a apparition et expansion de mouvements relevant du code n° 1 (qui par définition est antinomique) ? Il s’agirait de faire échec à la contagion et la subversion de doctrines, d’idéologies ou de religions dérivant du code n° 1</w:t>
      </w:r>
      <w:r>
        <w:t> </w:t>
      </w:r>
      <w:r>
        <w:rPr>
          <w:rStyle w:val="Appelnotedebasdep"/>
        </w:rPr>
        <w:footnoteReference w:id="144"/>
      </w:r>
      <w:r w:rsidRPr="00320A86">
        <w:t>.</w:t>
      </w:r>
    </w:p>
    <w:p w14:paraId="2E58B794" w14:textId="77777777" w:rsidR="00B01930" w:rsidRPr="00320A86" w:rsidRDefault="00B01930" w:rsidP="00B01930">
      <w:pPr>
        <w:spacing w:before="120" w:after="120"/>
        <w:jc w:val="both"/>
      </w:pPr>
    </w:p>
    <w:p w14:paraId="1C878694" w14:textId="77777777" w:rsidR="00B01930" w:rsidRPr="00320A86" w:rsidRDefault="00B01930" w:rsidP="00B01930">
      <w:pPr>
        <w:spacing w:before="120" w:after="120"/>
        <w:jc w:val="both"/>
      </w:pPr>
      <w:r w:rsidRPr="00320A86">
        <w:t xml:space="preserve">II. 3. </w:t>
      </w:r>
      <w:r w:rsidRPr="002E130C">
        <w:rPr>
          <w:i/>
          <w:color w:val="FF0000"/>
        </w:rPr>
        <w:t>Le code n° 3 (« syncrétique »)</w:t>
      </w:r>
    </w:p>
    <w:p w14:paraId="16429F21" w14:textId="77777777" w:rsidR="00B01930" w:rsidRDefault="00B01930" w:rsidP="00B01930">
      <w:pPr>
        <w:spacing w:before="120" w:after="120"/>
        <w:jc w:val="both"/>
      </w:pPr>
    </w:p>
    <w:p w14:paraId="14DF73C8" w14:textId="77777777" w:rsidR="00B01930" w:rsidRPr="00320A86" w:rsidRDefault="00B01930" w:rsidP="00B01930">
      <w:pPr>
        <w:spacing w:before="120" w:after="120"/>
        <w:jc w:val="both"/>
      </w:pPr>
      <w:r w:rsidRPr="00320A86">
        <w:t>Ce code aurait pour particularité de reposer sur la tentation de vo</w:t>
      </w:r>
      <w:r w:rsidRPr="00320A86">
        <w:t>u</w:t>
      </w:r>
      <w:r w:rsidRPr="00320A86">
        <w:t>loir réunir les deux autres codes. Par nature, il n’est pas de l’ordre du réalisable, puisque reposant sur deux radicaux antinomiques. Ce serait un pur objet de discours. On pourrait l’illustrer par cette question, bien connue du mouvement intellectuel surréaliste : « comment vendre un couteau sans lame qui aurait perdu son ma</w:t>
      </w:r>
      <w:r w:rsidRPr="00320A86">
        <w:t>n</w:t>
      </w:r>
      <w:r w:rsidRPr="00320A86">
        <w:t>che ».</w:t>
      </w:r>
    </w:p>
    <w:p w14:paraId="5B697B5F" w14:textId="77777777" w:rsidR="00B01930" w:rsidRPr="00320A86" w:rsidRDefault="00B01930" w:rsidP="00B01930">
      <w:pPr>
        <w:spacing w:before="120" w:after="120"/>
        <w:jc w:val="both"/>
      </w:pPr>
      <w:r w:rsidRPr="00320A86">
        <w:t>L’exemple type serait, selon Jean-Louis Martres, Jean-Jacques Rousseau. Sur le plan du code de valeurs, il y a une définition du Bien (l’Égalité) et du Mal (l’Inégalité), mais on ne peut accepter une soci</w:t>
      </w:r>
      <w:r w:rsidRPr="00320A86">
        <w:t>é</w:t>
      </w:r>
      <w:r w:rsidRPr="00320A86">
        <w:t>té sans liberté, sans pluralisme. Le seul détenteur du pouvoir est le Peuple, qui connaît le Bien, le seul régime possible restant la dém</w:t>
      </w:r>
      <w:r w:rsidRPr="00320A86">
        <w:t>o</w:t>
      </w:r>
      <w:r w:rsidRPr="00320A86">
        <w:lastRenderedPageBreak/>
        <w:t>cratie. Le contrat social sera l’instrument de la dévol</w:t>
      </w:r>
      <w:r w:rsidRPr="00320A86">
        <w:t>u</w:t>
      </w:r>
      <w:r w:rsidRPr="00320A86">
        <w:t>tion du pouvoir. L’exercice du pouvoir sera « totalitaire ». On ne peut s’opposer à la Volonté générale. Dès lors, on ne saurait diviser la souveraineté entre différents organes. L’État dispose de tous les moyens sur les indiv</w:t>
      </w:r>
      <w:r w:rsidRPr="00320A86">
        <w:t>i</w:t>
      </w:r>
      <w:r w:rsidRPr="00320A86">
        <w:t>dus. Mais on peut tromper le Peuple. Alors, pour y remédier, il faudra faire appel au législateur providentiel qui connaît le Bien. Mais simu</w:t>
      </w:r>
      <w:r w:rsidRPr="00320A86">
        <w:t>l</w:t>
      </w:r>
      <w:r w:rsidRPr="00320A86">
        <w:t>tanément, Jean-Jacques Rousseau écrit que le gouvernement sera lim</w:t>
      </w:r>
      <w:r w:rsidRPr="00320A86">
        <w:t>i</w:t>
      </w:r>
      <w:r w:rsidRPr="00320A86">
        <w:t>té par des contrepoids pour garantir les droits des individus, ce qui est contradictoire. Pour que ce système fonctionne, il faut que le Peuple soit soumis de façon permanente à une religion civile dictée par le l</w:t>
      </w:r>
      <w:r w:rsidRPr="00320A86">
        <w:t>é</w:t>
      </w:r>
      <w:r w:rsidRPr="00320A86">
        <w:t>gislateur suprême.</w:t>
      </w:r>
    </w:p>
    <w:p w14:paraId="78AEE2CB" w14:textId="77777777" w:rsidR="00B01930" w:rsidRPr="00320A86" w:rsidRDefault="00B01930" w:rsidP="00B01930">
      <w:pPr>
        <w:spacing w:before="120" w:after="120"/>
        <w:jc w:val="both"/>
      </w:pPr>
      <w:r w:rsidRPr="00320A86">
        <w:t>L’éducation – en fait la propagande – est une nécessité, car « toute mécha</w:t>
      </w:r>
      <w:r w:rsidRPr="00320A86">
        <w:t>n</w:t>
      </w:r>
      <w:r w:rsidRPr="00320A86">
        <w:t>ceté vient de la faiblesse, l’enfant n’est méchant que parce qu’il est faible ; re</w:t>
      </w:r>
      <w:r w:rsidRPr="00320A86">
        <w:t>n</w:t>
      </w:r>
      <w:r w:rsidRPr="00320A86">
        <w:t>dez le fort il sera bon […] ; redressez les opinions des hommes et leurs mœurs s’épureront d’elles-mêmes ». On retro</w:t>
      </w:r>
      <w:r w:rsidRPr="00320A86">
        <w:t>u</w:t>
      </w:r>
      <w:r w:rsidRPr="00320A86">
        <w:t>ve, intacte, la position de Platon.</w:t>
      </w:r>
    </w:p>
    <w:p w14:paraId="683F8C8A" w14:textId="77777777" w:rsidR="00B01930" w:rsidRPr="00320A86" w:rsidRDefault="00B01930" w:rsidP="00B01930">
      <w:pPr>
        <w:spacing w:before="120" w:after="120"/>
        <w:jc w:val="both"/>
      </w:pPr>
      <w:r w:rsidRPr="00320A86">
        <w:t>Jean-Jacques Rousseau se montre sans ambiguïté sur ce qui attend le réfra</w:t>
      </w:r>
      <w:r w:rsidRPr="00320A86">
        <w:t>c</w:t>
      </w:r>
      <w:r w:rsidRPr="00320A86">
        <w:t>taire :</w:t>
      </w:r>
    </w:p>
    <w:p w14:paraId="68FF81A4" w14:textId="77777777" w:rsidR="00B01930" w:rsidRDefault="00B01930" w:rsidP="00B01930">
      <w:pPr>
        <w:pStyle w:val="citation"/>
      </w:pPr>
      <w:r w:rsidRPr="00320A86">
        <w:t>« Que si quelqu’un, après avoir reconnu publiquement ces mêmes dogmes, se conduit comme ne le croyant pas, qu’il soit puni de mort ».</w:t>
      </w:r>
    </w:p>
    <w:p w14:paraId="2D1D65EB" w14:textId="77777777" w:rsidR="00B01930" w:rsidRPr="00320A86" w:rsidRDefault="00B01930" w:rsidP="00B01930">
      <w:pPr>
        <w:pStyle w:val="citation"/>
      </w:pPr>
    </w:p>
    <w:p w14:paraId="5BDBAD14" w14:textId="77777777" w:rsidR="00B01930" w:rsidRPr="00320A86" w:rsidRDefault="00B01930" w:rsidP="00B01930">
      <w:pPr>
        <w:spacing w:before="120" w:after="120"/>
        <w:jc w:val="both"/>
      </w:pPr>
      <w:r w:rsidRPr="00320A86">
        <w:t>Celui qui rompt le Contrat, le pacte devient un ennemi public : en d’autres termes, l’individu doit obéir jusqu’à sa mort.</w:t>
      </w:r>
    </w:p>
    <w:p w14:paraId="158BC7C3" w14:textId="77777777" w:rsidR="00B01930" w:rsidRPr="00320A86" w:rsidRDefault="00B01930" w:rsidP="00B01930">
      <w:pPr>
        <w:spacing w:before="120" w:after="120"/>
        <w:jc w:val="both"/>
      </w:pPr>
      <w:r w:rsidRPr="00320A86">
        <w:t>La conclusion de Rousseau est sans appel :</w:t>
      </w:r>
    </w:p>
    <w:p w14:paraId="2E7B421B" w14:textId="77777777" w:rsidR="00B01930" w:rsidRDefault="00B01930" w:rsidP="00B01930">
      <w:pPr>
        <w:pStyle w:val="citation"/>
      </w:pPr>
      <w:r w:rsidRPr="00320A86">
        <w:t>« À prendre le terme dans la rigueur de l’acception, il n’y a jamais existé de vér</w:t>
      </w:r>
      <w:r w:rsidRPr="00320A86">
        <w:t>i</w:t>
      </w:r>
      <w:r w:rsidRPr="00320A86">
        <w:t>table démocratie, et il n’en existera jamais. Il est contre l’ordre naturel que le grand nombre gouverne et que le petit soit gouve</w:t>
      </w:r>
      <w:r w:rsidRPr="00320A86">
        <w:t>r</w:t>
      </w:r>
      <w:r w:rsidRPr="00320A86">
        <w:t>né</w:t>
      </w:r>
      <w:r>
        <w:t> </w:t>
      </w:r>
      <w:r w:rsidRPr="008F703F">
        <w:rPr>
          <w:rStyle w:val="Appelnotedebasdep"/>
          <w:i/>
        </w:rPr>
        <w:footnoteReference w:id="145"/>
      </w:r>
      <w:r w:rsidRPr="00320A86">
        <w:t> ».</w:t>
      </w:r>
    </w:p>
    <w:p w14:paraId="49A3DD79" w14:textId="77777777" w:rsidR="00B01930" w:rsidRPr="00320A86" w:rsidRDefault="00B01930" w:rsidP="00B01930">
      <w:pPr>
        <w:spacing w:before="120" w:after="120"/>
        <w:jc w:val="both"/>
      </w:pPr>
      <w:r w:rsidRPr="00320A86">
        <w:rPr>
          <w:szCs w:val="28"/>
        </w:rPr>
        <w:t>Et il ajoute </w:t>
      </w:r>
      <w:r w:rsidRPr="00320A86">
        <w:t>:</w:t>
      </w:r>
    </w:p>
    <w:p w14:paraId="2E7458BA" w14:textId="77777777" w:rsidR="00B01930" w:rsidRDefault="00B01930" w:rsidP="00B01930">
      <w:pPr>
        <w:pStyle w:val="citation"/>
      </w:pPr>
      <w:r w:rsidRPr="00320A86">
        <w:t>« S’il y avait un peuple de dieux, il se gouvernerait démocratiquement. Un go</w:t>
      </w:r>
      <w:r w:rsidRPr="00320A86">
        <w:t>u</w:t>
      </w:r>
      <w:r w:rsidRPr="00320A86">
        <w:t>vernement si parfait ne convient pas à des hommes</w:t>
      </w:r>
      <w:r>
        <w:t> </w:t>
      </w:r>
      <w:r w:rsidRPr="008F703F">
        <w:rPr>
          <w:rStyle w:val="Appelnotedebasdep"/>
          <w:i/>
        </w:rPr>
        <w:footnoteReference w:id="146"/>
      </w:r>
      <w:r w:rsidRPr="00320A86">
        <w:t> ».</w:t>
      </w:r>
    </w:p>
    <w:p w14:paraId="407CB561" w14:textId="77777777" w:rsidR="00B01930" w:rsidRPr="00320A86" w:rsidRDefault="00B01930" w:rsidP="00B01930">
      <w:pPr>
        <w:pStyle w:val="citation"/>
      </w:pPr>
    </w:p>
    <w:p w14:paraId="0B4733F7" w14:textId="77777777" w:rsidR="00B01930" w:rsidRPr="00320A86" w:rsidRDefault="00B01930" w:rsidP="00B01930">
      <w:pPr>
        <w:spacing w:before="120" w:after="120"/>
        <w:jc w:val="both"/>
      </w:pPr>
      <w:r w:rsidRPr="00320A86">
        <w:lastRenderedPageBreak/>
        <w:t>En réalité, toutes les contradictions du Contrat social sont la conséquence de l’adossement du discours aux deux codes opposés et qui explique l’instabilité de la démocratie, ainsi que ses déclinaisons différentes selon la prédominance d’un des deux codes. On peut donc lire aussi Rousseau comme celui qui a décrit la démocratie telle qu’elle fonctionne, selon un mode contradictoire, jamais ach</w:t>
      </w:r>
      <w:r w:rsidRPr="00320A86">
        <w:t>e</w:t>
      </w:r>
      <w:r w:rsidRPr="00320A86">
        <w:t>vée, hors d’atteinte.</w:t>
      </w:r>
    </w:p>
    <w:p w14:paraId="45A14985" w14:textId="77777777" w:rsidR="00B01930" w:rsidRPr="00320A86" w:rsidRDefault="00B01930" w:rsidP="00B01930">
      <w:pPr>
        <w:spacing w:before="120" w:after="120"/>
        <w:jc w:val="both"/>
      </w:pPr>
      <w:r w:rsidRPr="00320A86">
        <w:t>– Le modèle syncrétique est la tentation de réunir dans un même objet les a</w:t>
      </w:r>
      <w:r w:rsidRPr="00320A86">
        <w:t>s</w:t>
      </w:r>
      <w:r w:rsidRPr="00320A86">
        <w:t>pirations contradictoires du peuple, c’est, en fait, l’alibi des deux autres codes et un instrument de manipulation des masses.</w:t>
      </w:r>
    </w:p>
    <w:p w14:paraId="578E5565" w14:textId="77777777" w:rsidR="00B01930" w:rsidRPr="00320A86" w:rsidRDefault="00B01930" w:rsidP="00B01930">
      <w:pPr>
        <w:spacing w:before="120" w:after="120"/>
        <w:jc w:val="both"/>
      </w:pPr>
      <w:r w:rsidRPr="00320A86">
        <w:t>Mais de ce fait, nous pensons que cela laisse la porte ouverte au déploiement de l’intégralité des conséquences du code n° 1, si un parti professe explicitement un programme dont le contenu se revendique de la détention exclusive de la V</w:t>
      </w:r>
      <w:r w:rsidRPr="00320A86">
        <w:t>é</w:t>
      </w:r>
      <w:r w:rsidRPr="00320A86">
        <w:t>rité, du Bien. Au nom du « fétichisme du bulletin de vote » (qui aujourd’hui est devenu pour les Occidentaux le seul critère de la démocratie), un tel parti, parvenu l</w:t>
      </w:r>
      <w:r w:rsidRPr="00320A86">
        <w:t>é</w:t>
      </w:r>
      <w:r w:rsidRPr="00320A86">
        <w:t xml:space="preserve">galement au pouvoir (fût-ce avec une abstention record et une victoire à 0, 5 % de majorité), pourra réaliser le Bien dont il se sait porteur et abolir… la démocratie. Il aura une double légitimité : la </w:t>
      </w:r>
      <w:r w:rsidRPr="00BF00DD">
        <w:rPr>
          <w:i/>
        </w:rPr>
        <w:t>vox populi</w:t>
      </w:r>
      <w:r w:rsidRPr="00320A86">
        <w:t xml:space="preserve"> par le vote, la détention du Bien qui oblige à accepter son accession au pouvoir</w:t>
      </w:r>
      <w:r>
        <w:t> </w:t>
      </w:r>
      <w:r>
        <w:rPr>
          <w:rStyle w:val="Appelnotedebasdep"/>
        </w:rPr>
        <w:footnoteReference w:id="147"/>
      </w:r>
      <w:r w:rsidRPr="00320A86">
        <w:t>.</w:t>
      </w:r>
    </w:p>
    <w:p w14:paraId="0A6EFAFB" w14:textId="77777777" w:rsidR="00B01930" w:rsidRPr="00320A86" w:rsidRDefault="00B01930" w:rsidP="00B01930">
      <w:pPr>
        <w:spacing w:before="120" w:after="120"/>
        <w:jc w:val="both"/>
      </w:pPr>
      <w:r w:rsidRPr="00320A86">
        <w:t>Lorsque Jean-Louis Martres, à propos de l’interdiction du port du voile isl</w:t>
      </w:r>
      <w:r w:rsidRPr="00320A86">
        <w:t>a</w:t>
      </w:r>
      <w:r w:rsidRPr="00320A86">
        <w:t>mique dans les lieux publics, estime que la réaction française serait une manife</w:t>
      </w:r>
      <w:r w:rsidRPr="00320A86">
        <w:t>s</w:t>
      </w:r>
      <w:r w:rsidRPr="00320A86">
        <w:t>tation de la présence du code n° 1, cela ne paraît pas vraiment convaincant, sa position reflétant les ambiguïtés de son an</w:t>
      </w:r>
      <w:r w:rsidRPr="00320A86">
        <w:t>a</w:t>
      </w:r>
      <w:r w:rsidRPr="00320A86">
        <w:t>lyse de l’islam, dont nous avons montré qu’elle n’était pas cohérente avec ses hypothèses</w:t>
      </w:r>
      <w:r>
        <w:t> </w:t>
      </w:r>
      <w:r>
        <w:rPr>
          <w:rStyle w:val="Appelnotedebasdep"/>
        </w:rPr>
        <w:footnoteReference w:id="148"/>
      </w:r>
      <w:r w:rsidRPr="00320A86">
        <w:t>. N’est ce pas plutôt, tout simplement, la réa</w:t>
      </w:r>
      <w:r w:rsidRPr="00320A86">
        <w:t>c</w:t>
      </w:r>
      <w:r w:rsidRPr="00320A86">
        <w:t>tion logique des régimes fondés sur le code n° 2, qui doivent se préserver de toute contagion du code n° 1, dont Jean-Louis Martres ex</w:t>
      </w:r>
      <w:r w:rsidRPr="00320A86">
        <w:lastRenderedPageBreak/>
        <w:t>plique que structuralement, si les circonstances s’y prêtent, il aboutira à la t</w:t>
      </w:r>
      <w:r w:rsidRPr="00320A86">
        <w:t>y</w:t>
      </w:r>
      <w:r w:rsidRPr="00320A86">
        <w:t>rannie, « le totalitarisme ».</w:t>
      </w:r>
    </w:p>
    <w:p w14:paraId="5E9F2940" w14:textId="77777777" w:rsidR="00B01930" w:rsidRPr="00320A86" w:rsidRDefault="00B01930" w:rsidP="00B01930">
      <w:pPr>
        <w:spacing w:before="120" w:after="120"/>
        <w:jc w:val="both"/>
      </w:pPr>
      <w:r w:rsidRPr="00320A86">
        <w:t>Raymond Aron ne dit pas autre chose, mais par une définition s</w:t>
      </w:r>
      <w:r w:rsidRPr="00320A86">
        <w:t>o</w:t>
      </w:r>
      <w:r w:rsidRPr="00320A86">
        <w:t>ciologique de la démocratie, à savoir « l’organisation de la concurre</w:t>
      </w:r>
      <w:r w:rsidRPr="00320A86">
        <w:t>n</w:t>
      </w:r>
      <w:r w:rsidRPr="00320A86">
        <w:t>ce pacifique en vue de l’exercice du pouvoir</w:t>
      </w:r>
      <w:r>
        <w:t> </w:t>
      </w:r>
      <w:r>
        <w:rPr>
          <w:rStyle w:val="Appelnotedebasdep"/>
        </w:rPr>
        <w:footnoteReference w:id="149"/>
      </w:r>
      <w:r w:rsidRPr="00320A86">
        <w:t> ». Ce dernier pose la question : la démocratie peut-elle tolérer ceux qui veulent la détruire et refusent la concurrence pacifique ? S’il y a refus alors, dit le mod</w:t>
      </w:r>
      <w:r w:rsidRPr="00320A86">
        <w:t>é</w:t>
      </w:r>
      <w:r w:rsidRPr="00320A86">
        <w:t>ré et libéral Raymond Aron, le régime doit se défendre, c’est la form</w:t>
      </w:r>
      <w:r w:rsidRPr="00320A86">
        <w:t>u</w:t>
      </w:r>
      <w:r w:rsidRPr="00320A86">
        <w:t>le : « pas de liberté pour les ennemis de la liberté ». La question est : où est le seuil de réaction ? Que répondre à ceux qui disent : « nous acce</w:t>
      </w:r>
      <w:r w:rsidRPr="00320A86">
        <w:t>p</w:t>
      </w:r>
      <w:r w:rsidRPr="00320A86">
        <w:t>tons d’arriver légalement au pouvoir, mais une fois celui-ci entre nos mains, nous abolirons le système » ?</w:t>
      </w:r>
    </w:p>
    <w:p w14:paraId="1AFE73B0" w14:textId="77777777" w:rsidR="00B01930" w:rsidRPr="00320A86" w:rsidRDefault="00B01930" w:rsidP="00B01930">
      <w:pPr>
        <w:spacing w:before="120" w:after="120"/>
        <w:jc w:val="both"/>
      </w:pPr>
      <w:r w:rsidRPr="00320A86">
        <w:t>Il est notable qu’en dehors de l’islam, qui affirme ostensiblement détenir la Vérité, les autres religions (catholique, évangéliste, et même juive), depuis pl</w:t>
      </w:r>
      <w:r w:rsidRPr="00320A86">
        <w:t>u</w:t>
      </w:r>
      <w:r w:rsidRPr="00320A86">
        <w:t>sieurs années, se mobilisent contre nombre d’évolutions de la société qui ne sont que les conséquences de la log</w:t>
      </w:r>
      <w:r w:rsidRPr="00320A86">
        <w:t>i</w:t>
      </w:r>
      <w:r w:rsidRPr="00320A86">
        <w:t>que démocratique, ou plus profondément, si on se réfère à la pensée martrienne, de la logique du code n° 2. Il y a, semble-t-il, à nouveau, partant de la périphérie vers le pouvoir, une réactualisation en cours du code n° 1 à partir de ses liaisons dérivées, et par le truchement des possibilités qu’ouvre la démocratie, au nom même de ses propres v</w:t>
      </w:r>
      <w:r w:rsidRPr="00320A86">
        <w:t>a</w:t>
      </w:r>
      <w:r w:rsidRPr="00320A86">
        <w:t>leurs : liberté et égalité.</w:t>
      </w:r>
    </w:p>
    <w:p w14:paraId="2EA8EEF2" w14:textId="77777777" w:rsidR="00B01930" w:rsidRPr="00320A86" w:rsidRDefault="00B01930" w:rsidP="00B01930">
      <w:pPr>
        <w:spacing w:before="120" w:after="120"/>
        <w:jc w:val="both"/>
      </w:pPr>
      <w:r w:rsidRPr="00320A86">
        <w:t>– Ce discours syncrétique peut aussi se voir, selon nous, comme étant le discours qui, au sein du code n° 1, tente par rapport aux cha</w:t>
      </w:r>
      <w:r w:rsidRPr="00320A86">
        <w:t>n</w:t>
      </w:r>
      <w:r w:rsidRPr="00320A86">
        <w:t>gements culturels, techniques, scientifiques, économiques, sociaux, politiques, de refaire la synth</w:t>
      </w:r>
      <w:r w:rsidRPr="00320A86">
        <w:t>è</w:t>
      </w:r>
      <w:r w:rsidRPr="00320A86">
        <w:t>se entre la définition du Bien professé et la réalité, ou bien encore, par le jeu des thèses contradictoires subtil</w:t>
      </w:r>
      <w:r w:rsidRPr="00320A86">
        <w:t>e</w:t>
      </w:r>
      <w:r w:rsidRPr="00320A86">
        <w:t>ment exposées, d’annoncer, ou de révéler, le code n° 2. Le problème, alors, devient celui de l’interprétation des œuvres. En effet, comment décrypter le sens réel de telle ou telle doctrine ? N’est-elle que la réa</w:t>
      </w:r>
      <w:r w:rsidRPr="00320A86">
        <w:t>c</w:t>
      </w:r>
      <w:r w:rsidRPr="00320A86">
        <w:t xml:space="preserve">tualisation du discours manichéen inégalitaire afin d’en assurer la permanence (cf. tous les auteurs médiévaux qui ont voulu faire le lien Révélation-Raison) ou au contraire est-elle le symptôme, même caché, du relativisme ? Comment être sûr de détenir la clef de lecture, de </w:t>
      </w:r>
      <w:r w:rsidRPr="00320A86">
        <w:lastRenderedPageBreak/>
        <w:t>« décodage » ? Ne sommes-nous pas en pr</w:t>
      </w:r>
      <w:r w:rsidRPr="00320A86">
        <w:t>é</w:t>
      </w:r>
      <w:r w:rsidRPr="00320A86">
        <w:t>sence de la méthode de Léo Strauss</w:t>
      </w:r>
      <w:r>
        <w:t> </w:t>
      </w:r>
      <w:r>
        <w:rPr>
          <w:rStyle w:val="Appelnotedebasdep"/>
        </w:rPr>
        <w:footnoteReference w:id="150"/>
      </w:r>
      <w:r w:rsidRPr="00320A86">
        <w:t>, à savoir qu’il faut savoir « lire entre les lignes » ?</w:t>
      </w:r>
    </w:p>
    <w:p w14:paraId="21E382BF" w14:textId="77777777" w:rsidR="00B01930" w:rsidRPr="00320A86" w:rsidRDefault="00B01930" w:rsidP="00B01930">
      <w:pPr>
        <w:spacing w:before="120" w:after="120"/>
        <w:jc w:val="both"/>
        <w:rPr>
          <w:b/>
        </w:rPr>
      </w:pPr>
      <w:r>
        <w:rPr>
          <w:b/>
        </w:rPr>
        <w:br w:type="page"/>
      </w:r>
    </w:p>
    <w:p w14:paraId="301BA225" w14:textId="77777777" w:rsidR="00B01930" w:rsidRPr="00320A86" w:rsidRDefault="00B01930" w:rsidP="00B01930">
      <w:pPr>
        <w:pStyle w:val="planche"/>
      </w:pPr>
      <w:bookmarkStart w:id="7" w:name="Analyser_idees_pol_pt_1_texte_01_concl"/>
      <w:r w:rsidRPr="00320A86">
        <w:t>Conclusion</w:t>
      </w:r>
    </w:p>
    <w:bookmarkEnd w:id="7"/>
    <w:p w14:paraId="2F28273B" w14:textId="77777777" w:rsidR="00B01930" w:rsidRDefault="00B01930" w:rsidP="00B01930">
      <w:pPr>
        <w:spacing w:before="120" w:after="120"/>
        <w:jc w:val="both"/>
      </w:pPr>
    </w:p>
    <w:p w14:paraId="3275C858"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6B939D80" w14:textId="77777777" w:rsidR="00B01930" w:rsidRPr="00320A86" w:rsidRDefault="00B01930" w:rsidP="00B01930">
      <w:pPr>
        <w:spacing w:before="120" w:after="120"/>
        <w:jc w:val="both"/>
      </w:pPr>
      <w:r w:rsidRPr="00320A86">
        <w:t>Ces préparatifs étant faits, le voyageur, muni de nos observations pour lire la carte martrienne, peut prendre la route qui le conduira du Ponant au lointain L</w:t>
      </w:r>
      <w:r w:rsidRPr="00320A86">
        <w:t>e</w:t>
      </w:r>
      <w:r w:rsidRPr="00320A86">
        <w:t>vant en des contrées nouvelles. Il découvrira d’étranges arabesques insoupçonnées et les volutes familières se m</w:t>
      </w:r>
      <w:r w:rsidRPr="00320A86">
        <w:t>é</w:t>
      </w:r>
      <w:r w:rsidRPr="00320A86">
        <w:t>tamorphoseront en de nouvelles spires. Le trouble le gagnera peut-être, la fascination pourra poindre, l’interrogation et la curiosité l’accompagneront jusqu’au bout de la route. Ce qui est le propre d’une Œuvre.</w:t>
      </w:r>
    </w:p>
    <w:p w14:paraId="190E26EC" w14:textId="77777777" w:rsidR="00B01930" w:rsidRPr="00320A86" w:rsidRDefault="00B01930" w:rsidP="00B01930">
      <w:pPr>
        <w:spacing w:before="120" w:after="120"/>
        <w:jc w:val="both"/>
      </w:pPr>
      <w:r w:rsidRPr="00320A86">
        <w:t>Si les idées politiques ont toutes pour dessein de « jeter l’ancre dans le temps</w:t>
      </w:r>
      <w:r>
        <w:t> </w:t>
      </w:r>
      <w:r>
        <w:rPr>
          <w:rStyle w:val="Appelnotedebasdep"/>
        </w:rPr>
        <w:footnoteReference w:id="151"/>
      </w:r>
      <w:r w:rsidRPr="00320A86">
        <w:t> », toutes en se confrontant à la nécessité de « chevaucher le vent</w:t>
      </w:r>
      <w:r>
        <w:t> </w:t>
      </w:r>
      <w:r>
        <w:rPr>
          <w:rStyle w:val="Appelnotedebasdep"/>
        </w:rPr>
        <w:footnoteReference w:id="152"/>
      </w:r>
      <w:r w:rsidRPr="00320A86">
        <w:t> », Jean-Louis Martres, pour sa part, a tenté de pallier le risque d’un certain « fixisme » lié à la méthode structurali</w:t>
      </w:r>
      <w:r w:rsidRPr="00320A86">
        <w:t>s</w:t>
      </w:r>
      <w:r w:rsidRPr="00320A86">
        <w:t>te, par l’intégration, à chaque niveau de la réflexion, des circonsta</w:t>
      </w:r>
      <w:r w:rsidRPr="00320A86">
        <w:t>n</w:t>
      </w:r>
      <w:r w:rsidRPr="00320A86">
        <w:t>ces historiques, n’écartant ni les déterminants sociaux ni la liberté de l’homme.</w:t>
      </w:r>
    </w:p>
    <w:p w14:paraId="4EF7E31B" w14:textId="77777777" w:rsidR="00B01930" w:rsidRPr="00320A86" w:rsidRDefault="00B01930" w:rsidP="00B01930">
      <w:pPr>
        <w:spacing w:before="120" w:after="120"/>
        <w:jc w:val="both"/>
      </w:pPr>
      <w:r w:rsidRPr="00320A86">
        <w:t>Dans la taxinomie martrienne où se situe l’œuvre de Jean Louis Martres ? Par impératif scientifique, par goût sûrement, sa pensée se situe du côté relativiste. Jacques Ellul considérait qu’une pensée tot</w:t>
      </w:r>
      <w:r w:rsidRPr="00320A86">
        <w:t>a</w:t>
      </w:r>
      <w:r w:rsidRPr="00320A86">
        <w:t>lement relativiste n’était peut-être pas vivable, en tout cas au moins qu’à un certain niveau</w:t>
      </w:r>
      <w:r>
        <w:t> </w:t>
      </w:r>
      <w:r>
        <w:rPr>
          <w:rStyle w:val="Appelnotedebasdep"/>
        </w:rPr>
        <w:footnoteReference w:id="153"/>
      </w:r>
      <w:r w:rsidRPr="00320A86">
        <w:t>.</w:t>
      </w:r>
    </w:p>
    <w:p w14:paraId="16D06591" w14:textId="77777777" w:rsidR="00B01930" w:rsidRPr="00320A86" w:rsidRDefault="00B01930" w:rsidP="00B01930">
      <w:pPr>
        <w:spacing w:before="120" w:after="120"/>
        <w:jc w:val="both"/>
      </w:pPr>
      <w:r w:rsidRPr="00320A86">
        <w:t>Ce niveau Jean-Louis Martres l’a approché pour pouvoir décrypter la pensée politique classique chinoise et se l’approprier afin de lui servir de boussole dans les vastes étendues de la pensée politique o</w:t>
      </w:r>
      <w:r w:rsidRPr="00320A86">
        <w:t>c</w:t>
      </w:r>
      <w:r w:rsidRPr="00320A86">
        <w:t>cidentale dont le génie créateur a engendré « cette machine théâtrale, changeant les décors et les costumes des a</w:t>
      </w:r>
      <w:r w:rsidRPr="00320A86">
        <w:t>c</w:t>
      </w:r>
      <w:r w:rsidRPr="00320A86">
        <w:t xml:space="preserve">teurs au gré de tous les </w:t>
      </w:r>
      <w:r w:rsidRPr="00320A86">
        <w:lastRenderedPageBreak/>
        <w:t>vents que nous faisons souffler par nos inventions ou notre imagin</w:t>
      </w:r>
      <w:r w:rsidRPr="00320A86">
        <w:t>a</w:t>
      </w:r>
      <w:r w:rsidRPr="00320A86">
        <w:t>tion</w:t>
      </w:r>
      <w:r>
        <w:t> </w:t>
      </w:r>
      <w:r>
        <w:rPr>
          <w:rStyle w:val="Appelnotedebasdep"/>
        </w:rPr>
        <w:footnoteReference w:id="154"/>
      </w:r>
      <w:r w:rsidRPr="00320A86">
        <w:t> ».</w:t>
      </w:r>
    </w:p>
    <w:p w14:paraId="53D52E96" w14:textId="77777777" w:rsidR="00B01930" w:rsidRPr="00320A86" w:rsidRDefault="00B01930" w:rsidP="00B01930">
      <w:pPr>
        <w:spacing w:before="120" w:after="120"/>
        <w:jc w:val="both"/>
      </w:pPr>
      <w:r w:rsidRPr="00320A86">
        <w:t>Le voyage du lecteur peut commencer avec pour viatique ces trois cit</w:t>
      </w:r>
      <w:r w:rsidRPr="00320A86">
        <w:t>a</w:t>
      </w:r>
      <w:r w:rsidRPr="00320A86">
        <w:t>tions</w:t>
      </w:r>
      <w:r>
        <w:t> </w:t>
      </w:r>
      <w:r>
        <w:rPr>
          <w:rStyle w:val="Appelnotedebasdep"/>
        </w:rPr>
        <w:footnoteReference w:id="155"/>
      </w:r>
      <w:r w:rsidRPr="00320A86">
        <w:t>.</w:t>
      </w:r>
    </w:p>
    <w:p w14:paraId="34691233" w14:textId="77777777" w:rsidR="00B01930" w:rsidRDefault="00B01930" w:rsidP="00B01930">
      <w:pPr>
        <w:pStyle w:val="citation"/>
      </w:pPr>
    </w:p>
    <w:p w14:paraId="3DEC02F9" w14:textId="77777777" w:rsidR="00B01930" w:rsidRPr="00320A86" w:rsidRDefault="00B01930" w:rsidP="00B01930">
      <w:pPr>
        <w:pStyle w:val="citation"/>
      </w:pPr>
      <w:r w:rsidRPr="00320A86">
        <w:t>– « Les sciences sociales ne sont pas une école de sécurité et de cert</w:t>
      </w:r>
      <w:r w:rsidRPr="00320A86">
        <w:t>i</w:t>
      </w:r>
      <w:r w:rsidRPr="00320A86">
        <w:t>tude, les vérités y sont relatives, les totalités en marche ne se ra</w:t>
      </w:r>
      <w:r w:rsidRPr="00320A86">
        <w:t>t</w:t>
      </w:r>
      <w:r w:rsidRPr="00320A86">
        <w:t>trapent jamais, le partiel seul est atteint, la dialectique se renvoie les contraires et la problématique ne nous affirme rien. C’est le règne de l’ambiguïté, ce n’est pas celui de la facil</w:t>
      </w:r>
      <w:r w:rsidRPr="00320A86">
        <w:t>i</w:t>
      </w:r>
      <w:r w:rsidRPr="00320A86">
        <w:t>té</w:t>
      </w:r>
      <w:r>
        <w:t> </w:t>
      </w:r>
      <w:r>
        <w:rPr>
          <w:rStyle w:val="Appelnotedebasdep"/>
        </w:rPr>
        <w:footnoteReference w:id="156"/>
      </w:r>
      <w:r w:rsidRPr="00320A86">
        <w:t>. »</w:t>
      </w:r>
    </w:p>
    <w:p w14:paraId="223AD922" w14:textId="77777777" w:rsidR="00B01930" w:rsidRPr="00320A86" w:rsidRDefault="00B01930" w:rsidP="00B01930">
      <w:pPr>
        <w:pStyle w:val="citation"/>
      </w:pPr>
      <w:r w:rsidRPr="00320A86">
        <w:t>– « Les savants ont dérobé à la nature ses secrets, ils énoncent le pr</w:t>
      </w:r>
      <w:r w:rsidRPr="00320A86">
        <w:t>o</w:t>
      </w:r>
      <w:r w:rsidRPr="00320A86">
        <w:t>blème des a</w:t>
      </w:r>
      <w:r w:rsidRPr="00320A86">
        <w:t>s</w:t>
      </w:r>
      <w:r w:rsidRPr="00320A86">
        <w:t>tres et le chiffre et la matière, mais le mystère ne se défait que pour tracer d’autres arabesques. Tant de science et ces beaux frontons, les auriges et ces capitaines, ses Parthénon et ses m</w:t>
      </w:r>
      <w:r w:rsidRPr="00320A86">
        <w:t>é</w:t>
      </w:r>
      <w:r w:rsidRPr="00320A86">
        <w:t>galopoles n’entament pas les splendeurs lisses du néant</w:t>
      </w:r>
      <w:r>
        <w:t> </w:t>
      </w:r>
      <w:r>
        <w:rPr>
          <w:rStyle w:val="Appelnotedebasdep"/>
        </w:rPr>
        <w:footnoteReference w:id="157"/>
      </w:r>
      <w:r w:rsidRPr="00320A86">
        <w:t>. »</w:t>
      </w:r>
    </w:p>
    <w:p w14:paraId="46A8BC8D" w14:textId="77777777" w:rsidR="00B01930" w:rsidRPr="00320A86" w:rsidRDefault="00B01930" w:rsidP="00B01930">
      <w:pPr>
        <w:pStyle w:val="citation"/>
      </w:pPr>
      <w:r w:rsidRPr="00320A86">
        <w:t>– « L’univers a signifié dès le début la totalité de ce que l’humanité peut s’attendre à en connaître. Ce qu’on appelle le progrès de l’esprit h</w:t>
      </w:r>
      <w:r w:rsidRPr="00320A86">
        <w:t>u</w:t>
      </w:r>
      <w:r w:rsidRPr="00320A86">
        <w:t>main et, en tout cas, le progrès de la connaissance scientifique, n’a pu et ne pourra jamais consister qu’à rectifier des découpages, procéder à des regroupements, définir des appartena</w:t>
      </w:r>
      <w:r w:rsidRPr="00320A86">
        <w:t>n</w:t>
      </w:r>
      <w:r w:rsidRPr="00320A86">
        <w:t>ces, et découvrir des ressources neuves, au sein d’une Totalité fermée et compléme</w:t>
      </w:r>
      <w:r w:rsidRPr="00320A86">
        <w:t>n</w:t>
      </w:r>
      <w:r w:rsidRPr="00320A86">
        <w:t>taire avec elle-même</w:t>
      </w:r>
      <w:r>
        <w:t> </w:t>
      </w:r>
      <w:r>
        <w:rPr>
          <w:rStyle w:val="Appelnotedebasdep"/>
        </w:rPr>
        <w:footnoteReference w:id="158"/>
      </w:r>
      <w:r w:rsidRPr="00320A86">
        <w:t>. »</w:t>
      </w:r>
    </w:p>
    <w:p w14:paraId="525646D6" w14:textId="77777777" w:rsidR="00B01930" w:rsidRDefault="00B01930" w:rsidP="00B01930">
      <w:pPr>
        <w:jc w:val="both"/>
      </w:pPr>
      <w:r>
        <w:br w:type="page"/>
      </w:r>
    </w:p>
    <w:p w14:paraId="52E862DF" w14:textId="77777777" w:rsidR="00B01930" w:rsidRDefault="00B01930" w:rsidP="00B01930">
      <w:pPr>
        <w:jc w:val="both"/>
      </w:pPr>
    </w:p>
    <w:p w14:paraId="3825EAC4" w14:textId="77777777" w:rsidR="00B01930" w:rsidRPr="009D4882" w:rsidRDefault="00B01930" w:rsidP="00B01930">
      <w:pPr>
        <w:spacing w:after="120"/>
        <w:ind w:firstLine="0"/>
        <w:jc w:val="center"/>
        <w:rPr>
          <w:b/>
          <w:color w:val="000080"/>
        </w:rPr>
      </w:pPr>
      <w:bookmarkStart w:id="8" w:name="Analyser_idees_pol_pt_1_texte_01b"/>
      <w:r w:rsidRPr="009D4882">
        <w:rPr>
          <w:b/>
          <w:color w:val="000080"/>
        </w:rPr>
        <w:t>Première partie</w:t>
      </w:r>
      <w:r w:rsidRPr="009D4882">
        <w:rPr>
          <w:b/>
          <w:color w:val="000080"/>
        </w:rPr>
        <w:br/>
      </w:r>
      <w:r w:rsidRPr="00B903FB">
        <w:rPr>
          <w:i/>
          <w:color w:val="000080"/>
        </w:rPr>
        <w:t>Analyser les idées politiques</w:t>
      </w:r>
    </w:p>
    <w:p w14:paraId="21AC2E4E" w14:textId="77777777" w:rsidR="00B01930" w:rsidRDefault="00B01930" w:rsidP="00B01930">
      <w:pPr>
        <w:pStyle w:val="Titreniveau1"/>
        <w:rPr>
          <w:szCs w:val="36"/>
        </w:rPr>
      </w:pPr>
      <w:r>
        <w:rPr>
          <w:szCs w:val="36"/>
        </w:rPr>
        <w:t>1 bis</w:t>
      </w:r>
    </w:p>
    <w:p w14:paraId="65793CA7" w14:textId="77777777" w:rsidR="00B01930" w:rsidRPr="00843F3E" w:rsidRDefault="00B01930" w:rsidP="00B01930">
      <w:pPr>
        <w:pStyle w:val="Titreniveau2"/>
      </w:pPr>
      <w:r>
        <w:t>“Le changement</w:t>
      </w:r>
      <w:r>
        <w:br/>
        <w:t>des idées politiques</w:t>
      </w:r>
      <w:r>
        <w:br/>
        <w:t>selon Jean-Louis Martres. </w:t>
      </w:r>
      <w:r>
        <w:rPr>
          <w:rStyle w:val="Appelnotedebasdep"/>
        </w:rPr>
        <w:footnoteReference w:id="159"/>
      </w:r>
      <w:r>
        <w:t>”</w:t>
      </w:r>
    </w:p>
    <w:bookmarkEnd w:id="8"/>
    <w:p w14:paraId="7718B618" w14:textId="77777777" w:rsidR="00B01930" w:rsidRDefault="00B01930" w:rsidP="00B01930">
      <w:pPr>
        <w:jc w:val="both"/>
        <w:rPr>
          <w:szCs w:val="36"/>
        </w:rPr>
      </w:pPr>
    </w:p>
    <w:p w14:paraId="0A0EB859" w14:textId="77777777" w:rsidR="00B01930" w:rsidRPr="00E10719" w:rsidRDefault="00B01930" w:rsidP="00B01930">
      <w:pPr>
        <w:pStyle w:val="suite"/>
      </w:pPr>
      <w:r w:rsidRPr="00E10719">
        <w:t>Daniel LAGRAULA</w:t>
      </w:r>
    </w:p>
    <w:p w14:paraId="71C2EB19" w14:textId="77777777" w:rsidR="00B01930" w:rsidRDefault="00B01930" w:rsidP="00B01930">
      <w:pPr>
        <w:jc w:val="both"/>
      </w:pPr>
    </w:p>
    <w:p w14:paraId="5DC203D5" w14:textId="77777777" w:rsidR="00B01930" w:rsidRPr="00EC50AF" w:rsidRDefault="00B01930" w:rsidP="00B01930">
      <w:pPr>
        <w:spacing w:before="120" w:after="120"/>
        <w:ind w:left="2160" w:firstLine="0"/>
        <w:jc w:val="both"/>
        <w:rPr>
          <w:sz w:val="24"/>
        </w:rPr>
      </w:pPr>
      <w:r w:rsidRPr="00EC50AF">
        <w:rPr>
          <w:sz w:val="24"/>
        </w:rPr>
        <w:t>« </w:t>
      </w:r>
      <w:r w:rsidRPr="00EC50AF">
        <w:rPr>
          <w:i/>
          <w:sz w:val="24"/>
        </w:rPr>
        <w:t xml:space="preserve">Ils </w:t>
      </w:r>
      <w:r w:rsidRPr="00EC50AF">
        <w:rPr>
          <w:i/>
          <w:color w:val="000090"/>
          <w:sz w:val="24"/>
        </w:rPr>
        <w:t>attendaient des Royaumes, ils eurent des Églises et des États</w:t>
      </w:r>
      <w:r w:rsidRPr="00EC50AF">
        <w:rPr>
          <w:sz w:val="24"/>
        </w:rPr>
        <w:t>. »</w:t>
      </w:r>
    </w:p>
    <w:p w14:paraId="7719F5FD" w14:textId="77777777" w:rsidR="00B01930" w:rsidRPr="00EC50AF" w:rsidRDefault="00B01930" w:rsidP="00B01930">
      <w:pPr>
        <w:spacing w:before="120" w:after="120"/>
        <w:ind w:left="2160" w:firstLine="0"/>
        <w:jc w:val="center"/>
        <w:rPr>
          <w:sz w:val="24"/>
        </w:rPr>
      </w:pPr>
      <w:r w:rsidRPr="00EC50AF">
        <w:rPr>
          <w:sz w:val="24"/>
        </w:rPr>
        <w:t>Loisy, cité par Henri Desroches,</w:t>
      </w:r>
      <w:r>
        <w:rPr>
          <w:sz w:val="24"/>
        </w:rPr>
        <w:br/>
      </w:r>
      <w:r w:rsidRPr="00EC50AF">
        <w:rPr>
          <w:i/>
          <w:sz w:val="24"/>
        </w:rPr>
        <w:t>Soci</w:t>
      </w:r>
      <w:r w:rsidRPr="00EC50AF">
        <w:rPr>
          <w:i/>
          <w:sz w:val="24"/>
        </w:rPr>
        <w:t>o</w:t>
      </w:r>
      <w:r w:rsidRPr="00EC50AF">
        <w:rPr>
          <w:i/>
          <w:sz w:val="24"/>
        </w:rPr>
        <w:t>logie de l’espérance</w:t>
      </w:r>
      <w:r w:rsidRPr="00EC50AF">
        <w:rPr>
          <w:sz w:val="24"/>
        </w:rPr>
        <w:t>, 1973.</w:t>
      </w:r>
    </w:p>
    <w:p w14:paraId="39FEF587" w14:textId="77777777" w:rsidR="00B01930" w:rsidRPr="00EC50AF" w:rsidRDefault="00B01930" w:rsidP="00B01930">
      <w:pPr>
        <w:spacing w:before="120" w:after="120"/>
        <w:ind w:left="2160" w:firstLine="0"/>
        <w:jc w:val="both"/>
        <w:rPr>
          <w:sz w:val="24"/>
        </w:rPr>
      </w:pPr>
      <w:r w:rsidRPr="00EC50AF">
        <w:rPr>
          <w:sz w:val="24"/>
        </w:rPr>
        <w:t>« </w:t>
      </w:r>
      <w:r w:rsidRPr="00EC50AF">
        <w:rPr>
          <w:i/>
          <w:color w:val="000090"/>
          <w:sz w:val="24"/>
        </w:rPr>
        <w:t>Tout parti vit de sa mystique et meurt de sa politique</w:t>
      </w:r>
      <w:r w:rsidRPr="00EC50AF">
        <w:rPr>
          <w:i/>
          <w:sz w:val="24"/>
        </w:rPr>
        <w:t>. </w:t>
      </w:r>
      <w:r w:rsidRPr="00EC50AF">
        <w:rPr>
          <w:sz w:val="24"/>
        </w:rPr>
        <w:t>»</w:t>
      </w:r>
    </w:p>
    <w:p w14:paraId="051E1762" w14:textId="77777777" w:rsidR="00B01930" w:rsidRPr="00EC50AF" w:rsidRDefault="00B01930" w:rsidP="00B01930">
      <w:pPr>
        <w:spacing w:before="120" w:after="120"/>
        <w:ind w:left="2160" w:firstLine="0"/>
        <w:jc w:val="center"/>
        <w:rPr>
          <w:sz w:val="24"/>
        </w:rPr>
      </w:pPr>
      <w:r w:rsidRPr="00EC50AF">
        <w:rPr>
          <w:sz w:val="24"/>
        </w:rPr>
        <w:t>Charles Péguy</w:t>
      </w:r>
    </w:p>
    <w:p w14:paraId="6E73CE2F" w14:textId="77777777" w:rsidR="00B01930" w:rsidRPr="00EC50AF" w:rsidRDefault="00B01930" w:rsidP="00B01930">
      <w:pPr>
        <w:spacing w:before="120" w:after="120"/>
        <w:jc w:val="both"/>
      </w:pPr>
    </w:p>
    <w:p w14:paraId="6BB9DB21"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54187D25" w14:textId="77777777" w:rsidR="00B01930" w:rsidRPr="00EC50AF" w:rsidRDefault="00B01930" w:rsidP="00B01930">
      <w:pPr>
        <w:spacing w:before="120" w:after="120"/>
        <w:jc w:val="both"/>
      </w:pPr>
      <w:r w:rsidRPr="00EC50AF">
        <w:t xml:space="preserve">Dans une première partie nous avons tenté de donner, au risque d’une trop grande simplification, un aperçu de </w:t>
      </w:r>
      <w:r w:rsidRPr="00EC50AF">
        <w:rPr>
          <w:i/>
        </w:rPr>
        <w:t>l’opus magnum</w:t>
      </w:r>
      <w:r w:rsidRPr="00EC50AF">
        <w:t xml:space="preserve"> de Jean-Louis Martres, </w:t>
      </w:r>
      <w:r w:rsidRPr="00EC50AF">
        <w:rPr>
          <w:i/>
        </w:rPr>
        <w:t>Les Grilles de la pensée Politique</w:t>
      </w:r>
      <w:r>
        <w:t> </w:t>
      </w:r>
      <w:r>
        <w:rPr>
          <w:rStyle w:val="Appelnotedebasdep"/>
        </w:rPr>
        <w:footnoteReference w:id="160"/>
      </w:r>
      <w:r w:rsidRPr="00EC50AF">
        <w:t>, en nous concentrant sur les modèles (ou codes) de la pensée polit</w:t>
      </w:r>
      <w:r w:rsidRPr="00EC50AF">
        <w:t>i</w:t>
      </w:r>
      <w:r w:rsidRPr="00EC50AF">
        <w:t>que (en l’occurrence trois) tels qu’il les avait présentés dans la première partie de son ouvrage, « Jeter l’ancre dans le temps ». Il faut insister sur le fait que, pour Jean-Louis Martres,</w:t>
      </w:r>
    </w:p>
    <w:p w14:paraId="4A85CD88" w14:textId="77777777" w:rsidR="00B01930" w:rsidRDefault="00B01930" w:rsidP="00B01930">
      <w:pPr>
        <w:pStyle w:val="citation"/>
      </w:pPr>
      <w:r w:rsidRPr="00EC50AF">
        <w:lastRenderedPageBreak/>
        <w:t>L’intérêt des trois modèles de pensée se limite à une approche pédag</w:t>
      </w:r>
      <w:r w:rsidRPr="00EC50AF">
        <w:t>o</w:t>
      </w:r>
      <w:r w:rsidRPr="00EC50AF">
        <w:t>gique afin de permettre d’identifier les dominantes culturelles d’une civil</w:t>
      </w:r>
      <w:r w:rsidRPr="00EC50AF">
        <w:t>i</w:t>
      </w:r>
      <w:r w:rsidRPr="00EC50AF">
        <w:t>sation […]. Les trois codes n’ont d’autre intérêt que de fournir des mod</w:t>
      </w:r>
      <w:r w:rsidRPr="00EC50AF">
        <w:t>è</w:t>
      </w:r>
      <w:r w:rsidRPr="00EC50AF">
        <w:t>les idéaux-types utiles à un classement. Lorsque, par simplification, sont assimilés le code numéro un à l’Occident et le Num</w:t>
      </w:r>
      <w:r w:rsidRPr="00EC50AF">
        <w:t>é</w:t>
      </w:r>
      <w:r w:rsidRPr="00EC50AF">
        <w:t>ro Deux à l’Asie, c’est en parfaite conscience du caractère sommaire du clivage. En fait les différents codes sont constamment présents, emmêlant leurs trames, et s</w:t>
      </w:r>
      <w:r w:rsidRPr="00EC50AF">
        <w:t>e</w:t>
      </w:r>
      <w:r w:rsidRPr="00EC50AF">
        <w:t>lon le moment dessinant des images singulières où l’une l’emporte sur les autres</w:t>
      </w:r>
      <w:r>
        <w:t> </w:t>
      </w:r>
      <w:r>
        <w:rPr>
          <w:rStyle w:val="Appelnotedebasdep"/>
        </w:rPr>
        <w:footnoteReference w:id="161"/>
      </w:r>
      <w:r w:rsidRPr="00EC50AF">
        <w:t>,</w:t>
      </w:r>
    </w:p>
    <w:p w14:paraId="0A2AB320" w14:textId="77777777" w:rsidR="00B01930" w:rsidRDefault="00B01930" w:rsidP="00B01930">
      <w:pPr>
        <w:pStyle w:val="citation"/>
      </w:pPr>
    </w:p>
    <w:p w14:paraId="23268880" w14:textId="77777777" w:rsidR="00B01930" w:rsidRPr="00EC50AF" w:rsidRDefault="00B01930" w:rsidP="00B01930">
      <w:pPr>
        <w:spacing w:before="120" w:after="120"/>
        <w:ind w:firstLine="0"/>
        <w:jc w:val="both"/>
      </w:pPr>
      <w:r w:rsidRPr="00EC50AF">
        <w:t>et d’ajouter afin d’être plus clair : « Découvrir l’universalité de la pe</w:t>
      </w:r>
      <w:r w:rsidRPr="00EC50AF">
        <w:t>n</w:t>
      </w:r>
      <w:r w:rsidRPr="00EC50AF">
        <w:t>sée n’est en rien contraire à la singularité des cultures ou à l’unicité du moment hist</w:t>
      </w:r>
      <w:r w:rsidRPr="00EC50AF">
        <w:t>o</w:t>
      </w:r>
      <w:r w:rsidRPr="00EC50AF">
        <w:t>rique </w:t>
      </w:r>
      <w:r>
        <w:rPr>
          <w:rStyle w:val="Appelnotedebasdep"/>
        </w:rPr>
        <w:footnoteReference w:id="162"/>
      </w:r>
      <w:r w:rsidRPr="00EC50AF">
        <w:t> ».</w:t>
      </w:r>
    </w:p>
    <w:p w14:paraId="184F60FB" w14:textId="77777777" w:rsidR="00B01930" w:rsidRPr="00EC50AF" w:rsidRDefault="00B01930" w:rsidP="00B01930">
      <w:pPr>
        <w:spacing w:before="120" w:after="120"/>
        <w:jc w:val="both"/>
      </w:pPr>
      <w:r w:rsidRPr="00EC50AF">
        <w:t>C’est dans cet esprit, tout pénétré de la complexité des m</w:t>
      </w:r>
      <w:r w:rsidRPr="00EC50AF">
        <w:t>é</w:t>
      </w:r>
      <w:r w:rsidRPr="00EC50AF">
        <w:t>canismes qui régissent les idées politiques, que Jean-Louis Ma</w:t>
      </w:r>
      <w:r w:rsidRPr="00EC50AF">
        <w:t>r</w:t>
      </w:r>
      <w:r w:rsidRPr="00EC50AF">
        <w:t>tres dans une seconde partie de son livre, « Chevaucher le vent », estime que s’arrêter à l’analyse statique des modèles conduirait à nier le mouv</w:t>
      </w:r>
      <w:r w:rsidRPr="00EC50AF">
        <w:t>e</w:t>
      </w:r>
      <w:r w:rsidRPr="00EC50AF">
        <w:t>ment qui affecte les idées politiques. Or, le changement peut, au</w:t>
      </w:r>
      <w:r w:rsidRPr="00EC50AF">
        <w:t>s</w:t>
      </w:r>
      <w:r w:rsidRPr="00EC50AF">
        <w:t>si, définir les idées politiques. « Les modèles analysés séparément dans la première partie vont maintenant perdre leur autonomie, toute péd</w:t>
      </w:r>
      <w:r w:rsidRPr="00EC50AF">
        <w:t>a</w:t>
      </w:r>
      <w:r w:rsidRPr="00EC50AF">
        <w:t>gogique, et entrer dans une combinatoire </w:t>
      </w:r>
      <w:r>
        <w:rPr>
          <w:rStyle w:val="Appelnotedebasdep"/>
        </w:rPr>
        <w:footnoteReference w:id="163"/>
      </w:r>
      <w:r w:rsidRPr="00EC50AF">
        <w:rPr>
          <w:vertAlign w:val="superscript"/>
        </w:rPr>
        <w:t> </w:t>
      </w:r>
      <w:r w:rsidRPr="00EC50AF">
        <w:t>» dans laquelle l’un des codes prédominera ou, à l’inverse, les codes « se livreront au métiss</w:t>
      </w:r>
      <w:r w:rsidRPr="00EC50AF">
        <w:t>a</w:t>
      </w:r>
      <w:r w:rsidRPr="00EC50AF">
        <w:t>ge </w:t>
      </w:r>
      <w:r>
        <w:rPr>
          <w:rStyle w:val="Appelnotedebasdep"/>
        </w:rPr>
        <w:footnoteReference w:id="164"/>
      </w:r>
      <w:r w:rsidRPr="00EC50AF">
        <w:t> ». Toute la difficulté « provient de ce que la prévalence de l’un ne réduit jamais totalement les autres au silence, qui subsistent, même inaudibles, conjurés ou explicitement abolis, mais to</w:t>
      </w:r>
      <w:r w:rsidRPr="00EC50AF">
        <w:t>u</w:t>
      </w:r>
      <w:r w:rsidRPr="00EC50AF">
        <w:t>jours renaissants et agressifs </w:t>
      </w:r>
      <w:r>
        <w:rPr>
          <w:rStyle w:val="Appelnotedebasdep"/>
        </w:rPr>
        <w:footnoteReference w:id="165"/>
      </w:r>
      <w:r w:rsidRPr="00EC50AF">
        <w:t> ».</w:t>
      </w:r>
    </w:p>
    <w:p w14:paraId="384845CA" w14:textId="77777777" w:rsidR="00B01930" w:rsidRPr="00EC50AF" w:rsidRDefault="00B01930" w:rsidP="00B01930">
      <w:pPr>
        <w:spacing w:before="120" w:after="120"/>
        <w:jc w:val="both"/>
      </w:pPr>
      <w:r w:rsidRPr="00EC50AF">
        <w:t>L’explication proposée se limite à l’Occident et Jean-Louis Ma</w:t>
      </w:r>
      <w:r w:rsidRPr="00EC50AF">
        <w:t>r</w:t>
      </w:r>
      <w:r w:rsidRPr="00EC50AF">
        <w:t>tres n’entend pas, dans le cadre de ce qui est un essai, à aller au-delà et n’a nulle prétention à l’universel. Il s’agit d’esquisses « destinées à relier des cordes jusque-là sép</w:t>
      </w:r>
      <w:r w:rsidRPr="00EC50AF">
        <w:t>a</w:t>
      </w:r>
      <w:r w:rsidRPr="00EC50AF">
        <w:t>rées </w:t>
      </w:r>
      <w:r>
        <w:rPr>
          <w:rStyle w:val="Appelnotedebasdep"/>
        </w:rPr>
        <w:footnoteReference w:id="166"/>
      </w:r>
      <w:r w:rsidRPr="00EC50AF">
        <w:t> ».</w:t>
      </w:r>
    </w:p>
    <w:p w14:paraId="47AA3099" w14:textId="77777777" w:rsidR="00B01930" w:rsidRPr="00EC50AF" w:rsidRDefault="00B01930" w:rsidP="00B01930">
      <w:pPr>
        <w:spacing w:before="120" w:after="120"/>
        <w:jc w:val="both"/>
      </w:pPr>
      <w:r w:rsidRPr="00EC50AF">
        <w:t>Avant de synthétiser les hypothèses martriennes du changement des idées politiques, nous évoquerons de façon succincte, les que</w:t>
      </w:r>
      <w:r w:rsidRPr="00EC50AF">
        <w:t>s</w:t>
      </w:r>
      <w:r w:rsidRPr="00EC50AF">
        <w:lastRenderedPageBreak/>
        <w:t>tions épistémologiques que Jean-Louis Martres aborde dans un long titre préliminaire quant à la nature et au sens du changement.</w:t>
      </w:r>
    </w:p>
    <w:p w14:paraId="67172BBB" w14:textId="77777777" w:rsidR="00B01930" w:rsidRDefault="00B01930" w:rsidP="00B01930">
      <w:pPr>
        <w:spacing w:before="120" w:after="120"/>
        <w:jc w:val="both"/>
      </w:pPr>
      <w:bookmarkStart w:id="9" w:name="_Toc494111626"/>
      <w:bookmarkStart w:id="10" w:name="_Toc494277621"/>
      <w:bookmarkStart w:id="11" w:name="_Toc499541000"/>
      <w:bookmarkStart w:id="12" w:name="_Toc504399638"/>
      <w:bookmarkStart w:id="13" w:name="_Toc504406273"/>
      <w:bookmarkStart w:id="14" w:name="_Toc524329862"/>
    </w:p>
    <w:p w14:paraId="7EF59014" w14:textId="77777777" w:rsidR="00B01930" w:rsidRPr="00CC3C16" w:rsidRDefault="00B01930" w:rsidP="00B01930">
      <w:pPr>
        <w:pStyle w:val="planche"/>
      </w:pPr>
      <w:bookmarkStart w:id="15" w:name="Analyser_idees_pol_pt_1_texte_01b_1"/>
      <w:r>
        <w:t>I. Questions épistémologiques,</w:t>
      </w:r>
      <w:r>
        <w:br/>
      </w:r>
      <w:r w:rsidRPr="00CC3C16">
        <w:t>« la quête du sens »</w:t>
      </w:r>
      <w:bookmarkEnd w:id="9"/>
      <w:bookmarkEnd w:id="10"/>
      <w:bookmarkEnd w:id="11"/>
      <w:bookmarkEnd w:id="12"/>
      <w:bookmarkEnd w:id="13"/>
      <w:bookmarkEnd w:id="14"/>
    </w:p>
    <w:bookmarkEnd w:id="15"/>
    <w:p w14:paraId="2DA545BB" w14:textId="77777777" w:rsidR="00B01930" w:rsidRDefault="00B01930" w:rsidP="00B01930">
      <w:pPr>
        <w:spacing w:before="120" w:after="120"/>
        <w:jc w:val="both"/>
      </w:pPr>
    </w:p>
    <w:p w14:paraId="3870D127"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5B14A42D" w14:textId="77777777" w:rsidR="00B01930" w:rsidRPr="00EC50AF" w:rsidRDefault="00B01930" w:rsidP="00B01930">
      <w:pPr>
        <w:spacing w:before="120" w:after="120"/>
        <w:jc w:val="both"/>
      </w:pPr>
      <w:r w:rsidRPr="00EC50AF">
        <w:t>Dans un titre intitulé « Promenade académique : mode d’approche des problèmes du changement », pour céder au « rituel académ</w:t>
      </w:r>
      <w:r w:rsidRPr="00EC50AF">
        <w:t>i</w:t>
      </w:r>
      <w:r w:rsidRPr="00EC50AF">
        <w:t>que </w:t>
      </w:r>
      <w:r>
        <w:rPr>
          <w:rStyle w:val="Appelnotedebasdep"/>
        </w:rPr>
        <w:footnoteReference w:id="167"/>
      </w:r>
      <w:r w:rsidRPr="00EC50AF">
        <w:t> » qui agite le petit monde de ceux qui « prétendent s’intéresser aux idées politiques », Jean-Louis Martres revisite les « lieux d’affrontement canonique </w:t>
      </w:r>
      <w:r>
        <w:rPr>
          <w:rStyle w:val="Appelnotedebasdep"/>
        </w:rPr>
        <w:footnoteReference w:id="168"/>
      </w:r>
      <w:r w:rsidRPr="00EC50AF">
        <w:t> », avec une écriture d’une rare qualité li</w:t>
      </w:r>
      <w:r w:rsidRPr="00EC50AF">
        <w:t>t</w:t>
      </w:r>
      <w:r w:rsidRPr="00EC50AF">
        <w:t>téraire – loin de tout langage abstrus si souvent utilisé dans ce genre de débat. Il aborde les relations entre Politique et Histoire, liberté et déterminisme, etc. Il soutient qu’il y a lieu de « rejeter toute tentative de décrire le changement comme résultat d’une évol</w:t>
      </w:r>
      <w:r w:rsidRPr="00EC50AF">
        <w:t>u</w:t>
      </w:r>
      <w:r w:rsidRPr="00EC50AF">
        <w:t>tion simple et linéaire. Au contraire les multiples fractures et fêlures rendent compte d’un particularisme de fonctionnement de la “machine Occ</w:t>
      </w:r>
      <w:r w:rsidRPr="00EC50AF">
        <w:t>i</w:t>
      </w:r>
      <w:r w:rsidRPr="00EC50AF">
        <w:t>dent” </w:t>
      </w:r>
      <w:r>
        <w:rPr>
          <w:rStyle w:val="Appelnotedebasdep"/>
        </w:rPr>
        <w:footnoteReference w:id="169"/>
      </w:r>
      <w:r>
        <w:t> ».</w:t>
      </w:r>
    </w:p>
    <w:p w14:paraId="41EB387A" w14:textId="77777777" w:rsidR="00B01930" w:rsidRPr="00EC50AF" w:rsidRDefault="00B01930" w:rsidP="00B01930">
      <w:pPr>
        <w:spacing w:before="120" w:after="120"/>
        <w:jc w:val="both"/>
      </w:pPr>
      <w:r w:rsidRPr="00EC50AF">
        <w:t>Pour faire court « les idées politiques sont-elles de l’ordre de la n</w:t>
      </w:r>
      <w:r w:rsidRPr="00EC50AF">
        <w:t>é</w:t>
      </w:r>
      <w:r w:rsidRPr="00EC50AF">
        <w:t>cessité ou résu</w:t>
      </w:r>
      <w:r w:rsidRPr="00EC50AF">
        <w:t>l</w:t>
      </w:r>
      <w:r w:rsidRPr="00EC50AF">
        <w:t>tent-elles d’un hasard inouï, preuve de la capacité du génie humain à changer les chemins de l’Histoire ? Sont-elles le fruit le plus précieux de la liberté </w:t>
      </w:r>
      <w:r>
        <w:rPr>
          <w:rStyle w:val="Appelnotedebasdep"/>
        </w:rPr>
        <w:footnoteReference w:id="170"/>
      </w:r>
      <w:r w:rsidRPr="00EC50AF">
        <w:t> ? » En vérité pour Jean-Louis Martres la question telle que formulée conduit à une impasse, car le problème n’existe qu’en raison du mode de pensée binaire qui gouverne la pe</w:t>
      </w:r>
      <w:r w:rsidRPr="00EC50AF">
        <w:t>n</w:t>
      </w:r>
      <w:r w:rsidRPr="00EC50AF">
        <w:t>sée occidentale ; object</w:t>
      </w:r>
      <w:r w:rsidRPr="00EC50AF">
        <w:t>i</w:t>
      </w:r>
      <w:r w:rsidRPr="00EC50AF">
        <w:t>visme et subjectivisme en sont la déclinaison qui se traduit par des clans rivaux s’opposant sans cesse dans un vain combat qui oblige, cependant, les novices à s’affilier à l’un ou l’autre parti s’ils veulent être reconnus par les maîtres de ces chapelles…</w:t>
      </w:r>
    </w:p>
    <w:p w14:paraId="77E269E6" w14:textId="77777777" w:rsidR="00B01930" w:rsidRPr="00EC50AF" w:rsidRDefault="00B01930" w:rsidP="00B01930">
      <w:pPr>
        <w:spacing w:before="120" w:after="120"/>
        <w:jc w:val="both"/>
      </w:pPr>
      <w:r w:rsidRPr="00EC50AF">
        <w:t>Cette vision binaire oblige à séparer systématiquement et à opposer ce qui relève, en fait, d’une « lecture conjointe </w:t>
      </w:r>
      <w:r>
        <w:rPr>
          <w:rStyle w:val="Appelnotedebasdep"/>
        </w:rPr>
        <w:footnoteReference w:id="171"/>
      </w:r>
      <w:r w:rsidRPr="00EC50AF">
        <w:t> ». C’est ainsi que pour lui « le changement des idées politiques obéit à une logique pr</w:t>
      </w:r>
      <w:r w:rsidRPr="00EC50AF">
        <w:t>o</w:t>
      </w:r>
      <w:r w:rsidRPr="00EC50AF">
        <w:t>pre, même s’il est “entraîné” par des bouleve</w:t>
      </w:r>
      <w:r w:rsidRPr="00EC50AF">
        <w:t>r</w:t>
      </w:r>
      <w:r w:rsidRPr="00EC50AF">
        <w:t>sements de la structure sociale. Une double “causalité” opère en Occident. Celle qui dépend de la volonté libre du sujet, celle qui dépend des possibles inclus dans son code de valeur </w:t>
      </w:r>
      <w:r>
        <w:rPr>
          <w:rStyle w:val="Appelnotedebasdep"/>
        </w:rPr>
        <w:footnoteReference w:id="172"/>
      </w:r>
      <w:r w:rsidRPr="00EC50AF">
        <w:t> ». La « lecture conjointe » martrienne n’est gu</w:t>
      </w:r>
      <w:r w:rsidRPr="00EC50AF">
        <w:t>è</w:t>
      </w:r>
      <w:r w:rsidRPr="00EC50AF">
        <w:t>re aisée à mettre en œuvre tant « aucune discipline n’a échappé à la te</w:t>
      </w:r>
      <w:r w:rsidRPr="00EC50AF">
        <w:t>n</w:t>
      </w:r>
      <w:r w:rsidRPr="00EC50AF">
        <w:t>tation de la recherche du sens, devenue impérieuse au fur et à m</w:t>
      </w:r>
      <w:r w:rsidRPr="00EC50AF">
        <w:t>e</w:t>
      </w:r>
      <w:r w:rsidRPr="00EC50AF">
        <w:t>sure que la Main de Dieu se retirait lentement de la vue des acteurs occ</w:t>
      </w:r>
      <w:r w:rsidRPr="00EC50AF">
        <w:t>i</w:t>
      </w:r>
      <w:r w:rsidRPr="00EC50AF">
        <w:t>dentaux </w:t>
      </w:r>
      <w:r>
        <w:rPr>
          <w:rStyle w:val="Appelnotedebasdep"/>
        </w:rPr>
        <w:footnoteReference w:id="173"/>
      </w:r>
      <w:r w:rsidRPr="00EC50AF">
        <w:t> ».</w:t>
      </w:r>
    </w:p>
    <w:p w14:paraId="440584A1" w14:textId="77777777" w:rsidR="00B01930" w:rsidRPr="00EC50AF" w:rsidRDefault="00B01930" w:rsidP="00B01930">
      <w:pPr>
        <w:spacing w:before="120" w:after="120"/>
        <w:jc w:val="both"/>
      </w:pPr>
      <w:r w:rsidRPr="00EC50AF">
        <w:t>« Comment [alors] “écrire” le vent d’Occident </w:t>
      </w:r>
      <w:r>
        <w:rPr>
          <w:rStyle w:val="Appelnotedebasdep"/>
        </w:rPr>
        <w:footnoteReference w:id="174"/>
      </w:r>
      <w:r>
        <w:rPr>
          <w:vertAlign w:val="superscript"/>
        </w:rPr>
        <w:t> </w:t>
      </w:r>
      <w:r w:rsidRPr="00EC50AF">
        <w:t>» ? Est-ce qu’« en dépit de la si</w:t>
      </w:r>
      <w:r w:rsidRPr="00EC50AF">
        <w:t>n</w:t>
      </w:r>
      <w:r w:rsidRPr="00EC50AF">
        <w:t>gularité absolue du moment, il n’est pas possible de trouver une logique aux évolutions de la pensée dans une aire culture</w:t>
      </w:r>
      <w:r w:rsidRPr="00EC50AF">
        <w:t>l</w:t>
      </w:r>
      <w:r w:rsidRPr="00EC50AF">
        <w:t>le et ceci sans se référer à un sens de l’Histoire univoque et gén</w:t>
      </w:r>
      <w:r w:rsidRPr="00EC50AF">
        <w:t>é</w:t>
      </w:r>
      <w:r w:rsidRPr="00EC50AF">
        <w:t>ral </w:t>
      </w:r>
      <w:r>
        <w:rPr>
          <w:rStyle w:val="Appelnotedebasdep"/>
        </w:rPr>
        <w:footnoteReference w:id="175"/>
      </w:r>
      <w:r w:rsidRPr="00EC50AF">
        <w:t> ? » Car une « une sorte d’intuition d’un niveau de compréhe</w:t>
      </w:r>
      <w:r w:rsidRPr="00EC50AF">
        <w:t>n</w:t>
      </w:r>
      <w:r w:rsidRPr="00EC50AF">
        <w:t>sion supérieur se retrouve chez tous les pèlerins de sentiers de la connai</w:t>
      </w:r>
      <w:r w:rsidRPr="00EC50AF">
        <w:t>s</w:t>
      </w:r>
      <w:r w:rsidRPr="00EC50AF">
        <w:t>sance </w:t>
      </w:r>
      <w:r>
        <w:rPr>
          <w:rStyle w:val="Appelnotedebasdep"/>
        </w:rPr>
        <w:footnoteReference w:id="176"/>
      </w:r>
      <w:r w:rsidRPr="00EC50AF">
        <w:t> » et Jean-Louis Martres de façon pénétrante ajoute « la quête du sens comme celle de la liberté n’a probablement aucune possibilité de déboucher sur une théorie stable, mais y renoncer aba</w:t>
      </w:r>
      <w:r w:rsidRPr="00EC50AF">
        <w:t>t</w:t>
      </w:r>
      <w:r w:rsidRPr="00EC50AF">
        <w:t>trait d’un seul coup la raison de chercher qui, à défaut d’ouvrir la porte des s</w:t>
      </w:r>
      <w:r w:rsidRPr="00EC50AF">
        <w:t>e</w:t>
      </w:r>
      <w:r w:rsidRPr="00EC50AF">
        <w:t>crets, reste encore un des facteurs les plus importants de la puissance de l’Occident </w:t>
      </w:r>
      <w:r>
        <w:rPr>
          <w:rStyle w:val="Appelnotedebasdep"/>
        </w:rPr>
        <w:footnoteReference w:id="177"/>
      </w:r>
      <w:r w:rsidRPr="00EC50AF">
        <w:t> ». D’où le titre de sa conclusion du chapitre cons</w:t>
      </w:r>
      <w:r w:rsidRPr="00EC50AF">
        <w:t>a</w:t>
      </w:r>
      <w:r w:rsidRPr="00EC50AF">
        <w:t>cré aux « angoisses de l’Occident : la liberté et le sens » : « absurdité et nécessité de la quête du sens ».</w:t>
      </w:r>
    </w:p>
    <w:p w14:paraId="22BDF9DE" w14:textId="77777777" w:rsidR="00B01930" w:rsidRPr="00EC50AF" w:rsidRDefault="00B01930" w:rsidP="00B01930">
      <w:pPr>
        <w:spacing w:before="120" w:after="120"/>
        <w:jc w:val="both"/>
      </w:pPr>
      <w:r w:rsidRPr="00EC50AF">
        <w:t>Quelle approche pour s’inscrire entre une liberté de l’homme qui aujourd’hui r</w:t>
      </w:r>
      <w:r w:rsidRPr="00EC50AF">
        <w:t>é</w:t>
      </w:r>
      <w:r w:rsidRPr="00EC50AF">
        <w:t>cuse toute finalisation de l’Histoire et de l’autre un Prométhée enchaîné ? En fait : « l’individualisme est à la fois limité par les ressources de chacun et le faible nombre d’alternatives offertes par les représentations dominantes </w:t>
      </w:r>
      <w:r>
        <w:rPr>
          <w:rStyle w:val="Appelnotedebasdep"/>
        </w:rPr>
        <w:footnoteReference w:id="178"/>
      </w:r>
      <w:r w:rsidRPr="00EC50AF">
        <w:t> ». Dès lors, « l’imagination s’exerce à l’intérieur d’un champ contraint : les tentatives d’innover doivent en tenir compte pour construire un projet. La liberté n’est pas une folle du logis, elle reste enfermée entre les parois d’une culture même si son pr</w:t>
      </w:r>
      <w:r w:rsidRPr="00EC50AF">
        <w:t>o</w:t>
      </w:r>
      <w:r w:rsidRPr="00EC50AF">
        <w:t>pos est de s’en évader </w:t>
      </w:r>
      <w:r>
        <w:rPr>
          <w:rStyle w:val="Appelnotedebasdep"/>
        </w:rPr>
        <w:footnoteReference w:id="179"/>
      </w:r>
      <w:r w:rsidRPr="00EC50AF">
        <w:t> ». Autrement dit « l’Histoire a un sens, car nous avons construit des parois si rigides par notre code de valeurs que l’Histoire à notre insu s’en est trouvée programmée [mais] l’Histoire n’a pas de sens, car elle n’est pas dirigée par des fo</w:t>
      </w:r>
      <w:r w:rsidRPr="00EC50AF">
        <w:t>r</w:t>
      </w:r>
      <w:r w:rsidRPr="00EC50AF">
        <w:t>ces occultes </w:t>
      </w:r>
      <w:r>
        <w:rPr>
          <w:rStyle w:val="Appelnotedebasdep"/>
        </w:rPr>
        <w:footnoteReference w:id="180"/>
      </w:r>
      <w:r w:rsidRPr="00EC50AF">
        <w:t> ».</w:t>
      </w:r>
    </w:p>
    <w:p w14:paraId="6D278A45" w14:textId="77777777" w:rsidR="00B01930" w:rsidRDefault="00B01930" w:rsidP="00B01930">
      <w:pPr>
        <w:spacing w:before="120" w:after="120"/>
        <w:jc w:val="both"/>
      </w:pPr>
      <w:r w:rsidRPr="00EC50AF">
        <w:t>Le code n° 1 a engendré « cette machine théâtrale changeant les décors et les costumes au gré de tous les vents que nous faisons sou</w:t>
      </w:r>
      <w:r w:rsidRPr="00EC50AF">
        <w:t>f</w:t>
      </w:r>
      <w:r w:rsidRPr="00EC50AF">
        <w:t>fler par nos inventions ou notre imagination </w:t>
      </w:r>
      <w:r>
        <w:rPr>
          <w:rStyle w:val="Appelnotedebasdep"/>
        </w:rPr>
        <w:footnoteReference w:id="181"/>
      </w:r>
      <w:r>
        <w:t> »,</w:t>
      </w:r>
    </w:p>
    <w:p w14:paraId="20F063FE" w14:textId="77777777" w:rsidR="00B01930" w:rsidRPr="00EC50AF" w:rsidRDefault="00B01930" w:rsidP="00B01930">
      <w:pPr>
        <w:pStyle w:val="citation"/>
      </w:pPr>
      <w:r w:rsidRPr="00EC50AF">
        <w:t>mais</w:t>
      </w:r>
      <w:r>
        <w:t xml:space="preserve"> </w:t>
      </w:r>
      <w:r w:rsidRPr="00EC50AF">
        <w:t>l’homme utilise sa liberté pour se fabriquer une cage. À partir du moment où le syst</w:t>
      </w:r>
      <w:r w:rsidRPr="00EC50AF">
        <w:t>è</w:t>
      </w:r>
      <w:r w:rsidRPr="00EC50AF">
        <w:t>me est devenu cohérent et majoritaire, les hommes s’efforcent d’en tirer toutes les possibilités. C’est pourquoi il est po</w:t>
      </w:r>
      <w:r w:rsidRPr="00EC50AF">
        <w:t>s</w:t>
      </w:r>
      <w:r w:rsidRPr="00EC50AF">
        <w:t>sible de dire que l’histoire des idées a une logique, mais pas de sens [mais cela expl</w:t>
      </w:r>
      <w:r w:rsidRPr="00EC50AF">
        <w:t>i</w:t>
      </w:r>
      <w:r w:rsidRPr="00EC50AF">
        <w:t>que pourquoi] les observateurs antérieurs ont cru pouvoir déduire de la réalisation des options programmées par le c</w:t>
      </w:r>
      <w:r w:rsidRPr="00EC50AF">
        <w:t>o</w:t>
      </w:r>
      <w:r w:rsidRPr="00EC50AF">
        <w:t>de, l’existence d’un sens universel de l’Histoire […]. Sous cet angle [et seulement e</w:t>
      </w:r>
      <w:r w:rsidRPr="00EC50AF">
        <w:t>n</w:t>
      </w:r>
      <w:r w:rsidRPr="00EC50AF">
        <w:t>tendu ainsi] le sens existe donc </w:t>
      </w:r>
      <w:r>
        <w:rPr>
          <w:rStyle w:val="Appelnotedebasdep"/>
        </w:rPr>
        <w:footnoteReference w:id="182"/>
      </w:r>
      <w:r w:rsidRPr="00EC50AF">
        <w:t>.</w:t>
      </w:r>
    </w:p>
    <w:p w14:paraId="4138C28B" w14:textId="77777777" w:rsidR="00B01930" w:rsidRPr="00EC50AF" w:rsidRDefault="00B01930" w:rsidP="00B01930">
      <w:pPr>
        <w:spacing w:before="120" w:after="120"/>
        <w:jc w:val="both"/>
      </w:pPr>
      <w:r w:rsidRPr="00EC50AF">
        <w:t>Mais quel est le rôle des idées politiques ? Où se situent-elles dans la « machine sociale » ? Nous ne pouvons ici que reprendre, réduit à sa « quintessence », le propos de Jean-Louis Martres au risque de le trahir, tant ses développements sont nuancés, subtils et riches.</w:t>
      </w:r>
    </w:p>
    <w:p w14:paraId="398C1BF9" w14:textId="77777777" w:rsidR="00B01930" w:rsidRDefault="00B01930" w:rsidP="00B01930">
      <w:pPr>
        <w:pStyle w:val="citation"/>
      </w:pPr>
    </w:p>
    <w:p w14:paraId="4F19F241" w14:textId="77777777" w:rsidR="00B01930" w:rsidRPr="00EC50AF" w:rsidRDefault="00B01930" w:rsidP="00B01930">
      <w:pPr>
        <w:pStyle w:val="citation"/>
      </w:pPr>
      <w:r w:rsidRPr="00EC50AF">
        <w:t>Toutes les idées politiques n’ont pas la même force, la même efficie</w:t>
      </w:r>
      <w:r w:rsidRPr="00EC50AF">
        <w:t>n</w:t>
      </w:r>
      <w:r w:rsidRPr="00EC50AF">
        <w:t>ce sur le destin du pouvoir. Certaines sont de simples photogr</w:t>
      </w:r>
      <w:r w:rsidRPr="00EC50AF">
        <w:t>a</w:t>
      </w:r>
      <w:r w:rsidRPr="00EC50AF">
        <w:t>phies de l’état social, d’autres des gloses périphériques sur le système politique, d’autres de simples exégèses relevant de la c</w:t>
      </w:r>
      <w:r w:rsidRPr="00EC50AF">
        <w:t>a</w:t>
      </w:r>
      <w:r w:rsidRPr="00EC50AF">
        <w:t>suistique, d’autres enfin de modestes compilations. […] Il ne suffit pas de d</w:t>
      </w:r>
      <w:r w:rsidRPr="00EC50AF">
        <w:t>é</w:t>
      </w:r>
      <w:r w:rsidRPr="00EC50AF">
        <w:t>montrer que la plupart des idées politiques ne modifient en rien le st</w:t>
      </w:r>
      <w:r w:rsidRPr="00EC50AF">
        <w:t>a</w:t>
      </w:r>
      <w:r w:rsidRPr="00EC50AF">
        <w:t>tut du pouvoir […] il faut bien admettre que « certaines » idées dans « certaines » circonstances pr</w:t>
      </w:r>
      <w:r w:rsidRPr="00EC50AF">
        <w:t>o</w:t>
      </w:r>
      <w:r w:rsidRPr="00EC50AF">
        <w:t>voquent un bouleversement majeur de la société. Et rien ne prouve que c</w:t>
      </w:r>
      <w:r w:rsidRPr="00EC50AF">
        <w:t>e</w:t>
      </w:r>
      <w:r w:rsidRPr="00EC50AF">
        <w:t>lui-ci dérivait d’une nécessité s</w:t>
      </w:r>
      <w:r w:rsidRPr="00EC50AF">
        <w:t>o</w:t>
      </w:r>
      <w:r w:rsidRPr="00EC50AF">
        <w:t>ciale objective totalement déterminée par des rapports de forces ou de pr</w:t>
      </w:r>
      <w:r w:rsidRPr="00EC50AF">
        <w:t>o</w:t>
      </w:r>
      <w:r w:rsidRPr="00EC50AF">
        <w:t>duction </w:t>
      </w:r>
      <w:r>
        <w:rPr>
          <w:rStyle w:val="Appelnotedebasdep"/>
        </w:rPr>
        <w:footnoteReference w:id="183"/>
      </w:r>
      <w:r w:rsidRPr="00EC50AF">
        <w:t>.</w:t>
      </w:r>
    </w:p>
    <w:p w14:paraId="316F7670" w14:textId="77777777" w:rsidR="00B01930" w:rsidRPr="00EC50AF" w:rsidRDefault="00B01930" w:rsidP="00B01930">
      <w:pPr>
        <w:spacing w:before="120" w:after="120"/>
        <w:jc w:val="both"/>
      </w:pPr>
      <w:r w:rsidRPr="00EC50AF">
        <w:t xml:space="preserve"> Certes, « tous les mouvements intervenants en un quelconque e</w:t>
      </w:r>
      <w:r w:rsidRPr="00EC50AF">
        <w:t>n</w:t>
      </w:r>
      <w:r w:rsidRPr="00EC50AF">
        <w:t>droit du système social [ont] un effet sur les idées politiques », mais « celles-ci deviennent alors le “moment” et le “lieu” indispensables à la formalisation compréhensible d’événements plus profonds aidant à faire accepter, à digérer le changement et à l’orienter </w:t>
      </w:r>
      <w:r>
        <w:rPr>
          <w:rStyle w:val="Appelnotedebasdep"/>
        </w:rPr>
        <w:footnoteReference w:id="184"/>
      </w:r>
      <w:r w:rsidRPr="00EC50AF">
        <w:t> ». En d’autres termes, « l’opération de codage qu’elles effectuent n’est ni neutre, ni passive, car [l’idée politique] elle-même obéit à des formes contrai</w:t>
      </w:r>
      <w:r w:rsidRPr="00EC50AF">
        <w:t>n</w:t>
      </w:r>
      <w:r w:rsidRPr="00EC50AF">
        <w:t>tes par le génie culturel </w:t>
      </w:r>
      <w:r>
        <w:rPr>
          <w:rStyle w:val="Appelnotedebasdep"/>
        </w:rPr>
        <w:footnoteReference w:id="185"/>
      </w:r>
      <w:r w:rsidRPr="00EC50AF">
        <w:t> » et « la fonction discursive n’est pas nulle, elle joue un rôle syst</w:t>
      </w:r>
      <w:r w:rsidRPr="00EC50AF">
        <w:t>é</w:t>
      </w:r>
      <w:r w:rsidRPr="00EC50AF">
        <w:t>matique </w:t>
      </w:r>
      <w:r>
        <w:rPr>
          <w:rStyle w:val="Appelnotedebasdep"/>
        </w:rPr>
        <w:footnoteReference w:id="186"/>
      </w:r>
      <w:r w:rsidRPr="00EC50AF">
        <w:t> ». Et Jean-Louis Martres de formuler ainsi la question « les idées polit</w:t>
      </w:r>
      <w:r w:rsidRPr="00EC50AF">
        <w:t>i</w:t>
      </w:r>
      <w:r w:rsidRPr="00EC50AF">
        <w:t>ques ne seraient-elles pas une sorte de “combustible” s</w:t>
      </w:r>
      <w:r w:rsidRPr="00EC50AF">
        <w:t>o</w:t>
      </w:r>
      <w:r w:rsidRPr="00EC50AF">
        <w:t>cial ? </w:t>
      </w:r>
      <w:r>
        <w:rPr>
          <w:rStyle w:val="Appelnotedebasdep"/>
        </w:rPr>
        <w:footnoteReference w:id="187"/>
      </w:r>
      <w:r w:rsidRPr="00EC50AF">
        <w:t> ».</w:t>
      </w:r>
    </w:p>
    <w:p w14:paraId="1C1F83D3" w14:textId="77777777" w:rsidR="00B01930" w:rsidRDefault="00B01930" w:rsidP="00B01930">
      <w:pPr>
        <w:spacing w:before="120" w:after="120"/>
        <w:jc w:val="both"/>
      </w:pPr>
      <w:r w:rsidRPr="00EC50AF">
        <w:t>En définitive,</w:t>
      </w:r>
    </w:p>
    <w:p w14:paraId="00110707" w14:textId="77777777" w:rsidR="00B01930" w:rsidRDefault="00B01930" w:rsidP="00B01930">
      <w:pPr>
        <w:pStyle w:val="citation"/>
      </w:pPr>
      <w:r w:rsidRPr="00EC50AF">
        <w:t>l’idée politique est le lieu d’expression de la volonté pratique sans l</w:t>
      </w:r>
      <w:r w:rsidRPr="00EC50AF">
        <w:t>a</w:t>
      </w:r>
      <w:r w:rsidRPr="00EC50AF">
        <w:t>quelle l’action perd son sens, voire devient impossible. Ce moment de la formalisation de la pensée, bien que dépendant d’éléments conjoncturels, possède un rôle distinct, autonome. L’expression di</w:t>
      </w:r>
      <w:r w:rsidRPr="00EC50AF">
        <w:t>s</w:t>
      </w:r>
      <w:r w:rsidRPr="00EC50AF">
        <w:t>cursive est le résultat d’une clarification et d’un o</w:t>
      </w:r>
      <w:r w:rsidRPr="00EC50AF">
        <w:t>r</w:t>
      </w:r>
      <w:r w:rsidRPr="00EC50AF">
        <w:t>donnancement des faits autour d’une priorité, elle est également la condition de la mob</w:t>
      </w:r>
      <w:r w:rsidRPr="00EC50AF">
        <w:t>i</w:t>
      </w:r>
      <w:r w:rsidRPr="00EC50AF">
        <w:t>lisation sociale </w:t>
      </w:r>
      <w:r>
        <w:rPr>
          <w:rStyle w:val="Appelnotedebasdep"/>
        </w:rPr>
        <w:footnoteReference w:id="188"/>
      </w:r>
      <w:r w:rsidRPr="00EC50AF">
        <w:t>.</w:t>
      </w:r>
    </w:p>
    <w:p w14:paraId="28475510" w14:textId="77777777" w:rsidR="00B01930" w:rsidRPr="00EC50AF" w:rsidRDefault="00B01930" w:rsidP="00B01930">
      <w:pPr>
        <w:pStyle w:val="citation"/>
      </w:pPr>
    </w:p>
    <w:p w14:paraId="5396FF29" w14:textId="77777777" w:rsidR="00B01930" w:rsidRDefault="00B01930" w:rsidP="00B01930">
      <w:pPr>
        <w:spacing w:before="120" w:after="120"/>
        <w:jc w:val="both"/>
      </w:pPr>
      <w:r w:rsidRPr="00EC50AF">
        <w:t>Le cœur de la pensée martrienne au regard du changement des idées politiques est que « notre histoire [a] une logique, mais pas de sens parce que cette logique a été importée dans les faits à partir de nos représentations </w:t>
      </w:r>
      <w:r>
        <w:rPr>
          <w:rStyle w:val="Appelnotedebasdep"/>
        </w:rPr>
        <w:footnoteReference w:id="189"/>
      </w:r>
      <w:r w:rsidRPr="00EC50AF">
        <w:t> ». Autrement dit, le changement des idées polit</w:t>
      </w:r>
      <w:r w:rsidRPr="00EC50AF">
        <w:t>i</w:t>
      </w:r>
      <w:r w:rsidRPr="00EC50AF">
        <w:t>ques obéit à un code transformationnel inhérent à la structure n° 1 (« manichéenne inégalitaire »), ce qui en explique le mécanisme log</w:t>
      </w:r>
      <w:r w:rsidRPr="00EC50AF">
        <w:t>i</w:t>
      </w:r>
      <w:r w:rsidRPr="00EC50AF">
        <w:t>que, mais simultanément en exclu tout finalisme.</w:t>
      </w:r>
    </w:p>
    <w:p w14:paraId="62C79FC9" w14:textId="77777777" w:rsidR="00B01930" w:rsidRPr="00EC50AF" w:rsidRDefault="00B01930" w:rsidP="00B01930">
      <w:pPr>
        <w:spacing w:before="120" w:after="120"/>
        <w:jc w:val="both"/>
      </w:pPr>
      <w:r>
        <w:br w:type="page"/>
      </w:r>
    </w:p>
    <w:p w14:paraId="1F49BE55" w14:textId="77777777" w:rsidR="00B01930" w:rsidRPr="00EC50AF" w:rsidRDefault="00B01930" w:rsidP="00B01930">
      <w:pPr>
        <w:pStyle w:val="planche"/>
      </w:pPr>
      <w:bookmarkStart w:id="16" w:name="_Toc494111627"/>
      <w:bookmarkStart w:id="17" w:name="_Toc494277622"/>
      <w:bookmarkStart w:id="18" w:name="_Toc499541001"/>
      <w:bookmarkStart w:id="19" w:name="_Toc504399639"/>
      <w:bookmarkStart w:id="20" w:name="_Toc504406274"/>
      <w:bookmarkStart w:id="21" w:name="_Toc524329863"/>
      <w:bookmarkStart w:id="22" w:name="Analyser_idees_pol_pt_1_texte_01b_2"/>
      <w:r>
        <w:t>II.</w:t>
      </w:r>
      <w:r w:rsidRPr="00EC50AF">
        <w:t>L</w:t>
      </w:r>
      <w:r>
        <w:t>e code transformationnel</w:t>
      </w:r>
      <w:r>
        <w:br/>
      </w:r>
      <w:r w:rsidRPr="00EC50AF">
        <w:t>des idées politiques en Occident</w:t>
      </w:r>
      <w:bookmarkEnd w:id="16"/>
      <w:bookmarkEnd w:id="17"/>
      <w:bookmarkEnd w:id="18"/>
      <w:bookmarkEnd w:id="19"/>
      <w:bookmarkEnd w:id="20"/>
      <w:bookmarkEnd w:id="21"/>
    </w:p>
    <w:bookmarkEnd w:id="22"/>
    <w:p w14:paraId="6B179453" w14:textId="77777777" w:rsidR="00B01930" w:rsidRDefault="00B01930" w:rsidP="00B01930">
      <w:pPr>
        <w:spacing w:before="120" w:after="120"/>
        <w:jc w:val="both"/>
      </w:pPr>
    </w:p>
    <w:p w14:paraId="02A21F01"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208C1DBE" w14:textId="77777777" w:rsidR="00B01930" w:rsidRPr="00EC50AF" w:rsidRDefault="00B01930" w:rsidP="00B01930">
      <w:pPr>
        <w:spacing w:before="120" w:after="120"/>
        <w:jc w:val="both"/>
      </w:pPr>
      <w:r w:rsidRPr="00EC50AF">
        <w:t>Si on se place au plan « macrotemporel » ou, pour le dire autr</w:t>
      </w:r>
      <w:r w:rsidRPr="00EC50AF">
        <w:t>e</w:t>
      </w:r>
      <w:r w:rsidRPr="00EC50AF">
        <w:t>ment, si on réduit à sa plus simple expression le Temps en Occident, on s’aperçoit que celui-ci se caractérise par un cha</w:t>
      </w:r>
      <w:r w:rsidRPr="00EC50AF">
        <w:t>n</w:t>
      </w:r>
      <w:r w:rsidRPr="00EC50AF">
        <w:t>gement incessant des formes du Pouvoir : Empire, Monarchie puis l’État anonyme dr</w:t>
      </w:r>
      <w:r w:rsidRPr="00EC50AF">
        <w:t>a</w:t>
      </w:r>
      <w:r w:rsidRPr="00EC50AF">
        <w:t>pé dans la toge démocratique ; « L’Occident connaît des processus multiples de fragmentation […] de triomphes suivis de promptes ru</w:t>
      </w:r>
      <w:r w:rsidRPr="00EC50AF">
        <w:t>i</w:t>
      </w:r>
      <w:r w:rsidRPr="00EC50AF">
        <w:t>nes, dans un luxe extrême de doctrines et d’idées [qui poussent] à e</w:t>
      </w:r>
      <w:r w:rsidRPr="00EC50AF">
        <w:t>s</w:t>
      </w:r>
      <w:r w:rsidRPr="00EC50AF">
        <w:t>sayer toutes les formules de pouvoir, s’empressent de briser la légit</w:t>
      </w:r>
      <w:r w:rsidRPr="00EC50AF">
        <w:t>i</w:t>
      </w:r>
      <w:r w:rsidRPr="00EC50AF">
        <w:t>mité du Prince sitôt acquise </w:t>
      </w:r>
      <w:r>
        <w:rPr>
          <w:rStyle w:val="Appelnotedebasdep"/>
        </w:rPr>
        <w:footnoteReference w:id="190"/>
      </w:r>
      <w:r w:rsidRPr="00EC50AF">
        <w:t>. » Cette caractéristique conduit à prop</w:t>
      </w:r>
      <w:r w:rsidRPr="00EC50AF">
        <w:t>o</w:t>
      </w:r>
      <w:r w:rsidRPr="00EC50AF">
        <w:t>ser d’analyser le Code de valeurs, dans la perspective du chang</w:t>
      </w:r>
      <w:r w:rsidRPr="00EC50AF">
        <w:t>e</w:t>
      </w:r>
      <w:r w:rsidRPr="00EC50AF">
        <w:t>ment, de manière fonctionnaliste. Pour répondre au qualificatif de code, c</w:t>
      </w:r>
      <w:r w:rsidRPr="00EC50AF">
        <w:t>e</w:t>
      </w:r>
      <w:r w:rsidRPr="00EC50AF">
        <w:t>lui-ci doit « répondre à trois conditions : exprimer la demande sociale, lui donner un sens grâce à une explication générale du monde et enfin permettre la conquête du pouvoir et la légitimer </w:t>
      </w:r>
      <w:r>
        <w:rPr>
          <w:rStyle w:val="Appelnotedebasdep"/>
        </w:rPr>
        <w:footnoteReference w:id="191"/>
      </w:r>
      <w:r w:rsidRPr="00EC50AF">
        <w:t> ».</w:t>
      </w:r>
    </w:p>
    <w:p w14:paraId="3A5DB43A" w14:textId="77777777" w:rsidR="00B01930" w:rsidRPr="00EC50AF" w:rsidRDefault="00B01930" w:rsidP="00B01930">
      <w:pPr>
        <w:spacing w:before="120" w:after="120"/>
        <w:jc w:val="both"/>
      </w:pPr>
      <w:r w:rsidRPr="00EC50AF">
        <w:t xml:space="preserve">Le code, ainsi entendu, englobe </w:t>
      </w:r>
      <w:r w:rsidRPr="00EC50AF">
        <w:rPr>
          <w:i/>
        </w:rPr>
        <w:t>« toutes formes de pensée polit</w:t>
      </w:r>
      <w:r w:rsidRPr="00EC50AF">
        <w:rPr>
          <w:i/>
        </w:rPr>
        <w:t>i</w:t>
      </w:r>
      <w:r w:rsidRPr="00EC50AF">
        <w:rPr>
          <w:i/>
        </w:rPr>
        <w:t>que </w:t>
      </w:r>
      <w:r w:rsidRPr="00EC50AF">
        <w:t>», par exemple les mythes pour telles sociétés, les religions pour d’autres. Mais on pourrait objecter que la notion de code avec sa pr</w:t>
      </w:r>
      <w:r w:rsidRPr="00EC50AF">
        <w:t>o</w:t>
      </w:r>
      <w:r w:rsidRPr="00EC50AF">
        <w:t>priété qui est l’invariance empêcherait les « possibles ». La réponse pour Jean-Louis Martres est négative puisque « la luxuriance des fo</w:t>
      </w:r>
      <w:r w:rsidRPr="00EC50AF">
        <w:t>r</w:t>
      </w:r>
      <w:r w:rsidRPr="00EC50AF">
        <w:t>mes constitue le premier attribut du code occidental </w:t>
      </w:r>
      <w:r>
        <w:rPr>
          <w:rStyle w:val="Appelnotedebasdep"/>
        </w:rPr>
        <w:footnoteReference w:id="192"/>
      </w:r>
      <w:r w:rsidRPr="00EC50AF">
        <w:t> ». Jamais, en effet, « le pouvoir n’a habité les mêmes murs </w:t>
      </w:r>
      <w:r>
        <w:rPr>
          <w:rStyle w:val="Appelnotedebasdep"/>
        </w:rPr>
        <w:footnoteReference w:id="193"/>
      </w:r>
      <w:r w:rsidRPr="00EC50AF">
        <w:t> ». La certitude qu’il y a une séparation rad</w:t>
      </w:r>
      <w:r w:rsidRPr="00EC50AF">
        <w:t>i</w:t>
      </w:r>
      <w:r w:rsidRPr="00EC50AF">
        <w:t>cale et indépassable entre le Bien et le Mal, et qu’on peut atteindre le Bien absolu par recherche de la cause des ma</w:t>
      </w:r>
      <w:r w:rsidRPr="00EC50AF">
        <w:t>l</w:t>
      </w:r>
      <w:r w:rsidRPr="00EC50AF">
        <w:t>heurs dans les erreurs du pouvoir, implique une con</w:t>
      </w:r>
      <w:r w:rsidRPr="00EC50AF">
        <w:t>s</w:t>
      </w:r>
      <w:r w:rsidRPr="00EC50AF">
        <w:t>tante recherche du Meilleur régime. La croyance en l’incarnation de La Sol</w:t>
      </w:r>
      <w:r w:rsidRPr="00EC50AF">
        <w:t>u</w:t>
      </w:r>
      <w:r w:rsidRPr="00EC50AF">
        <w:t>tion par le pouvoir en place le rend légitime. Que le doute s’installe et se met en marche le processus du Changement, l’espoir étant ailleurs.</w:t>
      </w:r>
    </w:p>
    <w:p w14:paraId="37D7FA60" w14:textId="77777777" w:rsidR="00B01930" w:rsidRPr="00EC50AF" w:rsidRDefault="00B01930" w:rsidP="00B01930">
      <w:pPr>
        <w:spacing w:before="120" w:after="120"/>
        <w:jc w:val="both"/>
      </w:pPr>
      <w:r w:rsidRPr="00EC50AF">
        <w:t>Les « possibles » sont aussi le fruit du principe même qui définit le code occide</w:t>
      </w:r>
      <w:r w:rsidRPr="00EC50AF">
        <w:t>n</w:t>
      </w:r>
      <w:r w:rsidRPr="00EC50AF">
        <w:t>tal d’autant plus qu’entre « le constat du Mal et l’avènement du Bien » il y a un espace à s’approprier du fait du post</w:t>
      </w:r>
      <w:r w:rsidRPr="00EC50AF">
        <w:t>u</w:t>
      </w:r>
      <w:r w:rsidRPr="00EC50AF">
        <w:t>lat de l’existence d’un avenir, plus ou moins loi</w:t>
      </w:r>
      <w:r w:rsidRPr="00EC50AF">
        <w:t>n</w:t>
      </w:r>
      <w:r w:rsidRPr="00EC50AF">
        <w:t>tain, qui ouvre sur la perfection </w:t>
      </w:r>
      <w:r>
        <w:rPr>
          <w:rStyle w:val="Appelnotedebasdep"/>
        </w:rPr>
        <w:footnoteReference w:id="194"/>
      </w:r>
      <w:r w:rsidRPr="00EC50AF">
        <w:t>. « Les mondes occidentaux s’engendrent eux-mêmes, ils se défont sans changer leur armature profonde, sans toucher à la s</w:t>
      </w:r>
      <w:r w:rsidRPr="00EC50AF">
        <w:t>u</w:t>
      </w:r>
      <w:r w:rsidRPr="00EC50AF">
        <w:t>perbe machine qui les a programmés </w:t>
      </w:r>
      <w:r>
        <w:rPr>
          <w:rStyle w:val="Appelnotedebasdep"/>
        </w:rPr>
        <w:footnoteReference w:id="195"/>
      </w:r>
      <w:r w:rsidRPr="00EC50AF">
        <w:t> », mais « ces grandes arabe</w:t>
      </w:r>
      <w:r w:rsidRPr="00EC50AF">
        <w:t>s</w:t>
      </w:r>
      <w:r w:rsidRPr="00EC50AF">
        <w:t>ques reviennent toujours au point de départ, le voyage des idées pa</w:t>
      </w:r>
      <w:r w:rsidRPr="00EC50AF">
        <w:t>r</w:t>
      </w:r>
      <w:r w:rsidRPr="00EC50AF">
        <w:t>cours des continents nouveaux, mais dans la même embarcation </w:t>
      </w:r>
      <w:r>
        <w:rPr>
          <w:rStyle w:val="Appelnotedebasdep"/>
        </w:rPr>
        <w:footnoteReference w:id="196"/>
      </w:r>
      <w:r w:rsidRPr="00EC50AF">
        <w:t> ».</w:t>
      </w:r>
    </w:p>
    <w:p w14:paraId="73ACFE87" w14:textId="77777777" w:rsidR="00B01930" w:rsidRPr="00EC50AF" w:rsidRDefault="00B01930" w:rsidP="00B01930">
      <w:pPr>
        <w:spacing w:before="120" w:after="120"/>
        <w:jc w:val="both"/>
      </w:pPr>
      <w:r w:rsidRPr="00EC50AF">
        <w:t>Le code génère des interprétations successives qui simult</w:t>
      </w:r>
      <w:r w:rsidRPr="00EC50AF">
        <w:t>a</w:t>
      </w:r>
      <w:r w:rsidRPr="00EC50AF">
        <w:t>nément construisent la légitimité et suscitent les disputes. Mais le refus de l’orthodoxie pour s’opposer au pouvoir peut dépa</w:t>
      </w:r>
      <w:r w:rsidRPr="00EC50AF">
        <w:t>s</w:t>
      </w:r>
      <w:r w:rsidRPr="00EC50AF">
        <w:t>ser les bornes du code régnant et s’aventurer sur des chemins qui conduisent vers les deux autres codes ; en « ce cas la lutte est sans merci </w:t>
      </w:r>
      <w:r>
        <w:rPr>
          <w:rStyle w:val="Appelnotedebasdep"/>
        </w:rPr>
        <w:footnoteReference w:id="197"/>
      </w:r>
      <w:r w:rsidRPr="00EC50AF">
        <w:t> ».</w:t>
      </w:r>
    </w:p>
    <w:p w14:paraId="4EAD7016" w14:textId="77777777" w:rsidR="00B01930" w:rsidRPr="00EC50AF" w:rsidRDefault="00B01930" w:rsidP="00B01930">
      <w:pPr>
        <w:spacing w:before="120" w:after="120"/>
        <w:jc w:val="both"/>
      </w:pPr>
      <w:r w:rsidRPr="00EC50AF">
        <w:t>En définitive, comment rendre compte de la mobilité ince</w:t>
      </w:r>
      <w:r w:rsidRPr="00EC50AF">
        <w:t>s</w:t>
      </w:r>
      <w:r w:rsidRPr="00EC50AF">
        <w:t>sante et de l’inertie de la pensée politique selon les périodes ? Pourquoi, se demande Jean-Louis Martres, une forme de go</w:t>
      </w:r>
      <w:r w:rsidRPr="00EC50AF">
        <w:t>u</w:t>
      </w:r>
      <w:r w:rsidRPr="00EC50AF">
        <w:t>vernement devient-elle insupportable au point qu’il n’y ait point de remède possible à sa disparition ? Les erreurs des hommes, le choc des événements sont, pour les historiens « qui signent l’acte de décès », la cause de « l’effondrement ». Mais est-ce suffisant ?</w:t>
      </w:r>
    </w:p>
    <w:p w14:paraId="6EB1DD52" w14:textId="77777777" w:rsidR="00B01930" w:rsidRPr="00EC50AF" w:rsidRDefault="00B01930" w:rsidP="00B01930">
      <w:pPr>
        <w:spacing w:before="120" w:after="120"/>
        <w:jc w:val="both"/>
      </w:pPr>
      <w:r w:rsidRPr="00EC50AF">
        <w:t>Jean-Louis Martres, pour répondre à la question, va l’étudier selon deux axes : l’axe diachronique qui débouche sur une histoire de la l</w:t>
      </w:r>
      <w:r w:rsidRPr="00EC50AF">
        <w:t>é</w:t>
      </w:r>
      <w:r w:rsidRPr="00EC50AF">
        <w:t>gitimité et l’axe synchronique qui explique comment les idées polit</w:t>
      </w:r>
      <w:r w:rsidRPr="00EC50AF">
        <w:t>i</w:t>
      </w:r>
      <w:r w:rsidRPr="00EC50AF">
        <w:t>ques irriguent le système social et comment celui-ci rétroagit sur les idées politiques.</w:t>
      </w:r>
    </w:p>
    <w:p w14:paraId="3884911E" w14:textId="77777777" w:rsidR="00B01930" w:rsidRDefault="00B01930" w:rsidP="00B01930">
      <w:pPr>
        <w:spacing w:before="120" w:after="120"/>
        <w:jc w:val="both"/>
      </w:pPr>
      <w:bookmarkStart w:id="23" w:name="_Toc494111628"/>
      <w:bookmarkStart w:id="24" w:name="_Toc494277623"/>
      <w:bookmarkStart w:id="25" w:name="_Toc499541002"/>
      <w:bookmarkStart w:id="26" w:name="_Toc504399640"/>
      <w:bookmarkStart w:id="27" w:name="_Toc504406275"/>
      <w:bookmarkStart w:id="28" w:name="_Toc524329864"/>
      <w:r>
        <w:br w:type="page"/>
      </w:r>
    </w:p>
    <w:p w14:paraId="50C00F54" w14:textId="77777777" w:rsidR="00B01930" w:rsidRPr="00EC50AF" w:rsidRDefault="00B01930" w:rsidP="00B01930">
      <w:pPr>
        <w:pStyle w:val="a"/>
      </w:pPr>
      <w:bookmarkStart w:id="29" w:name="Analyser_idees_pol_pt_1_texte_01b_2a"/>
      <w:r>
        <w:t xml:space="preserve">A. </w:t>
      </w:r>
      <w:r w:rsidRPr="00EC50AF">
        <w:t>Le mou</w:t>
      </w:r>
      <w:r>
        <w:t>vement diachronique</w:t>
      </w:r>
      <w:r>
        <w:br/>
      </w:r>
      <w:r w:rsidRPr="00EC50AF">
        <w:t>ou de la légitimité</w:t>
      </w:r>
      <w:r>
        <w:rPr>
          <w:b w:val="0"/>
          <w:i w:val="0"/>
        </w:rPr>
        <w:t> </w:t>
      </w:r>
      <w:r>
        <w:rPr>
          <w:rStyle w:val="Appelnotedebasdep"/>
          <w:b w:val="0"/>
          <w:i w:val="0"/>
        </w:rPr>
        <w:footnoteReference w:id="198"/>
      </w:r>
      <w:bookmarkEnd w:id="23"/>
      <w:bookmarkEnd w:id="24"/>
      <w:bookmarkEnd w:id="25"/>
      <w:bookmarkEnd w:id="26"/>
      <w:bookmarkEnd w:id="27"/>
      <w:bookmarkEnd w:id="28"/>
    </w:p>
    <w:bookmarkEnd w:id="29"/>
    <w:p w14:paraId="7318E4C7" w14:textId="77777777" w:rsidR="00B01930" w:rsidRDefault="00B01930" w:rsidP="00B01930">
      <w:pPr>
        <w:spacing w:before="120" w:after="120"/>
        <w:jc w:val="both"/>
      </w:pPr>
    </w:p>
    <w:p w14:paraId="1D0D8947"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2B581A52" w14:textId="77777777" w:rsidR="00B01930" w:rsidRPr="00EC50AF" w:rsidRDefault="00B01930" w:rsidP="00B01930">
      <w:pPr>
        <w:spacing w:before="120" w:after="120"/>
        <w:jc w:val="both"/>
      </w:pPr>
      <w:r w:rsidRPr="00EC50AF">
        <w:t>Nous nous limiterons dans la présente partie à ce qui est au centre de la pensée martrienne du changement et en fait l’originalité (s’il est encore besoin de souligner celle-ci). Car il faut préciser qu’au préal</w:t>
      </w:r>
      <w:r w:rsidRPr="00EC50AF">
        <w:t>a</w:t>
      </w:r>
      <w:r w:rsidRPr="00EC50AF">
        <w:t>ble Jean-Louis Martres brosse une vaste fresque du temps occ</w:t>
      </w:r>
      <w:r w:rsidRPr="00EC50AF">
        <w:t>i</w:t>
      </w:r>
      <w:r w:rsidRPr="00EC50AF">
        <w:t>dental et fait un retour sur la scola</w:t>
      </w:r>
      <w:r w:rsidRPr="00EC50AF">
        <w:t>s</w:t>
      </w:r>
      <w:r w:rsidRPr="00EC50AF">
        <w:t>tique dans un chapitre qu’il serait vain ou présomptueux de vouloir résumer tant celui-ci est dense, de grande érudition, et d’une grande qualité littéraire, faisant ressortir la subtilité de sa pensée qui prend en compte toute la complexité qui est à l’œuvre derrière les vocables « idées politiques » et « histoire des idées politiques ». Aussi aborderons-nous directement le premier m</w:t>
      </w:r>
      <w:r w:rsidRPr="00EC50AF">
        <w:t>é</w:t>
      </w:r>
      <w:r w:rsidRPr="00EC50AF">
        <w:t>canisme du changement des idées politiques selon Jean-Louis Ma</w:t>
      </w:r>
      <w:r w:rsidRPr="00EC50AF">
        <w:t>r</w:t>
      </w:r>
      <w:r w:rsidRPr="00EC50AF">
        <w:t>tres.</w:t>
      </w:r>
    </w:p>
    <w:p w14:paraId="6DF69819" w14:textId="77777777" w:rsidR="00B01930" w:rsidRPr="00EC50AF" w:rsidRDefault="00B01930" w:rsidP="00B01930">
      <w:pPr>
        <w:spacing w:before="120" w:after="120"/>
        <w:jc w:val="both"/>
      </w:pPr>
      <w:r w:rsidRPr="00EC50AF">
        <w:t>Le mouvement diachronique affecte directement le modèle, le code n° 1, et assure sa transformation. L’hypothèse est la suivante : le pe</w:t>
      </w:r>
      <w:r w:rsidRPr="00EC50AF">
        <w:t>u</w:t>
      </w:r>
      <w:r w:rsidRPr="00EC50AF">
        <w:t>ple a une image d’une cité sans Mal, l’Utopie ; apparaît un décalage avec le détenteur du pouvoir et l’exercice concret du pouvoir, mais comme le code de valeurs repose sur la vision d’un Bien et d’un Mal séparables et sur le triomphe du Bien, l’idée de pouvoir rétablir le Bien naît et finit par désigner le « véritable » détenteur du Bien ; ce qui produit l’Hérésie dont l’aboutissement est la Révolution, Le Changement. La confrontation entre l’image idéale du régime polit</w:t>
      </w:r>
      <w:r w:rsidRPr="00EC50AF">
        <w:t>i</w:t>
      </w:r>
      <w:r w:rsidRPr="00EC50AF">
        <w:t>que et sa réalité produit le décalage qui oblige une fraction de la pop</w:t>
      </w:r>
      <w:r w:rsidRPr="00EC50AF">
        <w:t>u</w:t>
      </w:r>
      <w:r w:rsidRPr="00EC50AF">
        <w:t>lation à se détacher des gouvernants en titre pour essayer de restaurer l’image idéale et qui, en se séparant de la sorte, cherche à mob</w:t>
      </w:r>
      <w:r w:rsidRPr="00EC50AF">
        <w:t>i</w:t>
      </w:r>
      <w:r w:rsidRPr="00EC50AF">
        <w:t>liser une part de plus en plus grande de l’opinion pour provoquer le cha</w:t>
      </w:r>
      <w:r w:rsidRPr="00EC50AF">
        <w:t>n</w:t>
      </w:r>
      <w:r w:rsidRPr="00EC50AF">
        <w:t>gement. Il y a remise en cause de la lég</w:t>
      </w:r>
      <w:r w:rsidRPr="00EC50AF">
        <w:t>i</w:t>
      </w:r>
      <w:r w:rsidRPr="00EC50AF">
        <w:t>timité du pouvoir qui aboutit à la chute des gouvernants. Jean-Louis Martres souligne que ce mo</w:t>
      </w:r>
      <w:r w:rsidRPr="00EC50AF">
        <w:t>u</w:t>
      </w:r>
      <w:r w:rsidRPr="00EC50AF">
        <w:t>vement n’a pas de « caractère exclusif, néanmoins [il] occupe une pl</w:t>
      </w:r>
      <w:r w:rsidRPr="00EC50AF">
        <w:t>a</w:t>
      </w:r>
      <w:r w:rsidRPr="00EC50AF">
        <w:t>ce importante dans l’histoire des mentalités </w:t>
      </w:r>
      <w:r>
        <w:rPr>
          <w:rStyle w:val="Appelnotedebasdep"/>
        </w:rPr>
        <w:footnoteReference w:id="199"/>
      </w:r>
      <w:r w:rsidRPr="00EC50AF">
        <w:t> ».</w:t>
      </w:r>
    </w:p>
    <w:p w14:paraId="2835EEE5" w14:textId="77777777" w:rsidR="00B01930" w:rsidRDefault="00B01930" w:rsidP="00B01930">
      <w:pPr>
        <w:spacing w:before="120" w:after="120"/>
        <w:jc w:val="both"/>
      </w:pPr>
      <w:bookmarkStart w:id="30" w:name="_Toc494111629"/>
      <w:bookmarkStart w:id="31" w:name="_Toc494277624"/>
      <w:bookmarkStart w:id="32" w:name="_Toc499541003"/>
      <w:bookmarkStart w:id="33" w:name="_Toc504399641"/>
      <w:bookmarkStart w:id="34" w:name="_Toc504406276"/>
      <w:bookmarkStart w:id="35" w:name="_Toc524329865"/>
    </w:p>
    <w:p w14:paraId="381A8BC0" w14:textId="77777777" w:rsidR="00B01930" w:rsidRPr="00EC50AF" w:rsidRDefault="00B01930" w:rsidP="00B01930">
      <w:pPr>
        <w:pStyle w:val="b"/>
      </w:pPr>
      <w:r w:rsidRPr="00EC50AF">
        <w:t>L’Utopie</w:t>
      </w:r>
      <w:bookmarkEnd w:id="30"/>
      <w:bookmarkEnd w:id="31"/>
      <w:bookmarkEnd w:id="32"/>
      <w:bookmarkEnd w:id="33"/>
      <w:bookmarkEnd w:id="34"/>
      <w:bookmarkEnd w:id="35"/>
    </w:p>
    <w:p w14:paraId="6D70264E" w14:textId="77777777" w:rsidR="00B01930" w:rsidRDefault="00B01930" w:rsidP="00B01930">
      <w:pPr>
        <w:spacing w:before="120" w:after="120"/>
        <w:jc w:val="both"/>
      </w:pPr>
    </w:p>
    <w:p w14:paraId="027A6B36" w14:textId="77777777" w:rsidR="00B01930" w:rsidRPr="00EC50AF" w:rsidRDefault="00B01930" w:rsidP="00B01930">
      <w:pPr>
        <w:spacing w:before="120" w:after="120"/>
        <w:jc w:val="both"/>
      </w:pPr>
      <w:r w:rsidRPr="00EC50AF">
        <w:t xml:space="preserve">Bien qu’emprunté au </w:t>
      </w:r>
      <w:r w:rsidRPr="00EC50AF">
        <w:rPr>
          <w:smallCaps/>
        </w:rPr>
        <w:t>xvi</w:t>
      </w:r>
      <w:r w:rsidRPr="00EC50AF">
        <w:rPr>
          <w:vertAlign w:val="superscript"/>
        </w:rPr>
        <w:t>e</w:t>
      </w:r>
      <w:r w:rsidRPr="00EC50AF">
        <w:t xml:space="preserve"> siècle, époque où foisonnèrent les de</w:t>
      </w:r>
      <w:r w:rsidRPr="00EC50AF">
        <w:t>s</w:t>
      </w:r>
      <w:r w:rsidRPr="00EC50AF">
        <w:t xml:space="preserve">criptions d’une société « parfaite », le terme, issu de </w:t>
      </w:r>
      <w:r w:rsidRPr="00EC50AF">
        <w:rPr>
          <w:i/>
        </w:rPr>
        <w:t>L’Utopie</w:t>
      </w:r>
      <w:r w:rsidRPr="00EC50AF">
        <w:t xml:space="preserve"> de Thomas More, dont le « succès a permis de substantiver son titre </w:t>
      </w:r>
      <w:r>
        <w:rPr>
          <w:rStyle w:val="Appelnotedebasdep"/>
        </w:rPr>
        <w:footnoteReference w:id="200"/>
      </w:r>
      <w:r w:rsidRPr="00EC50AF">
        <w:t> » prend ici tout son sens dans le schéma ma</w:t>
      </w:r>
      <w:r w:rsidRPr="00EC50AF">
        <w:t>r</w:t>
      </w:r>
      <w:r w:rsidRPr="00EC50AF">
        <w:t>trien du changement des idées politiques. En effet, l’utopie n’est rien d’autre que le « projet d’une société débarrassée de tous les maux et où le Bien régnerait de façon exclusive, avec cette précision que le Bien change de contenu en même temps que l’évolution du système de valeurs </w:t>
      </w:r>
      <w:r>
        <w:rPr>
          <w:rStyle w:val="Appelnotedebasdep"/>
        </w:rPr>
        <w:footnoteReference w:id="201"/>
      </w:r>
      <w:r w:rsidRPr="00EC50AF">
        <w:t> ».</w:t>
      </w:r>
    </w:p>
    <w:p w14:paraId="2D6FA73F" w14:textId="77777777" w:rsidR="00B01930" w:rsidRPr="00EC50AF" w:rsidRDefault="00B01930" w:rsidP="00B01930">
      <w:pPr>
        <w:spacing w:before="120" w:after="120"/>
        <w:jc w:val="both"/>
      </w:pPr>
      <w:r w:rsidRPr="00EC50AF">
        <w:t>En définitive le projet utopique représente la logique du Bien pou</w:t>
      </w:r>
      <w:r w:rsidRPr="00EC50AF">
        <w:t>s</w:t>
      </w:r>
      <w:r w:rsidRPr="00EC50AF">
        <w:t>sée jusque dans ses derniers aspects. Dès lors l’utopie est permanente dans la société occidentale. Si, en scrutant atte</w:t>
      </w:r>
      <w:r w:rsidRPr="00EC50AF">
        <w:t>n</w:t>
      </w:r>
      <w:r w:rsidRPr="00EC50AF">
        <w:t>tivement, on la trouve en mode mineur dans l’antiquité (Platon), en revanche elle trouve sa pleine expression et expansion avec l’avènement du christi</w:t>
      </w:r>
      <w:r w:rsidRPr="00EC50AF">
        <w:t>a</w:t>
      </w:r>
      <w:r w:rsidRPr="00EC50AF">
        <w:t>nisme. En effet :</w:t>
      </w:r>
    </w:p>
    <w:p w14:paraId="2F6FF14F" w14:textId="77777777" w:rsidR="00B01930" w:rsidRDefault="00B01930" w:rsidP="00B01930">
      <w:pPr>
        <w:pStyle w:val="citation"/>
      </w:pPr>
    </w:p>
    <w:p w14:paraId="748930DF" w14:textId="77777777" w:rsidR="00B01930" w:rsidRDefault="00B01930" w:rsidP="00B01930">
      <w:pPr>
        <w:pStyle w:val="citation"/>
      </w:pPr>
      <w:r w:rsidRPr="00EC50AF">
        <w:t>Lorsque Dieu tend la main du pardon à sa créature révoltée, Il lui o</w:t>
      </w:r>
      <w:r w:rsidRPr="00EC50AF">
        <w:t>u</w:t>
      </w:r>
      <w:r w:rsidRPr="00EC50AF">
        <w:t>vre le Ciel et donc lui révèle le dédoublement de la réalité. Ce du</w:t>
      </w:r>
      <w:r w:rsidRPr="00EC50AF">
        <w:t>a</w:t>
      </w:r>
      <w:r w:rsidRPr="00EC50AF">
        <w:t>lisme ne quittera pas les mentalités et provoquera ce sentiment d’attente d’un mo</w:t>
      </w:r>
      <w:r w:rsidRPr="00EC50AF">
        <w:t>n</w:t>
      </w:r>
      <w:r w:rsidRPr="00EC50AF">
        <w:t>de meilleur. C’est-à-dire que l’utopie, en tant que représentation du règne du Bien, flotte comme un nuage aimable, mais il e</w:t>
      </w:r>
      <w:r w:rsidRPr="00EC50AF">
        <w:t>n</w:t>
      </w:r>
      <w:r w:rsidRPr="00EC50AF">
        <w:t>ferme dans ses flancs un inévitable orage […]. Elle tire sa force d’une perfection esp</w:t>
      </w:r>
      <w:r w:rsidRPr="00EC50AF">
        <w:t>é</w:t>
      </w:r>
      <w:r w:rsidRPr="00EC50AF">
        <w:t>rée comme possible qui, de ce fait, dévalue l’état présent. Le Bien idéal engendre to</w:t>
      </w:r>
      <w:r w:rsidRPr="00EC50AF">
        <w:t>u</w:t>
      </w:r>
      <w:r w:rsidRPr="00EC50AF">
        <w:t>jours le Mal, il le crée même. [Ce nu</w:t>
      </w:r>
      <w:r w:rsidRPr="00EC50AF">
        <w:t>a</w:t>
      </w:r>
      <w:r w:rsidRPr="00EC50AF">
        <w:t>ge] source de vie et mort […] tient sa puissance de son « imaginaire extériorité » à l’homme, en même temps qu’il incite à l’atteindre et à le posséder. Il suscite la concurrence, prov</w:t>
      </w:r>
      <w:r w:rsidRPr="00EC50AF">
        <w:t>o</w:t>
      </w:r>
      <w:r w:rsidRPr="00EC50AF">
        <w:t>que le combat, encourage les dissidences [et] force les hommes à courir à sa poursuite […]. Miroir du monde, l’utopie seule est capable de répo</w:t>
      </w:r>
      <w:r w:rsidRPr="00EC50AF">
        <w:t>n</w:t>
      </w:r>
      <w:r w:rsidRPr="00EC50AF">
        <w:t>dre à la question de savoir si la société est aussi belle qu’elle le pr</w:t>
      </w:r>
      <w:r w:rsidRPr="00EC50AF">
        <w:t>é</w:t>
      </w:r>
      <w:r w:rsidRPr="00EC50AF">
        <w:t>tend, si elle est conforme à son discours. Elle est toujours embusquée dans un recoin de la conscience occidentale, d’où elle nourrit le po</w:t>
      </w:r>
      <w:r w:rsidRPr="00EC50AF">
        <w:t>u</w:t>
      </w:r>
      <w:r w:rsidRPr="00EC50AF">
        <w:t>voir critique. L’utopie légitime le nouveau pouvoir, mais en même temps perd le prince qui pr</w:t>
      </w:r>
      <w:r w:rsidRPr="00EC50AF">
        <w:t>é</w:t>
      </w:r>
      <w:r w:rsidRPr="00EC50AF">
        <w:t>tend l’incarner. Même si celui-ci comprend le sens et la force de cette a</w:t>
      </w:r>
      <w:r w:rsidRPr="00EC50AF">
        <w:t>r</w:t>
      </w:r>
      <w:r w:rsidRPr="00EC50AF">
        <w:t>me idéologique qui lui a donné la poss</w:t>
      </w:r>
      <w:r w:rsidRPr="00EC50AF">
        <w:t>i</w:t>
      </w:r>
      <w:r w:rsidRPr="00EC50AF">
        <w:t>bilité de régner […] il va vivre constamment sous la pression du jugement dont le pe</w:t>
      </w:r>
      <w:r w:rsidRPr="00EC50AF">
        <w:t>u</w:t>
      </w:r>
      <w:r w:rsidRPr="00EC50AF">
        <w:t>ple prononcera à un moment donné la sentence. Plus l’écart se creuse avec le Bien idéal, plus il doit recourir à la force […] pour se maintenir. En quelque sorte elle est à l’origine de la pe</w:t>
      </w:r>
      <w:r w:rsidRPr="00EC50AF">
        <w:t>n</w:t>
      </w:r>
      <w:r w:rsidRPr="00EC50AF">
        <w:t>sée de Machiavel qui, pour briser le piège, recommande une ruse i</w:t>
      </w:r>
      <w:r w:rsidRPr="00EC50AF">
        <w:t>n</w:t>
      </w:r>
      <w:r w:rsidRPr="00EC50AF">
        <w:t>cessante, moyen subtile pour réparer l’irréparable cassure de la légit</w:t>
      </w:r>
      <w:r w:rsidRPr="00EC50AF">
        <w:t>i</w:t>
      </w:r>
      <w:r w:rsidRPr="00EC50AF">
        <w:t>mité ; elle pose un masque tragique sur le prince, car seul il sait le progrès impossible, il doit en conjurer l’appel venu du peuple, en lui pr</w:t>
      </w:r>
      <w:r w:rsidRPr="00EC50AF">
        <w:t>o</w:t>
      </w:r>
      <w:r w:rsidRPr="00EC50AF">
        <w:t>mettant une amélioration qu’il ne pourra lui donner </w:t>
      </w:r>
      <w:r>
        <w:rPr>
          <w:rStyle w:val="Appelnotedebasdep"/>
        </w:rPr>
        <w:footnoteReference w:id="202"/>
      </w:r>
      <w:r w:rsidRPr="00EC50AF">
        <w:t>.</w:t>
      </w:r>
    </w:p>
    <w:p w14:paraId="4E24DEA9" w14:textId="77777777" w:rsidR="00B01930" w:rsidRPr="00EC50AF" w:rsidRDefault="00B01930" w:rsidP="00B01930">
      <w:pPr>
        <w:pStyle w:val="citation"/>
      </w:pPr>
    </w:p>
    <w:p w14:paraId="777ED8C6" w14:textId="77777777" w:rsidR="00B01930" w:rsidRPr="00EC50AF" w:rsidRDefault="00B01930" w:rsidP="00B01930">
      <w:pPr>
        <w:spacing w:before="120" w:after="120"/>
        <w:jc w:val="both"/>
      </w:pPr>
      <w:r w:rsidRPr="00EC50AF">
        <w:t>L’utopie se concrétise dans les périodes où la légitimité du pouvoir en place est suffisamment forte pour ne pas être contestée efficac</w:t>
      </w:r>
      <w:r w:rsidRPr="00EC50AF">
        <w:t>e</w:t>
      </w:r>
      <w:r w:rsidRPr="00EC50AF">
        <w:t>ment. Elle n’apparaît pas en tant que discours irré</w:t>
      </w:r>
      <w:r w:rsidRPr="00EC50AF">
        <w:t>a</w:t>
      </w:r>
      <w:r w:rsidRPr="00EC50AF">
        <w:t>lisable, mais en tant qu’épure rationnelle de l’idée de Bien. C’est le projet d’une société dans laquelle le Bien serait réalisé par un détenteur du pouvoir diff</w:t>
      </w:r>
      <w:r w:rsidRPr="00EC50AF">
        <w:t>é</w:t>
      </w:r>
      <w:r w:rsidRPr="00EC50AF">
        <w:t>rent de celui en place. En inventant la Cité idéale, on souscrit au Pr</w:t>
      </w:r>
      <w:r w:rsidRPr="00EC50AF">
        <w:t>o</w:t>
      </w:r>
      <w:r w:rsidRPr="00EC50AF">
        <w:t>grès toujours réalisable.</w:t>
      </w:r>
    </w:p>
    <w:p w14:paraId="584F2CE6" w14:textId="77777777" w:rsidR="00B01930" w:rsidRDefault="00B01930" w:rsidP="00B01930">
      <w:pPr>
        <w:spacing w:before="120" w:after="120"/>
        <w:jc w:val="both"/>
      </w:pPr>
      <w:bookmarkStart w:id="36" w:name="_Toc494111630"/>
      <w:bookmarkStart w:id="37" w:name="_Toc494277625"/>
      <w:bookmarkStart w:id="38" w:name="_Toc499541004"/>
      <w:bookmarkStart w:id="39" w:name="_Toc504399642"/>
      <w:bookmarkStart w:id="40" w:name="_Toc504406277"/>
      <w:bookmarkStart w:id="41" w:name="_Toc524329866"/>
      <w:r>
        <w:br w:type="page"/>
      </w:r>
    </w:p>
    <w:p w14:paraId="707A4EE4" w14:textId="77777777" w:rsidR="00B01930" w:rsidRPr="00EC50AF" w:rsidRDefault="00B01930" w:rsidP="00B01930">
      <w:pPr>
        <w:pStyle w:val="b"/>
      </w:pPr>
      <w:r w:rsidRPr="00EC50AF">
        <w:t>L’hérésie</w:t>
      </w:r>
      <w:bookmarkEnd w:id="36"/>
      <w:bookmarkEnd w:id="37"/>
      <w:bookmarkEnd w:id="38"/>
      <w:bookmarkEnd w:id="39"/>
      <w:bookmarkEnd w:id="40"/>
      <w:bookmarkEnd w:id="41"/>
    </w:p>
    <w:p w14:paraId="1F316AC7" w14:textId="77777777" w:rsidR="00B01930" w:rsidRDefault="00B01930" w:rsidP="00B01930">
      <w:pPr>
        <w:spacing w:before="120" w:after="120"/>
        <w:jc w:val="both"/>
      </w:pPr>
    </w:p>
    <w:p w14:paraId="45DA2823" w14:textId="77777777" w:rsidR="00B01930" w:rsidRPr="00EC50AF" w:rsidRDefault="00B01930" w:rsidP="00B01930">
      <w:pPr>
        <w:spacing w:before="120" w:after="120"/>
        <w:jc w:val="both"/>
      </w:pPr>
      <w:r w:rsidRPr="00EC50AF">
        <w:t>Au sens étymologique hérésie veut dire choix ou option particuli</w:t>
      </w:r>
      <w:r w:rsidRPr="00EC50AF">
        <w:t>è</w:t>
      </w:r>
      <w:r w:rsidRPr="00EC50AF">
        <w:t>re. Si elle est assimilée au religieux depuis l’avènement du christi</w:t>
      </w:r>
      <w:r w:rsidRPr="00EC50AF">
        <w:t>a</w:t>
      </w:r>
      <w:r w:rsidRPr="00EC50AF">
        <w:t>nisme, c’est parce que celui-ci – manifestation la plus éclatante du code n° 1, telle qu’il y a un avant et un après chri</w:t>
      </w:r>
      <w:r w:rsidRPr="00EC50AF">
        <w:t>s</w:t>
      </w:r>
      <w:r w:rsidRPr="00EC50AF">
        <w:t>tianisme – a façonné la pensée occidentale depuis plus de 2 000 ans, mais dans la pensée martrienne l’hérésie est la conséquence inhérente de la structure « manichéenne inégalitaire », du con</w:t>
      </w:r>
      <w:r w:rsidRPr="00EC50AF">
        <w:t>s</w:t>
      </w:r>
      <w:r w:rsidRPr="00EC50AF">
        <w:t>tant va-et-vient entre l’image du Bien, tel que véhiculé par les « clercs » qui le desservent et le déte</w:t>
      </w:r>
      <w:r w:rsidRPr="00EC50AF">
        <w:t>n</w:t>
      </w:r>
      <w:r w:rsidRPr="00EC50AF">
        <w:t>teur du pouvoir que pr</w:t>
      </w:r>
      <w:r w:rsidRPr="00EC50AF">
        <w:t>é</w:t>
      </w:r>
      <w:r w:rsidRPr="00EC50AF">
        <w:t>tend le réaliser, et ce qui est la réalité. C’est le deuxième moment du mouvement diachron</w:t>
      </w:r>
      <w:r w:rsidRPr="00EC50AF">
        <w:t>i</w:t>
      </w:r>
      <w:r w:rsidRPr="00EC50AF">
        <w:t>que. Il correspond à la prise de conscience, soit que le détenteur officiel du pouvoir ne se conforme pas au Bien et ne réalise pas la Cité idéale promise et qu’il faut le remplacer pour arriver « à bon port », soit que les textes sacrés définissant le Bien et le Mal sont suffisamment imparfaits pour just</w:t>
      </w:r>
      <w:r w:rsidRPr="00EC50AF">
        <w:t>i</w:t>
      </w:r>
      <w:r w:rsidRPr="00EC50AF">
        <w:t>fier une pluralité d’interprétation, les deux phénomènes étant, au d</w:t>
      </w:r>
      <w:r w:rsidRPr="00EC50AF">
        <w:t>e</w:t>
      </w:r>
      <w:r w:rsidRPr="00EC50AF">
        <w:t xml:space="preserve">meurant, souvent liés. C’est donc un mouvement </w:t>
      </w:r>
      <w:r w:rsidRPr="00EC50AF">
        <w:rPr>
          <w:i/>
        </w:rPr>
        <w:t>log</w:t>
      </w:r>
      <w:r w:rsidRPr="00EC50AF">
        <w:rPr>
          <w:i/>
        </w:rPr>
        <w:t>i</w:t>
      </w:r>
      <w:r w:rsidRPr="00EC50AF">
        <w:rPr>
          <w:i/>
        </w:rPr>
        <w:t>que</w:t>
      </w:r>
      <w:r w:rsidRPr="00EC50AF">
        <w:t xml:space="preserve"> qui affecte toute pensée relevant du code n° 1. Mais l’une des conséquences, qui s’avère paradoxale, est que l’hérésie postule les idées de liberté et d’égalité. Il est en effet nécessaire de revendiquer le libre arbitre et la liberté de parole pour lutter contre l’Autorité. Mais il est tout aussi nécessaire de se considérer comme l’égal du déte</w:t>
      </w:r>
      <w:r w:rsidRPr="00EC50AF">
        <w:t>n</w:t>
      </w:r>
      <w:r w:rsidRPr="00EC50AF">
        <w:t>teur officiel de la vérité qui la trahit.</w:t>
      </w:r>
    </w:p>
    <w:p w14:paraId="5D42AA5E" w14:textId="77777777" w:rsidR="00B01930" w:rsidRPr="00EC50AF" w:rsidRDefault="00B01930" w:rsidP="00B01930">
      <w:pPr>
        <w:spacing w:before="120" w:after="120"/>
        <w:jc w:val="both"/>
      </w:pPr>
      <w:r w:rsidRPr="00EC50AF">
        <w:t>Le protestantisme est évidemment l’archétype de ce mo</w:t>
      </w:r>
      <w:r w:rsidRPr="00EC50AF">
        <w:t>u</w:t>
      </w:r>
      <w:r w:rsidRPr="00EC50AF">
        <w:t xml:space="preserve">vement. Pourtant, en soi, Luther n’était pas une nouveauté. Déjà, au </w:t>
      </w:r>
      <w:r w:rsidRPr="00EC50AF">
        <w:rPr>
          <w:smallCaps/>
        </w:rPr>
        <w:t>xiii</w:t>
      </w:r>
      <w:r w:rsidRPr="00EC50AF">
        <w:rPr>
          <w:vertAlign w:val="superscript"/>
        </w:rPr>
        <w:t>e</w:t>
      </w:r>
      <w:r w:rsidRPr="00EC50AF">
        <w:t xml:space="preserve"> si</w:t>
      </w:r>
      <w:r w:rsidRPr="00EC50AF">
        <w:t>è</w:t>
      </w:r>
      <w:r w:rsidRPr="00EC50AF">
        <w:t>cle, on trouvait des thèmes qui, par une appr</w:t>
      </w:r>
      <w:r w:rsidRPr="00EC50AF">
        <w:t>o</w:t>
      </w:r>
      <w:r w:rsidRPr="00EC50AF">
        <w:t xml:space="preserve">che littérale du code chrétien, seront, au </w:t>
      </w:r>
      <w:r w:rsidRPr="00EC50AF">
        <w:rPr>
          <w:smallCaps/>
        </w:rPr>
        <w:t>xvi</w:t>
      </w:r>
      <w:r w:rsidRPr="00EC50AF">
        <w:rPr>
          <w:vertAlign w:val="superscript"/>
        </w:rPr>
        <w:t>e</w:t>
      </w:r>
      <w:r w:rsidRPr="00EC50AF">
        <w:t xml:space="preserve"> siècle, largement débattus par les doctrinaires et dont les effets seront dévastateurs pour l’unité du monde occide</w:t>
      </w:r>
      <w:r w:rsidRPr="00EC50AF">
        <w:t>n</w:t>
      </w:r>
      <w:r w:rsidRPr="00EC50AF">
        <w:t xml:space="preserve">tal. Car, au </w:t>
      </w:r>
      <w:r w:rsidRPr="00EC50AF">
        <w:rPr>
          <w:smallCaps/>
        </w:rPr>
        <w:t>xvi</w:t>
      </w:r>
      <w:r w:rsidRPr="00EC50AF">
        <w:rPr>
          <w:vertAlign w:val="superscript"/>
        </w:rPr>
        <w:t>e</w:t>
      </w:r>
      <w:r w:rsidRPr="00EC50AF">
        <w:t xml:space="preserve"> siècle, il y a une autorité qui jouit d’une légitimité : le monarque, qui va co</w:t>
      </w:r>
      <w:r w:rsidRPr="00EC50AF">
        <w:t>m</w:t>
      </w:r>
      <w:r w:rsidRPr="00EC50AF">
        <w:t>prendre que la cassure idéologique initiée par Luther est un atout politique dans les nouveaux rapports qui opposent l’autonomie de l’État monarchique à l’Empire universel du Pontife. Cette confrontation va assurer le triomphe de la Réforme. Quant à L</w:t>
      </w:r>
      <w:r w:rsidRPr="00EC50AF">
        <w:t>u</w:t>
      </w:r>
      <w:r w:rsidRPr="00EC50AF">
        <w:t>ther, sans le soutien des Princes qui voulaient s’émanciper de la tutelle vaticane, il ne pouvait résister à la toute-puissance du Pape (seul d</w:t>
      </w:r>
      <w:r w:rsidRPr="00EC50AF">
        <w:t>é</w:t>
      </w:r>
      <w:r w:rsidRPr="00EC50AF">
        <w:t>tenteur jusque-là de la Vérité). Dès lors, par nécessité logique, Luther postule la capacité de l’individu à remettre en question le pouvoir, mais il est en m</w:t>
      </w:r>
      <w:r w:rsidRPr="00EC50AF">
        <w:t>ê</w:t>
      </w:r>
      <w:r w:rsidRPr="00EC50AF">
        <w:t>me temps conduit à être conservateur et à soutenir l’ordre et le prince, car il a besoin de se pouvoir monarch</w:t>
      </w:r>
      <w:r w:rsidRPr="00EC50AF">
        <w:t>i</w:t>
      </w:r>
      <w:r w:rsidRPr="00EC50AF">
        <w:t>que pour faire triompher son combat contre la Papauté. Contestataire à l’endroit de celle-ci, il affirme avec force l’autorité temporelle du monarque qui doit être acce</w:t>
      </w:r>
      <w:r w:rsidRPr="00EC50AF">
        <w:t>p</w:t>
      </w:r>
      <w:r w:rsidRPr="00EC50AF">
        <w:t>tée, car voulue par Dieu. Obéir est un devoir, la révolte n’est jamais juste, quiconque prend l’épée périra par l’épée.</w:t>
      </w:r>
    </w:p>
    <w:p w14:paraId="618EC850" w14:textId="77777777" w:rsidR="00B01930" w:rsidRPr="00EC50AF" w:rsidRDefault="00B01930" w:rsidP="00B01930">
      <w:pPr>
        <w:spacing w:before="120" w:after="120"/>
        <w:jc w:val="both"/>
      </w:pPr>
      <w:r w:rsidRPr="00EC50AF">
        <w:t>Mais Luther, du seul fait des postulats de l’hérésie et de leurs conséquences logiques, va enclencher le processus hérét</w:t>
      </w:r>
      <w:r w:rsidRPr="00EC50AF">
        <w:t>i</w:t>
      </w:r>
      <w:r w:rsidRPr="00EC50AF">
        <w:t>que à l’intérieur du protestantisme pour les mêmes raisons d’écart, inéluct</w:t>
      </w:r>
      <w:r w:rsidRPr="00EC50AF">
        <w:t>a</w:t>
      </w:r>
      <w:r w:rsidRPr="00EC50AF">
        <w:t>ble au sein du code n° 1, entre le Bien imaginé et la réalité, et par le fait que, maintenant, il est explicitement affirmé qu’un individu peut détenir le Bien authentique et ainsi restaurer la Cité idéale qui a dég</w:t>
      </w:r>
      <w:r w:rsidRPr="00EC50AF">
        <w:t>é</w:t>
      </w:r>
      <w:r w:rsidRPr="00EC50AF">
        <w:t>néré. Les dirigeants protestants vont demander l’aide du pouvoir te</w:t>
      </w:r>
      <w:r w:rsidRPr="00EC50AF">
        <w:t>m</w:t>
      </w:r>
      <w:r w:rsidRPr="00EC50AF">
        <w:t>porel des princes pour écraser les sectes qui se multiplient et entravent l’expansion luthérienne (comme l’Église l’avait fait également). S</w:t>
      </w:r>
      <w:r w:rsidRPr="00EC50AF">
        <w:t>u</w:t>
      </w:r>
      <w:r w:rsidRPr="00EC50AF">
        <w:t>prême illustration du code, Calvin, à Genève, rétablit le mécanisme théocratique qu’il combattait. Préconisant la collégial</w:t>
      </w:r>
      <w:r w:rsidRPr="00EC50AF">
        <w:t>i</w:t>
      </w:r>
      <w:r w:rsidRPr="00EC50AF">
        <w:t>té comme mode d’exercice du pouvoir, il va concentrer entre ses mains toute la réalité du pouvoir. En effet, comment emp</w:t>
      </w:r>
      <w:r w:rsidRPr="00EC50AF">
        <w:t>ê</w:t>
      </w:r>
      <w:r w:rsidRPr="00EC50AF">
        <w:t>cher l’Initié </w:t>
      </w:r>
      <w:r>
        <w:rPr>
          <w:rStyle w:val="Appelnotedebasdep"/>
        </w:rPr>
        <w:footnoteReference w:id="203"/>
      </w:r>
      <w:r w:rsidRPr="00EC50AF">
        <w:t xml:space="preserve"> de gouverner ? Qui mieux que le plus vertueux des citoyens peut forger la Cité du Bien ?</w:t>
      </w:r>
    </w:p>
    <w:p w14:paraId="3DA7A20B" w14:textId="77777777" w:rsidR="00B01930" w:rsidRPr="00EC50AF" w:rsidRDefault="00B01930" w:rsidP="00B01930">
      <w:pPr>
        <w:spacing w:before="120" w:after="120"/>
        <w:jc w:val="both"/>
      </w:pPr>
      <w:r w:rsidRPr="00EC50AF">
        <w:t>En définitive l’hérésie conduit à reconstruire le symétrique de l’ordre qu’on vient de dénoncer et mettre à bas. Le protesta</w:t>
      </w:r>
      <w:r w:rsidRPr="00EC50AF">
        <w:t>n</w:t>
      </w:r>
      <w:r w:rsidRPr="00EC50AF">
        <w:t>tisme a eu pour résultat de transférer au Prince une autorité d’origine divine et de légitimer la monarchie absolue de droit divin </w:t>
      </w:r>
      <w:r>
        <w:rPr>
          <w:rStyle w:val="Appelnotedebasdep"/>
        </w:rPr>
        <w:footnoteReference w:id="204"/>
      </w:r>
      <w:r w:rsidRPr="00EC50AF">
        <w:t>.</w:t>
      </w:r>
    </w:p>
    <w:p w14:paraId="630058EF" w14:textId="77777777" w:rsidR="00B01930" w:rsidRPr="00EC50AF" w:rsidRDefault="00B01930" w:rsidP="00B01930">
      <w:pPr>
        <w:spacing w:before="120" w:after="120"/>
        <w:jc w:val="both"/>
      </w:pPr>
      <w:r w:rsidRPr="00EC50AF">
        <w:t>Mais comment concilier l’absolutisme, nécessaire à la lutte contre le Pape, avec la liberté d’une minorité sachant que la solution ne peut être que la mort du Prince ? La conclusion étant acquise d’avance il s’agit de la justifier de façon « logique » (ce qui revient à dire que l’ordre du discours est l’inverse de l’ordre de la pensée, la concl</w:t>
      </w:r>
      <w:r w:rsidRPr="00EC50AF">
        <w:t>u</w:t>
      </w:r>
      <w:r w:rsidRPr="00EC50AF">
        <w:t>sion étant, en réalité, le point de départ). On ne peut invoquer le fondement divin du pouvoir, car ce serait remettre celui-ci aux mains de l’Église. Dès lors l’argumentation va se construire de la manière suiva</w:t>
      </w:r>
      <w:r w:rsidRPr="00EC50AF">
        <w:t>n</w:t>
      </w:r>
      <w:r w:rsidRPr="00EC50AF">
        <w:t>te. Le pouvoir vient du peuple et repose sur deux contrats : l’un entre Dieu, le Roi et le peuple qui concerne le respect des lois divines ; l’autre entre le souverain temporel royal et le peuple a pour objet l’exercice du pouvoir temporel. Si le Prince veut s’opposer aux lois divines (sous-entendu, le protestantisme, mais les traités ligueurs reprirent à leur compte, à la fin des années 1580, certaines des idées de leurs a</w:t>
      </w:r>
      <w:r w:rsidRPr="00EC50AF">
        <w:t>d</w:t>
      </w:r>
      <w:r w:rsidRPr="00EC50AF">
        <w:t>versaires) il rompt le contrat et le peuple se trouve délié et doit rési</w:t>
      </w:r>
      <w:r w:rsidRPr="00EC50AF">
        <w:t>s</w:t>
      </w:r>
      <w:r w:rsidRPr="00EC50AF">
        <w:t>ter. Si le Roi transgresse le contrat social, le peuple peut provoquer la sédition. Mais il faut noter que le tyrannicide ne peut s’exercer dire</w:t>
      </w:r>
      <w:r w:rsidRPr="00EC50AF">
        <w:t>c</w:t>
      </w:r>
      <w:r w:rsidRPr="00EC50AF">
        <w:t>tement par le peuple ; ce sont les corps intermédiaires qui doivent prendre l’initiative d’engager la responsabilité du monarque, confi</w:t>
      </w:r>
      <w:r w:rsidRPr="00EC50AF">
        <w:t>s</w:t>
      </w:r>
      <w:r w:rsidRPr="00EC50AF">
        <w:t>quant ainsi la faculté de révolte…</w:t>
      </w:r>
    </w:p>
    <w:p w14:paraId="1F60B9F8" w14:textId="77777777" w:rsidR="00B01930" w:rsidRPr="00EC50AF" w:rsidRDefault="00B01930" w:rsidP="00B01930">
      <w:pPr>
        <w:spacing w:before="120" w:after="120"/>
        <w:jc w:val="both"/>
      </w:pPr>
      <w:r w:rsidRPr="00EC50AF">
        <w:t>Il faut retenir « le caractère subversif de toute “hérésie” […]. Ch</w:t>
      </w:r>
      <w:r w:rsidRPr="00EC50AF">
        <w:t>a</w:t>
      </w:r>
      <w:r w:rsidRPr="00EC50AF">
        <w:t>que fois que sa dangereuse apparition se produit, la répre</w:t>
      </w:r>
      <w:r w:rsidRPr="00EC50AF">
        <w:t>s</w:t>
      </w:r>
      <w:r w:rsidRPr="00EC50AF">
        <w:t>sion et les sanctions sont plus lourdes qu’à l’égard d’un ennemi extérieur </w:t>
      </w:r>
      <w:r>
        <w:rPr>
          <w:rStyle w:val="Appelnotedebasdep"/>
        </w:rPr>
        <w:footnoteReference w:id="205"/>
      </w:r>
      <w:r w:rsidRPr="00EC50AF">
        <w:t> ».</w:t>
      </w:r>
    </w:p>
    <w:p w14:paraId="5CCB1D35" w14:textId="77777777" w:rsidR="00B01930" w:rsidRDefault="00B01930" w:rsidP="00B01930">
      <w:pPr>
        <w:spacing w:before="120" w:after="120"/>
        <w:jc w:val="both"/>
      </w:pPr>
      <w:bookmarkStart w:id="42" w:name="_Toc494111631"/>
      <w:bookmarkStart w:id="43" w:name="_Toc494277626"/>
      <w:bookmarkStart w:id="44" w:name="_Toc499541005"/>
      <w:bookmarkStart w:id="45" w:name="_Toc504399643"/>
      <w:bookmarkStart w:id="46" w:name="_Toc504406278"/>
      <w:bookmarkStart w:id="47" w:name="_Toc524329867"/>
    </w:p>
    <w:p w14:paraId="772C6A58" w14:textId="77777777" w:rsidR="00B01930" w:rsidRPr="00EC50AF" w:rsidRDefault="00B01930" w:rsidP="00B01930">
      <w:pPr>
        <w:pStyle w:val="b"/>
      </w:pPr>
      <w:r w:rsidRPr="00EC50AF">
        <w:t>La révolution</w:t>
      </w:r>
      <w:bookmarkEnd w:id="42"/>
      <w:bookmarkEnd w:id="43"/>
      <w:bookmarkEnd w:id="44"/>
      <w:bookmarkEnd w:id="45"/>
      <w:bookmarkEnd w:id="46"/>
      <w:bookmarkEnd w:id="47"/>
    </w:p>
    <w:p w14:paraId="7DF8A7FA" w14:textId="77777777" w:rsidR="00B01930" w:rsidRDefault="00B01930" w:rsidP="00B01930">
      <w:pPr>
        <w:spacing w:before="120" w:after="120"/>
        <w:jc w:val="both"/>
      </w:pPr>
    </w:p>
    <w:p w14:paraId="47512552" w14:textId="77777777" w:rsidR="00B01930" w:rsidRDefault="00B01930" w:rsidP="00B01930">
      <w:pPr>
        <w:pStyle w:val="citation"/>
      </w:pPr>
      <w:r w:rsidRPr="00EC50AF">
        <w:t>[…] Rien n’empêche la répression d’échouer et la subversion de réu</w:t>
      </w:r>
      <w:r w:rsidRPr="00EC50AF">
        <w:t>s</w:t>
      </w:r>
      <w:r w:rsidRPr="00EC50AF">
        <w:t>sir. Se produisent alors le Changement et la Révolution [mais] il n’est pas évident que les changements, du moins les plus fondamentaux, soient i</w:t>
      </w:r>
      <w:r w:rsidRPr="00EC50AF">
        <w:t>m</w:t>
      </w:r>
      <w:r w:rsidRPr="00EC50AF">
        <w:t>médiatement identifiables </w:t>
      </w:r>
      <w:r>
        <w:rPr>
          <w:rStyle w:val="Appelnotedebasdep"/>
        </w:rPr>
        <w:footnoteReference w:id="206"/>
      </w:r>
      <w:r w:rsidRPr="00EC50AF">
        <w:t>.</w:t>
      </w:r>
    </w:p>
    <w:p w14:paraId="0F118C3D" w14:textId="77777777" w:rsidR="00B01930" w:rsidRPr="00EC50AF" w:rsidRDefault="00B01930" w:rsidP="00B01930">
      <w:pPr>
        <w:pStyle w:val="citation"/>
      </w:pPr>
    </w:p>
    <w:p w14:paraId="2F3DC4A5" w14:textId="77777777" w:rsidR="00B01930" w:rsidRPr="00EC50AF" w:rsidRDefault="00B01930" w:rsidP="00B01930">
      <w:pPr>
        <w:spacing w:before="120" w:after="120"/>
        <w:jc w:val="both"/>
      </w:pPr>
      <w:r w:rsidRPr="00EC50AF">
        <w:t>L’hérésie, si les circonstances s’y prêtent, ouvre la possibil</w:t>
      </w:r>
      <w:r w:rsidRPr="00EC50AF">
        <w:t>i</w:t>
      </w:r>
      <w:r w:rsidRPr="00EC50AF">
        <w:t>té, au nom du Progrès, de réaliser le Bien en repartant à zéro : la Révolution. Comme l’a écrit Jacques E</w:t>
      </w:r>
      <w:r w:rsidRPr="00EC50AF">
        <w:t>l</w:t>
      </w:r>
      <w:r w:rsidRPr="00EC50AF">
        <w:t>lul </w:t>
      </w:r>
      <w:r>
        <w:rPr>
          <w:rStyle w:val="Appelnotedebasdep"/>
        </w:rPr>
        <w:footnoteReference w:id="207"/>
      </w:r>
      <w:r w:rsidRPr="00EC50AF">
        <w:t>, « personne au monde, ni en Afrique, ni en Asie, ni en Amérique, n’a inventé la Révolution ».</w:t>
      </w:r>
    </w:p>
    <w:p w14:paraId="6FADC887" w14:textId="77777777" w:rsidR="00B01930" w:rsidRPr="00EC50AF" w:rsidRDefault="00B01930" w:rsidP="00B01930">
      <w:pPr>
        <w:spacing w:before="120" w:after="120"/>
        <w:jc w:val="both"/>
      </w:pPr>
      <w:r w:rsidRPr="00EC50AF">
        <w:t>Dans la logique du mode de pensée du code n° 1, la révolution n’est pas une tec</w:t>
      </w:r>
      <w:r w:rsidRPr="00EC50AF">
        <w:t>h</w:t>
      </w:r>
      <w:r w:rsidRPr="00EC50AF">
        <w:t>nique illégale de prise du pouvoir. Elle occupe dans l’imaginaire une place importa</w:t>
      </w:r>
      <w:r w:rsidRPr="00EC50AF">
        <w:t>n</w:t>
      </w:r>
      <w:r w:rsidRPr="00EC50AF">
        <w:t>te en tant qu’instrument salvateur et rédempteur de la société. D’ailleurs cette valor</w:t>
      </w:r>
      <w:r w:rsidRPr="00EC50AF">
        <w:t>i</w:t>
      </w:r>
      <w:r w:rsidRPr="00EC50AF">
        <w:t>sation s’exprime dans le discours par une référence constante à l’attente de la Vraie Révol</w:t>
      </w:r>
      <w:r w:rsidRPr="00EC50AF">
        <w:t>u</w:t>
      </w:r>
      <w:r w:rsidRPr="00EC50AF">
        <w:t>tion, la seule qui peut bouleverser la cité corrompue. Trois possibilités s’offrent à ceux qui entendent rénover la cité. Soit la construction d’une contre-société en marge qui, par mimétisme, va – du seul fait de sa présence –, convaincre la société de se réformer. Soit la prise du pouvoir par contrôles successifs des réseaux de décision jusqu’à un point de non-retour dont la solution est le bascul</w:t>
      </w:r>
      <w:r w:rsidRPr="00EC50AF">
        <w:t>e</w:t>
      </w:r>
      <w:r w:rsidRPr="00EC50AF">
        <w:t>ment de la société vers le Bien. Soit la prise du pouvoir par la violence. À noter que les deux derniers moyens peuvent se conjuguer : une approche « rampante », et le recours à la force sous différentes formes. Tout sera fonction des contraintes sociohistoriques et de la conjoncture p</w:t>
      </w:r>
      <w:r w:rsidRPr="00EC50AF">
        <w:t>o</w:t>
      </w:r>
      <w:r w:rsidRPr="00EC50AF">
        <w:t>litique, et donc des capac</w:t>
      </w:r>
      <w:r w:rsidRPr="00EC50AF">
        <w:t>i</w:t>
      </w:r>
      <w:r w:rsidRPr="00EC50AF">
        <w:t>tés stratégiques des acteurs.</w:t>
      </w:r>
    </w:p>
    <w:p w14:paraId="78F2D408" w14:textId="77777777" w:rsidR="00B01930" w:rsidRPr="00EC50AF" w:rsidRDefault="00B01930" w:rsidP="00B01930">
      <w:pPr>
        <w:spacing w:before="120" w:after="120"/>
        <w:jc w:val="both"/>
      </w:pPr>
      <w:r w:rsidRPr="00EC50AF">
        <w:t>On est donc en présence d’une logique structurale qui puise dans la réalité l’actualisation des contenus possibles inscrits dans le code, ceux-ci autorisant la liberté des acteurs quant à leurs choix stratég</w:t>
      </w:r>
      <w:r w:rsidRPr="00EC50AF">
        <w:t>i</w:t>
      </w:r>
      <w:r w:rsidRPr="00EC50AF">
        <w:t>ques. L’indéterminisme stratégique se nourrit de l’incertitude qui e</w:t>
      </w:r>
      <w:r w:rsidRPr="00EC50AF">
        <w:t>n</w:t>
      </w:r>
      <w:r w:rsidRPr="00EC50AF">
        <w:t>toure le moment où se situent les seuils de rupture. Ainsi le marxisme a-t-il évolué, depuis Marx, entre une conception dans laquelle, du fait du sens de l’Histoire – dévoilé par le matérialisme dialectique – le prolétariat ne cesse de croître jusqu’au moment où il y a rupture de l’équilibre g</w:t>
      </w:r>
      <w:r w:rsidRPr="00EC50AF">
        <w:t>é</w:t>
      </w:r>
      <w:r w:rsidRPr="00EC50AF">
        <w:t>néral du capitalisme, la dictature du prolétariat advenue fera disparaître définitivement, par le socialisme, les séquelles de l’ancienne société ce qui engendre le communisme, et la conception léniniste d’un parti discipliné entraîné en vue de la prise du pouvoir, si besoin par la violence, afin de réaliser dès que possible la dictature et accoucher de la société communiste.</w:t>
      </w:r>
    </w:p>
    <w:p w14:paraId="16BD33D1" w14:textId="77777777" w:rsidR="00B01930" w:rsidRPr="00EC50AF" w:rsidRDefault="00B01930" w:rsidP="00B01930">
      <w:pPr>
        <w:spacing w:before="120" w:after="120"/>
        <w:jc w:val="both"/>
      </w:pPr>
      <w:r w:rsidRPr="00EC50AF">
        <w:t xml:space="preserve">Il faudrait y ajouter l’adaptation constante de la doctrine par les prétendants au pouvoir, sous le couvert de la notion clef de </w:t>
      </w:r>
      <w:r w:rsidRPr="00EC50AF">
        <w:rPr>
          <w:i/>
        </w:rPr>
        <w:t>praxis</w:t>
      </w:r>
      <w:r w:rsidRPr="00EC50AF">
        <w:t xml:space="preserve"> – qui n’est ni plus ni moins que la capacité stratégique. Ainsi Mao Tse Toung qui « théorise » la guerre de guérilla s’appuyant sur les masses paysannes, ou la « théorie » du « foco » prônée par Ernesto « Che » Guevara, pour qui il s’agit de provoquer le processus révolutionnaire en créant un foyer insurrectionnel au sein d’une masse dont il postule qu’elle est virtue</w:t>
      </w:r>
      <w:r w:rsidRPr="00EC50AF">
        <w:t>l</w:t>
      </w:r>
      <w:r w:rsidRPr="00EC50AF">
        <w:t>lement acquise à la Révolution, le foyer jouant le rôle de détonateur.</w:t>
      </w:r>
    </w:p>
    <w:p w14:paraId="7379849B" w14:textId="77777777" w:rsidR="00B01930" w:rsidRPr="00EC50AF" w:rsidRDefault="00B01930" w:rsidP="00B01930">
      <w:pPr>
        <w:spacing w:before="120" w:after="120"/>
        <w:jc w:val="both"/>
      </w:pPr>
      <w:r w:rsidRPr="00EC50AF">
        <w:t>Enfin, on peut également signaler, dans les années soixante et qu</w:t>
      </w:r>
      <w:r w:rsidRPr="00EC50AF">
        <w:t>a</w:t>
      </w:r>
      <w:r w:rsidRPr="00EC50AF">
        <w:t>tre-vingt, l’approche des groupes d’extrême gauche occidentaux, dits « gauchistes » – en rupture avec les partis co</w:t>
      </w:r>
      <w:r w:rsidRPr="00EC50AF">
        <w:t>m</w:t>
      </w:r>
      <w:r w:rsidRPr="00EC50AF">
        <w:t>munistes (accusés d’avoir trahi la Révolution pour cause d’inféodation à l’Union sovi</w:t>
      </w:r>
      <w:r w:rsidRPr="00EC50AF">
        <w:t>é</w:t>
      </w:r>
      <w:r w:rsidRPr="00EC50AF">
        <w:t>tique) – qui considéraient que, face aux pouvoirs bou</w:t>
      </w:r>
      <w:r w:rsidRPr="00EC50AF">
        <w:t>r</w:t>
      </w:r>
      <w:r w:rsidRPr="00EC50AF">
        <w:t>geois encore trop puissants et un prolétariat trop aliéné par les partis de gauche r</w:t>
      </w:r>
      <w:r w:rsidRPr="00EC50AF">
        <w:t>é</w:t>
      </w:r>
      <w:r w:rsidRPr="00EC50AF">
        <w:t>formistes (dont les partis communistes), il fallait engager des actions violentes dest</w:t>
      </w:r>
      <w:r w:rsidRPr="00EC50AF">
        <w:t>i</w:t>
      </w:r>
      <w:r w:rsidRPr="00EC50AF">
        <w:t>nées à dévoiler aux masses le caractère « objectivement » fascistes, au moins réa</w:t>
      </w:r>
      <w:r w:rsidRPr="00EC50AF">
        <w:t>c</w:t>
      </w:r>
      <w:r w:rsidRPr="00EC50AF">
        <w:t>tionnaires, de ces pouvoirs, suppôts de l’impérialisme américain, centre du capitalisme mondial o</w:t>
      </w:r>
      <w:r w:rsidRPr="00EC50AF">
        <w:t>p</w:t>
      </w:r>
      <w:r w:rsidRPr="00EC50AF">
        <w:t>presseur des masses laborieuses. Ces actions, par la répression qui suivrait, provoqueraient le soulèvement des masses et ouvriraient la voie à la Révolution. Il faut souligner que cette approche n’est pas e</w:t>
      </w:r>
      <w:r w:rsidRPr="00EC50AF">
        <w:t>x</w:t>
      </w:r>
      <w:r w:rsidRPr="00EC50AF">
        <w:t>clusive d’actions locales de ba</w:t>
      </w:r>
      <w:r w:rsidRPr="00EC50AF">
        <w:t>s</w:t>
      </w:r>
      <w:r w:rsidRPr="00EC50AF">
        <w:t>se intensité visant à paralyser petit à petit le système afin de permettre aux vrais révolutionnaires de se m</w:t>
      </w:r>
      <w:r w:rsidRPr="00EC50AF">
        <w:t>a</w:t>
      </w:r>
      <w:r w:rsidRPr="00EC50AF">
        <w:t>nifester et de percer </w:t>
      </w:r>
      <w:r>
        <w:rPr>
          <w:rStyle w:val="Appelnotedebasdep"/>
        </w:rPr>
        <w:footnoteReference w:id="208"/>
      </w:r>
      <w:r w:rsidRPr="00EC50AF">
        <w:t>.</w:t>
      </w:r>
    </w:p>
    <w:p w14:paraId="17E12A8B" w14:textId="77777777" w:rsidR="00B01930" w:rsidRPr="00EC50AF" w:rsidRDefault="00B01930" w:rsidP="00B01930">
      <w:pPr>
        <w:spacing w:before="120" w:after="120"/>
        <w:jc w:val="both"/>
      </w:pPr>
      <w:r w:rsidRPr="00EC50AF">
        <w:t>Toutes les variations relatives aux moyens et au moment stratég</w:t>
      </w:r>
      <w:r w:rsidRPr="00EC50AF">
        <w:t>i</w:t>
      </w:r>
      <w:r w:rsidRPr="00EC50AF">
        <w:t>que (la</w:t>
      </w:r>
      <w:r w:rsidRPr="00EC50AF">
        <w:rPr>
          <w:i/>
        </w:rPr>
        <w:t xml:space="preserve"> praxis</w:t>
      </w:r>
      <w:r w:rsidRPr="00EC50AF">
        <w:t>) s’inscrivent à l’intérieur du corpus ma</w:t>
      </w:r>
      <w:r w:rsidRPr="00EC50AF">
        <w:t>r</w:t>
      </w:r>
      <w:r w:rsidRPr="00EC50AF">
        <w:t>xiste et sont les dérivées de l’hérésie. En effet, le marxisme, dont le discours refuse toute métaphysique et se conçoit comme strict</w:t>
      </w:r>
      <w:r w:rsidRPr="00EC50AF">
        <w:t>e</w:t>
      </w:r>
      <w:r w:rsidRPr="00EC50AF">
        <w:t>ment matérialiste, est l’une des dernières grandes réactualisations du code n° 1 </w:t>
      </w:r>
      <w:r>
        <w:rPr>
          <w:rStyle w:val="Appelnotedebasdep"/>
        </w:rPr>
        <w:footnoteReference w:id="209"/>
      </w:r>
      <w:r w:rsidRPr="00EC50AF">
        <w:t>. Par cons</w:t>
      </w:r>
      <w:r w:rsidRPr="00EC50AF">
        <w:t>é</w:t>
      </w:r>
      <w:r w:rsidRPr="00EC50AF">
        <w:t>quent, à ce titre, il a connu le processus de l’hérésie. Le lénini</w:t>
      </w:r>
      <w:r w:rsidRPr="00EC50AF">
        <w:t>s</w:t>
      </w:r>
      <w:r w:rsidRPr="00EC50AF">
        <w:t>me sera une coupure radicale. Mais en s’incarnant dans le régime s</w:t>
      </w:r>
      <w:r w:rsidRPr="00EC50AF">
        <w:t>o</w:t>
      </w:r>
      <w:r w:rsidRPr="00EC50AF">
        <w:t>viétique qui prétend incarner la Cité idéale, le marxisme voit aussitôt le trot</w:t>
      </w:r>
      <w:r w:rsidRPr="00EC50AF">
        <w:t>s</w:t>
      </w:r>
      <w:r w:rsidRPr="00EC50AF">
        <w:t>kisme contester cette prétention ; devenu mouvement intern</w:t>
      </w:r>
      <w:r w:rsidRPr="00EC50AF">
        <w:t>a</w:t>
      </w:r>
      <w:r w:rsidRPr="00EC50AF">
        <w:t>tional, il deviendra pour les maîtres du Kremlin l’ennemi inexpi</w:t>
      </w:r>
      <w:r w:rsidRPr="00EC50AF">
        <w:t>a</w:t>
      </w:r>
      <w:r w:rsidRPr="00EC50AF">
        <w:t>ble source des plus terribles répressions dans tous les partis co</w:t>
      </w:r>
      <w:r w:rsidRPr="00EC50AF">
        <w:t>m</w:t>
      </w:r>
      <w:r w:rsidRPr="00EC50AF">
        <w:t>munistes, l’accusation de trotskisme (puis de « trotskisme - titisme »</w:t>
      </w:r>
      <w:r>
        <w:t> </w:t>
      </w:r>
      <w:r>
        <w:rPr>
          <w:rStyle w:val="Appelnotedebasdep"/>
        </w:rPr>
        <w:footnoteReference w:id="210"/>
      </w:r>
      <w:r w:rsidRPr="00EC50AF">
        <w:t>) devint le crime suprême justifiant procès, éliminations, etc. </w:t>
      </w:r>
      <w:r>
        <w:rPr>
          <w:rStyle w:val="Appelnotedebasdep"/>
        </w:rPr>
        <w:footnoteReference w:id="211"/>
      </w:r>
      <w:r w:rsidRPr="00EC50AF">
        <w:t>. Mais à son tour le trotskisme va susciter scissions et sectes, acharnées à se co</w:t>
      </w:r>
      <w:r w:rsidRPr="00EC50AF">
        <w:t>m</w:t>
      </w:r>
      <w:r w:rsidRPr="00EC50AF">
        <w:t>battre. Pour finir, la politique étrangère de Moscou et la déstalinisation ébranleront l’infaillibilité marxiste revendiquée par l’Union s</w:t>
      </w:r>
      <w:r w:rsidRPr="00EC50AF">
        <w:t>o</w:t>
      </w:r>
      <w:r w:rsidRPr="00EC50AF">
        <w:t>viétique et la rivalité sino-soviétique transférera sur Pékin l’idéal révolutio</w:t>
      </w:r>
      <w:r w:rsidRPr="00EC50AF">
        <w:t>n</w:t>
      </w:r>
      <w:r w:rsidRPr="00EC50AF">
        <w:t>naire, le maoïsme devenant pour tous les marxistes déçus, terre de r</w:t>
      </w:r>
      <w:r w:rsidRPr="00EC50AF">
        <w:t>é</w:t>
      </w:r>
      <w:r w:rsidRPr="00EC50AF">
        <w:t>volution </w:t>
      </w:r>
      <w:r>
        <w:rPr>
          <w:rStyle w:val="Appelnotedebasdep"/>
        </w:rPr>
        <w:footnoteReference w:id="212"/>
      </w:r>
      <w:r w:rsidRPr="00EC50AF">
        <w:t>. Beaucoup y ajouteront le combat palestinien et la lutte du Vietnam du nord contre le Vietnam du sud (soutenu par les Amér</w:t>
      </w:r>
      <w:r w:rsidRPr="00EC50AF">
        <w:t>i</w:t>
      </w:r>
      <w:r w:rsidRPr="00EC50AF">
        <w:t>cains), sans oublier l’égarement au profit des Khmers rouges du Ca</w:t>
      </w:r>
      <w:r w:rsidRPr="00EC50AF">
        <w:t>m</w:t>
      </w:r>
      <w:r w:rsidRPr="00EC50AF">
        <w:t>bodge ! Ultime bout du chemin d’aucuns verront dans la Révolution iranienne de l’Ayatollah Khomeiny le nouveau lieu de « la Libér</w:t>
      </w:r>
      <w:r w:rsidRPr="00EC50AF">
        <w:t>a</w:t>
      </w:r>
      <w:r w:rsidRPr="00EC50AF">
        <w:t>tion », c’est-à-dire la promesse du Bien sur terre… </w:t>
      </w:r>
      <w:r>
        <w:rPr>
          <w:rStyle w:val="Appelnotedebasdep"/>
        </w:rPr>
        <w:footnoteReference w:id="213"/>
      </w:r>
    </w:p>
    <w:p w14:paraId="3429D044" w14:textId="77777777" w:rsidR="00B01930" w:rsidRPr="00EC50AF" w:rsidRDefault="00B01930" w:rsidP="00B01930">
      <w:pPr>
        <w:spacing w:before="120" w:after="120"/>
        <w:jc w:val="both"/>
      </w:pPr>
      <w:r w:rsidRPr="00EC50AF">
        <w:t>On peut noter une troublante coïncidence. En effet, tous les déçus du mouvement communiste se montreront aussi virulents, radicaux, dans les combats qu’ils entr</w:t>
      </w:r>
      <w:r w:rsidRPr="00EC50AF">
        <w:t>e</w:t>
      </w:r>
      <w:r w:rsidRPr="00EC50AF">
        <w:t>prendront sous d’autres « drapeaux », qu’ils l’avaient été dans leur vie antérieure sous la bannière rouge, y compris ces dernières années pour ceux qui se sont faits les cha</w:t>
      </w:r>
      <w:r w:rsidRPr="00EC50AF">
        <w:t>n</w:t>
      </w:r>
      <w:r w:rsidRPr="00EC50AF">
        <w:t>tres du « néolibéralisme », le libéralisme, honni hier, est célébré a</w:t>
      </w:r>
      <w:r w:rsidRPr="00EC50AF">
        <w:t>u</w:t>
      </w:r>
      <w:r w:rsidRPr="00EC50AF">
        <w:t>jourd’hui, mais, toujours en quête de Sens, le libéralisme politique a été troqué au profit de « l’ultralibéralisme », dont on a vu </w:t>
      </w:r>
      <w:r>
        <w:rPr>
          <w:rStyle w:val="Appelnotedebasdep"/>
        </w:rPr>
        <w:footnoteReference w:id="214"/>
      </w:r>
      <w:r w:rsidRPr="00EC50AF">
        <w:t xml:space="preserve"> qu’il re</w:t>
      </w:r>
      <w:r w:rsidRPr="00EC50AF">
        <w:t>s</w:t>
      </w:r>
      <w:r w:rsidRPr="00EC50AF">
        <w:t>sortait du code n° 1, ceci expliquant cela </w:t>
      </w:r>
      <w:r>
        <w:rPr>
          <w:rStyle w:val="Appelnotedebasdep"/>
        </w:rPr>
        <w:footnoteReference w:id="215"/>
      </w:r>
      <w:r w:rsidRPr="00EC50AF">
        <w:t> ?</w:t>
      </w:r>
    </w:p>
    <w:p w14:paraId="43279C44" w14:textId="77777777" w:rsidR="00B01930" w:rsidRPr="00EC50AF" w:rsidRDefault="00B01930" w:rsidP="00B01930">
      <w:pPr>
        <w:spacing w:before="120" w:after="120"/>
        <w:jc w:val="both"/>
      </w:pPr>
      <w:r w:rsidRPr="00EC50AF">
        <w:t>Reste la question du nazisme au regard du processus hérétique. Jean-Louis Martres ne le mentionne pas, car son livre n’est qu’un e</w:t>
      </w:r>
      <w:r w:rsidRPr="00EC50AF">
        <w:t>s</w:t>
      </w:r>
      <w:r w:rsidRPr="00EC50AF">
        <w:t>sai, déjà conséquent (812 pages), et qu’il n’avait nulle prétention à tout traiter. Par ailleurs, et surtout, la courte vie du nazisme : « Le III</w:t>
      </w:r>
      <w:r w:rsidRPr="00EC50AF">
        <w:rPr>
          <w:vertAlign w:val="superscript"/>
        </w:rPr>
        <w:t>e</w:t>
      </w:r>
      <w:r w:rsidRPr="00EC50AF">
        <w:t> Reich ne dura que treize années : six années et demie de paix (ou de préparation à la guerre), puis les hostil</w:t>
      </w:r>
      <w:r w:rsidRPr="00EC50AF">
        <w:t>i</w:t>
      </w:r>
      <w:r w:rsidRPr="00EC50AF">
        <w:t>tés entre septembre 1939 et mai 1945 […] </w:t>
      </w:r>
      <w:r>
        <w:rPr>
          <w:rStyle w:val="Appelnotedebasdep"/>
        </w:rPr>
        <w:footnoteReference w:id="216"/>
      </w:r>
      <w:r>
        <w:t> </w:t>
      </w:r>
      <w:r w:rsidRPr="00EC50AF">
        <w:t>» n’ont pas permis de voir éclore le phénomène, ce qui n’ôte rien à ses effets ap</w:t>
      </w:r>
      <w:r w:rsidRPr="00EC50AF">
        <w:t>o</w:t>
      </w:r>
      <w:r w:rsidRPr="00EC50AF">
        <w:t>calyptiques et dont Winston Churchill dira à Chamberlain </w:t>
      </w:r>
      <w:r>
        <w:rPr>
          <w:rStyle w:val="Appelnotedebasdep"/>
        </w:rPr>
        <w:footnoteReference w:id="217"/>
      </w:r>
      <w:r w:rsidRPr="00EC50AF">
        <w:t> : « Si Hitler avait envahi l’enfer, je me serais d</w:t>
      </w:r>
      <w:r w:rsidRPr="00EC50AF">
        <w:t>é</w:t>
      </w:r>
      <w:r w:rsidRPr="00EC50AF">
        <w:t>brouillé pour avoir un mot gentil pour le Diable ».</w:t>
      </w:r>
    </w:p>
    <w:p w14:paraId="61A2B531" w14:textId="77777777" w:rsidR="00B01930" w:rsidRPr="00EC50AF" w:rsidRDefault="00B01930" w:rsidP="00B01930">
      <w:pPr>
        <w:spacing w:before="120" w:after="120"/>
        <w:jc w:val="both"/>
      </w:pPr>
      <w:r w:rsidRPr="00EC50AF">
        <w:t>Il y a bien eu « la nuit des longs couteaux » (30 juin 1934), c’est-à-dire l’élimination, par la S.S. de Himmler, des S.A. (organisation p</w:t>
      </w:r>
      <w:r w:rsidRPr="00EC50AF">
        <w:t>a</w:t>
      </w:r>
      <w:r w:rsidRPr="00EC50AF">
        <w:t>ramilitaire, qui a joué un grand rôle dans la prise de pouvoir d’Adolf Hitler, commandée par Röhm) qui souhaitaient poursuivre la révol</w:t>
      </w:r>
      <w:r w:rsidRPr="00EC50AF">
        <w:t>u</w:t>
      </w:r>
      <w:r w:rsidRPr="00EC50AF">
        <w:t xml:space="preserve">tion du </w:t>
      </w:r>
      <w:hyperlink r:id="rId19" w:history="1">
        <w:r w:rsidRPr="00EC50AF">
          <w:rPr>
            <w:bCs/>
          </w:rPr>
          <w:t>national-socialisme</w:t>
        </w:r>
      </w:hyperlink>
      <w:r w:rsidRPr="00EC50AF">
        <w:t xml:space="preserve"> en appl</w:t>
      </w:r>
      <w:r w:rsidRPr="00EC50AF">
        <w:t>i</w:t>
      </w:r>
      <w:r w:rsidRPr="00EC50AF">
        <w:t>quant de grandes réformes sociales (le « volet » socialiste contenu dans le nom du NSDAP), et est</w:t>
      </w:r>
      <w:r w:rsidRPr="00EC50AF">
        <w:t>i</w:t>
      </w:r>
      <w:r w:rsidRPr="00EC50AF">
        <w:t>maient qu’Hitler avait trahi ses engagements. Après un temps d’hésitation (Röhm était un ami proche d’Hitler), Hitler décida qu'il était temps de supprimer Röhm et de neutraliser les SA qui étaient devenues gêna</w:t>
      </w:r>
      <w:r w:rsidRPr="00EC50AF">
        <w:t>n</w:t>
      </w:r>
      <w:r w:rsidRPr="00EC50AF">
        <w:t>tes pour Hitler, qui voulait conserver l’appui de l’armée et des classes dirigeantes.</w:t>
      </w:r>
    </w:p>
    <w:p w14:paraId="3A0E067F" w14:textId="77777777" w:rsidR="00B01930" w:rsidRPr="00EC50AF" w:rsidRDefault="00B01930" w:rsidP="00B01930">
      <w:pPr>
        <w:spacing w:before="120" w:after="120"/>
        <w:jc w:val="both"/>
      </w:pPr>
      <w:r w:rsidRPr="00EC50AF">
        <w:t>Mais peut-on penser que la tentative de tuer Hitler (20 juillet 1944) aurait pu i</w:t>
      </w:r>
      <w:r w:rsidRPr="00EC50AF">
        <w:t>n</w:t>
      </w:r>
      <w:r w:rsidRPr="00EC50AF">
        <w:t>duire l’amorce d’un processus hérétique, c’est-à-dire la restauration de la vérité de l’idéologie ? Car, après tout, ce qui était en jeu, c’était moins l’abandon de l’idéologie que la volonté de mettre un terme à la guerre. Si on rapproche cela avec le fait que, lors de la fin du régime, Himmler a cru pouvoir traiter avec les alliés </w:t>
      </w:r>
      <w:r>
        <w:rPr>
          <w:rStyle w:val="Appelnotedebasdep"/>
        </w:rPr>
        <w:footnoteReference w:id="218"/>
      </w:r>
      <w:r w:rsidRPr="00EC50AF">
        <w:t>, peut-on imaginer une réactualisation de la doctrine et la désignation d’un no</w:t>
      </w:r>
      <w:r w:rsidRPr="00EC50AF">
        <w:t>u</w:t>
      </w:r>
      <w:r w:rsidRPr="00EC50AF">
        <w:t>veau prétendant au pouvoir – « boutant » hors de son discours la n</w:t>
      </w:r>
      <w:r w:rsidRPr="00EC50AF">
        <w:t>é</w:t>
      </w:r>
      <w:r w:rsidRPr="00EC50AF">
        <w:t>cessité de la guerre (sauf contre le « bolchevisme ») – et conservant les fondamentaux sur la supériorité de la race aryenne (</w:t>
      </w:r>
      <w:r w:rsidRPr="00EC50AF">
        <w:rPr>
          <w:i/>
        </w:rPr>
        <w:t>i.e</w:t>
      </w:r>
      <w:r w:rsidRPr="00EC50AF">
        <w:t>. les All</w:t>
      </w:r>
      <w:r w:rsidRPr="00EC50AF">
        <w:t>e</w:t>
      </w:r>
      <w:r w:rsidRPr="00EC50AF">
        <w:t>mands) et aménageant les modalités de préserver celle-ci (par exe</w:t>
      </w:r>
      <w:r w:rsidRPr="00EC50AF">
        <w:t>m</w:t>
      </w:r>
      <w:r w:rsidRPr="00EC50AF">
        <w:t>ple eugénisme drastique et système d’</w:t>
      </w:r>
      <w:r w:rsidRPr="00EC50AF">
        <w:rPr>
          <w:i/>
        </w:rPr>
        <w:t>apartheid</w:t>
      </w:r>
      <w:r w:rsidRPr="00EC50AF">
        <w:t xml:space="preserve">) </w:t>
      </w:r>
      <w:r>
        <w:rPr>
          <w:rStyle w:val="Appelnotedebasdep"/>
        </w:rPr>
        <w:footnoteReference w:id="219"/>
      </w:r>
      <w:r w:rsidRPr="00EC50AF">
        <w:t> ?</w:t>
      </w:r>
    </w:p>
    <w:p w14:paraId="471C0CFA" w14:textId="77777777" w:rsidR="00B01930" w:rsidRPr="00EC50AF" w:rsidRDefault="00B01930" w:rsidP="00B01930">
      <w:pPr>
        <w:spacing w:before="120" w:after="120"/>
        <w:jc w:val="both"/>
      </w:pPr>
      <w:r w:rsidRPr="00EC50AF">
        <w:t>En 1951 (avant son interdiction en 1952), le parti national-socialiste SRP (</w:t>
      </w:r>
      <w:r w:rsidRPr="00EC50AF">
        <w:rPr>
          <w:i/>
        </w:rPr>
        <w:t>soziali</w:t>
      </w:r>
      <w:r w:rsidRPr="00EC50AF">
        <w:rPr>
          <w:i/>
        </w:rPr>
        <w:t>s</w:t>
      </w:r>
      <w:r w:rsidRPr="00EC50AF">
        <w:rPr>
          <w:i/>
        </w:rPr>
        <w:t>tische Reichspartei</w:t>
      </w:r>
      <w:r w:rsidRPr="00EC50AF">
        <w:t>) obtient 11 % des suffrages en Basse-Saxe alors qu’il persiste dans la question de « la Solution de la question juive », en s’efforçant « de s’exprimer en termes plus ou moins critiques sur les méthodes d’Hitler </w:t>
      </w:r>
      <w:r>
        <w:rPr>
          <w:rStyle w:val="Appelnotedebasdep"/>
        </w:rPr>
        <w:footnoteReference w:id="220"/>
      </w:r>
      <w:r w:rsidRPr="00EC50AF">
        <w:t> ». N’oublions pas que les États-Unis, sans lesquels le nazisme n’aurait pas été vaincu – même l’URSS dut sa victoire à l’aide massive américaine –, n’étaient pas initialement prêts à faire la guerre à Hitler. Par ailleurs, la destruction des juifs d’Europe ne fut pas l’élément décisif de la guerre contre le r</w:t>
      </w:r>
      <w:r w:rsidRPr="00EC50AF">
        <w:t>é</w:t>
      </w:r>
      <w:r w:rsidRPr="00EC50AF">
        <w:t>gime hitlérien (même si, eu égard à ce qui fut connu dès 1942, les alliés – le 17 décembre 1942 – menacèrent de poursuites pénales les personnes ayant participé aux crimes révélés, mais on était loin de pouvoir vraiment se représenter</w:t>
      </w:r>
      <w:r w:rsidRPr="00EC50AF">
        <w:rPr>
          <w:i/>
        </w:rPr>
        <w:t>,</w:t>
      </w:r>
      <w:r w:rsidRPr="00EC50AF">
        <w:t xml:space="preserve"> alors, ce qu’était – réellement, l’« industri</w:t>
      </w:r>
      <w:r w:rsidRPr="00EC50AF">
        <w:softHyphen/>
        <w:t>alisation » des assassinats). Enfin, le sort des armes en f</w:t>
      </w:r>
      <w:r w:rsidRPr="00EC50AF">
        <w:t>a</w:t>
      </w:r>
      <w:r w:rsidRPr="00EC50AF">
        <w:t>veur des alliés n’était pas acquis. Un possible partage du monde n’était pas pure fiction, d’autant plus que « beaucoup de nationaux-socialistes avant même la fin de la guerre </w:t>
      </w:r>
      <w:r>
        <w:rPr>
          <w:rStyle w:val="Appelnotedebasdep"/>
        </w:rPr>
        <w:footnoteReference w:id="221"/>
      </w:r>
      <w:r w:rsidRPr="00EC50AF">
        <w:t> » pensaient qu’une sci</w:t>
      </w:r>
      <w:r w:rsidRPr="00EC50AF">
        <w:t>s</w:t>
      </w:r>
      <w:r w:rsidRPr="00EC50AF">
        <w:t>sion entre les alliés était in</w:t>
      </w:r>
      <w:r w:rsidRPr="00EC50AF">
        <w:t>é</w:t>
      </w:r>
      <w:r w:rsidRPr="00EC50AF">
        <w:t>vitable du fait des « divergences avec l’Union soviétique </w:t>
      </w:r>
      <w:r>
        <w:rPr>
          <w:rStyle w:val="Appelnotedebasdep"/>
        </w:rPr>
        <w:footnoteReference w:id="222"/>
      </w:r>
      <w:r w:rsidRPr="00EC50AF">
        <w:t> », « ils espéraient que l’antibolchevisme […] s</w:t>
      </w:r>
      <w:r w:rsidRPr="00EC50AF">
        <w:t>e</w:t>
      </w:r>
      <w:r w:rsidRPr="00EC50AF">
        <w:t>rait […] plus fort que le souhait de vaincre L’Allemagne hitlérie</w:t>
      </w:r>
      <w:r w:rsidRPr="00EC50AF">
        <w:t>n</w:t>
      </w:r>
      <w:r w:rsidRPr="00EC50AF">
        <w:t>ne. L’Allemagne aurait alors pu se reconstruire de manière souvera</w:t>
      </w:r>
      <w:r w:rsidRPr="00EC50AF">
        <w:t>i</w:t>
      </w:r>
      <w:r w:rsidRPr="00EC50AF">
        <w:t>ne </w:t>
      </w:r>
      <w:r>
        <w:rPr>
          <w:rStyle w:val="Appelnotedebasdep"/>
        </w:rPr>
        <w:footnoteReference w:id="223"/>
      </w:r>
      <w:r w:rsidRPr="00EC50AF">
        <w:t> ». Mais une paix acceptant le règne du nazisme sur une certaine aire géographique supposait qu’Hitler renonce à la guerre comme m</w:t>
      </w:r>
      <w:r w:rsidRPr="00EC50AF">
        <w:t>o</w:t>
      </w:r>
      <w:r w:rsidRPr="00EC50AF">
        <w:t>teur salvateur du règne aryen – et n</w:t>
      </w:r>
      <w:r w:rsidRPr="00EC50AF">
        <w:t>o</w:t>
      </w:r>
      <w:r w:rsidRPr="00EC50AF">
        <w:t>tamment le fait que la destruction des juifs était valable en tous lieux jusqu’à extin</w:t>
      </w:r>
      <w:r w:rsidRPr="00EC50AF">
        <w:t>c</w:t>
      </w:r>
      <w:r w:rsidRPr="00EC50AF">
        <w:t>tion de la « race maudite », ce qui impliquait la guerre – cela semble, Hitler vivant, hypothétique.</w:t>
      </w:r>
    </w:p>
    <w:p w14:paraId="1A2AC0AB" w14:textId="77777777" w:rsidR="00B01930" w:rsidRPr="00EC50AF" w:rsidRDefault="00B01930" w:rsidP="00B01930">
      <w:pPr>
        <w:spacing w:before="120" w:after="120"/>
        <w:jc w:val="both"/>
      </w:pPr>
      <w:r w:rsidRPr="00EC50AF">
        <w:t>Le culte de la guerre, conséquence de la recherche « de l’espace v</w:t>
      </w:r>
      <w:r w:rsidRPr="00EC50AF">
        <w:t>i</w:t>
      </w:r>
      <w:r w:rsidRPr="00EC50AF">
        <w:t>tal », et la r</w:t>
      </w:r>
      <w:r w:rsidRPr="00EC50AF">
        <w:t>é</w:t>
      </w:r>
      <w:r w:rsidRPr="00EC50AF">
        <w:t>duction en esclavage de tous les peuples décrétés comme inférieurs </w:t>
      </w:r>
      <w:r>
        <w:rPr>
          <w:rStyle w:val="Appelnotedebasdep"/>
        </w:rPr>
        <w:footnoteReference w:id="224"/>
      </w:r>
      <w:r w:rsidRPr="00EC50AF">
        <w:t>, conjugués avec l’obsession antijuifs (les nazis ente</w:t>
      </w:r>
      <w:r w:rsidRPr="00EC50AF">
        <w:t>n</w:t>
      </w:r>
      <w:r w:rsidRPr="00EC50AF">
        <w:t>daient « libérer les peuples </w:t>
      </w:r>
      <w:r>
        <w:rPr>
          <w:rStyle w:val="Appelnotedebasdep"/>
        </w:rPr>
        <w:footnoteReference w:id="225"/>
      </w:r>
      <w:r w:rsidRPr="00EC50AF">
        <w:t> », car « les juifs étaient les ennemis de tous les hommes et tous les peuples, un génocide était par conséquent un se</w:t>
      </w:r>
      <w:r w:rsidRPr="00EC50AF">
        <w:t>r</w:t>
      </w:r>
      <w:r w:rsidRPr="00EC50AF">
        <w:t>vice rendu au monde </w:t>
      </w:r>
      <w:r>
        <w:rPr>
          <w:rStyle w:val="Appelnotedebasdep"/>
        </w:rPr>
        <w:footnoteReference w:id="226"/>
      </w:r>
      <w:r w:rsidRPr="00EC50AF">
        <w:t> »), faisant du communisme et du capitali</w:t>
      </w:r>
      <w:r w:rsidRPr="00EC50AF">
        <w:t>s</w:t>
      </w:r>
      <w:r w:rsidRPr="00EC50AF">
        <w:t>me les produits de « la juiverie mondiale » acharnée à détruire le peuple all</w:t>
      </w:r>
      <w:r w:rsidRPr="00EC50AF">
        <w:t>e</w:t>
      </w:r>
      <w:r w:rsidRPr="00EC50AF">
        <w:t>mand qui avait pour mission de conduire le monde et de réaliser le Reich de « mille ans », ont rendu caduque, selon nous, toute possibil</w:t>
      </w:r>
      <w:r w:rsidRPr="00EC50AF">
        <w:t>i</w:t>
      </w:r>
      <w:r w:rsidRPr="00EC50AF">
        <w:t>té d’enclencher le processus hérétique. Car les alliés, dès lors, ne po</w:t>
      </w:r>
      <w:r w:rsidRPr="00EC50AF">
        <w:t>u</w:t>
      </w:r>
      <w:r w:rsidRPr="00EC50AF">
        <w:t>vaient plus, à moment donné, que se résoudre à la guerre ju</w:t>
      </w:r>
      <w:r w:rsidRPr="00EC50AF">
        <w:t>s</w:t>
      </w:r>
      <w:r w:rsidRPr="00EC50AF">
        <w:t>qu’à la capitulation sans condition de l’Allemagne. Et de son côté, à ce stade, Hitler ne pouvait que s’acheminer vers l’engloutissement de son pe</w:t>
      </w:r>
      <w:r w:rsidRPr="00EC50AF">
        <w:t>u</w:t>
      </w:r>
      <w:r w:rsidRPr="00EC50AF">
        <w:t>ple – qui dès lors ne le mér</w:t>
      </w:r>
      <w:r w:rsidRPr="00EC50AF">
        <w:t>i</w:t>
      </w:r>
      <w:r w:rsidRPr="00EC50AF">
        <w:t>tait pas – et vers sa propre mort. « Nous ne saurons jamais ce qu’eût été la deuxième ou la troisième génération des hitlériens, quelle Allemagne, quelle Europe serait sortie de la vi</w:t>
      </w:r>
      <w:r w:rsidRPr="00EC50AF">
        <w:t>c</w:t>
      </w:r>
      <w:r w:rsidRPr="00EC50AF">
        <w:t>toire du III</w:t>
      </w:r>
      <w:r w:rsidRPr="00EC50AF">
        <w:rPr>
          <w:vertAlign w:val="superscript"/>
        </w:rPr>
        <w:t>e</w:t>
      </w:r>
      <w:r w:rsidRPr="00EC50AF">
        <w:t> Reich </w:t>
      </w:r>
      <w:r>
        <w:rPr>
          <w:rStyle w:val="Appelnotedebasdep"/>
        </w:rPr>
        <w:footnoteReference w:id="227"/>
      </w:r>
      <w:r w:rsidRPr="00EC50AF">
        <w:t>. »</w:t>
      </w:r>
    </w:p>
    <w:p w14:paraId="752E1E89" w14:textId="77777777" w:rsidR="00B01930" w:rsidRPr="00EC50AF" w:rsidRDefault="00B01930" w:rsidP="00B01930">
      <w:pPr>
        <w:spacing w:before="120" w:after="120"/>
        <w:jc w:val="both"/>
      </w:pPr>
      <w:r w:rsidRPr="00EC50AF">
        <w:t>Il faut noter toutefois que le nazisme a survécu, ici ou là, et que ses tenants n’ont jamais réécrit la doctrine, de telle sorte que le processus hérétique serait engagé. Be</w:t>
      </w:r>
      <w:r w:rsidRPr="00EC50AF">
        <w:t>t</w:t>
      </w:r>
      <w:r w:rsidRPr="00EC50AF">
        <w:t>tina Stangneth</w:t>
      </w:r>
      <w:r>
        <w:t> </w:t>
      </w:r>
      <w:r>
        <w:rPr>
          <w:rStyle w:val="Appelnotedebasdep"/>
        </w:rPr>
        <w:footnoteReference w:id="228"/>
      </w:r>
      <w:r w:rsidRPr="00EC50AF">
        <w:t xml:space="preserve"> écrit qu’après-guerre les anciens nazis « sont conjurés autour d’une image du passé et [donc] dépourvus d’idées sur la manière dont on pourrait mener une révol</w:t>
      </w:r>
      <w:r w:rsidRPr="00EC50AF">
        <w:t>u</w:t>
      </w:r>
      <w:r w:rsidRPr="00EC50AF">
        <w:t>tion à l’époque qui est désormais la leur. Une simple communauté de deuil ne donne pas de confiance en sa propre force et ne permet pas plus à ses membres de se la transmettre mutuellement que de la comm</w:t>
      </w:r>
      <w:r w:rsidRPr="00EC50AF">
        <w:t>u</w:t>
      </w:r>
      <w:r w:rsidRPr="00EC50AF">
        <w:t>niquer à d’éventuels électeurs. »</w:t>
      </w:r>
    </w:p>
    <w:p w14:paraId="05565360" w14:textId="77777777" w:rsidR="00B01930" w:rsidRPr="00EC50AF" w:rsidRDefault="00B01930" w:rsidP="00B01930">
      <w:pPr>
        <w:spacing w:before="120" w:after="120"/>
        <w:jc w:val="both"/>
      </w:pPr>
      <w:r w:rsidRPr="00EC50AF">
        <w:t>Aujourd’hui, il y a bien dans les groupes néonazis une rhét</w:t>
      </w:r>
      <w:r w:rsidRPr="00EC50AF">
        <w:t>o</w:t>
      </w:r>
      <w:r w:rsidRPr="00EC50AF">
        <w:t>rique violente contre l’immigration en général, et anti-islamique plus part</w:t>
      </w:r>
      <w:r w:rsidRPr="00EC50AF">
        <w:t>i</w:t>
      </w:r>
      <w:r w:rsidRPr="00EC50AF">
        <w:t>culièrement, ainsi que l’apologie d’un nationalisme exacerbé et, conjoncturellement, l’accent mis sur les questions dites sociales et d’identité culturelle pour les « petits blancs » et les classes moye</w:t>
      </w:r>
      <w:r w:rsidRPr="00EC50AF">
        <w:t>n</w:t>
      </w:r>
      <w:r w:rsidRPr="00EC50AF">
        <w:t>nes, mais l’antisémitisme reste très présent dans les discours non officiels et dans nombre d’actes de militants ; on peut se demander si le cont</w:t>
      </w:r>
      <w:r w:rsidRPr="00EC50AF">
        <w:t>e</w:t>
      </w:r>
      <w:r w:rsidRPr="00EC50AF">
        <w:t>nu même du code ne s</w:t>
      </w:r>
      <w:r w:rsidRPr="00EC50AF">
        <w:t>e</w:t>
      </w:r>
      <w:r w:rsidRPr="00EC50AF">
        <w:t>rait pas réfractaire au processus de l’hérésie et serait, alors, une exception</w:t>
      </w:r>
      <w:r>
        <w:t> </w:t>
      </w:r>
      <w:r>
        <w:rPr>
          <w:rStyle w:val="Appelnotedebasdep"/>
        </w:rPr>
        <w:footnoteReference w:id="229"/>
      </w:r>
      <w:r w:rsidRPr="00EC50AF">
        <w:t> ?</w:t>
      </w:r>
    </w:p>
    <w:p w14:paraId="5BC9490A" w14:textId="77777777" w:rsidR="00B01930" w:rsidRPr="00EC50AF" w:rsidRDefault="00B01930" w:rsidP="00B01930">
      <w:pPr>
        <w:spacing w:before="120" w:after="120"/>
        <w:jc w:val="both"/>
      </w:pPr>
      <w:r w:rsidRPr="00EC50AF">
        <w:t>Nous n’avons pas, en l’état de la réflexion, la réponse. Mais la question méritait d’être posée et, dans le cadre de la présentation de la pensée martrienne, nous po</w:t>
      </w:r>
      <w:r w:rsidRPr="00EC50AF">
        <w:t>u</w:t>
      </w:r>
      <w:r w:rsidRPr="00EC50AF">
        <w:t>vons faire nôtre le titre de l’article de Raymond Aron « Existe-t-il un mystère n</w:t>
      </w:r>
      <w:r w:rsidRPr="00EC50AF">
        <w:t>a</w:t>
      </w:r>
      <w:r w:rsidRPr="00EC50AF">
        <w:t>zi ? </w:t>
      </w:r>
      <w:r>
        <w:rPr>
          <w:rStyle w:val="Appelnotedebasdep"/>
        </w:rPr>
        <w:footnoteReference w:id="230"/>
      </w:r>
      <w:r w:rsidRPr="00EC50AF">
        <w:t> ».</w:t>
      </w:r>
    </w:p>
    <w:p w14:paraId="5403E331" w14:textId="77777777" w:rsidR="00B01930" w:rsidRPr="00EC50AF" w:rsidRDefault="00B01930" w:rsidP="00B01930">
      <w:pPr>
        <w:spacing w:before="120" w:after="120"/>
        <w:jc w:val="both"/>
      </w:pPr>
      <w:r w:rsidRPr="00EC50AF">
        <w:t>Bien que notre approche soit à peine esquissée, il nous a semblé utile de s’interroger, même de façon très spéculative, sur la place de l’hérésie dans le nazisme, dès lors que celui-ci fut, comme le marxi</w:t>
      </w:r>
      <w:r w:rsidRPr="00EC50AF">
        <w:t>s</w:t>
      </w:r>
      <w:r w:rsidRPr="00EC50AF">
        <w:t>me, une grande manifestation de la réa</w:t>
      </w:r>
      <w:r w:rsidRPr="00EC50AF">
        <w:t>c</w:t>
      </w:r>
      <w:r w:rsidRPr="00EC50AF">
        <w:t>tualisation du code n° 1.</w:t>
      </w:r>
    </w:p>
    <w:p w14:paraId="342FB17B" w14:textId="77777777" w:rsidR="00B01930" w:rsidRDefault="00B01930" w:rsidP="00B01930">
      <w:pPr>
        <w:spacing w:before="120" w:after="120"/>
        <w:jc w:val="both"/>
      </w:pPr>
      <w:bookmarkStart w:id="48" w:name="_Toc494111632"/>
      <w:bookmarkStart w:id="49" w:name="_Toc494277627"/>
      <w:bookmarkStart w:id="50" w:name="_Toc499541006"/>
      <w:bookmarkStart w:id="51" w:name="_Toc504399644"/>
      <w:bookmarkStart w:id="52" w:name="_Toc504406279"/>
      <w:bookmarkStart w:id="53" w:name="_Toc524329868"/>
    </w:p>
    <w:p w14:paraId="24B89DFE" w14:textId="77777777" w:rsidR="00B01930" w:rsidRPr="00EC50AF" w:rsidRDefault="00B01930" w:rsidP="00B01930">
      <w:pPr>
        <w:pStyle w:val="b"/>
      </w:pPr>
      <w:r w:rsidRPr="00EC50AF">
        <w:t>Histoire de la légitimité en Occident</w:t>
      </w:r>
      <w:bookmarkEnd w:id="48"/>
      <w:bookmarkEnd w:id="49"/>
      <w:bookmarkEnd w:id="50"/>
      <w:bookmarkEnd w:id="51"/>
      <w:bookmarkEnd w:id="52"/>
      <w:bookmarkEnd w:id="53"/>
    </w:p>
    <w:p w14:paraId="5991D8BD" w14:textId="77777777" w:rsidR="00B01930" w:rsidRDefault="00B01930" w:rsidP="00B01930">
      <w:pPr>
        <w:spacing w:before="120" w:after="120"/>
        <w:jc w:val="both"/>
      </w:pPr>
    </w:p>
    <w:p w14:paraId="4B349EBB" w14:textId="77777777" w:rsidR="00B01930" w:rsidRPr="00EC50AF" w:rsidRDefault="00B01930" w:rsidP="00B01930">
      <w:pPr>
        <w:spacing w:before="120" w:after="120"/>
        <w:jc w:val="both"/>
      </w:pPr>
      <w:r w:rsidRPr="00EC50AF">
        <w:t>Le code transformationnel, tel qu’évoqué, s’est traduit concrèt</w:t>
      </w:r>
      <w:r w:rsidRPr="00EC50AF">
        <w:t>e</w:t>
      </w:r>
      <w:r w:rsidRPr="00EC50AF">
        <w:t>ment, au niveau de la longue durée, par un changement continu du détenteur du pouvoir qui fonde la légitimité des gouvernants qui e</w:t>
      </w:r>
      <w:r w:rsidRPr="00EC50AF">
        <w:t>n</w:t>
      </w:r>
      <w:r w:rsidRPr="00EC50AF">
        <w:t>tendent réaliser le Bien. C’est la grande dispute entre pouvoir temp</w:t>
      </w:r>
      <w:r w:rsidRPr="00EC50AF">
        <w:t>o</w:t>
      </w:r>
      <w:r w:rsidRPr="00EC50AF">
        <w:t>rel et pouvoir spirituel : qui a la pr</w:t>
      </w:r>
      <w:r w:rsidRPr="00EC50AF">
        <w:t>i</w:t>
      </w:r>
      <w:r w:rsidRPr="00EC50AF">
        <w:t>mauté ?</w:t>
      </w:r>
    </w:p>
    <w:p w14:paraId="3CBA3E21" w14:textId="77777777" w:rsidR="00B01930" w:rsidRPr="00EC50AF" w:rsidRDefault="00B01930" w:rsidP="00B01930">
      <w:pPr>
        <w:spacing w:before="120" w:after="120"/>
        <w:jc w:val="both"/>
      </w:pPr>
      <w:r w:rsidRPr="00EC50AF">
        <w:t>Le monde chrétien – du fait même des circonstances histor</w:t>
      </w:r>
      <w:r w:rsidRPr="00EC50AF">
        <w:t>i</w:t>
      </w:r>
      <w:r w:rsidRPr="00EC50AF">
        <w:t>ques dans lesquelles le christianisme a prospéré, et du fait de son discours : « rendez à César ce qui est à César et à Dieu ce qui est à Dieu » – s’est trouvé confronté à trois formes possibles de légitimité, au profit du Pape contre l’Empereur, puis pour le Monarque contre les deux autres, enfin pour le peuple contre le roi.</w:t>
      </w:r>
    </w:p>
    <w:p w14:paraId="4FEE5BCB" w14:textId="77777777" w:rsidR="00B01930" w:rsidRPr="00EC50AF" w:rsidRDefault="00B01930" w:rsidP="00B01930">
      <w:pPr>
        <w:spacing w:before="120" w:after="120"/>
        <w:jc w:val="both"/>
      </w:pPr>
      <w:r w:rsidRPr="00EC50AF">
        <w:t>La logique du code veut que le Pape devienne Empereur en tant que détenteur de la Vérité. C’est ainsi que le Pape coiffe la triple co</w:t>
      </w:r>
      <w:r w:rsidRPr="00EC50AF">
        <w:t>u</w:t>
      </w:r>
      <w:r w:rsidRPr="00EC50AF">
        <w:t>ronne et soumet l’Empereur, c’est la théocratie pont</w:t>
      </w:r>
      <w:r w:rsidRPr="00EC50AF">
        <w:t>i</w:t>
      </w:r>
      <w:r w:rsidRPr="00EC50AF">
        <w:t>ficale. Toutes les controverses doctrinales sont théologiques. Il s’agit pour les uns de démontrer que Dieu a choisi Pierre, donc ses successeurs, pour régner sur le monde, pour les autres de dire que ce même Dieu a séparé les deux pouvoirs chacun étant autonome avec leurs finalités. Saint Th</w:t>
      </w:r>
      <w:r w:rsidRPr="00EC50AF">
        <w:t>o</w:t>
      </w:r>
      <w:r w:rsidRPr="00EC50AF">
        <w:t>mas d’Aquin fera « </w:t>
      </w:r>
      <w:r w:rsidRPr="00EC50AF">
        <w:rPr>
          <w:i/>
        </w:rPr>
        <w:t>une synthèse grandiose des thèses</w:t>
      </w:r>
      <w:r w:rsidRPr="00EC50AF">
        <w:t xml:space="preserve"> </w:t>
      </w:r>
      <w:r w:rsidRPr="00EC50AF">
        <w:rPr>
          <w:i/>
        </w:rPr>
        <w:t>pontificales, tandis que Guillaume d’Occam soutiendra</w:t>
      </w:r>
      <w:r w:rsidRPr="00EC50AF">
        <w:t xml:space="preserve"> [l’inverse] </w:t>
      </w:r>
      <w:r>
        <w:rPr>
          <w:rStyle w:val="Appelnotedebasdep"/>
        </w:rPr>
        <w:footnoteReference w:id="231"/>
      </w:r>
      <w:r w:rsidRPr="00EC50AF">
        <w:t> ». Tout co</w:t>
      </w:r>
      <w:r w:rsidRPr="00EC50AF">
        <w:t>m</w:t>
      </w:r>
      <w:r w:rsidRPr="00EC50AF">
        <w:t>me on trouvera chez Marsile de Padoue, favorable au pouvoir temp</w:t>
      </w:r>
      <w:r w:rsidRPr="00EC50AF">
        <w:t>o</w:t>
      </w:r>
      <w:r w:rsidRPr="00EC50AF">
        <w:t>rel, les prémisses démocratiques. Mais la victoire papale n’est pas t</w:t>
      </w:r>
      <w:r w:rsidRPr="00EC50AF">
        <w:t>o</w:t>
      </w:r>
      <w:r w:rsidRPr="00EC50AF">
        <w:t>tale ni nécessaire </w:t>
      </w:r>
      <w:r>
        <w:rPr>
          <w:rStyle w:val="Appelnotedebasdep"/>
        </w:rPr>
        <w:footnoteReference w:id="232"/>
      </w:r>
      <w:r w:rsidRPr="00EC50AF">
        <w:t>.</w:t>
      </w:r>
    </w:p>
    <w:p w14:paraId="0644527E" w14:textId="77777777" w:rsidR="00B01930" w:rsidRPr="00EC50AF" w:rsidRDefault="00B01930" w:rsidP="00B01930">
      <w:pPr>
        <w:spacing w:before="120" w:after="120"/>
        <w:jc w:val="both"/>
      </w:pPr>
      <w:r w:rsidRPr="00EC50AF">
        <w:t>Le Pape n’est pas sitôt au faîte de sa puissance que déjà tous les mécanismes de la destruction sont à l’œuvre. Il y a le constat de l’incapacité à réaliser intégralement le message divin. Pour refaire le lien on se tourne vers le Monarque qu’on considère, alors, comme c</w:t>
      </w:r>
      <w:r w:rsidRPr="00EC50AF">
        <w:t>a</w:t>
      </w:r>
      <w:r w:rsidRPr="00EC50AF">
        <w:t>pable de réaliser le Bien, d’où, par exemple, la doctrine des légistes français et l’aboutissement avec Thomas Hobbes. Le Monarque a ai</w:t>
      </w:r>
      <w:r w:rsidRPr="00EC50AF">
        <w:t>n</w:t>
      </w:r>
      <w:r w:rsidRPr="00EC50AF">
        <w:t>si la double tâche, de garantir l’ordre et la sécurité au peuple, et de le conduire vers la Vertu.</w:t>
      </w:r>
    </w:p>
    <w:p w14:paraId="061D53CA" w14:textId="77777777" w:rsidR="00B01930" w:rsidRPr="00EC50AF" w:rsidRDefault="00B01930" w:rsidP="00B01930">
      <w:pPr>
        <w:spacing w:before="120" w:after="120"/>
        <w:jc w:val="both"/>
      </w:pPr>
      <w:r w:rsidRPr="00EC50AF">
        <w:t>Mais déjà la distorsion utopie-pouvoir réapp</w:t>
      </w:r>
      <w:r w:rsidRPr="00EC50AF">
        <w:t>a</w:t>
      </w:r>
      <w:r w:rsidRPr="00EC50AF">
        <w:t xml:space="preserve">raît et on reporte l’idéal sur le peuple. Depuis le </w:t>
      </w:r>
      <w:r w:rsidRPr="00EC50AF">
        <w:rPr>
          <w:smallCaps/>
        </w:rPr>
        <w:t>xviii</w:t>
      </w:r>
      <w:r w:rsidRPr="00EC50AF">
        <w:rPr>
          <w:vertAlign w:val="superscript"/>
        </w:rPr>
        <w:t>e</w:t>
      </w:r>
      <w:r w:rsidRPr="00EC50AF">
        <w:t xml:space="preserve"> siècle, le projet démocr</w:t>
      </w:r>
      <w:r w:rsidRPr="00EC50AF">
        <w:t>a</w:t>
      </w:r>
      <w:r w:rsidRPr="00EC50AF">
        <w:t>tique s’affirme en sa double composante : égalitaire et libér</w:t>
      </w:r>
      <w:r w:rsidRPr="00EC50AF">
        <w:t>a</w:t>
      </w:r>
      <w:r w:rsidRPr="00EC50AF">
        <w:t>le </w:t>
      </w:r>
      <w:r>
        <w:rPr>
          <w:rStyle w:val="Appelnotedebasdep"/>
        </w:rPr>
        <w:footnoteReference w:id="233"/>
      </w:r>
      <w:r w:rsidRPr="00EC50AF">
        <w:t>.</w:t>
      </w:r>
    </w:p>
    <w:p w14:paraId="2E241FB6" w14:textId="77777777" w:rsidR="00B01930" w:rsidRPr="00EC50AF" w:rsidRDefault="00B01930" w:rsidP="00B01930">
      <w:pPr>
        <w:spacing w:before="120" w:after="120"/>
        <w:jc w:val="both"/>
      </w:pPr>
      <w:r w:rsidRPr="00EC50AF">
        <w:t>Il faut souligner que seul le détenteur du pouvoir est affecté, l’exercice du pouvoir ne change pas. Il y a autonomie relative des éléments. Dès lors, on s’aperçoit qu’il y a eu coïncidence de la plus grande légitimité avec la plus grande autorité sur le plan de l’exercice du pouvoir, allant jusqu’à l’autoritarisme absolu (</w:t>
      </w:r>
      <w:r w:rsidRPr="00EC50AF">
        <w:rPr>
          <w:i/>
        </w:rPr>
        <w:t>cf</w:t>
      </w:r>
      <w:r w:rsidRPr="00EC50AF">
        <w:t>. les démocraties populaires et la dictature du prolétariat avec le marxisme, par exe</w:t>
      </w:r>
      <w:r w:rsidRPr="00EC50AF">
        <w:t>m</w:t>
      </w:r>
      <w:r w:rsidRPr="00EC50AF">
        <w:t xml:space="preserve">ple). Le libéralisme correspondrait-il alors à l’affaiblissement de la légitimité ? Il ne serait pas, en son essence, propre à la démocratie. On pourrait ainsi avancer que la monarchie du </w:t>
      </w:r>
      <w:r w:rsidRPr="00EC50AF">
        <w:rPr>
          <w:smallCaps/>
        </w:rPr>
        <w:t>xviii</w:t>
      </w:r>
      <w:r w:rsidRPr="00EC50AF">
        <w:rPr>
          <w:vertAlign w:val="superscript"/>
        </w:rPr>
        <w:t>e</w:t>
      </w:r>
      <w:r w:rsidRPr="00EC50AF">
        <w:t xml:space="preserve"> siècle fut, sans do</w:t>
      </w:r>
      <w:r w:rsidRPr="00EC50AF">
        <w:t>u</w:t>
      </w:r>
      <w:r w:rsidRPr="00EC50AF">
        <w:t xml:space="preserve">te, plus libérale que la démocratie du </w:t>
      </w:r>
      <w:r w:rsidRPr="00EC50AF">
        <w:rPr>
          <w:smallCaps/>
        </w:rPr>
        <w:t>xix</w:t>
      </w:r>
      <w:r w:rsidRPr="00EC50AF">
        <w:rPr>
          <w:vertAlign w:val="superscript"/>
        </w:rPr>
        <w:t>e</w:t>
      </w:r>
      <w:r w:rsidRPr="00EC50AF">
        <w:t xml:space="preserve"> siècle ou du début du </w:t>
      </w:r>
      <w:r w:rsidRPr="00EC50AF">
        <w:rPr>
          <w:rFonts w:eastAsia="Arial Unicode MS"/>
          <w:smallCaps/>
        </w:rPr>
        <w:t>xx</w:t>
      </w:r>
      <w:r w:rsidRPr="00EC50AF">
        <w:rPr>
          <w:rFonts w:eastAsia="Arial Unicode MS"/>
          <w:vertAlign w:val="superscript"/>
        </w:rPr>
        <w:t>e</w:t>
      </w:r>
      <w:r w:rsidRPr="00EC50AF">
        <w:t xml:space="preserve"> siècle.</w:t>
      </w:r>
    </w:p>
    <w:p w14:paraId="3AE14CDA" w14:textId="77777777" w:rsidR="00B01930" w:rsidRDefault="00B01930" w:rsidP="00B01930">
      <w:pPr>
        <w:spacing w:before="120" w:after="120"/>
        <w:jc w:val="both"/>
      </w:pPr>
      <w:bookmarkStart w:id="54" w:name="_Toc494111633"/>
      <w:bookmarkStart w:id="55" w:name="_Toc494277628"/>
      <w:bookmarkStart w:id="56" w:name="_Toc499541007"/>
      <w:bookmarkStart w:id="57" w:name="_Toc504399645"/>
      <w:bookmarkStart w:id="58" w:name="_Toc504406280"/>
      <w:bookmarkStart w:id="59" w:name="_Toc524329869"/>
    </w:p>
    <w:p w14:paraId="704E28D3" w14:textId="77777777" w:rsidR="00B01930" w:rsidRPr="00EC50AF" w:rsidRDefault="00B01930" w:rsidP="00B01930">
      <w:pPr>
        <w:pStyle w:val="b"/>
      </w:pPr>
      <w:r w:rsidRPr="00EC50AF">
        <w:t>Exceptions</w:t>
      </w:r>
      <w:bookmarkEnd w:id="54"/>
      <w:bookmarkEnd w:id="55"/>
      <w:bookmarkEnd w:id="56"/>
      <w:bookmarkEnd w:id="57"/>
      <w:bookmarkEnd w:id="58"/>
      <w:bookmarkEnd w:id="59"/>
    </w:p>
    <w:p w14:paraId="01811A7F" w14:textId="77777777" w:rsidR="00B01930" w:rsidRDefault="00B01930" w:rsidP="00B01930">
      <w:pPr>
        <w:spacing w:before="120" w:after="120"/>
        <w:jc w:val="both"/>
      </w:pPr>
    </w:p>
    <w:p w14:paraId="50E226B8" w14:textId="77777777" w:rsidR="00B01930" w:rsidRPr="00EC50AF" w:rsidRDefault="00B01930" w:rsidP="00B01930">
      <w:pPr>
        <w:spacing w:before="120" w:after="120"/>
        <w:jc w:val="both"/>
      </w:pPr>
      <w:r w:rsidRPr="00EC50AF">
        <w:t>Jean-Louis Martres admet que toute « démonstration » a</w:t>
      </w:r>
      <w:r w:rsidRPr="00EC50AF">
        <w:t>p</w:t>
      </w:r>
      <w:r w:rsidRPr="00EC50AF">
        <w:t>pelle des exceptions « car la mathématique sociale donne naissance à des thé</w:t>
      </w:r>
      <w:r w:rsidRPr="00EC50AF">
        <w:t>o</w:t>
      </w:r>
      <w:r w:rsidRPr="00EC50AF">
        <w:t>rèmes aléatoires </w:t>
      </w:r>
      <w:r>
        <w:rPr>
          <w:rStyle w:val="Appelnotedebasdep"/>
        </w:rPr>
        <w:footnoteReference w:id="234"/>
      </w:r>
      <w:r w:rsidRPr="00EC50AF">
        <w:t> ».</w:t>
      </w:r>
    </w:p>
    <w:p w14:paraId="0EF43D9C" w14:textId="77777777" w:rsidR="00B01930" w:rsidRPr="00EC50AF" w:rsidRDefault="00B01930" w:rsidP="00B01930">
      <w:pPr>
        <w:spacing w:before="120" w:after="120"/>
        <w:jc w:val="both"/>
      </w:pPr>
      <w:r w:rsidRPr="00EC50AF">
        <w:t>Il en retient deux, essentielles : l’Antiquité et la Démocratie. L’Occident semble avoir vécu d’autres périodes sans phénom</w:t>
      </w:r>
      <w:r w:rsidRPr="00EC50AF">
        <w:t>è</w:t>
      </w:r>
      <w:r w:rsidRPr="00EC50AF">
        <w:t>ne de l’ampleur qui a frappé le continuum chrétien. Comme le notait Etie</w:t>
      </w:r>
      <w:r w:rsidRPr="00EC50AF">
        <w:t>n</w:t>
      </w:r>
      <w:r w:rsidRPr="00EC50AF">
        <w:t>ne Gilson </w:t>
      </w:r>
      <w:r>
        <w:rPr>
          <w:rStyle w:val="Appelnotedebasdep"/>
        </w:rPr>
        <w:footnoteReference w:id="235"/>
      </w:r>
      <w:r w:rsidRPr="00EC50AF">
        <w:t>, « ces phénomènes inconnus des a</w:t>
      </w:r>
      <w:r w:rsidRPr="00EC50AF">
        <w:t>n</w:t>
      </w:r>
      <w:r w:rsidRPr="00EC50AF">
        <w:t>ciens, l’hérésie et l’hérétique. Ce qui [n’était] dans la cité terrestre qu’opinion libre [d</w:t>
      </w:r>
      <w:r w:rsidRPr="00EC50AF">
        <w:t>e</w:t>
      </w:r>
      <w:r w:rsidRPr="00EC50AF">
        <w:t>vient] dans la Cité de Dieu rupture du lien doctrinal qui fait son unité et par cons</w:t>
      </w:r>
      <w:r w:rsidRPr="00EC50AF">
        <w:t>é</w:t>
      </w:r>
      <w:r w:rsidRPr="00EC50AF">
        <w:t>quent du lien social qui assure son existence ».</w:t>
      </w:r>
    </w:p>
    <w:p w14:paraId="4AEC43AB" w14:textId="77777777" w:rsidR="00B01930" w:rsidRPr="00EC50AF" w:rsidRDefault="00B01930" w:rsidP="00B01930">
      <w:pPr>
        <w:spacing w:before="120" w:after="120"/>
        <w:jc w:val="both"/>
      </w:pPr>
      <w:r w:rsidRPr="00EC50AF">
        <w:t>C’est le cas de l’Antiquité </w:t>
      </w:r>
      <w:r>
        <w:rPr>
          <w:rStyle w:val="Appelnotedebasdep"/>
        </w:rPr>
        <w:footnoteReference w:id="236"/>
      </w:r>
      <w:r w:rsidRPr="00EC50AF">
        <w:t>. Par exemple, Rome fut avant tout une force politique. Toute la vie de l’Urbs sera conditionnée par la « politique extérieure ». « Rome devint de plus en plus un remarqu</w:t>
      </w:r>
      <w:r w:rsidRPr="00EC50AF">
        <w:t>a</w:t>
      </w:r>
      <w:r w:rsidRPr="00EC50AF">
        <w:t>ble prototype de l’expansionnisme sans frein […] et de matérialisme sans scrupule </w:t>
      </w:r>
      <w:r>
        <w:rPr>
          <w:rStyle w:val="Appelnotedebasdep"/>
        </w:rPr>
        <w:footnoteReference w:id="237"/>
      </w:r>
      <w:r w:rsidRPr="00EC50AF">
        <w:t> » et « la bassesse et la corruption ont su atteindre à la grandeur </w:t>
      </w:r>
      <w:r>
        <w:rPr>
          <w:rStyle w:val="Appelnotedebasdep"/>
        </w:rPr>
        <w:footnoteReference w:id="238"/>
      </w:r>
      <w:r w:rsidRPr="00EC50AF">
        <w:t> ». La société romaine offre l’exemple d’une culture polit</w:t>
      </w:r>
      <w:r w:rsidRPr="00EC50AF">
        <w:t>i</w:t>
      </w:r>
      <w:r w:rsidRPr="00EC50AF">
        <w:t>que reposant sur des croyances et des philosophies peu rigoureuses et diffuses subordonnées aux exigences politiques </w:t>
      </w:r>
      <w:r>
        <w:rPr>
          <w:rStyle w:val="Appelnotedebasdep"/>
        </w:rPr>
        <w:footnoteReference w:id="239"/>
      </w:r>
      <w:r w:rsidRPr="00EC50AF">
        <w:t>. La tolérance roma</w:t>
      </w:r>
      <w:r w:rsidRPr="00EC50AF">
        <w:t>i</w:t>
      </w:r>
      <w:r w:rsidRPr="00EC50AF">
        <w:t>ne se fondait sur la précaution et l’utilité. La multiplicité et l’assimilation caractérisaient le Panthéon romain. Mais le R</w:t>
      </w:r>
      <w:r w:rsidRPr="00EC50AF">
        <w:t>o</w:t>
      </w:r>
      <w:r w:rsidRPr="00EC50AF">
        <w:t>main se méfiait des nouveautés radicales. Le stoïcisme, par son universalisme, sera, un temps, la cheville ouvrière de l’Empire et sa justific</w:t>
      </w:r>
      <w:r w:rsidRPr="00EC50AF">
        <w:t>a</w:t>
      </w:r>
      <w:r w:rsidRPr="00EC50AF">
        <w:t>tion. Prônant tout à la fois l’action et le retrait, le courage et le mépris des résultats, il permettra de légitimer tous les opport</w:t>
      </w:r>
      <w:r w:rsidRPr="00EC50AF">
        <w:t>u</w:t>
      </w:r>
      <w:r w:rsidRPr="00EC50AF">
        <w:t>nismes. Mais il ne répondra pas aux besoins des masses confrontées à des crises s</w:t>
      </w:r>
      <w:r w:rsidRPr="00EC50AF">
        <w:t>o</w:t>
      </w:r>
      <w:r w:rsidRPr="00EC50AF">
        <w:t>ciales, à l’afflux d’éléments étra</w:t>
      </w:r>
      <w:r w:rsidRPr="00EC50AF">
        <w:t>n</w:t>
      </w:r>
      <w:r w:rsidRPr="00EC50AF">
        <w:t>gers, au culte de l’efficacité et aux luttes acharnées pour le po</w:t>
      </w:r>
      <w:r w:rsidRPr="00EC50AF">
        <w:t>u</w:t>
      </w:r>
      <w:r w:rsidRPr="00EC50AF">
        <w:t>voir.</w:t>
      </w:r>
    </w:p>
    <w:p w14:paraId="64ECC139" w14:textId="77777777" w:rsidR="00B01930" w:rsidRPr="00EC50AF" w:rsidRDefault="00B01930" w:rsidP="00B01930">
      <w:pPr>
        <w:spacing w:before="120" w:after="120"/>
        <w:jc w:val="both"/>
      </w:pPr>
      <w:r w:rsidRPr="00EC50AF">
        <w:t>Deux attitudes vont s’observer. L’épicurisme, qui va cons</w:t>
      </w:r>
      <w:r w:rsidRPr="00EC50AF">
        <w:t>i</w:t>
      </w:r>
      <w:r w:rsidRPr="00EC50AF">
        <w:t>dérer l’ordre romain comme un ordre comme un autre, et pr</w:t>
      </w:r>
      <w:r w:rsidRPr="00EC50AF">
        <w:t>é</w:t>
      </w:r>
      <w:r w:rsidRPr="00EC50AF">
        <w:t>coniser pour l’individu la recherche de la sécurité de l’âme, ce qui suscite l’apolitisme, l’obéissance sans engagement et le r</w:t>
      </w:r>
      <w:r w:rsidRPr="00EC50AF">
        <w:t>e</w:t>
      </w:r>
      <w:r w:rsidRPr="00EC50AF">
        <w:t>trait, ce qui pouvait anéantir « l’esprit d’entreprise » à la source de la puissance r</w:t>
      </w:r>
      <w:r w:rsidRPr="00EC50AF">
        <w:t>o</w:t>
      </w:r>
      <w:r w:rsidRPr="00EC50AF">
        <w:t>maine et de sa civilisation. Ensuite le my</w:t>
      </w:r>
      <w:r w:rsidRPr="00EC50AF">
        <w:t>s</w:t>
      </w:r>
      <w:r w:rsidRPr="00EC50AF">
        <w:t>ticisme naît de la diffusion de la culture hellénistique qui répondra aux questions d’une société ration</w:t>
      </w:r>
      <w:r w:rsidRPr="00EC50AF">
        <w:t>a</w:t>
      </w:r>
      <w:r w:rsidRPr="00EC50AF">
        <w:t>liste du fait que ces cultes sécurisaient le Romain en donnant un sens à sa vie. On pensait que ces cultes et ces sectes étaient compatibles dans le cadre défini par l’État. L’important était de respecter les rites liés au pouvoir et aux institutions.</w:t>
      </w:r>
    </w:p>
    <w:p w14:paraId="69BD9A32" w14:textId="77777777" w:rsidR="00B01930" w:rsidRPr="00EC50AF" w:rsidRDefault="00B01930" w:rsidP="00B01930">
      <w:pPr>
        <w:spacing w:before="120" w:after="120"/>
        <w:jc w:val="both"/>
      </w:pPr>
      <w:r w:rsidRPr="00EC50AF">
        <w:t>Face au développement du christianisme, une seule question d</w:t>
      </w:r>
      <w:r w:rsidRPr="00EC50AF">
        <w:t>é</w:t>
      </w:r>
      <w:r w:rsidRPr="00EC50AF">
        <w:t>terminera Rome : l’existence des chrétiens était-elle compatible avec les intérêts de l’État </w:t>
      </w:r>
      <w:r>
        <w:rPr>
          <w:rStyle w:val="Appelnotedebasdep"/>
        </w:rPr>
        <w:footnoteReference w:id="240"/>
      </w:r>
      <w:r w:rsidRPr="00EC50AF">
        <w:t> ? Par rapport aux cultes à mystères, le christi</w:t>
      </w:r>
      <w:r w:rsidRPr="00EC50AF">
        <w:t>a</w:t>
      </w:r>
      <w:r w:rsidRPr="00EC50AF">
        <w:t>nisme avait la particularité de s’opposer radicalement à la culture r</w:t>
      </w:r>
      <w:r w:rsidRPr="00EC50AF">
        <w:t>o</w:t>
      </w:r>
      <w:r w:rsidRPr="00EC50AF">
        <w:t>maine et se posait en alternative, et même en successeur. Tout en re</w:t>
      </w:r>
      <w:r w:rsidRPr="00EC50AF">
        <w:t>s</w:t>
      </w:r>
      <w:r w:rsidRPr="00EC50AF">
        <w:t>tant soi, il s’intégrait dans la société qu’il rongeait. D’où une suite de sursauts de défense du « paganisme », notamment quand, sorti des milieux populaires, il to</w:t>
      </w:r>
      <w:r w:rsidRPr="00EC50AF">
        <w:t>u</w:t>
      </w:r>
      <w:r w:rsidRPr="00EC50AF">
        <w:t>cha l’aristocratie (dès Domitien</w:t>
      </w:r>
      <w:r w:rsidRPr="00337B2C">
        <w:t>,</w:t>
      </w:r>
      <w:r w:rsidRPr="00EC50AF">
        <w:t xml:space="preserve"> 51-96 après J.-C.), atte</w:t>
      </w:r>
      <w:r w:rsidRPr="00EC50AF">
        <w:t>i</w:t>
      </w:r>
      <w:r w:rsidRPr="00EC50AF">
        <w:t>gnant Rome en son cœur jusqu’au point de non-retour.</w:t>
      </w:r>
    </w:p>
    <w:p w14:paraId="29D15EFC" w14:textId="77777777" w:rsidR="00B01930" w:rsidRPr="00EC50AF" w:rsidRDefault="00B01930" w:rsidP="00B01930">
      <w:pPr>
        <w:spacing w:before="120" w:after="120"/>
        <w:jc w:val="both"/>
      </w:pPr>
      <w:r w:rsidRPr="00EC50AF">
        <w:t>Hormis l’Antiquité, Jean-Louis Martres s’interroge sur la p</w:t>
      </w:r>
      <w:r w:rsidRPr="00EC50AF">
        <w:t>é</w:t>
      </w:r>
      <w:r w:rsidRPr="00EC50AF">
        <w:t>riode démocratique, exception au code transformationnel ou au contraire « régime capable d’intégrer l’utopie, l’hérésie et la révolution afin d‘en faire son moteur technologique [qui conjurerait] l’entropie dég</w:t>
      </w:r>
      <w:r w:rsidRPr="00EC50AF">
        <w:t>é</w:t>
      </w:r>
      <w:r w:rsidRPr="00EC50AF">
        <w:t>nérative auquel conduit d’ordinaire l’usure du pouvoir </w:t>
      </w:r>
      <w:r>
        <w:rPr>
          <w:rStyle w:val="Appelnotedebasdep"/>
        </w:rPr>
        <w:footnoteReference w:id="241"/>
      </w:r>
      <w:r w:rsidRPr="00EC50AF">
        <w:t> ».</w:t>
      </w:r>
    </w:p>
    <w:p w14:paraId="6035B5D2" w14:textId="77777777" w:rsidR="00B01930" w:rsidRPr="00EC50AF" w:rsidRDefault="00B01930" w:rsidP="00B01930">
      <w:pPr>
        <w:spacing w:before="120" w:after="120"/>
        <w:jc w:val="both"/>
      </w:pPr>
      <w:r w:rsidRPr="00EC50AF">
        <w:t>Le bonheur, après avoir été céleste, présente « tous les a</w:t>
      </w:r>
      <w:r w:rsidRPr="00EC50AF">
        <w:t>t</w:t>
      </w:r>
      <w:r w:rsidRPr="00EC50AF">
        <w:t>traits de la matérialité </w:t>
      </w:r>
      <w:r>
        <w:rPr>
          <w:rStyle w:val="Appelnotedebasdep"/>
        </w:rPr>
        <w:footnoteReference w:id="242"/>
      </w:r>
      <w:r w:rsidRPr="00EC50AF">
        <w:t> ». Sans cesse poursuivi, jamais atteint, il ressemble fort à l’utopie : passé parfait d’un côté, avenir idéal de l’autre. Selon Jean-Louis Martres, l’utopie s’incarnerait dans des groupes opposés en lutte pour le pouvoir ; l’hérésie se ve</w:t>
      </w:r>
      <w:r w:rsidRPr="00EC50AF">
        <w:t>r</w:t>
      </w:r>
      <w:r w:rsidRPr="00EC50AF">
        <w:t>rait institutionnalisée, la majorité et l’opposition étant alternat</w:t>
      </w:r>
      <w:r w:rsidRPr="00EC50AF">
        <w:t>i</w:t>
      </w:r>
      <w:r w:rsidRPr="00EC50AF">
        <w:t>vement « orthodoxes » ou « hérétiques » selon qu’elles sont au pouvoir ou non, mais en accord sur les règles du jeu (le consensus). Dès lors il faut « jouer » le duel mortel en radical</w:t>
      </w:r>
      <w:r w:rsidRPr="00EC50AF">
        <w:t>i</w:t>
      </w:r>
      <w:r w:rsidRPr="00EC50AF">
        <w:t>sant le discours pour gagner les électeurs. L’alternance en démocratie et la scission acceptée entre majorité et opposition permettent de re</w:t>
      </w:r>
      <w:r w:rsidRPr="00EC50AF">
        <w:t>s</w:t>
      </w:r>
      <w:r w:rsidRPr="00EC50AF">
        <w:t>pecter institutionnellement le rythme dualiste de la pensée occ</w:t>
      </w:r>
      <w:r w:rsidRPr="00EC50AF">
        <w:t>i</w:t>
      </w:r>
      <w:r w:rsidRPr="00EC50AF">
        <w:t>dentale et de briser la logique de succession qui régissait l’usure des possibles des époques antérieures.</w:t>
      </w:r>
    </w:p>
    <w:p w14:paraId="078D360C" w14:textId="77777777" w:rsidR="00B01930" w:rsidRPr="00EC50AF" w:rsidRDefault="00B01930" w:rsidP="00B01930">
      <w:pPr>
        <w:spacing w:before="120" w:after="120"/>
        <w:jc w:val="both"/>
      </w:pPr>
      <w:r w:rsidRPr="00EC50AF">
        <w:t>Pour autant, ce pluralisme revendiqué ne fait pas disparaître les traces du « manichéisme inégalitaire » qui joue « sa partition sur un mode mineur </w:t>
      </w:r>
      <w:r>
        <w:rPr>
          <w:rStyle w:val="Appelnotedebasdep"/>
        </w:rPr>
        <w:footnoteReference w:id="243"/>
      </w:r>
      <w:r w:rsidRPr="00EC50AF">
        <w:t> ». Le temps et l’espoir d’un avenir radieux se manife</w:t>
      </w:r>
      <w:r w:rsidRPr="00EC50AF">
        <w:t>s</w:t>
      </w:r>
      <w:r w:rsidRPr="00EC50AF">
        <w:t>tent dans la propagande électorale. Le changement (en soi) rempl</w:t>
      </w:r>
      <w:r w:rsidRPr="00EC50AF">
        <w:t>a</w:t>
      </w:r>
      <w:r w:rsidRPr="00EC50AF">
        <w:t>ce le mythe de la révolution. Il est son succédané, il se suffit à lui-même : parti du politique –« terre » d’origine – il s’est immiscé dans les rel</w:t>
      </w:r>
      <w:r w:rsidRPr="00EC50AF">
        <w:t>a</w:t>
      </w:r>
      <w:r w:rsidRPr="00EC50AF">
        <w:t>tions sociales, les entreprises, les comportements individuels, avec son corollaire, la m</w:t>
      </w:r>
      <w:r w:rsidRPr="00EC50AF">
        <w:t>o</w:t>
      </w:r>
      <w:r w:rsidRPr="00EC50AF">
        <w:t xml:space="preserve">dernité. Ils sont le </w:t>
      </w:r>
      <w:r w:rsidRPr="00EC50AF">
        <w:rPr>
          <w:i/>
        </w:rPr>
        <w:t>deus ex machina</w:t>
      </w:r>
      <w:r w:rsidRPr="00EC50AF">
        <w:t xml:space="preserve"> de nos sociétés (avec ses prêtres : gourous, coachs, consultants, « </w:t>
      </w:r>
      <w:r w:rsidRPr="00EC50AF">
        <w:rPr>
          <w:i/>
        </w:rPr>
        <w:t>spin do</w:t>
      </w:r>
      <w:r w:rsidRPr="00EC50AF">
        <w:rPr>
          <w:i/>
        </w:rPr>
        <w:t>c</w:t>
      </w:r>
      <w:r w:rsidRPr="00EC50AF">
        <w:rPr>
          <w:i/>
        </w:rPr>
        <w:t>tors </w:t>
      </w:r>
      <w:r w:rsidRPr="00EC50AF">
        <w:t>») qui conduira à la Cité idéale. Il y a même toute « une technologie manag</w:t>
      </w:r>
      <w:r w:rsidRPr="00EC50AF">
        <w:t>é</w:t>
      </w:r>
      <w:r w:rsidRPr="00EC50AF">
        <w:t>riale » pour vaincre la « résistance au changement », ce qui n’est pas sans analogie avec le mot d’ordre de tout révolutionnaire : « briser les chaînes », pour accéder à la Vérité, au Bien. Mais on so</w:t>
      </w:r>
      <w:r w:rsidRPr="00EC50AF">
        <w:t>n</w:t>
      </w:r>
      <w:r w:rsidRPr="00EC50AF">
        <w:t>ge à cette plaisanterie qui avait cours à l’époque de l’Union soviét</w:t>
      </w:r>
      <w:r w:rsidRPr="00EC50AF">
        <w:t>i</w:t>
      </w:r>
      <w:r w:rsidRPr="00EC50AF">
        <w:t>que : « Qu’est-ce que le communisme camarade ? C’est-ce qui se pr</w:t>
      </w:r>
      <w:r w:rsidRPr="00EC50AF">
        <w:t>o</w:t>
      </w:r>
      <w:r w:rsidRPr="00EC50AF">
        <w:t>file à l’horizon. Qu’est-ce que l’horizon, camarade ? C’est ce qui s’éloigne au fur et à mesure qu’on avance </w:t>
      </w:r>
      <w:r>
        <w:rPr>
          <w:rStyle w:val="Appelnotedebasdep"/>
        </w:rPr>
        <w:footnoteReference w:id="244"/>
      </w:r>
      <w:r w:rsidRPr="00EC50AF">
        <w:t>. »</w:t>
      </w:r>
    </w:p>
    <w:p w14:paraId="4F5F2E65" w14:textId="77777777" w:rsidR="00B01930" w:rsidRPr="00EC50AF" w:rsidRDefault="00B01930" w:rsidP="00B01930">
      <w:pPr>
        <w:spacing w:before="120" w:after="120"/>
        <w:jc w:val="both"/>
      </w:pPr>
      <w:r w:rsidRPr="00EC50AF">
        <w:t>La Démocratie implique un vertige existentiel, car elle po</w:t>
      </w:r>
      <w:r w:rsidRPr="00EC50AF">
        <w:t>s</w:t>
      </w:r>
      <w:r w:rsidRPr="00EC50AF">
        <w:t>tule « un relativisme » culturel insupportable à qui cherche un « sens unique » à l’explication de la réalité du monde. Restaurer ce « sens univoque conduirait à la destruction du régime lui-même </w:t>
      </w:r>
      <w:r>
        <w:rPr>
          <w:rStyle w:val="Appelnotedebasdep"/>
        </w:rPr>
        <w:footnoteReference w:id="245"/>
      </w:r>
      <w:r w:rsidRPr="00EC50AF">
        <w:t> ». Dès lors, la que</w:t>
      </w:r>
      <w:r w:rsidRPr="00EC50AF">
        <w:t>s</w:t>
      </w:r>
      <w:r w:rsidRPr="00EC50AF">
        <w:t>tion est : jusqu’où peut-elle supporter des oscillations frôlant les e</w:t>
      </w:r>
      <w:r w:rsidRPr="00EC50AF">
        <w:t>x</w:t>
      </w:r>
      <w:r w:rsidRPr="00EC50AF">
        <w:t>trêmes ?</w:t>
      </w:r>
    </w:p>
    <w:p w14:paraId="1183AFD6" w14:textId="77777777" w:rsidR="00B01930" w:rsidRDefault="00B01930" w:rsidP="00B01930">
      <w:pPr>
        <w:pStyle w:val="citation"/>
      </w:pPr>
    </w:p>
    <w:p w14:paraId="03FD61BD" w14:textId="77777777" w:rsidR="00B01930" w:rsidRPr="00EC50AF" w:rsidRDefault="00B01930" w:rsidP="00B01930">
      <w:pPr>
        <w:pStyle w:val="citation"/>
      </w:pPr>
      <w:r w:rsidRPr="00EC50AF">
        <w:t>Le ciel du panthéon moderne apparaît singulièrement vide aux z</w:t>
      </w:r>
      <w:r w:rsidRPr="00EC50AF">
        <w:t>é</w:t>
      </w:r>
      <w:r w:rsidRPr="00EC50AF">
        <w:t>lotes d’un dieu unique (quel que soit son nom). […] Réfugié dans un exil agre</w:t>
      </w:r>
      <w:r w:rsidRPr="00EC50AF">
        <w:t>s</w:t>
      </w:r>
      <w:r w:rsidRPr="00EC50AF">
        <w:t>sif à l’intérieur même de la société, le vieux dragon man</w:t>
      </w:r>
      <w:r w:rsidRPr="00EC50AF">
        <w:t>i</w:t>
      </w:r>
      <w:r w:rsidRPr="00EC50AF">
        <w:t>chéen guettera la venue des catastrophes ou des désillusions pour r</w:t>
      </w:r>
      <w:r w:rsidRPr="00EC50AF">
        <w:t>é</w:t>
      </w:r>
      <w:r w:rsidRPr="00EC50AF">
        <w:t>apparaître. Embusqué dans les replis de la conscience collective, il attend co</w:t>
      </w:r>
      <w:r w:rsidRPr="00EC50AF">
        <w:t>m</w:t>
      </w:r>
      <w:r w:rsidRPr="00EC50AF">
        <w:t>me rosée d’aurore la crise du système ; tentant en secret de refaire ses forces, il est prêt à su</w:t>
      </w:r>
      <w:r w:rsidRPr="00EC50AF">
        <w:t>r</w:t>
      </w:r>
      <w:r w:rsidRPr="00EC50AF">
        <w:t>gir de nouveau pour brandir ses séduisants maléfices et ca</w:t>
      </w:r>
      <w:r w:rsidRPr="00EC50AF">
        <w:t>p</w:t>
      </w:r>
      <w:r w:rsidRPr="00EC50AF">
        <w:t>turer l’opinion. Cette menace, incluse dans le régime démocratique peut brusquement r</w:t>
      </w:r>
      <w:r w:rsidRPr="00EC50AF">
        <w:t>e</w:t>
      </w:r>
      <w:r w:rsidRPr="00EC50AF">
        <w:t>surgir à tout moment et le subvertir </w:t>
      </w:r>
      <w:r>
        <w:rPr>
          <w:rStyle w:val="Appelnotedebasdep"/>
        </w:rPr>
        <w:footnoteReference w:id="246"/>
      </w:r>
      <w:r w:rsidRPr="00EC50AF">
        <w:t>.</w:t>
      </w:r>
    </w:p>
    <w:p w14:paraId="2A9B3D98" w14:textId="77777777" w:rsidR="00B01930" w:rsidRDefault="00B01930" w:rsidP="00B01930">
      <w:pPr>
        <w:spacing w:before="120" w:after="120"/>
        <w:jc w:val="both"/>
      </w:pPr>
      <w:bookmarkStart w:id="60" w:name="_Toc494111634"/>
      <w:bookmarkStart w:id="61" w:name="_Toc494277629"/>
      <w:bookmarkStart w:id="62" w:name="_Toc499541008"/>
      <w:bookmarkStart w:id="63" w:name="_Toc504399646"/>
      <w:bookmarkStart w:id="64" w:name="_Toc504406281"/>
      <w:bookmarkStart w:id="65" w:name="_Toc524329870"/>
    </w:p>
    <w:p w14:paraId="2096B0F6" w14:textId="77777777" w:rsidR="00B01930" w:rsidRPr="00EC50AF" w:rsidRDefault="00B01930" w:rsidP="00B01930">
      <w:pPr>
        <w:pStyle w:val="a"/>
      </w:pPr>
      <w:bookmarkStart w:id="66" w:name="Analyser_idees_pol_pt_1_texte_01b_2b"/>
      <w:r>
        <w:t xml:space="preserve">B. </w:t>
      </w:r>
      <w:r w:rsidRPr="00EC50AF">
        <w:t>Le mouvement synchronique</w:t>
      </w:r>
      <w:bookmarkEnd w:id="60"/>
      <w:bookmarkEnd w:id="61"/>
      <w:bookmarkEnd w:id="62"/>
      <w:bookmarkEnd w:id="63"/>
      <w:bookmarkEnd w:id="64"/>
      <w:bookmarkEnd w:id="65"/>
    </w:p>
    <w:bookmarkEnd w:id="66"/>
    <w:p w14:paraId="500F7E72" w14:textId="77777777" w:rsidR="00B01930" w:rsidRDefault="00B01930" w:rsidP="00B01930">
      <w:pPr>
        <w:spacing w:before="120" w:after="120"/>
        <w:jc w:val="both"/>
      </w:pPr>
    </w:p>
    <w:p w14:paraId="7D72B447"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347AF1F8" w14:textId="77777777" w:rsidR="00B01930" w:rsidRPr="00EC50AF" w:rsidRDefault="00B01930" w:rsidP="00B01930">
      <w:pPr>
        <w:spacing w:before="120" w:after="120"/>
        <w:jc w:val="both"/>
      </w:pPr>
      <w:r w:rsidRPr="00EC50AF">
        <w:t>Il s’agit de « décrire les liaisons du “bas vers le haut” entre les changements inte</w:t>
      </w:r>
      <w:r w:rsidRPr="00EC50AF">
        <w:t>r</w:t>
      </w:r>
      <w:r w:rsidRPr="00EC50AF">
        <w:t>venant dans différents segments de la société et la modification des idées </w:t>
      </w:r>
      <w:r>
        <w:rPr>
          <w:rStyle w:val="Appelnotedebasdep"/>
        </w:rPr>
        <w:footnoteReference w:id="247"/>
      </w:r>
      <w:r w:rsidRPr="00EC50AF">
        <w:t> ». Autrement dit, « la recherche d’une sy</w:t>
      </w:r>
      <w:r w:rsidRPr="00EC50AF">
        <w:t>n</w:t>
      </w:r>
      <w:r w:rsidRPr="00EC50AF">
        <w:t>chronie s’intéresse donc plus particulièrement au mode de commun</w:t>
      </w:r>
      <w:r w:rsidRPr="00EC50AF">
        <w:t>i</w:t>
      </w:r>
      <w:r w:rsidRPr="00EC50AF">
        <w:t>cation et de transmission des bouleversements se produisant dans di</w:t>
      </w:r>
      <w:r w:rsidRPr="00EC50AF">
        <w:t>f</w:t>
      </w:r>
      <w:r w:rsidRPr="00EC50AF">
        <w:t>férents domaines de la vie sociale [mais] sans chercher à en privilégier aucun »</w:t>
      </w:r>
      <w:r>
        <w:rPr>
          <w:rStyle w:val="Appelnotedebasdep"/>
        </w:rPr>
        <w:footnoteReference w:id="248"/>
      </w:r>
      <w:r w:rsidRPr="00EC50AF">
        <w:t>. Pour ce faire, Jean-Louis Martres va privilégier une appr</w:t>
      </w:r>
      <w:r w:rsidRPr="00EC50AF">
        <w:t>o</w:t>
      </w:r>
      <w:r w:rsidRPr="00EC50AF">
        <w:t>che fonctio</w:t>
      </w:r>
      <w:r w:rsidRPr="00EC50AF">
        <w:t>n</w:t>
      </w:r>
      <w:r w:rsidRPr="00EC50AF">
        <w:t>naliste des idées politiques.</w:t>
      </w:r>
    </w:p>
    <w:p w14:paraId="6BA17967" w14:textId="77777777" w:rsidR="00B01930" w:rsidRPr="00EC50AF" w:rsidRDefault="00B01930" w:rsidP="00B01930">
      <w:pPr>
        <w:spacing w:before="120" w:after="120"/>
        <w:jc w:val="both"/>
      </w:pPr>
      <w:r w:rsidRPr="00EC50AF">
        <w:t>Au préalable il se penche sur les formes de la pensée polit</w:t>
      </w:r>
      <w:r w:rsidRPr="00EC50AF">
        <w:t>i</w:t>
      </w:r>
      <w:r w:rsidRPr="00EC50AF">
        <w:t>que. Le code « connaît historiquement une multiplicité de su</w:t>
      </w:r>
      <w:r w:rsidRPr="00EC50AF">
        <w:t>p</w:t>
      </w:r>
      <w:r w:rsidRPr="00EC50AF">
        <w:t>ports [la poésie, l’art, les mythes] religions, philosophies, idéologies. Aucune d’entre elles n’est susceptible de se subst</w:t>
      </w:r>
      <w:r w:rsidRPr="00EC50AF">
        <w:t>i</w:t>
      </w:r>
      <w:r w:rsidRPr="00EC50AF">
        <w:t>tuer aux autres et leur spécificité reste intacte </w:t>
      </w:r>
      <w:r>
        <w:rPr>
          <w:rStyle w:val="Appelnotedebasdep"/>
        </w:rPr>
        <w:footnoteReference w:id="249"/>
      </w:r>
      <w:r w:rsidRPr="00EC50AF">
        <w:t> ». Mais l’approche fonctionnaliste les fait converger sur un point : do</w:t>
      </w:r>
      <w:r w:rsidRPr="00EC50AF">
        <w:t>n</w:t>
      </w:r>
      <w:r w:rsidRPr="00EC50AF">
        <w:t>ner du sens à une société </w:t>
      </w:r>
      <w:r>
        <w:rPr>
          <w:rStyle w:val="Appelnotedebasdep"/>
        </w:rPr>
        <w:footnoteReference w:id="250"/>
      </w:r>
      <w:r w:rsidRPr="00EC50AF">
        <w:t>. Chaque support coexiste plus ou moins avec les autres et, depuis l’époque moderne, il y a une « expression plurielle de la pensée politique et une cohabitation relat</w:t>
      </w:r>
      <w:r w:rsidRPr="00EC50AF">
        <w:t>i</w:t>
      </w:r>
      <w:r w:rsidRPr="00EC50AF">
        <w:t>vement pacifique entre certaines formes, mais aussi co</w:t>
      </w:r>
      <w:r w:rsidRPr="00EC50AF">
        <w:t>m</w:t>
      </w:r>
      <w:r w:rsidRPr="00EC50AF">
        <w:t>bat violent [par exemple entre religion et idéologie] ou tentation de synthèse [par exemple, en son temps, entre marxisme et religion cathol</w:t>
      </w:r>
      <w:r w:rsidRPr="00EC50AF">
        <w:t>i</w:t>
      </w:r>
      <w:r w:rsidRPr="00EC50AF">
        <w:t>que avec la “théologie de la libération”, condamnée et combattue par le Vat</w:t>
      </w:r>
      <w:r w:rsidRPr="00EC50AF">
        <w:t>i</w:t>
      </w:r>
      <w:r w:rsidRPr="00EC50AF">
        <w:t>can] </w:t>
      </w:r>
      <w:r>
        <w:rPr>
          <w:rStyle w:val="Appelnotedebasdep"/>
        </w:rPr>
        <w:footnoteReference w:id="251"/>
      </w:r>
      <w:r w:rsidRPr="00EC50AF">
        <w:t> ».</w:t>
      </w:r>
    </w:p>
    <w:p w14:paraId="2CBB5B1B" w14:textId="77777777" w:rsidR="00B01930" w:rsidRDefault="00B01930" w:rsidP="00B01930">
      <w:pPr>
        <w:spacing w:before="120" w:after="120"/>
        <w:jc w:val="both"/>
      </w:pPr>
      <w:r w:rsidRPr="00EC50AF">
        <w:t>Jean-Louis Martres, dans le cadre de son essai, va retenir les seuls supports de la pensée politique</w:t>
      </w:r>
    </w:p>
    <w:p w14:paraId="2AA2E9DC" w14:textId="77777777" w:rsidR="00B01930" w:rsidRDefault="00B01930" w:rsidP="00B01930">
      <w:pPr>
        <w:pStyle w:val="Citation00"/>
      </w:pPr>
    </w:p>
    <w:p w14:paraId="46F26899" w14:textId="77777777" w:rsidR="00B01930" w:rsidRDefault="00B01930" w:rsidP="00B01930">
      <w:pPr>
        <w:pStyle w:val="Citation00"/>
      </w:pPr>
      <w:r w:rsidRPr="00EC50AF">
        <w:t>qui portent un projet de société ou sont capables de modifier le cours des événements […]. En face s’inscrivent des essais avortés, sans force sociale pour les soutenir. Les premiers pourraient, dans un sens spécifique, rec</w:t>
      </w:r>
      <w:r w:rsidRPr="00EC50AF">
        <w:t>e</w:t>
      </w:r>
      <w:r w:rsidRPr="00EC50AF">
        <w:t>voir le nom de porteurs du code de valeurs, les autres, celui de « doctrines » en tant que parties intégrantes de l’histoire occidentale, rel</w:t>
      </w:r>
      <w:r w:rsidRPr="00EC50AF">
        <w:t>e</w:t>
      </w:r>
      <w:r w:rsidRPr="00EC50AF">
        <w:t>vant d’un genre littéraire ou académique spécifique. […] Toutes ont la même ambition au départ, celle de changer le monde. Ne nous concernent vraiment en fait que les thèses « révolutionnaires » ou réformatrices, sans faire exception pour des œuvres isolées, susceptibles de produire de pr</w:t>
      </w:r>
      <w:r w:rsidRPr="00EC50AF">
        <w:t>o</w:t>
      </w:r>
      <w:r w:rsidRPr="00EC50AF">
        <w:t>fonds ébranlements. Leur puissance croît en fonction de leur capacité à r</w:t>
      </w:r>
      <w:r w:rsidRPr="00EC50AF">
        <w:t>é</w:t>
      </w:r>
      <w:r w:rsidRPr="00EC50AF">
        <w:t>pondre à une interrogation globale sur le devenir ou l’idéal d’une s</w:t>
      </w:r>
      <w:r w:rsidRPr="00EC50AF">
        <w:t>o</w:t>
      </w:r>
      <w:r w:rsidRPr="00EC50AF">
        <w:t>ciété </w:t>
      </w:r>
      <w:r>
        <w:rPr>
          <w:rStyle w:val="Appelnotedebasdep"/>
        </w:rPr>
        <w:footnoteReference w:id="252"/>
      </w:r>
      <w:r w:rsidRPr="00EC50AF">
        <w:t>.</w:t>
      </w:r>
    </w:p>
    <w:p w14:paraId="5CA3A0F4" w14:textId="77777777" w:rsidR="00B01930" w:rsidRPr="00EC50AF" w:rsidRDefault="00B01930" w:rsidP="00B01930">
      <w:pPr>
        <w:pStyle w:val="Citation00"/>
      </w:pPr>
    </w:p>
    <w:p w14:paraId="0C6295A6" w14:textId="77777777" w:rsidR="00B01930" w:rsidRPr="00EC50AF" w:rsidRDefault="00B01930" w:rsidP="00B01930">
      <w:pPr>
        <w:spacing w:before="120" w:after="120"/>
        <w:jc w:val="both"/>
      </w:pPr>
      <w:r w:rsidRPr="00EC50AF">
        <w:t>C’est-à-dire que la doctrine est intéressante chaque fois qu’elle est le support du code de valeurs ou lui apporte une adjonction pouvant la faire varier et, en fonction des circonstances politiques, sociales, mat</w:t>
      </w:r>
      <w:r w:rsidRPr="00EC50AF">
        <w:t>é</w:t>
      </w:r>
      <w:r w:rsidRPr="00EC50AF">
        <w:t>rielles, culturelles, va se transfo</w:t>
      </w:r>
      <w:r w:rsidRPr="00EC50AF">
        <w:t>r</w:t>
      </w:r>
      <w:r w:rsidRPr="00EC50AF">
        <w:t>mer en idéologie, ou l’adapter aux évolutions de la société, ou justifier les décisions stratégiques des po</w:t>
      </w:r>
      <w:r w:rsidRPr="00EC50AF">
        <w:t>r</w:t>
      </w:r>
      <w:r w:rsidRPr="00EC50AF">
        <w:t>teurs de l’idéologie.</w:t>
      </w:r>
    </w:p>
    <w:p w14:paraId="3D13AF16" w14:textId="77777777" w:rsidR="00B01930" w:rsidRPr="00EC50AF" w:rsidRDefault="00B01930" w:rsidP="00B01930">
      <w:pPr>
        <w:spacing w:before="120" w:after="120"/>
        <w:jc w:val="both"/>
      </w:pPr>
      <w:r w:rsidRPr="00EC50AF">
        <w:t>Mais au-delà du mouvement fonctionnel, il semble qu’il y ait des mouvements qui ne le sont pas et qui, néanmoins, expl</w:t>
      </w:r>
      <w:r w:rsidRPr="00EC50AF">
        <w:t>i</w:t>
      </w:r>
      <w:r w:rsidRPr="00EC50AF">
        <w:t>queraient des changements.</w:t>
      </w:r>
    </w:p>
    <w:p w14:paraId="3730B828" w14:textId="77777777" w:rsidR="00B01930" w:rsidRDefault="00B01930" w:rsidP="00B01930">
      <w:pPr>
        <w:spacing w:before="120" w:after="120"/>
        <w:jc w:val="both"/>
      </w:pPr>
      <w:bookmarkStart w:id="67" w:name="_Toc494111635"/>
      <w:bookmarkStart w:id="68" w:name="_Toc494277630"/>
      <w:bookmarkStart w:id="69" w:name="_Toc499541009"/>
      <w:bookmarkStart w:id="70" w:name="_Toc504399647"/>
      <w:bookmarkStart w:id="71" w:name="_Toc504406282"/>
      <w:bookmarkStart w:id="72" w:name="_Toc524329871"/>
      <w:r>
        <w:br w:type="page"/>
      </w:r>
    </w:p>
    <w:p w14:paraId="6315B636" w14:textId="77777777" w:rsidR="00B01930" w:rsidRPr="00EC50AF" w:rsidRDefault="00B01930" w:rsidP="00B01930">
      <w:pPr>
        <w:pStyle w:val="b"/>
      </w:pPr>
      <w:r w:rsidRPr="00EC50AF">
        <w:t>Le mouvement fonctionnel : l’idéologie</w:t>
      </w:r>
      <w:bookmarkEnd w:id="67"/>
      <w:bookmarkEnd w:id="68"/>
      <w:bookmarkEnd w:id="69"/>
      <w:bookmarkEnd w:id="70"/>
      <w:bookmarkEnd w:id="71"/>
      <w:bookmarkEnd w:id="72"/>
    </w:p>
    <w:p w14:paraId="52FC3418" w14:textId="77777777" w:rsidR="00B01930" w:rsidRDefault="00B01930" w:rsidP="00B01930">
      <w:pPr>
        <w:spacing w:before="120" w:after="120"/>
        <w:jc w:val="both"/>
      </w:pPr>
    </w:p>
    <w:p w14:paraId="30676DF0" w14:textId="77777777" w:rsidR="00B01930" w:rsidRPr="00EC50AF" w:rsidRDefault="00B01930" w:rsidP="00B01930">
      <w:pPr>
        <w:spacing w:before="120" w:after="120"/>
        <w:jc w:val="both"/>
      </w:pPr>
      <w:r w:rsidRPr="00EC50AF">
        <w:t>Dans l’acception martienne, l’idéologie est l’instrument d’expression et de réa</w:t>
      </w:r>
      <w:r w:rsidRPr="00EC50AF">
        <w:t>c</w:t>
      </w:r>
      <w:r w:rsidRPr="00EC50AF">
        <w:t>tualisation du code n° 1. Elle puise sa source dans la société qui lui fournit les matériaux d’élaboration. Trois fon</w:t>
      </w:r>
      <w:r w:rsidRPr="00EC50AF">
        <w:t>c</w:t>
      </w:r>
      <w:r w:rsidRPr="00EC50AF">
        <w:t>tions la constituent : elle doit exprimer les aspirations de ceux qui y adhérent ; il faut qu’elle explique l’origine des besoins et des maux dont souffre la société ; elle doit enfin permettre la conquête du po</w:t>
      </w:r>
      <w:r w:rsidRPr="00EC50AF">
        <w:t>u</w:t>
      </w:r>
      <w:r w:rsidRPr="00EC50AF">
        <w:t>voir. À chaque fonction correspond un niveau social, l’idéologie est le vecteur de co</w:t>
      </w:r>
      <w:r w:rsidRPr="00EC50AF">
        <w:t>m</w:t>
      </w:r>
      <w:r w:rsidRPr="00EC50AF">
        <w:t>munication entre les différentes strates. Les diverses parties mobiles de la société comme la science, l’économie, l’art, etc., sont en lien avec les niveaux sociaux en rapport avec chacune des fonctions qui enregistrent les changements intervenant dans les différe</w:t>
      </w:r>
      <w:r w:rsidRPr="00EC50AF">
        <w:t>n</w:t>
      </w:r>
      <w:r w:rsidRPr="00EC50AF">
        <w:t xml:space="preserve">tes parties du corps social et les transmettent à l’ensemble de l’édifice. C’est par ce jeu très complexe que l’idéologie se fabrique, se modifie, se perpétue. En définitive, </w:t>
      </w:r>
      <w:r w:rsidRPr="00EC50AF">
        <w:rPr>
          <w:i/>
        </w:rPr>
        <w:t>in fine</w:t>
      </w:r>
      <w:r w:rsidRPr="00EC50AF">
        <w:t>, sa survie dépend de sa c</w:t>
      </w:r>
      <w:r w:rsidRPr="00EC50AF">
        <w:t>a</w:t>
      </w:r>
      <w:r w:rsidRPr="00EC50AF">
        <w:t>pacité à intégrer ces changements sans perdre sa substance.</w:t>
      </w:r>
    </w:p>
    <w:p w14:paraId="0AF15546" w14:textId="77777777" w:rsidR="00B01930" w:rsidRDefault="00B01930" w:rsidP="00B01930">
      <w:pPr>
        <w:spacing w:before="120" w:after="120"/>
        <w:jc w:val="both"/>
      </w:pPr>
      <w:bookmarkStart w:id="73" w:name="_Toc494111636"/>
      <w:bookmarkStart w:id="74" w:name="_Toc494277631"/>
      <w:bookmarkStart w:id="75" w:name="_Toc499541010"/>
      <w:bookmarkStart w:id="76" w:name="_Toc504399648"/>
      <w:bookmarkStart w:id="77" w:name="_Toc504406283"/>
      <w:bookmarkStart w:id="78" w:name="_Toc524329872"/>
    </w:p>
    <w:p w14:paraId="67612409" w14:textId="77777777" w:rsidR="00B01930" w:rsidRPr="00EC50AF" w:rsidRDefault="00B01930" w:rsidP="00B01930">
      <w:pPr>
        <w:pStyle w:val="b"/>
      </w:pPr>
      <w:r w:rsidRPr="00EC50AF">
        <w:t>La fonction d’expression</w:t>
      </w:r>
      <w:bookmarkEnd w:id="73"/>
      <w:bookmarkEnd w:id="74"/>
      <w:bookmarkEnd w:id="75"/>
      <w:bookmarkEnd w:id="76"/>
      <w:bookmarkEnd w:id="77"/>
      <w:bookmarkEnd w:id="78"/>
    </w:p>
    <w:p w14:paraId="14B063A9" w14:textId="77777777" w:rsidR="00B01930" w:rsidRDefault="00B01930" w:rsidP="00B01930">
      <w:pPr>
        <w:spacing w:before="120" w:after="120"/>
        <w:jc w:val="both"/>
      </w:pPr>
    </w:p>
    <w:p w14:paraId="4DEBFD92" w14:textId="77777777" w:rsidR="00B01930" w:rsidRPr="00EC50AF" w:rsidRDefault="00B01930" w:rsidP="00B01930">
      <w:pPr>
        <w:spacing w:before="120" w:after="120"/>
        <w:jc w:val="both"/>
      </w:pPr>
      <w:r w:rsidRPr="00EC50AF">
        <w:t>L’idéologie donne un sens à la réalité et à la situation de l’individu ou des groupes au sein de cette réalité. Elle formalise le vécu par son code interprétatif qui réduit et simplifie les divers plans de la société et sert d’instrument d’expressions des demandes individuelles ou co</w:t>
      </w:r>
      <w:r w:rsidRPr="00EC50AF">
        <w:t>l</w:t>
      </w:r>
      <w:r w:rsidRPr="00EC50AF">
        <w:t>lectives ressenties par ces individus ou ces groupes. L’idéologie pr</w:t>
      </w:r>
      <w:r w:rsidRPr="00EC50AF">
        <w:t>é</w:t>
      </w:r>
      <w:r w:rsidRPr="00EC50AF">
        <w:t>sente les intérêts particuliers dans une perspective globale et unive</w:t>
      </w:r>
      <w:r w:rsidRPr="00EC50AF">
        <w:t>r</w:t>
      </w:r>
      <w:r w:rsidRPr="00EC50AF">
        <w:t>selle qui masque le caractère arbitraire et le particularisme des d</w:t>
      </w:r>
      <w:r w:rsidRPr="00EC50AF">
        <w:t>e</w:t>
      </w:r>
      <w:r w:rsidRPr="00EC50AF">
        <w:t>mandes et leur accorde, par là même, une justification. Les aspir</w:t>
      </w:r>
      <w:r w:rsidRPr="00EC50AF">
        <w:t>a</w:t>
      </w:r>
      <w:r w:rsidRPr="00EC50AF">
        <w:t>tions, souvent contradictoires, tro</w:t>
      </w:r>
      <w:r w:rsidRPr="00EC50AF">
        <w:t>u</w:t>
      </w:r>
      <w:r w:rsidRPr="00EC50AF">
        <w:t>vent une cohérence – factice certes – par le biais de l’idéologie qui donne un critère de liaison des pr</w:t>
      </w:r>
      <w:r w:rsidRPr="00EC50AF">
        <w:t>o</w:t>
      </w:r>
      <w:r w:rsidRPr="00EC50AF">
        <w:t>blèmes et l’illusion de la certitude. Le monde devient réductible à un principe qui dévoile la complexité du réel. La société devient total</w:t>
      </w:r>
      <w:r w:rsidRPr="00EC50AF">
        <w:t>e</w:t>
      </w:r>
      <w:r w:rsidRPr="00EC50AF">
        <w:t>ment transparente et compréhensible. Passé, présent, av</w:t>
      </w:r>
      <w:r w:rsidRPr="00EC50AF">
        <w:t>e</w:t>
      </w:r>
      <w:r w:rsidRPr="00EC50AF">
        <w:t>nir n’ont plus de secret pour celui qui y adhère, le monde n’est pas absurde, il a un sens qui doit s’achever par le Bonheur dans la Cité. La masse ne pe</w:t>
      </w:r>
      <w:r w:rsidRPr="00EC50AF">
        <w:t>r</w:t>
      </w:r>
      <w:r w:rsidRPr="00EC50AF">
        <w:t>çoit pas l’idéologie politique sous sa forme cohérente et rigoureuse. Si certains individus se réfèrent très précisément à la « doctrine-noyau » de l’idéologie, la maj</w:t>
      </w:r>
      <w:r w:rsidRPr="00EC50AF">
        <w:t>o</w:t>
      </w:r>
      <w:r w:rsidRPr="00EC50AF">
        <w:t>rité véhicule cette dernière sous ses formes élémentaires qui vont des opinions (catégoriques) aux stéréotypes, en passant par les mythes politiques qui sont le moment où l’aspect « raisonné » de l’idéologie disparaît pour laisser place à un mot ou un thème qui contient tout le discours et toute sa charge émotive : la R</w:t>
      </w:r>
      <w:r w:rsidRPr="00EC50AF">
        <w:t>é</w:t>
      </w:r>
      <w:r w:rsidRPr="00EC50AF">
        <w:t>volution, la Terre source de vertu, etc.</w:t>
      </w:r>
    </w:p>
    <w:p w14:paraId="716BA633" w14:textId="77777777" w:rsidR="00B01930" w:rsidRPr="00EC50AF" w:rsidRDefault="00B01930" w:rsidP="00B01930">
      <w:pPr>
        <w:spacing w:before="120" w:after="120"/>
        <w:jc w:val="both"/>
      </w:pPr>
      <w:r w:rsidRPr="00EC50AF">
        <w:t>Concrètement, le citoyen adhère à telle ou telle idéologie parce qu’elle lui semble répondre à une question qui lui est particulière et, par amalgame, il reprend, plus ou moins explic</w:t>
      </w:r>
      <w:r w:rsidRPr="00EC50AF">
        <w:t>i</w:t>
      </w:r>
      <w:r w:rsidRPr="00EC50AF">
        <w:t>tement, l’ensemble du corpus, de la même façon qu’il peut n’accepter qu’un seul point d’une idéologie et l’insérer dans le discours d’une autre à laquelle il se réfère pour le reste sans percevoir la différence de logique des contenus pr</w:t>
      </w:r>
      <w:r w:rsidRPr="00EC50AF">
        <w:t>é</w:t>
      </w:r>
      <w:r w:rsidRPr="00EC50AF">
        <w:t>sidant à chacune des idéologies – le propre d’une idéologie étant de « gommer » contradi</w:t>
      </w:r>
      <w:r w:rsidRPr="00EC50AF">
        <w:t>c</w:t>
      </w:r>
      <w:r w:rsidRPr="00EC50AF">
        <w:t>tions et impossibilités.</w:t>
      </w:r>
    </w:p>
    <w:p w14:paraId="49D3DC67" w14:textId="77777777" w:rsidR="00B01930" w:rsidRPr="00EC50AF" w:rsidRDefault="00B01930" w:rsidP="00B01930">
      <w:pPr>
        <w:spacing w:before="120" w:after="120"/>
        <w:jc w:val="both"/>
      </w:pPr>
      <w:r w:rsidRPr="00EC50AF">
        <w:t>Tout le jeu du prétendant au pouvoir consiste à favoriser ces « syncrétismes » par rapport à l’idéologie principale qu’il pr</w:t>
      </w:r>
      <w:r w:rsidRPr="00EC50AF">
        <w:t>o</w:t>
      </w:r>
      <w:r w:rsidRPr="00EC50AF">
        <w:t>fesse afin de gagner le maximum d’adhérents. Mais une fois au pouvoir, il faut qu’une valeur émerge et s’impose, en général celle de l’idéologie qui était au centre de son action, d’où les conflits avec les citoyens qui ne se reconnaissent pas, en fait, dans cette idéologie, et qui se sentent dupés, ou oubliés.</w:t>
      </w:r>
    </w:p>
    <w:p w14:paraId="5FBB2838" w14:textId="77777777" w:rsidR="00B01930" w:rsidRPr="00EC50AF" w:rsidRDefault="00B01930" w:rsidP="00B01930">
      <w:pPr>
        <w:spacing w:before="120" w:after="120"/>
        <w:jc w:val="both"/>
      </w:pPr>
      <w:r w:rsidRPr="00EC50AF">
        <w:t>On comprend aussi pourquoi le décideur politique ne peut jamais connaître l’état réel d’une société et les demandes réelles des indiv</w:t>
      </w:r>
      <w:r w:rsidRPr="00EC50AF">
        <w:t>i</w:t>
      </w:r>
      <w:r w:rsidRPr="00EC50AF">
        <w:t>dus qui sont toujours médiatisées et parasitées par l’idéologie </w:t>
      </w:r>
      <w:r>
        <w:rPr>
          <w:rStyle w:val="Appelnotedebasdep"/>
        </w:rPr>
        <w:footnoteReference w:id="253"/>
      </w:r>
      <w:r w:rsidRPr="00EC50AF">
        <w:t>. E</w:t>
      </w:r>
      <w:r w:rsidRPr="00EC50AF">
        <w:t>n</w:t>
      </w:r>
      <w:r w:rsidRPr="00EC50AF">
        <w:t>fin, il faut noter que le choix d’une idéologie résulte d’une multitude de facteurs : psychologiques, soci</w:t>
      </w:r>
      <w:r w:rsidRPr="00EC50AF">
        <w:t>o</w:t>
      </w:r>
      <w:r w:rsidRPr="00EC50AF">
        <w:t>culturels, historiques, politiques, l’âge, le sexe même, pouvant entrer en ligne de compte au niveau i</w:t>
      </w:r>
      <w:r w:rsidRPr="00EC50AF">
        <w:t>n</w:t>
      </w:r>
      <w:r w:rsidRPr="00EC50AF">
        <w:t>dividuel.</w:t>
      </w:r>
    </w:p>
    <w:p w14:paraId="2A02CD27" w14:textId="77777777" w:rsidR="00B01930" w:rsidRDefault="00B01930" w:rsidP="00B01930">
      <w:pPr>
        <w:spacing w:before="120" w:after="120"/>
        <w:jc w:val="both"/>
      </w:pPr>
      <w:bookmarkStart w:id="79" w:name="_Toc494111637"/>
      <w:bookmarkStart w:id="80" w:name="_Toc494277632"/>
      <w:bookmarkStart w:id="81" w:name="_Toc499541011"/>
      <w:bookmarkStart w:id="82" w:name="_Toc504399649"/>
      <w:bookmarkStart w:id="83" w:name="_Toc504406284"/>
      <w:bookmarkStart w:id="84" w:name="_Toc524329873"/>
      <w:r>
        <w:br w:type="page"/>
      </w:r>
    </w:p>
    <w:p w14:paraId="48851EB8" w14:textId="77777777" w:rsidR="00B01930" w:rsidRPr="00EC50AF" w:rsidRDefault="00B01930" w:rsidP="00B01930">
      <w:pPr>
        <w:pStyle w:val="b"/>
      </w:pPr>
      <w:r w:rsidRPr="00EC50AF">
        <w:t>La fonction d’explication</w:t>
      </w:r>
      <w:bookmarkEnd w:id="79"/>
      <w:bookmarkEnd w:id="80"/>
      <w:bookmarkEnd w:id="81"/>
      <w:bookmarkEnd w:id="82"/>
      <w:bookmarkEnd w:id="83"/>
      <w:bookmarkEnd w:id="84"/>
    </w:p>
    <w:p w14:paraId="35F8529C" w14:textId="77777777" w:rsidR="00B01930" w:rsidRDefault="00B01930" w:rsidP="00B01930">
      <w:pPr>
        <w:spacing w:before="120" w:after="120"/>
        <w:jc w:val="both"/>
      </w:pPr>
    </w:p>
    <w:p w14:paraId="1285F561" w14:textId="77777777" w:rsidR="00B01930" w:rsidRPr="00EC50AF" w:rsidRDefault="00B01930" w:rsidP="00B01930">
      <w:pPr>
        <w:spacing w:before="120" w:after="120"/>
        <w:jc w:val="both"/>
      </w:pPr>
      <w:r w:rsidRPr="00EC50AF">
        <w:t>L’idéologie doit, pour être acceptée, expliquer l’origine des b</w:t>
      </w:r>
      <w:r w:rsidRPr="00EC50AF">
        <w:t>e</w:t>
      </w:r>
      <w:r w:rsidRPr="00EC50AF">
        <w:t>soins et des maux dans une vision globale rendant le monde intellig</w:t>
      </w:r>
      <w:r w:rsidRPr="00EC50AF">
        <w:t>i</w:t>
      </w:r>
      <w:r w:rsidRPr="00EC50AF">
        <w:t>ble. L’idéologie se propose comme rationalisation de l’univers afin de le rendre compréhensible, à la mesure de l’homme. Comme le notait Jacques Monod, « les idées douées du plus haut pouvoir d’invasion sont celles qui expliquent l’homme en lui assignant sa place dans la destinée imm</w:t>
      </w:r>
      <w:r w:rsidRPr="00EC50AF">
        <w:t>a</w:t>
      </w:r>
      <w:r w:rsidRPr="00EC50AF">
        <w:t>nente au sein de laquelle se</w:t>
      </w:r>
      <w:r w:rsidRPr="00EC50AF">
        <w:rPr>
          <w:i/>
        </w:rPr>
        <w:t xml:space="preserve"> </w:t>
      </w:r>
      <w:r w:rsidRPr="00EC50AF">
        <w:t>dissout son angoisse </w:t>
      </w:r>
      <w:r>
        <w:rPr>
          <w:rStyle w:val="Appelnotedebasdep"/>
        </w:rPr>
        <w:footnoteReference w:id="254"/>
      </w:r>
      <w:r w:rsidRPr="00EC50AF">
        <w:t> ».</w:t>
      </w:r>
    </w:p>
    <w:p w14:paraId="38234163" w14:textId="77777777" w:rsidR="00B01930" w:rsidRPr="00EC50AF" w:rsidRDefault="00B01930" w:rsidP="00B01930">
      <w:pPr>
        <w:spacing w:before="120" w:after="120"/>
        <w:jc w:val="both"/>
      </w:pPr>
      <w:r w:rsidRPr="00EC50AF">
        <w:t>L’idéologie ne retient pas n’importe quelle cause </w:t>
      </w:r>
      <w:r>
        <w:rPr>
          <w:rStyle w:val="Appelnotedebasdep"/>
        </w:rPr>
        <w:footnoteReference w:id="255"/>
      </w:r>
      <w:r w:rsidRPr="00EC50AF">
        <w:t xml:space="preserve"> comme princ</w:t>
      </w:r>
      <w:r w:rsidRPr="00EC50AF">
        <w:t>i</w:t>
      </w:r>
      <w:r w:rsidRPr="00EC50AF">
        <w:t>pe moteur. Elle varie en fonction de l’évolution de la s</w:t>
      </w:r>
      <w:r w:rsidRPr="00EC50AF">
        <w:t>o</w:t>
      </w:r>
      <w:r w:rsidRPr="00EC50AF">
        <w:t>ciété : ce fut Dieu, puis la nature, la matière elle-même, et la science, devenue l’autorité légitimante (mais on constate depuis de nombreuses années un « retour de Dieu » pour nombre d’individus).</w:t>
      </w:r>
    </w:p>
    <w:p w14:paraId="3B9040D1" w14:textId="77777777" w:rsidR="00B01930" w:rsidRPr="00EC50AF" w:rsidRDefault="00B01930" w:rsidP="00B01930">
      <w:pPr>
        <w:spacing w:before="120" w:after="120"/>
        <w:jc w:val="both"/>
      </w:pPr>
      <w:r w:rsidRPr="00EC50AF">
        <w:t>La fabrication des idées politiques dépend d’un travail « théorique ». C’est l’intellectuel (qui succède au théologien, au phil</w:t>
      </w:r>
      <w:r w:rsidRPr="00EC50AF">
        <w:t>o</w:t>
      </w:r>
      <w:r w:rsidRPr="00EC50AF">
        <w:t>sophe, au savant) qui est chargé de « reprogrammer » le code. Il y a une « nécessité systémique qui appelle le philos</w:t>
      </w:r>
      <w:r w:rsidRPr="00EC50AF">
        <w:t>o</w:t>
      </w:r>
      <w:r w:rsidRPr="00EC50AF">
        <w:t>phe comme le mythe attend l’oracle et la religion le prêtre </w:t>
      </w:r>
      <w:r>
        <w:rPr>
          <w:rStyle w:val="Appelnotedebasdep"/>
        </w:rPr>
        <w:footnoteReference w:id="256"/>
      </w:r>
      <w:r w:rsidRPr="00EC50AF">
        <w:t> ». Car, produit de l’intellect, il est naturel que ce soient les spécialistes des valeurs et du raisonn</w:t>
      </w:r>
      <w:r w:rsidRPr="00EC50AF">
        <w:t>e</w:t>
      </w:r>
      <w:r w:rsidRPr="00EC50AF">
        <w:t>ment qui agissent à ce niveau. Cette « élite » assure la survie du code fondateur en l’adaptant aux évol</w:t>
      </w:r>
      <w:r w:rsidRPr="00EC50AF">
        <w:t>u</w:t>
      </w:r>
      <w:r w:rsidRPr="00EC50AF">
        <w:t>tions, mais elle doit pressentir les changements à venir pour réécrire le code si ce n’est préparer sa fin. Mais certains vont construire de « véritables machines capables d’envahir tous les niveaux de l’opinion, d’autres sont là pour les entr</w:t>
      </w:r>
      <w:r w:rsidRPr="00EC50AF">
        <w:t>e</w:t>
      </w:r>
      <w:r w:rsidRPr="00EC50AF">
        <w:t>tenir ou tenter de les détruire </w:t>
      </w:r>
      <w:r>
        <w:rPr>
          <w:rStyle w:val="Appelnotedebasdep"/>
        </w:rPr>
        <w:footnoteReference w:id="257"/>
      </w:r>
      <w:r w:rsidRPr="00EC50AF">
        <w:t> ».</w:t>
      </w:r>
    </w:p>
    <w:p w14:paraId="28136134" w14:textId="77777777" w:rsidR="00B01930" w:rsidRPr="00EC50AF" w:rsidRDefault="00B01930" w:rsidP="00B01930">
      <w:pPr>
        <w:spacing w:before="120" w:after="120"/>
        <w:jc w:val="both"/>
      </w:pPr>
      <w:r w:rsidRPr="00EC50AF">
        <w:t>Les « intellectuels » par leurs connaissances sont plus à m</w:t>
      </w:r>
      <w:r w:rsidRPr="00EC50AF">
        <w:t>ê</w:t>
      </w:r>
      <w:r w:rsidRPr="00EC50AF">
        <w:t>me de saisir l’incertitude qui se développe devant la multiplicité des choix et des solutions au</w:t>
      </w:r>
      <w:r w:rsidRPr="00EC50AF">
        <w:t>x</w:t>
      </w:r>
      <w:r w:rsidRPr="00EC50AF">
        <w:t>quels l’homme se trouve confronté ; aussi disposant du temps, des mots, ils fabriquent le discours idéologique, en partic</w:t>
      </w:r>
      <w:r w:rsidRPr="00EC50AF">
        <w:t>u</w:t>
      </w:r>
      <w:r w:rsidRPr="00EC50AF">
        <w:t>lier sous sa forme la plus rigoureuse : la do</w:t>
      </w:r>
      <w:r w:rsidRPr="00EC50AF">
        <w:t>c</w:t>
      </w:r>
      <w:r w:rsidRPr="00EC50AF">
        <w:t>trine.</w:t>
      </w:r>
    </w:p>
    <w:p w14:paraId="0A84C21D" w14:textId="77777777" w:rsidR="00B01930" w:rsidRPr="00EC50AF" w:rsidRDefault="00B01930" w:rsidP="00B01930">
      <w:pPr>
        <w:spacing w:before="120" w:after="120"/>
        <w:jc w:val="both"/>
      </w:pPr>
      <w:r w:rsidRPr="00EC50AF">
        <w:t>Elle est le premier maillon de l’idéologie en tant qu’utopie prop</w:t>
      </w:r>
      <w:r w:rsidRPr="00EC50AF">
        <w:t>o</w:t>
      </w:r>
      <w:r w:rsidRPr="00EC50AF">
        <w:t>sée qui, si elle s’assimile au modèle fonctionnel, devient effectiv</w:t>
      </w:r>
      <w:r w:rsidRPr="00EC50AF">
        <w:t>e</w:t>
      </w:r>
      <w:r w:rsidRPr="00EC50AF">
        <w:t>ment idéologie, mais elle est aussi le moyen de réactualisation de ce</w:t>
      </w:r>
      <w:r w:rsidRPr="00EC50AF">
        <w:t>l</w:t>
      </w:r>
      <w:r w:rsidRPr="00EC50AF">
        <w:t>le-ci en refaisant, si nécessaire, le lien métaphys</w:t>
      </w:r>
      <w:r w:rsidRPr="00EC50AF">
        <w:t>i</w:t>
      </w:r>
      <w:r w:rsidRPr="00EC50AF">
        <w:t>que-politique chaque fois que se produit un changement politique important, et en intégrant également les fruits de la recherche et de la connaissance tant dans la science, que dans l’art, etc. Mais cela ne va pas de soi. Car si les év</w:t>
      </w:r>
      <w:r w:rsidRPr="00EC50AF">
        <w:t>o</w:t>
      </w:r>
      <w:r w:rsidRPr="00EC50AF">
        <w:t>lutions p</w:t>
      </w:r>
      <w:r w:rsidRPr="00EC50AF">
        <w:t>a</w:t>
      </w:r>
      <w:r w:rsidRPr="00EC50AF">
        <w:t>raissent incompatibles avec les présupposés et les dogmes de l’idéologie, alors il y aura exclusion ; mais il peut y avoir tent</w:t>
      </w:r>
      <w:r w:rsidRPr="00EC50AF">
        <w:t>a</w:t>
      </w:r>
      <w:r w:rsidRPr="00EC50AF">
        <w:t>tive de les récupérer en les adaptant.</w:t>
      </w:r>
    </w:p>
    <w:p w14:paraId="22178B2F" w14:textId="77777777" w:rsidR="00B01930" w:rsidRPr="00EC50AF" w:rsidRDefault="00B01930" w:rsidP="00B01930">
      <w:pPr>
        <w:spacing w:before="120" w:after="120"/>
        <w:jc w:val="both"/>
      </w:pPr>
      <w:r w:rsidRPr="00EC50AF">
        <w:t>Le conflit le plus classique qui illustre ce mécanisme est celui o</w:t>
      </w:r>
      <w:r w:rsidRPr="00EC50AF">
        <w:t>p</w:t>
      </w:r>
      <w:r w:rsidRPr="00EC50AF">
        <w:t>posant le chri</w:t>
      </w:r>
      <w:r w:rsidRPr="00EC50AF">
        <w:t>s</w:t>
      </w:r>
      <w:r w:rsidRPr="00EC50AF">
        <w:t xml:space="preserve">tianisme et le rationalisme scientifique s’affirmant à partir du </w:t>
      </w:r>
      <w:r w:rsidRPr="00EC50AF">
        <w:rPr>
          <w:smallCaps/>
        </w:rPr>
        <w:t>xvi</w:t>
      </w:r>
      <w:r w:rsidRPr="00EC50AF">
        <w:rPr>
          <w:vertAlign w:val="superscript"/>
        </w:rPr>
        <w:t>e</w:t>
      </w:r>
      <w:r w:rsidRPr="00EC50AF">
        <w:t xml:space="preserve"> siècle, qui se tr</w:t>
      </w:r>
      <w:r w:rsidRPr="00EC50AF">
        <w:t>a</w:t>
      </w:r>
      <w:r w:rsidRPr="00EC50AF">
        <w:t>duit par la mise à l’Index de Machiavel ainsi que par le procès de Galilée.</w:t>
      </w:r>
    </w:p>
    <w:p w14:paraId="7C4349D6" w14:textId="77777777" w:rsidR="00B01930" w:rsidRPr="00EC50AF" w:rsidRDefault="00B01930" w:rsidP="00B01930">
      <w:pPr>
        <w:spacing w:before="120" w:after="120"/>
        <w:jc w:val="both"/>
      </w:pPr>
      <w:r w:rsidRPr="00EC50AF">
        <w:t>Le nazisme s’affirma aussi comme « un projet culturel […] on c</w:t>
      </w:r>
      <w:r w:rsidRPr="00EC50AF">
        <w:t>a</w:t>
      </w:r>
      <w:r w:rsidRPr="00EC50AF">
        <w:t>lomniait le ma</w:t>
      </w:r>
      <w:r w:rsidRPr="00EC50AF">
        <w:t>r</w:t>
      </w:r>
      <w:r w:rsidRPr="00EC50AF">
        <w:t>ché de la culture en le disant “enjuivé”, et des branches entières de la science en les prétendants “submergés par les étra</w:t>
      </w:r>
      <w:r w:rsidRPr="00EC50AF">
        <w:t>n</w:t>
      </w:r>
      <w:r w:rsidRPr="00EC50AF">
        <w:t>gers” </w:t>
      </w:r>
      <w:r>
        <w:rPr>
          <w:rStyle w:val="Appelnotedebasdep"/>
        </w:rPr>
        <w:footnoteReference w:id="258"/>
      </w:r>
      <w:r w:rsidRPr="00EC50AF">
        <w:t> ». Dès lors, il fallait fonder une culture et une science spécif</w:t>
      </w:r>
      <w:r w:rsidRPr="00EC50AF">
        <w:t>i</w:t>
      </w:r>
      <w:r w:rsidRPr="00EC50AF">
        <w:t>ques </w:t>
      </w:r>
      <w:r>
        <w:rPr>
          <w:rStyle w:val="Appelnotedebasdep"/>
        </w:rPr>
        <w:footnoteReference w:id="259"/>
      </w:r>
      <w:r w:rsidRPr="00EC50AF">
        <w:t>, « on produisit donc un nombre immense de livres nati</w:t>
      </w:r>
      <w:r w:rsidRPr="00EC50AF">
        <w:t>o</w:t>
      </w:r>
      <w:r w:rsidRPr="00EC50AF">
        <w:t>naux-socialistes et fit subir un détou</w:t>
      </w:r>
      <w:r w:rsidRPr="00EC50AF">
        <w:t>r</w:t>
      </w:r>
      <w:r w:rsidRPr="00EC50AF">
        <w:t>nement d’une grande violence à la science telle qu’elle existait à l’époque </w:t>
      </w:r>
      <w:r>
        <w:rPr>
          <w:rStyle w:val="Appelnotedebasdep"/>
        </w:rPr>
        <w:footnoteReference w:id="260"/>
      </w:r>
      <w:r w:rsidRPr="00EC50AF">
        <w:t> », car « les sciences n’existaient pas […] indépendamment de la race. Il existait par cons</w:t>
      </w:r>
      <w:r w:rsidRPr="00EC50AF">
        <w:t>é</w:t>
      </w:r>
      <w:r w:rsidRPr="00EC50AF">
        <w:t>quent une “phys</w:t>
      </w:r>
      <w:r w:rsidRPr="00EC50AF">
        <w:t>i</w:t>
      </w:r>
      <w:r w:rsidRPr="00EC50AF">
        <w:t>que allemande et une physique juive” » et, « pour [les nazis] il y avait aussi des mathématiques juives. La science [était] un combat racial pour la victoire finale </w:t>
      </w:r>
      <w:r>
        <w:rPr>
          <w:rStyle w:val="Appelnotedebasdep"/>
        </w:rPr>
        <w:footnoteReference w:id="261"/>
      </w:r>
      <w:r w:rsidRPr="00EC50AF">
        <w:t> ».</w:t>
      </w:r>
    </w:p>
    <w:p w14:paraId="3C7486B0" w14:textId="77777777" w:rsidR="00B01930" w:rsidRPr="00EC50AF" w:rsidRDefault="00B01930" w:rsidP="00B01930">
      <w:pPr>
        <w:spacing w:before="120" w:after="120"/>
        <w:jc w:val="both"/>
      </w:pPr>
      <w:r w:rsidRPr="00EC50AF">
        <w:t xml:space="preserve">Le marxisme connaît également la même problématique face aux évolutions de la science avec d’autant plus d’acuité qu’il prétend être scientifique. Marx a légitimé toute sa construction par la science, telle qu’elle était au </w:t>
      </w:r>
      <w:r w:rsidRPr="00EC50AF">
        <w:rPr>
          <w:smallCaps/>
        </w:rPr>
        <w:t>xix</w:t>
      </w:r>
      <w:r w:rsidRPr="00EC50AF">
        <w:rPr>
          <w:vertAlign w:val="superscript"/>
        </w:rPr>
        <w:t>e</w:t>
      </w:r>
      <w:r w:rsidRPr="00EC50AF">
        <w:t xml:space="preserve"> siècle. Il présente la société comme le produit de lois causales intransgressibles de l’Évolution, qu’il ne fait que révéler par le matérialisme diale</w:t>
      </w:r>
      <w:r w:rsidRPr="00EC50AF">
        <w:t>c</w:t>
      </w:r>
      <w:r w:rsidRPr="00EC50AF">
        <w:t xml:space="preserve">tique. Seulement l’évolution scientifique ne s’est pas faite conformément aux schémas du </w:t>
      </w:r>
      <w:r w:rsidRPr="00EC50AF">
        <w:rPr>
          <w:smallCaps/>
        </w:rPr>
        <w:t>xix</w:t>
      </w:r>
      <w:r w:rsidRPr="00EC50AF">
        <w:rPr>
          <w:vertAlign w:val="superscript"/>
        </w:rPr>
        <w:t>e</w:t>
      </w:r>
      <w:r w:rsidRPr="00EC50AF">
        <w:t xml:space="preserve"> siècle. Pluralité, complexité, pr</w:t>
      </w:r>
      <w:r w:rsidRPr="00EC50AF">
        <w:t>o</w:t>
      </w:r>
      <w:r w:rsidRPr="00EC50AF">
        <w:t>babilité gouvernent la science. D’autres méthodes et hypothèses ont posé de nouvelles questions et apporté de nouve</w:t>
      </w:r>
      <w:r w:rsidRPr="00EC50AF">
        <w:t>l</w:t>
      </w:r>
      <w:r w:rsidRPr="00EC50AF">
        <w:t>les réponses. Une distorsion ira croissant entre le ma</w:t>
      </w:r>
      <w:r w:rsidRPr="00EC50AF">
        <w:t>r</w:t>
      </w:r>
      <w:r w:rsidRPr="00EC50AF">
        <w:t>xisme et le domaine scientifique. La première réponse de l’idéologie sera l’exclusion de la nouveauté : déjà, Engels sti</w:t>
      </w:r>
      <w:r w:rsidRPr="00EC50AF">
        <w:t>g</w:t>
      </w:r>
      <w:r w:rsidRPr="00EC50AF">
        <w:t>matisait l’empirisme anglais, mais l’apogée sera atteint avec Lyssenko en Union soviétique </w:t>
      </w:r>
      <w:r>
        <w:rPr>
          <w:rStyle w:val="Appelnotedebasdep"/>
        </w:rPr>
        <w:footnoteReference w:id="262"/>
      </w:r>
      <w:r w:rsidRPr="00EC50AF">
        <w:t xml:space="preserve"> qui – log</w:t>
      </w:r>
      <w:r w:rsidRPr="00EC50AF">
        <w:t>i</w:t>
      </w:r>
      <w:r w:rsidRPr="00EC50AF">
        <w:t>quement – distinguera la scie</w:t>
      </w:r>
      <w:r w:rsidRPr="00EC50AF">
        <w:t>n</w:t>
      </w:r>
      <w:r w:rsidRPr="00EC50AF">
        <w:t>ce prolétarienne (vraie) et la science bourgeoise (fausse).</w:t>
      </w:r>
    </w:p>
    <w:p w14:paraId="5D5FCFCC" w14:textId="77777777" w:rsidR="00B01930" w:rsidRPr="00EC50AF" w:rsidRDefault="00B01930" w:rsidP="00B01930">
      <w:pPr>
        <w:spacing w:before="120" w:after="120"/>
        <w:jc w:val="both"/>
      </w:pPr>
      <w:r w:rsidRPr="00EC50AF">
        <w:t>Ce n’est pas un accident, mais la conséquence logique du code n° 1 qui structure le marxisme et ne peut admettre que ce qui est conforme à la Vérité. Mais l’idéologie sera obligée de s’ouvrir et cela sera part</w:t>
      </w:r>
      <w:r w:rsidRPr="00EC50AF">
        <w:t>i</w:t>
      </w:r>
      <w:r w:rsidRPr="00EC50AF">
        <w:t>culièrement vrai pour les sciences humaines qui concernent direct</w:t>
      </w:r>
      <w:r w:rsidRPr="00EC50AF">
        <w:t>e</w:t>
      </w:r>
      <w:r w:rsidRPr="00EC50AF">
        <w:t>ment « le marxisme science des sociétés ». La psychanalyse, la ps</w:t>
      </w:r>
      <w:r w:rsidRPr="00EC50AF">
        <w:t>y</w:t>
      </w:r>
      <w:r w:rsidRPr="00EC50AF">
        <w:t>chosociologie, l’analyse dite systémique, l’économétrie, les découve</w:t>
      </w:r>
      <w:r w:rsidRPr="00EC50AF">
        <w:t>r</w:t>
      </w:r>
      <w:r w:rsidRPr="00EC50AF">
        <w:t>tes en physique, en biologie, etc., se voient assimilées par le marxi</w:t>
      </w:r>
      <w:r w:rsidRPr="00EC50AF">
        <w:t>s</w:t>
      </w:r>
      <w:r w:rsidRPr="00EC50AF">
        <w:t>me. Le proce</w:t>
      </w:r>
      <w:r w:rsidRPr="00EC50AF">
        <w:t>s</w:t>
      </w:r>
      <w:r w:rsidRPr="00EC50AF">
        <w:t>sus consiste à faire découler ces nouvelles conclusions des te</w:t>
      </w:r>
      <w:r w:rsidRPr="00EC50AF">
        <w:t>x</w:t>
      </w:r>
      <w:r w:rsidRPr="00EC50AF">
        <w:t>tes « sacrés » en expliquant que, pour des raisons politiques, historiques, sociales, intellectuelles, il n’avait pas été possible jusque-là de dégager tout le sens des écrits du fondateur de l’idéologie.</w:t>
      </w:r>
    </w:p>
    <w:p w14:paraId="3FB3B859" w14:textId="77777777" w:rsidR="00B01930" w:rsidRPr="00EC50AF" w:rsidRDefault="00B01930" w:rsidP="00B01930">
      <w:pPr>
        <w:spacing w:before="120" w:after="120"/>
        <w:jc w:val="both"/>
      </w:pPr>
      <w:r w:rsidRPr="00EC50AF">
        <w:t>L’exemple le plus emblématique de ce genre d’entreprise et de ce</w:t>
      </w:r>
      <w:r w:rsidRPr="00EC50AF">
        <w:t>t</w:t>
      </w:r>
      <w:r w:rsidRPr="00EC50AF">
        <w:t>te technique pour le marxisme est, en France, Louis A</w:t>
      </w:r>
      <w:r w:rsidRPr="00EC50AF">
        <w:t>l</w:t>
      </w:r>
      <w:r w:rsidRPr="00EC50AF">
        <w:t>thusser </w:t>
      </w:r>
      <w:r>
        <w:rPr>
          <w:rStyle w:val="Appelnotedebasdep"/>
        </w:rPr>
        <w:footnoteReference w:id="263"/>
      </w:r>
      <w:r w:rsidRPr="00EC50AF">
        <w:t xml:space="preserve"> qui, par divers ouvrages, a essayé de capturer les n</w:t>
      </w:r>
      <w:r w:rsidRPr="00EC50AF">
        <w:t>o</w:t>
      </w:r>
      <w:r w:rsidRPr="00EC50AF">
        <w:t>tions de système et de structure, et de réintroduire le probable et la complexité, le but étant de restaurer la « scientificité » du marxisme en intégrant les notions et le vocabulaire non marxi</w:t>
      </w:r>
      <w:r w:rsidRPr="00EC50AF">
        <w:t>s</w:t>
      </w:r>
      <w:r w:rsidRPr="00EC50AF">
        <w:t xml:space="preserve">te tout en les déclarant marxistes en tant que déjà présent dans les écrits de Marx. Tout est dit dans le final de </w:t>
      </w:r>
      <w:r w:rsidRPr="00EC50AF">
        <w:rPr>
          <w:i/>
        </w:rPr>
        <w:t>Lire le</w:t>
      </w:r>
      <w:r w:rsidRPr="00EC50AF">
        <w:t xml:space="preserve"> </w:t>
      </w:r>
      <w:r w:rsidRPr="00EC50AF">
        <w:rPr>
          <w:i/>
        </w:rPr>
        <w:t>capital</w:t>
      </w:r>
      <w:r w:rsidRPr="00EC50AF">
        <w:t>, tome II : « notre ouverture est typique d’un champ scient</w:t>
      </w:r>
      <w:r w:rsidRPr="00EC50AF">
        <w:t>i</w:t>
      </w:r>
      <w:r w:rsidRPr="00EC50AF">
        <w:t>fique ce qui différencie du discours idéologique qui clôture », sachant que, pour lui, sa relecture donne au marxisme un vrai statut de théorie c’est-à-dire, pour lui, de Science </w:t>
      </w:r>
      <w:r>
        <w:rPr>
          <w:rStyle w:val="Appelnotedebasdep"/>
        </w:rPr>
        <w:footnoteReference w:id="264"/>
      </w:r>
      <w:r w:rsidRPr="00EC50AF">
        <w:t>. Alors même que la cause est e</w:t>
      </w:r>
      <w:r w:rsidRPr="00EC50AF">
        <w:t>n</w:t>
      </w:r>
      <w:r w:rsidRPr="00EC50AF">
        <w:t>tendue dès le début, quant à la finalité et à la portée réelle du « discours althuss</w:t>
      </w:r>
      <w:r w:rsidRPr="00EC50AF">
        <w:t>é</w:t>
      </w:r>
      <w:r w:rsidRPr="00EC50AF">
        <w:t>rien », il existe cependant toujours aujourd’hui, non seulement une réédition (ou une édition de textes inédits) permanente des textes de Louis Althusser, mais il y a toute une glose d’auteurs « althussériens » qui maintient « la flamme » du marxisme revis</w:t>
      </w:r>
      <w:r w:rsidRPr="00EC50AF">
        <w:t>i</w:t>
      </w:r>
      <w:r w:rsidRPr="00EC50AF">
        <w:t>té </w:t>
      </w:r>
      <w:r>
        <w:rPr>
          <w:rStyle w:val="Appelnotedebasdep"/>
        </w:rPr>
        <w:footnoteReference w:id="265"/>
      </w:r>
      <w:r w:rsidRPr="00EC50AF">
        <w:t xml:space="preserve"> (ce qui tend à supposer qu’une idéologie, au sens martrien, ne meure jamais ?).</w:t>
      </w:r>
    </w:p>
    <w:p w14:paraId="6CB4161B" w14:textId="77777777" w:rsidR="00B01930" w:rsidRPr="00EC50AF" w:rsidRDefault="00B01930" w:rsidP="00B01930">
      <w:pPr>
        <w:spacing w:before="120" w:after="120"/>
        <w:jc w:val="both"/>
      </w:pPr>
      <w:r w:rsidRPr="00EC50AF">
        <w:t>La réactualisation de l’idéologie comporte également un tr</w:t>
      </w:r>
      <w:r w:rsidRPr="00EC50AF">
        <w:t>a</w:t>
      </w:r>
      <w:r w:rsidRPr="00EC50AF">
        <w:t>vail d’enrichissement par reprise du patrimoine historique de la société dans laquelle elle se développe ou, sur un plan plus large, de la civil</w:t>
      </w:r>
      <w:r w:rsidRPr="00EC50AF">
        <w:t>i</w:t>
      </w:r>
      <w:r w:rsidRPr="00EC50AF">
        <w:t>sation dans laquelle s’insère cette société. En effet, en tant que Vérité, elle ne peut ignorer, par exemple, les œuvres philosophiques, polit</w:t>
      </w:r>
      <w:r w:rsidRPr="00EC50AF">
        <w:t>i</w:t>
      </w:r>
      <w:r w:rsidRPr="00EC50AF">
        <w:t>ques, passées. Or, celles-ci ne vont pas forcément dans le sens de l’idéologie, mais elles sont un acquis. Il se produit alors un travail d’appropriation marqué par trois moments : la transcription de l’œuvre en termes actu</w:t>
      </w:r>
      <w:r w:rsidRPr="00EC50AF">
        <w:t>a</w:t>
      </w:r>
      <w:r w:rsidRPr="00EC50AF">
        <w:t>lisés, la sélection et l’interprétation, c’est-à-dire que l’œuvre subit un traitement de façon à pouvoir se fondre n</w:t>
      </w:r>
      <w:r w:rsidRPr="00EC50AF">
        <w:t>a</w:t>
      </w:r>
      <w:r w:rsidRPr="00EC50AF">
        <w:t xml:space="preserve">turellement dans le </w:t>
      </w:r>
      <w:r w:rsidRPr="00EC50AF">
        <w:rPr>
          <w:i/>
        </w:rPr>
        <w:t>corpus</w:t>
      </w:r>
      <w:r w:rsidRPr="00EC50AF">
        <w:t>, ce qui désamorce ce que l’œuvre – par exemple une doctrine – pourrait avoir de contradictoire, voire de su</w:t>
      </w:r>
      <w:r w:rsidRPr="00EC50AF">
        <w:t>b</w:t>
      </w:r>
      <w:r w:rsidRPr="00EC50AF">
        <w:t>versif, vis-à-vis de l’idéologie. En d’autres termes le texte se tro</w:t>
      </w:r>
      <w:r w:rsidRPr="00EC50AF">
        <w:t>u</w:t>
      </w:r>
      <w:r w:rsidRPr="00EC50AF">
        <w:t>ve doté d’une vie propre, indépendante de son auteur, de ses intentions et du contenu réel. On a ainsi un Jean-Jacques Rousseau libéral ou ma</w:t>
      </w:r>
      <w:r w:rsidRPr="00EC50AF">
        <w:t>r</w:t>
      </w:r>
      <w:r w:rsidRPr="00EC50AF">
        <w:t>xiste, un Machiavel conseillé du tyran ou libérateur du peuple, et m</w:t>
      </w:r>
      <w:r w:rsidRPr="00EC50AF">
        <w:t>ê</w:t>
      </w:r>
      <w:r w:rsidRPr="00EC50AF">
        <w:t>me marxiste (interprétation de Gramsci).</w:t>
      </w:r>
    </w:p>
    <w:p w14:paraId="53C0F99A" w14:textId="77777777" w:rsidR="00B01930" w:rsidRPr="00EC50AF" w:rsidRDefault="00B01930" w:rsidP="00B01930">
      <w:pPr>
        <w:spacing w:before="120" w:after="120"/>
        <w:jc w:val="both"/>
      </w:pPr>
      <w:r w:rsidRPr="00EC50AF">
        <w:t>En liaison avec la réactualisation, ou indépendamment, l’idéologie peut donner naissance à des dérivations fruit de l’extrapolation, par certains « intellectuels », de tel ou tel point de l’idéologie, ce qui peut – en fonction du contexte – enge</w:t>
      </w:r>
      <w:r w:rsidRPr="00EC50AF">
        <w:t>n</w:t>
      </w:r>
      <w:r w:rsidRPr="00EC50AF">
        <w:t>drer l’amorce d’une idéologie : il suffit qu’une fraction de la population adhère à ce « sous-produit » et que des prétendants au pouvoir y trouvent un instrument adapté à leurs objectifs. Mais pour se transformer en idéologie « opérationnelle », il faut r</w:t>
      </w:r>
      <w:r w:rsidRPr="00EC50AF">
        <w:t>é</w:t>
      </w:r>
      <w:r w:rsidRPr="00EC50AF">
        <w:t>pondre aux trois fonctions que nous avons vues, sinon la dér</w:t>
      </w:r>
      <w:r w:rsidRPr="00EC50AF">
        <w:t>i</w:t>
      </w:r>
      <w:r w:rsidRPr="00EC50AF">
        <w:t xml:space="preserve">vation se résorbe en une doctrine qui restera en l’état et qui, en fonction des circonstances, gravitera autour du </w:t>
      </w:r>
      <w:r w:rsidRPr="00EC50AF">
        <w:rPr>
          <w:i/>
        </w:rPr>
        <w:t>corpus</w:t>
      </w:r>
      <w:r w:rsidRPr="00EC50AF">
        <w:t xml:space="preserve"> d’origine, s’en nourrira peut-être, s’en séparera, au gré de la vie pol</w:t>
      </w:r>
      <w:r w:rsidRPr="00EC50AF">
        <w:t>i</w:t>
      </w:r>
      <w:r w:rsidRPr="00EC50AF">
        <w:t>tique, d’où les multiples emprunts, transformations et syncrétismes, plus ou moins explic</w:t>
      </w:r>
      <w:r w:rsidRPr="00EC50AF">
        <w:t>i</w:t>
      </w:r>
      <w:r w:rsidRPr="00EC50AF">
        <w:t>tés et formalisés par les « intellectuels ».</w:t>
      </w:r>
    </w:p>
    <w:p w14:paraId="2D346316" w14:textId="77777777" w:rsidR="00B01930" w:rsidRPr="00EC50AF" w:rsidRDefault="00B01930" w:rsidP="00B01930">
      <w:pPr>
        <w:spacing w:before="120" w:after="120"/>
        <w:jc w:val="both"/>
      </w:pPr>
      <w:r w:rsidRPr="00EC50AF">
        <w:t>Reste que les novations, qui par rayonnement se propagent à diff</w:t>
      </w:r>
      <w:r w:rsidRPr="00EC50AF">
        <w:t>é</w:t>
      </w:r>
      <w:r w:rsidRPr="00EC50AF">
        <w:t>rentes strates s</w:t>
      </w:r>
      <w:r w:rsidRPr="00EC50AF">
        <w:t>o</w:t>
      </w:r>
      <w:r w:rsidRPr="00EC50AF">
        <w:t>ciales, gardent « encore une grande part de mystère [dans le domaine politique] </w:t>
      </w:r>
      <w:r>
        <w:rPr>
          <w:rStyle w:val="Appelnotedebasdep"/>
        </w:rPr>
        <w:footnoteReference w:id="266"/>
      </w:r>
      <w:r w:rsidRPr="00EC50AF">
        <w:t> », où se situent les seuils de chang</w:t>
      </w:r>
      <w:r w:rsidRPr="00EC50AF">
        <w:t>e</w:t>
      </w:r>
      <w:r w:rsidRPr="00EC50AF">
        <w:t>ment ?</w:t>
      </w:r>
    </w:p>
    <w:p w14:paraId="4DCA0A2C" w14:textId="77777777" w:rsidR="00B01930" w:rsidRPr="00EC50AF" w:rsidRDefault="00B01930" w:rsidP="00B01930">
      <w:pPr>
        <w:spacing w:before="120" w:after="120"/>
        <w:jc w:val="both"/>
      </w:pPr>
      <w:r w:rsidRPr="00EC50AF">
        <w:t>Il faut aussi faire entrer en ligne de compte les délais de propag</w:t>
      </w:r>
      <w:r w:rsidRPr="00EC50AF">
        <w:t>a</w:t>
      </w:r>
      <w:r w:rsidRPr="00EC50AF">
        <w:t>tion </w:t>
      </w:r>
      <w:r>
        <w:rPr>
          <w:rStyle w:val="Appelnotedebasdep"/>
        </w:rPr>
        <w:footnoteReference w:id="267"/>
      </w:r>
      <w:r w:rsidRPr="00EC50AF">
        <w:t>, « ainsi l’idée égalitaire a mis près de deux siècles pour abo</w:t>
      </w:r>
      <w:r w:rsidRPr="00EC50AF">
        <w:t>r</w:t>
      </w:r>
      <w:r w:rsidRPr="00EC50AF">
        <w:t>der le rivage social et culturel selon un rythme concentrique partant du régime politique. Successivement ont été touchés l’économie, le tr</w:t>
      </w:r>
      <w:r w:rsidRPr="00EC50AF">
        <w:t>a</w:t>
      </w:r>
      <w:r w:rsidRPr="00EC50AF">
        <w:t>vail, les relations hommes-femmes, l’art lui-même y a été so</w:t>
      </w:r>
      <w:r w:rsidRPr="00EC50AF">
        <w:t>u</w:t>
      </w:r>
      <w:r w:rsidRPr="00EC50AF">
        <w:t>mis </w:t>
      </w:r>
      <w:r>
        <w:rPr>
          <w:rStyle w:val="Appelnotedebasdep"/>
        </w:rPr>
        <w:footnoteReference w:id="268"/>
      </w:r>
      <w:r w:rsidRPr="00EC50AF">
        <w:t> ».</w:t>
      </w:r>
    </w:p>
    <w:p w14:paraId="5AF52940" w14:textId="77777777" w:rsidR="00B01930" w:rsidRPr="00EC50AF" w:rsidRDefault="00B01930" w:rsidP="00B01930">
      <w:pPr>
        <w:spacing w:before="120" w:after="120"/>
        <w:jc w:val="both"/>
      </w:pPr>
      <w:r w:rsidRPr="00EC50AF">
        <w:t>« Ni les secteurs de la connaissance ni les strates sociales, ne vont à la même v</w:t>
      </w:r>
      <w:r w:rsidRPr="00EC50AF">
        <w:t>i</w:t>
      </w:r>
      <w:r w:rsidRPr="00EC50AF">
        <w:t>tesse, ils appartiennent à des temps différents, ce qui rend éminemment difficile la saisie de l’horlogerie qui en résulte </w:t>
      </w:r>
      <w:r>
        <w:rPr>
          <w:rStyle w:val="Appelnotedebasdep"/>
        </w:rPr>
        <w:footnoteReference w:id="269"/>
      </w:r>
      <w:r w:rsidRPr="00EC50AF">
        <w:t>. » Ai</w:t>
      </w:r>
      <w:r w:rsidRPr="00EC50AF">
        <w:t>n</w:t>
      </w:r>
      <w:r w:rsidRPr="00EC50AF">
        <w:t>si, « chaque phénomène a sa propre historicité </w:t>
      </w:r>
      <w:r>
        <w:rPr>
          <w:rStyle w:val="Appelnotedebasdep"/>
        </w:rPr>
        <w:footnoteReference w:id="270"/>
      </w:r>
      <w:r w:rsidRPr="00EC50AF">
        <w:t> » (peut-être même exi</w:t>
      </w:r>
      <w:r w:rsidRPr="00EC50AF">
        <w:t>s</w:t>
      </w:r>
      <w:r w:rsidRPr="00EC50AF">
        <w:t>te-t-il des domaines immunisés contre la contagion, ainsi de ce</w:t>
      </w:r>
      <w:r w:rsidRPr="00EC50AF">
        <w:t>r</w:t>
      </w:r>
      <w:r w:rsidRPr="00EC50AF">
        <w:t>taines idées politiques ?). Dès lors le « code de valeurs dominant ne r</w:t>
      </w:r>
      <w:r w:rsidRPr="00EC50AF">
        <w:t>e</w:t>
      </w:r>
      <w:r w:rsidRPr="00EC50AF">
        <w:t>couvre jamais la totalité de l’espace social </w:t>
      </w:r>
      <w:r>
        <w:rPr>
          <w:rStyle w:val="Appelnotedebasdep"/>
        </w:rPr>
        <w:footnoteReference w:id="271"/>
      </w:r>
      <w:r w:rsidRPr="00EC50AF">
        <w:t>. »</w:t>
      </w:r>
    </w:p>
    <w:p w14:paraId="0A3C7257" w14:textId="77777777" w:rsidR="00B01930" w:rsidRDefault="00B01930" w:rsidP="00B01930">
      <w:pPr>
        <w:pStyle w:val="citation"/>
      </w:pPr>
    </w:p>
    <w:p w14:paraId="4BFB3145" w14:textId="77777777" w:rsidR="00B01930" w:rsidRDefault="00B01930" w:rsidP="00B01930">
      <w:pPr>
        <w:pStyle w:val="citation"/>
      </w:pPr>
      <w:r w:rsidRPr="00EC50AF">
        <w:t>[Les] changements synchroniques [reviennent] à entrecroiser des v</w:t>
      </w:r>
      <w:r w:rsidRPr="00EC50AF">
        <w:t>a</w:t>
      </w:r>
      <w:r w:rsidRPr="00EC50AF">
        <w:t>riables issues de la logique diachronique avec des ébra</w:t>
      </w:r>
      <w:r w:rsidRPr="00EC50AF">
        <w:t>n</w:t>
      </w:r>
      <w:r w:rsidRPr="00EC50AF">
        <w:t>lements provenant de mutations diverses dans des domaines sociaux diff</w:t>
      </w:r>
      <w:r w:rsidRPr="00EC50AF">
        <w:t>é</w:t>
      </w:r>
      <w:r w:rsidRPr="00EC50AF">
        <w:t>rents. En quelque sorte, ces phénomènes agissent comme des accél</w:t>
      </w:r>
      <w:r w:rsidRPr="00EC50AF">
        <w:t>é</w:t>
      </w:r>
      <w:r w:rsidRPr="00EC50AF">
        <w:t>rateurs ou de freins à l’évolution, mais sont également susceptibles de produire des novations ou métamorphoses, dans le cadre de la matur</w:t>
      </w:r>
      <w:r w:rsidRPr="00EC50AF">
        <w:t>a</w:t>
      </w:r>
      <w:r w:rsidRPr="00EC50AF">
        <w:t>tion d’un des possibles du code générique. </w:t>
      </w:r>
      <w:r>
        <w:rPr>
          <w:rStyle w:val="Appelnotedebasdep"/>
        </w:rPr>
        <w:footnoteReference w:id="272"/>
      </w:r>
    </w:p>
    <w:p w14:paraId="7E9E10B5" w14:textId="77777777" w:rsidR="00B01930" w:rsidRPr="00EC50AF" w:rsidRDefault="00B01930" w:rsidP="00B01930">
      <w:pPr>
        <w:pStyle w:val="citation"/>
      </w:pPr>
    </w:p>
    <w:p w14:paraId="10F3FE7F" w14:textId="77777777" w:rsidR="00B01930" w:rsidRPr="00EC50AF" w:rsidRDefault="00B01930" w:rsidP="00B01930">
      <w:pPr>
        <w:spacing w:before="120" w:after="120"/>
        <w:jc w:val="both"/>
      </w:pPr>
      <w:r w:rsidRPr="00EC50AF">
        <w:t>Les « intellectuels » « ont un rôle de ravaudage du filet de sens qui enferme la société [qui va durer] jusqu’au moment où la nasse se d</w:t>
      </w:r>
      <w:r w:rsidRPr="00EC50AF">
        <w:t>é</w:t>
      </w:r>
      <w:r w:rsidRPr="00EC50AF">
        <w:t>chirera et nécessitera la fabrication d’un nouvel outil </w:t>
      </w:r>
      <w:r>
        <w:rPr>
          <w:rStyle w:val="Appelnotedebasdep"/>
        </w:rPr>
        <w:footnoteReference w:id="273"/>
      </w:r>
      <w:r w:rsidRPr="00EC50AF">
        <w:t> ». La doctr</w:t>
      </w:r>
      <w:r w:rsidRPr="00EC50AF">
        <w:t>i</w:t>
      </w:r>
      <w:r w:rsidRPr="00EC50AF">
        <w:t>ne, alors, « de ce point de vue, n’a pas d’importance [comme] objet thé</w:t>
      </w:r>
      <w:r w:rsidRPr="00EC50AF">
        <w:t>o</w:t>
      </w:r>
      <w:r w:rsidRPr="00EC50AF">
        <w:t>rique, elle est instrumentale et appartient à l’ordre technologique. Son utilité doit se juger indépendamment de son sens littéral ou de ses a</w:t>
      </w:r>
      <w:r w:rsidRPr="00EC50AF">
        <w:t>m</w:t>
      </w:r>
      <w:r w:rsidRPr="00EC50AF">
        <w:t>bitions proclamées. Elle porte un fil, serre un nœud, ouvre une f</w:t>
      </w:r>
      <w:r w:rsidRPr="00EC50AF">
        <w:t>e</w:t>
      </w:r>
      <w:r w:rsidRPr="00EC50AF">
        <w:t>nêtre sur des pratiques nouvelles, anticipe sur d’autres sens possibles, se fragmente ou s’unit pour révéler la diversité sociale ou le pr</w:t>
      </w:r>
      <w:r w:rsidRPr="00EC50AF">
        <w:t>o</w:t>
      </w:r>
      <w:r w:rsidRPr="00EC50AF">
        <w:t>fond consensus </w:t>
      </w:r>
      <w:r>
        <w:rPr>
          <w:rStyle w:val="Appelnotedebasdep"/>
        </w:rPr>
        <w:footnoteReference w:id="274"/>
      </w:r>
      <w:r w:rsidRPr="00EC50AF">
        <w:t> ».</w:t>
      </w:r>
    </w:p>
    <w:p w14:paraId="7B7702A8" w14:textId="77777777" w:rsidR="00B01930" w:rsidRPr="00EC50AF" w:rsidRDefault="00B01930" w:rsidP="00B01930">
      <w:pPr>
        <w:spacing w:before="120" w:after="120"/>
        <w:jc w:val="both"/>
      </w:pPr>
      <w:r w:rsidRPr="00EC50AF">
        <w:t>Mais « le péril vient de ce que ce rôle reconnu aux “intellectuels” […] se tran</w:t>
      </w:r>
      <w:r w:rsidRPr="00EC50AF">
        <w:t>s</w:t>
      </w:r>
      <w:r w:rsidRPr="00EC50AF">
        <w:t>forme chez eux en un sentiment d’appropriation. En effet chacune des fonctions […] isolées à tendance à l’autonomie, et génère des intérêts particuliers dans des groupes distincts [qui] vont s’en e</w:t>
      </w:r>
      <w:r w:rsidRPr="00EC50AF">
        <w:t>m</w:t>
      </w:r>
      <w:r w:rsidRPr="00EC50AF">
        <w:t>parer […] et tenter de les gérer indépendamment les unes des a</w:t>
      </w:r>
      <w:r w:rsidRPr="00EC50AF">
        <w:t>u</w:t>
      </w:r>
      <w:r w:rsidRPr="00EC50AF">
        <w:t>tres </w:t>
      </w:r>
      <w:r>
        <w:rPr>
          <w:rStyle w:val="Appelnotedebasdep"/>
        </w:rPr>
        <w:footnoteReference w:id="275"/>
      </w:r>
      <w:r w:rsidRPr="00EC50AF">
        <w:t> ».</w:t>
      </w:r>
    </w:p>
    <w:p w14:paraId="1FADF3E6" w14:textId="77777777" w:rsidR="00B01930" w:rsidRDefault="00B01930" w:rsidP="00B01930">
      <w:pPr>
        <w:spacing w:before="120" w:after="120"/>
        <w:jc w:val="both"/>
      </w:pPr>
      <w:r w:rsidRPr="00EC50AF">
        <w:t>Or, « ces théologiens, philosophes, savants, intellectuels sont pr</w:t>
      </w:r>
      <w:r w:rsidRPr="00EC50AF">
        <w:t>i</w:t>
      </w:r>
      <w:r w:rsidRPr="00EC50AF">
        <w:t>sonniers de leur condition organique statutaire, ce qui leur interdit de s’avancer jusqu’à la terre prom</w:t>
      </w:r>
      <w:r w:rsidRPr="00EC50AF">
        <w:t>i</w:t>
      </w:r>
      <w:r w:rsidRPr="00EC50AF">
        <w:t>se du pouvoir </w:t>
      </w:r>
      <w:r>
        <w:rPr>
          <w:rStyle w:val="Appelnotedebasdep"/>
        </w:rPr>
        <w:footnoteReference w:id="276"/>
      </w:r>
      <w:r w:rsidRPr="00EC50AF">
        <w:t> ».</w:t>
      </w:r>
    </w:p>
    <w:p w14:paraId="6F72849C" w14:textId="77777777" w:rsidR="00B01930" w:rsidRPr="00EC50AF" w:rsidRDefault="00B01930" w:rsidP="00B01930">
      <w:pPr>
        <w:spacing w:before="120" w:after="120"/>
        <w:jc w:val="both"/>
      </w:pPr>
    </w:p>
    <w:p w14:paraId="17564E82" w14:textId="77777777" w:rsidR="00B01930" w:rsidRDefault="00B01930" w:rsidP="00B01930">
      <w:pPr>
        <w:pStyle w:val="b"/>
      </w:pPr>
      <w:bookmarkStart w:id="85" w:name="_Toc494111638"/>
      <w:bookmarkStart w:id="86" w:name="_Toc494277633"/>
      <w:bookmarkStart w:id="87" w:name="_Toc499541012"/>
      <w:bookmarkStart w:id="88" w:name="_Toc504399650"/>
      <w:bookmarkStart w:id="89" w:name="_Toc504406285"/>
      <w:bookmarkStart w:id="90" w:name="_Toc524329874"/>
      <w:r w:rsidRPr="00EC50AF">
        <w:t>La fonction de conquête du pouvoir et les conflits</w:t>
      </w:r>
      <w:bookmarkEnd w:id="85"/>
      <w:bookmarkEnd w:id="86"/>
      <w:bookmarkEnd w:id="87"/>
      <w:bookmarkEnd w:id="88"/>
      <w:bookmarkEnd w:id="89"/>
      <w:bookmarkEnd w:id="90"/>
    </w:p>
    <w:p w14:paraId="650E9230" w14:textId="77777777" w:rsidR="00B01930" w:rsidRPr="00EC50AF" w:rsidRDefault="00B01930" w:rsidP="00B01930">
      <w:pPr>
        <w:spacing w:before="120" w:after="120"/>
        <w:jc w:val="both"/>
      </w:pPr>
    </w:p>
    <w:p w14:paraId="7B0B27C8" w14:textId="77777777" w:rsidR="00B01930" w:rsidRPr="00EC50AF" w:rsidRDefault="00B01930" w:rsidP="00B01930">
      <w:pPr>
        <w:spacing w:before="120" w:after="120"/>
        <w:jc w:val="both"/>
      </w:pPr>
      <w:r w:rsidRPr="00EC50AF">
        <w:t>Pour se transmuter en idéologie, la doctrine doit être acce</w:t>
      </w:r>
      <w:r w:rsidRPr="00EC50AF">
        <w:t>p</w:t>
      </w:r>
      <w:r w:rsidRPr="00EC50AF">
        <w:t>tée par une partie de la population qui, dès lors, entend la voir exercer son emprise sur la société. Cela ouvre la voie à ce que le prétendant au pouvoir qui saura se présenter comme le déte</w:t>
      </w:r>
      <w:r w:rsidRPr="00EC50AF">
        <w:t>n</w:t>
      </w:r>
      <w:r w:rsidRPr="00EC50AF">
        <w:t>teur de la Vérité puisse devenir le détenteur du pouvoir. Dans la logique du code n° 1 </w:t>
      </w:r>
      <w:r>
        <w:rPr>
          <w:rStyle w:val="Appelnotedebasdep"/>
        </w:rPr>
        <w:footnoteReference w:id="277"/>
      </w:r>
      <w:r w:rsidRPr="00EC50AF">
        <w:t>, le p</w:t>
      </w:r>
      <w:r w:rsidRPr="00EC50AF">
        <w:t>o</w:t>
      </w:r>
      <w:r w:rsidRPr="00EC50AF">
        <w:t>litique est l’instrument de réalisation de la Cité idéale. Par cons</w:t>
      </w:r>
      <w:r w:rsidRPr="00EC50AF">
        <w:t>é</w:t>
      </w:r>
      <w:r w:rsidRPr="00EC50AF">
        <w:t>quent, sans ce levier, point de Bien possible.</w:t>
      </w:r>
    </w:p>
    <w:p w14:paraId="76021685" w14:textId="77777777" w:rsidR="00B01930" w:rsidRPr="00EC50AF" w:rsidRDefault="00B01930" w:rsidP="00B01930">
      <w:pPr>
        <w:spacing w:before="120" w:after="120"/>
        <w:jc w:val="both"/>
      </w:pPr>
      <w:r w:rsidRPr="00EC50AF">
        <w:t>Le problème est que « les hommes du pouvoir appartiennent à une autre catégorie d’individus et nourrissent des ambitions sans relation directe avec les utopies philosophiques. Leur rationalité et leur pui</w:t>
      </w:r>
      <w:r w:rsidRPr="00EC50AF">
        <w:t>s</w:t>
      </w:r>
      <w:r w:rsidRPr="00EC50AF">
        <w:t>sance obéissent à des déterminants qui les s</w:t>
      </w:r>
      <w:r w:rsidRPr="00EC50AF">
        <w:t>é</w:t>
      </w:r>
      <w:r w:rsidRPr="00EC50AF">
        <w:t>parent très nettement des théoriciens [car] avant tout [n’y a-t-il pas] des conquérants prêts à manifester leur ambition à chaque occasion propice </w:t>
      </w:r>
      <w:r>
        <w:rPr>
          <w:rStyle w:val="Appelnotedebasdep"/>
        </w:rPr>
        <w:footnoteReference w:id="278"/>
      </w:r>
      <w:r w:rsidRPr="00EC50AF">
        <w:t> ? » Aussi vont-ils mod</w:t>
      </w:r>
      <w:r w:rsidRPr="00EC50AF">
        <w:t>i</w:t>
      </w:r>
      <w:r w:rsidRPr="00EC50AF">
        <w:t>fier l’idéologie selon les intérêts politiques du moment, et ce d’autant plus que l’idéologie comporte un Avant, un Après, mais qu’entre les deux règnent l’indétermination et la liberté. La question du « comment » reste intacte, le vide du présent se remplit alors du politique. En d’autres termes, on peut dire que le schéma « réaliste » (le Prince) vient s’enchâsser dans le code n° 1 et, comme l’écrit Julien Freund, « ce sont précisément les régimes qui ont suscité au départ les plus grands engouements qui ont finalement apporté la justification la plus éclatante de la validité de la pensée machiavélienne </w:t>
      </w:r>
      <w:r>
        <w:rPr>
          <w:rStyle w:val="Appelnotedebasdep"/>
        </w:rPr>
        <w:footnoteReference w:id="279"/>
      </w:r>
      <w:r w:rsidRPr="00EC50AF">
        <w:t> ».</w:t>
      </w:r>
    </w:p>
    <w:p w14:paraId="4926D7B0" w14:textId="77777777" w:rsidR="00B01930" w:rsidRPr="00EC50AF" w:rsidRDefault="00B01930" w:rsidP="00B01930">
      <w:pPr>
        <w:spacing w:before="120" w:after="120"/>
        <w:jc w:val="both"/>
      </w:pPr>
      <w:r w:rsidRPr="00EC50AF">
        <w:t>Les contraintes politiques dictent à l’homme politique sa conduite dont le critère est l’efficacité. Mais il doit en même temps consta</w:t>
      </w:r>
      <w:r w:rsidRPr="00EC50AF">
        <w:t>m</w:t>
      </w:r>
      <w:r w:rsidRPr="00EC50AF">
        <w:t>ment justifier idéologiquement sa démarche en démontrant qu’elle découle des valeurs et idéaux qu’il prétend incarner, et que la masse croit qu’il personnifie et va dans le sens de la réalisation du Bien. L</w:t>
      </w:r>
      <w:r w:rsidRPr="00EC50AF">
        <w:t>é</w:t>
      </w:r>
      <w:r w:rsidRPr="00EC50AF">
        <w:t>nine, Mao, Staline, par exemple, n’ont pas été autre chose que la m</w:t>
      </w:r>
      <w:r w:rsidRPr="00EC50AF">
        <w:t>a</w:t>
      </w:r>
      <w:r w:rsidRPr="00EC50AF">
        <w:t>térialisation, pratique et/ou théorique, des pensées de Machiavel ou de Clausewitz.</w:t>
      </w:r>
    </w:p>
    <w:p w14:paraId="722D6003" w14:textId="77777777" w:rsidR="00B01930" w:rsidRPr="00EC50AF" w:rsidRDefault="00B01930" w:rsidP="00B01930">
      <w:pPr>
        <w:spacing w:before="120" w:after="120"/>
        <w:jc w:val="both"/>
      </w:pPr>
      <w:r w:rsidRPr="00EC50AF">
        <w:t>D’où la série de conflits réels ou potentiels qui peuvent surgir entre chacun des n</w:t>
      </w:r>
      <w:r w:rsidRPr="00EC50AF">
        <w:t>i</w:t>
      </w:r>
      <w:r w:rsidRPr="00EC50AF">
        <w:t>veaux de l’idéologie, dont, au premier chef, l’intellectuel. En effet, celui-ci, mû par la logique doctrinale, peut m</w:t>
      </w:r>
      <w:r w:rsidRPr="00EC50AF">
        <w:t>é</w:t>
      </w:r>
      <w:r w:rsidRPr="00EC50AF">
        <w:t>connaître les impératifs du pouvoir et donc perturber l’action des go</w:t>
      </w:r>
      <w:r w:rsidRPr="00EC50AF">
        <w:t>u</w:t>
      </w:r>
      <w:r w:rsidRPr="00EC50AF">
        <w:t>vernants. Ceux-ci, s’il le faut, obligeront l’intellectuel à se soumettre, soit par l’autocritique, soit en l’obligeant à quitter le parti, ou en e</w:t>
      </w:r>
      <w:r w:rsidRPr="00EC50AF">
        <w:t>m</w:t>
      </w:r>
      <w:r w:rsidRPr="00EC50AF">
        <w:t>ployant des moyens plus radicaux. De ce point de vue, on peut dire qu’il y a plus de points co</w:t>
      </w:r>
      <w:r w:rsidRPr="00EC50AF">
        <w:t>m</w:t>
      </w:r>
      <w:r w:rsidRPr="00EC50AF">
        <w:t>muns entre les intellectuels de différentes idéologies qu’entre prince et intellectuels d’une même idéologie.</w:t>
      </w:r>
    </w:p>
    <w:p w14:paraId="51C95491" w14:textId="77777777" w:rsidR="00B01930" w:rsidRPr="00EC50AF" w:rsidRDefault="00B01930" w:rsidP="00B01930">
      <w:pPr>
        <w:spacing w:before="120" w:after="120"/>
        <w:jc w:val="both"/>
      </w:pPr>
      <w:r w:rsidRPr="00EC50AF">
        <w:t>Sur le plan de l’individu, l’idéologie comporte un « devoir-être » et appelle à une pratique ; l’individu est incité à se faire dépositaire de la parole juste. Il ne se réalisera à ses propres yeux que lorsqu’il se conformera le plus possible au système de valeurs. Ce mécanisme, en fonction des circonstances, engendre le phénomène totalitaire – d</w:t>
      </w:r>
      <w:r w:rsidRPr="00EC50AF">
        <w:t>é</w:t>
      </w:r>
      <w:r w:rsidRPr="00EC50AF">
        <w:t>ploiement logique du code n° 1 – et offre au prince la possibilité d’asseoir solidement son pouvoir. Il suffit à celui-ci de paraître inca</w:t>
      </w:r>
      <w:r w:rsidRPr="00EC50AF">
        <w:t>r</w:t>
      </w:r>
      <w:r w:rsidRPr="00EC50AF">
        <w:t>ner le Bien pour mon</w:t>
      </w:r>
      <w:r w:rsidRPr="00EC50AF">
        <w:t>o</w:t>
      </w:r>
      <w:r w:rsidRPr="00EC50AF">
        <w:t>poliser le pouvoir et agir à sa guise, puisqu’il est le détenteur de la Vérité. Staline, en manip</w:t>
      </w:r>
      <w:r w:rsidRPr="00EC50AF">
        <w:t>u</w:t>
      </w:r>
      <w:r w:rsidRPr="00EC50AF">
        <w:t>lant la peur des croyants marxistes d’être exclus du parti, la peur de compromettre la cause ou d’être classés « ennemis du peuple », utilisera tous les moyens pour garder le contrôle absolu du pouvoir et mettre en œuvre sa politique de puissance. Mao Tse Toung fera de même, et c’est au nom de la lutte des classes et de la pureté du maoïsme qu’il décle</w:t>
      </w:r>
      <w:r w:rsidRPr="00EC50AF">
        <w:t>n</w:t>
      </w:r>
      <w:r w:rsidRPr="00EC50AF">
        <w:t>chera la terrible « Révolution culturelle »</w:t>
      </w:r>
      <w:r>
        <w:t> </w:t>
      </w:r>
      <w:r>
        <w:rPr>
          <w:rStyle w:val="Appelnotedebasdep"/>
        </w:rPr>
        <w:footnoteReference w:id="280"/>
      </w:r>
      <w:r w:rsidRPr="00EC50AF">
        <w:t xml:space="preserve"> pour éliminer radical</w:t>
      </w:r>
      <w:r w:rsidRPr="00EC50AF">
        <w:t>e</w:t>
      </w:r>
      <w:r w:rsidRPr="00EC50AF">
        <w:t>ment ses adversaires, cette gigantesque purge n’étant qu’une lutte pour le pouvoir.</w:t>
      </w:r>
    </w:p>
    <w:p w14:paraId="33BE13B8" w14:textId="77777777" w:rsidR="00B01930" w:rsidRPr="00EC50AF" w:rsidRDefault="00B01930" w:rsidP="00B01930">
      <w:pPr>
        <w:spacing w:before="120" w:after="120"/>
        <w:jc w:val="both"/>
      </w:pPr>
      <w:r w:rsidRPr="00EC50AF">
        <w:t>Illustration du primat du politique et de la manipulation, la réaction de Mao (à propos des slogans lancés par ses soins lors de la Révol</w:t>
      </w:r>
      <w:r w:rsidRPr="00EC50AF">
        <w:t>u</w:t>
      </w:r>
      <w:r w:rsidRPr="00EC50AF">
        <w:t>tion culturelle, « le monde entier doit s’unir et vaincre l’impérialisme, le révisionnisme et tous les réactionna</w:t>
      </w:r>
      <w:r w:rsidRPr="00EC50AF">
        <w:t>i</w:t>
      </w:r>
      <w:r w:rsidRPr="00EC50AF">
        <w:t>res, et établir le socialisme ») : « imité par Chou </w:t>
      </w:r>
      <w:r>
        <w:rPr>
          <w:rStyle w:val="Appelnotedebasdep"/>
        </w:rPr>
        <w:footnoteReference w:id="281"/>
      </w:r>
      <w:r w:rsidRPr="00EC50AF">
        <w:t>, [il] rit aux éclats à l’idée qu’on puisse prendre au sérieux un slogan datant de plusieurs dizaines d’années et gribouillé sur tous les Daz</w:t>
      </w:r>
      <w:r w:rsidRPr="00EC50AF">
        <w:t>i</w:t>
      </w:r>
      <w:r w:rsidRPr="00EC50AF">
        <w:t>bao. Les dirigeants chinois étaient au-delà de l’idéologie en traitant avec nous. Leur péril avait établi la priorité a</w:t>
      </w:r>
      <w:r w:rsidRPr="00EC50AF">
        <w:t>b</w:t>
      </w:r>
      <w:r w:rsidRPr="00EC50AF">
        <w:t>solue de la géopolitique </w:t>
      </w:r>
      <w:r>
        <w:rPr>
          <w:rStyle w:val="Appelnotedebasdep"/>
        </w:rPr>
        <w:footnoteReference w:id="282"/>
      </w:r>
      <w:r w:rsidRPr="00EC50AF">
        <w:t>. »</w:t>
      </w:r>
    </w:p>
    <w:p w14:paraId="1E0759E7" w14:textId="77777777" w:rsidR="00B01930" w:rsidRPr="00EC50AF" w:rsidRDefault="00B01930" w:rsidP="00B01930">
      <w:pPr>
        <w:spacing w:before="120" w:after="120"/>
        <w:jc w:val="both"/>
      </w:pPr>
      <w:r w:rsidRPr="00EC50AF">
        <w:t>Mais si l’idéologie assure le consentement des gouvernés, elle peut être, aussi, source de la perte du pouvoir. Car si la transgression du code de valeurs éclate, elle crée le scandale qui entraîne la chute. Le scandale n’est pas autre chose que l’apparition et la révélation du m</w:t>
      </w:r>
      <w:r w:rsidRPr="00EC50AF">
        <w:t>a</w:t>
      </w:r>
      <w:r w:rsidRPr="00EC50AF">
        <w:t>chiavélisme aux yeux des gouvernés. C’est l’indicateur du « manichéisme inégalitaire » : le prince aurait transgressé l’ordre nat</w:t>
      </w:r>
      <w:r w:rsidRPr="00EC50AF">
        <w:t>u</w:t>
      </w:r>
      <w:r w:rsidRPr="00EC50AF">
        <w:t>rel. S’il y a scandale, c’est qu’il y a un ordre naturel, mais celui-ci existe-t-il ? N’est-ce pas un incident dans les circuits de communic</w:t>
      </w:r>
      <w:r w:rsidRPr="00EC50AF">
        <w:t>a</w:t>
      </w:r>
      <w:r w:rsidRPr="00EC50AF">
        <w:t>tion qui a fait apparaître la transgression du sacré au niveau de la ma</w:t>
      </w:r>
      <w:r w:rsidRPr="00EC50AF">
        <w:t>s</w:t>
      </w:r>
      <w:r w:rsidRPr="00EC50AF">
        <w:t>se qui ne doit rien connaître normalement de la réalité des gouve</w:t>
      </w:r>
      <w:r w:rsidRPr="00EC50AF">
        <w:t>r</w:t>
      </w:r>
      <w:r w:rsidRPr="00EC50AF">
        <w:t>nants ? N’y a-t-il pas eu manipulation par les ennemis du Pri</w:t>
      </w:r>
      <w:r w:rsidRPr="00EC50AF">
        <w:t>n</w:t>
      </w:r>
      <w:r w:rsidRPr="00EC50AF">
        <w:t>ce ? Car faire surgir le scandale, c’est déclencher la crise qui amènera la défaite et la chute du prince ; celui qui dénonce ne croit pas forcément au scandale et à la morale…</w:t>
      </w:r>
    </w:p>
    <w:p w14:paraId="1B10C784" w14:textId="77777777" w:rsidR="00B01930" w:rsidRPr="00EC50AF" w:rsidRDefault="00B01930" w:rsidP="00B01930">
      <w:pPr>
        <w:spacing w:before="120" w:after="120"/>
        <w:jc w:val="both"/>
      </w:pPr>
      <w:r w:rsidRPr="00EC50AF">
        <w:t>Ainsi, le scandale du Watergate nous semble relever d’une telle grille d’analyse (il en est même l’archétype). Le « machiavélisme » de Nixon apparut aux yeux des ma</w:t>
      </w:r>
      <w:r w:rsidRPr="00EC50AF">
        <w:t>s</w:t>
      </w:r>
      <w:r w:rsidRPr="00EC50AF">
        <w:t>ses comme la trahison du « rêve » américain, issu des Pères pèl</w:t>
      </w:r>
      <w:r w:rsidRPr="00EC50AF">
        <w:t>e</w:t>
      </w:r>
      <w:r w:rsidRPr="00EC50AF">
        <w:t xml:space="preserve">rins du </w:t>
      </w:r>
      <w:r w:rsidRPr="00EC50AF">
        <w:rPr>
          <w:i/>
        </w:rPr>
        <w:t>Mayflower</w:t>
      </w:r>
      <w:r w:rsidRPr="00EC50AF">
        <w:t xml:space="preserve"> (1620) qui en fuyant la vieille Europe entendaient rejeter l’absolutisme monarchique pers</w:t>
      </w:r>
      <w:r w:rsidRPr="00EC50AF">
        <w:t>é</w:t>
      </w:r>
      <w:r w:rsidRPr="00EC50AF">
        <w:t>cuteur, comme le machiavélisme princier, et l’instabilité politique.</w:t>
      </w:r>
    </w:p>
    <w:p w14:paraId="6DC2C933" w14:textId="77777777" w:rsidR="00B01930" w:rsidRPr="00EC50AF" w:rsidRDefault="00B01930" w:rsidP="00B01930">
      <w:pPr>
        <w:spacing w:before="120" w:after="120"/>
        <w:jc w:val="both"/>
      </w:pPr>
      <w:r w:rsidRPr="00EC50AF">
        <w:t>Chasser Nixon revenait à purifier l’Amérique. Pourtant, les prat</w:t>
      </w:r>
      <w:r w:rsidRPr="00EC50AF">
        <w:t>i</w:t>
      </w:r>
      <w:r w:rsidRPr="00EC50AF">
        <w:t>ques reprochées à Richard Nixon existaient avant sa présidence. Et</w:t>
      </w:r>
      <w:r w:rsidRPr="00EC50AF">
        <w:t>h</w:t>
      </w:r>
      <w:r w:rsidRPr="00EC50AF">
        <w:t>nies minoritaires, marginaux, co</w:t>
      </w:r>
      <w:r w:rsidRPr="00EC50AF">
        <w:t>m</w:t>
      </w:r>
      <w:r w:rsidRPr="00EC50AF">
        <w:t>munistes, étaient espionnés ; lors de la lutte des noirs pour les droits civiques, les écoutes téléphoniques étaient utilisées. Lorsqu’il fut révélé que le FBI espionnait Martin L</w:t>
      </w:r>
      <w:r w:rsidRPr="00EC50AF">
        <w:t>u</w:t>
      </w:r>
      <w:r w:rsidRPr="00EC50AF">
        <w:t>ther King pendant le mandat de J. F. Kennedy (dont l’image propagée à l’époque était celle d’un président différent, nouveau, « pur »</w:t>
      </w:r>
      <w:r>
        <w:t> </w:t>
      </w:r>
      <w:r>
        <w:rPr>
          <w:rStyle w:val="Appelnotedebasdep"/>
        </w:rPr>
        <w:footnoteReference w:id="283"/>
      </w:r>
      <w:r w:rsidRPr="00EC50AF">
        <w:t>) ai</w:t>
      </w:r>
      <w:r w:rsidRPr="00EC50AF">
        <w:t>n</w:t>
      </w:r>
      <w:r w:rsidRPr="00EC50AF">
        <w:t>si que sous la présidence Johnson, aucune autorité n’a été ch</w:t>
      </w:r>
      <w:r w:rsidRPr="00EC50AF">
        <w:t>o</w:t>
      </w:r>
      <w:r w:rsidRPr="00EC50AF">
        <w:t>quée ; ni la presse, ni le Sénat, ni l’opposition ne s’élevèrent contre de telles pratiques (utilisées aussi par les démocrates contre « les ga</w:t>
      </w:r>
      <w:r w:rsidRPr="00EC50AF">
        <w:t>u</w:t>
      </w:r>
      <w:r w:rsidRPr="00EC50AF">
        <w:t>chistes »). Le fait nouveau, dans la pratique de Nixon, est que ce de</w:t>
      </w:r>
      <w:r w:rsidRPr="00EC50AF">
        <w:t>r</w:t>
      </w:r>
      <w:r w:rsidRPr="00EC50AF">
        <w:t>nier utilisait à grandes échelles ces moyens y compris, et surtout, contre l’opposition légale, reconnue et, au-delà, contre « l’establishment » de la côte Est qui considérait le pouvoir comme sa « chose »</w:t>
      </w:r>
      <w:r>
        <w:t> </w:t>
      </w:r>
      <w:r>
        <w:rPr>
          <w:rStyle w:val="Appelnotedebasdep"/>
        </w:rPr>
        <w:footnoteReference w:id="284"/>
      </w:r>
      <w:r w:rsidRPr="00EC50AF">
        <w:t>.</w:t>
      </w:r>
    </w:p>
    <w:p w14:paraId="64AD96D9" w14:textId="77777777" w:rsidR="00B01930" w:rsidRPr="00EC50AF" w:rsidRDefault="00B01930" w:rsidP="00B01930">
      <w:pPr>
        <w:spacing w:before="120" w:after="120"/>
        <w:jc w:val="both"/>
      </w:pPr>
      <w:r w:rsidRPr="00EC50AF">
        <w:t>Le Congrès, écrasé, voire bafoué par Nixon, souffrait d’être ca</w:t>
      </w:r>
      <w:r w:rsidRPr="00EC50AF">
        <w:t>n</w:t>
      </w:r>
      <w:r w:rsidRPr="00EC50AF">
        <w:t>tonné aux affaires intérieures et de se voir reprocher les erreurs pa</w:t>
      </w:r>
      <w:r w:rsidRPr="00EC50AF">
        <w:t>s</w:t>
      </w:r>
      <w:r w:rsidRPr="00EC50AF">
        <w:t>sées (surtout la « résolution du Golfe du Tonkin » qui permit au prés</w:t>
      </w:r>
      <w:r w:rsidRPr="00EC50AF">
        <w:t>i</w:t>
      </w:r>
      <w:r w:rsidRPr="00EC50AF">
        <w:t>dent Johnson d’étendre la guerre du Vietnam) alors que Nixon (cha</w:t>
      </w:r>
      <w:r w:rsidRPr="00EC50AF">
        <w:t>m</w:t>
      </w:r>
      <w:r w:rsidRPr="00EC50AF">
        <w:t>pion, durant sa carrière, de l’anticommunisme) et Kissinger allaient en Chine communiste, négociaient avec Moscou et négociaient aussi pour sortir du « guêpier vietnamien ». Watergate devint, à ce stade, pour le Congrès et l’élite, le terme d’une reconquête des pouvoirs pe</w:t>
      </w:r>
      <w:r w:rsidRPr="00EC50AF">
        <w:t>r</w:t>
      </w:r>
      <w:r w:rsidRPr="00EC50AF">
        <w:t>dus, et la presse, bafouée par Nixon, sortit grandie de l’épreuve </w:t>
      </w:r>
      <w:r>
        <w:rPr>
          <w:rStyle w:val="Appelnotedebasdep"/>
        </w:rPr>
        <w:footnoteReference w:id="285"/>
      </w:r>
      <w:r w:rsidRPr="00EC50AF">
        <w:t>. R</w:t>
      </w:r>
      <w:r w:rsidRPr="00EC50AF">
        <w:t>i</w:t>
      </w:r>
      <w:r w:rsidRPr="00EC50AF">
        <w:t>chard Nixon fut contraint de démissionner en 1974, au te</w:t>
      </w:r>
      <w:r w:rsidRPr="00EC50AF">
        <w:t>r</w:t>
      </w:r>
      <w:r w:rsidRPr="00EC50AF">
        <w:t>me de deux ans d’une lutte acharnée commencée en 1972.</w:t>
      </w:r>
    </w:p>
    <w:p w14:paraId="7280DD45" w14:textId="77777777" w:rsidR="00B01930" w:rsidRDefault="00B01930" w:rsidP="00B01930">
      <w:pPr>
        <w:spacing w:before="120" w:after="120"/>
        <w:jc w:val="both"/>
      </w:pPr>
      <w:bookmarkStart w:id="91" w:name="_Toc494111639"/>
      <w:bookmarkStart w:id="92" w:name="_Toc494277634"/>
      <w:bookmarkStart w:id="93" w:name="_Toc499541013"/>
      <w:bookmarkStart w:id="94" w:name="_Toc504399651"/>
      <w:bookmarkStart w:id="95" w:name="_Toc504406286"/>
      <w:bookmarkStart w:id="96" w:name="_Toc524329875"/>
      <w:r>
        <w:br w:type="page"/>
      </w:r>
    </w:p>
    <w:p w14:paraId="54B5831F" w14:textId="77777777" w:rsidR="00B01930" w:rsidRPr="00EC50AF" w:rsidRDefault="00B01930" w:rsidP="00B01930">
      <w:pPr>
        <w:pStyle w:val="b"/>
      </w:pPr>
      <w:r w:rsidRPr="00EC50AF">
        <w:t>Vue d’ensemble de l’hypothèse synchronique</w:t>
      </w:r>
      <w:bookmarkEnd w:id="91"/>
      <w:bookmarkEnd w:id="92"/>
      <w:bookmarkEnd w:id="93"/>
      <w:bookmarkEnd w:id="94"/>
      <w:bookmarkEnd w:id="95"/>
      <w:bookmarkEnd w:id="96"/>
    </w:p>
    <w:p w14:paraId="52741B32" w14:textId="77777777" w:rsidR="00B01930" w:rsidRDefault="00B01930" w:rsidP="00B01930">
      <w:pPr>
        <w:spacing w:before="120" w:after="120"/>
        <w:jc w:val="both"/>
      </w:pPr>
    </w:p>
    <w:p w14:paraId="4B442C53" w14:textId="77777777" w:rsidR="00B01930" w:rsidRPr="00EC50AF" w:rsidRDefault="00B01930" w:rsidP="00B01930">
      <w:pPr>
        <w:spacing w:before="120" w:after="120"/>
        <w:jc w:val="both"/>
      </w:pPr>
      <w:r w:rsidRPr="00EC50AF">
        <w:t>En résumé, on peut donner une vue d’ensemble de la manière su</w:t>
      </w:r>
      <w:r w:rsidRPr="00EC50AF">
        <w:t>i</w:t>
      </w:r>
      <w:r w:rsidRPr="00EC50AF">
        <w:t>vante. Les demandes individuelles et collectives sont traduites et r</w:t>
      </w:r>
      <w:r w:rsidRPr="00EC50AF">
        <w:t>a</w:t>
      </w:r>
      <w:r w:rsidRPr="00EC50AF">
        <w:t>tionalisées par des doctrines et des idéologies qui les médiatisent. Ces idéologies et doctrines s’investissent dans des acteurs individuels ou collectifs qui transmettent les messages à la machine politique. Il exi</w:t>
      </w:r>
      <w:r w:rsidRPr="00EC50AF">
        <w:t>s</w:t>
      </w:r>
      <w:r w:rsidRPr="00EC50AF">
        <w:t>te, dans ce processus, une série de distorsions, sources possibles de conflits. La première distorsion vient du fait que l’idéologie joue un rôle de filtre qui tran</w:t>
      </w:r>
      <w:r w:rsidRPr="00EC50AF">
        <w:t>s</w:t>
      </w:r>
      <w:r w:rsidRPr="00EC50AF">
        <w:t>forme les demandes de base qui, ainsi, arrivent déformées aux centres décisionnels qui prendront, alors, des mesures inada</w:t>
      </w:r>
      <w:r w:rsidRPr="00EC50AF">
        <w:t>p</w:t>
      </w:r>
      <w:r w:rsidRPr="00EC50AF">
        <w:t>tées aux attentes des masses, ce qui entraînera de nouvelles demandes et ainsi de suite.</w:t>
      </w:r>
    </w:p>
    <w:p w14:paraId="116539DB" w14:textId="77777777" w:rsidR="00B01930" w:rsidRPr="00EC50AF" w:rsidRDefault="00B01930" w:rsidP="00B01930">
      <w:pPr>
        <w:spacing w:before="120" w:after="120"/>
        <w:jc w:val="both"/>
      </w:pPr>
      <w:r w:rsidRPr="00EC50AF">
        <w:t>Une deuxième distorsion provient des paliers sociaux, des acteurs sociaux eux-mêmes qui peuvent accepter, rejeter ou interpréter les messages. Le Prince n’a donc pas tous les éléments en main pour s</w:t>
      </w:r>
      <w:r w:rsidRPr="00EC50AF">
        <w:t>a</w:t>
      </w:r>
      <w:r w:rsidRPr="00EC50AF">
        <w:t>tisfaire ses militants et partisans, ainsi que ses électeurs (en régime démocratique) ; au surplus il lui faut respecter les exigences du Polit</w:t>
      </w:r>
      <w:r w:rsidRPr="00EC50AF">
        <w:t>i</w:t>
      </w:r>
      <w:r w:rsidRPr="00EC50AF">
        <w:t>que (ce qui implique le primat de l’efficacité) qui ne sont pas les m</w:t>
      </w:r>
      <w:r w:rsidRPr="00EC50AF">
        <w:t>ê</w:t>
      </w:r>
      <w:r w:rsidRPr="00EC50AF">
        <w:t>mes que celles de l’idéologie, de la morale. L’idéologie, moyen de conquérir le pouvoir et de gouverner, et en même temps une contrai</w:t>
      </w:r>
      <w:r w:rsidRPr="00EC50AF">
        <w:t>n</w:t>
      </w:r>
      <w:r w:rsidRPr="00EC50AF">
        <w:t>te pour le Prince.</w:t>
      </w:r>
    </w:p>
    <w:p w14:paraId="736947E5" w14:textId="77777777" w:rsidR="00B01930" w:rsidRPr="00EC50AF" w:rsidRDefault="00B01930" w:rsidP="00B01930">
      <w:pPr>
        <w:spacing w:before="120" w:after="120"/>
        <w:jc w:val="both"/>
      </w:pPr>
      <w:r w:rsidRPr="00EC50AF">
        <w:t>Le discours politique va fluctuer en fonction de l’appréhension de l’information que le décideur peut obtenir, de l’interprétation qu’il retient du jeu politique, avec le souci con</w:t>
      </w:r>
      <w:r w:rsidRPr="00EC50AF">
        <w:t>s</w:t>
      </w:r>
      <w:r w:rsidRPr="00EC50AF">
        <w:t>tant du prince : obtenir le pouvoir ou le garder. La création et la diffusion des messages se réal</w:t>
      </w:r>
      <w:r w:rsidRPr="00EC50AF">
        <w:t>i</w:t>
      </w:r>
      <w:r w:rsidRPr="00EC50AF">
        <w:t>sent par le biais des intellectuels et, en particulier aujourd’hui, par les médias. À ce titre, en tant que supports privilégiés de diffusion des messages, on peut dire que ce sont eux qui, pour une large part, « fabriquent » l’opinion publ</w:t>
      </w:r>
      <w:r w:rsidRPr="00EC50AF">
        <w:t>i</w:t>
      </w:r>
      <w:r w:rsidRPr="00EC50AF">
        <w:t>que en créant l’événement à l’occasion duquel se manifeste le décalage entre les v</w:t>
      </w:r>
      <w:r w:rsidRPr="00EC50AF">
        <w:t>a</w:t>
      </w:r>
      <w:r w:rsidRPr="00EC50AF">
        <w:t>leurs et la pratique réelle d’une société. Tout le jeu d’une opposition conséquente consi</w:t>
      </w:r>
      <w:r w:rsidRPr="00EC50AF">
        <w:t>s</w:t>
      </w:r>
      <w:r w:rsidRPr="00EC50AF">
        <w:t xml:space="preserve">te d’ailleurs à propager auprès de l’opinion la contradiction </w:t>
      </w:r>
      <w:r w:rsidRPr="00EC50AF">
        <w:rPr>
          <w:i/>
        </w:rPr>
        <w:t>praxis</w:t>
      </w:r>
      <w:r w:rsidRPr="00EC50AF">
        <w:t>-Bien pour engendrer Le scandale de façon à provoquer la chute du prince ; il suffira au candidat au pouvoir de préte</w:t>
      </w:r>
      <w:r w:rsidRPr="00EC50AF">
        <w:t>n</w:t>
      </w:r>
      <w:r w:rsidRPr="00EC50AF">
        <w:t>dre incarner le Bien pour accéder au pouvoir ; sa politique se verra acceptée, voire « sanctifiée », par la croyance qu’il va restaurer, ou instaurer, La Cité idéale.</w:t>
      </w:r>
    </w:p>
    <w:p w14:paraId="28F80505" w14:textId="77777777" w:rsidR="00B01930" w:rsidRDefault="00B01930" w:rsidP="00B01930">
      <w:pPr>
        <w:spacing w:before="120" w:after="120"/>
        <w:jc w:val="both"/>
      </w:pPr>
      <w:r w:rsidRPr="00EC50AF">
        <w:t>On peut illustrer le code transformationnel par le schéma ci-après </w:t>
      </w:r>
      <w:r>
        <w:rPr>
          <w:rStyle w:val="Appelnotedebasdep"/>
        </w:rPr>
        <w:footnoteReference w:id="286"/>
      </w:r>
      <w:r w:rsidRPr="00EC50AF">
        <w:t> :</w:t>
      </w:r>
    </w:p>
    <w:p w14:paraId="4DE548CA" w14:textId="77777777" w:rsidR="00B01930" w:rsidRPr="00EC50AF" w:rsidRDefault="00B01930" w:rsidP="00B01930">
      <w:pPr>
        <w:spacing w:before="120" w:after="120"/>
        <w:jc w:val="both"/>
      </w:pPr>
    </w:p>
    <w:p w14:paraId="70263B28" w14:textId="77777777" w:rsidR="00B01930" w:rsidRPr="00EC50AF" w:rsidRDefault="008C39FA" w:rsidP="00B01930">
      <w:pPr>
        <w:spacing w:before="120" w:after="120"/>
        <w:ind w:left="-1440" w:firstLine="0"/>
        <w:jc w:val="both"/>
      </w:pPr>
      <w:r w:rsidRPr="00CC3C16">
        <w:rPr>
          <w:noProof/>
          <w:lang w:val="fr-FR" w:eastAsia="fr-FR"/>
        </w:rPr>
        <w:drawing>
          <wp:inline distT="0" distB="0" distL="0" distR="0" wp14:anchorId="00433ACA" wp14:editId="2E33150D">
            <wp:extent cx="5994400" cy="3810000"/>
            <wp:effectExtent l="0" t="0" r="0" b="0"/>
            <wp:docPr id="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4400" cy="3810000"/>
                    </a:xfrm>
                    <a:prstGeom prst="rect">
                      <a:avLst/>
                    </a:prstGeom>
                    <a:noFill/>
                    <a:ln>
                      <a:noFill/>
                    </a:ln>
                  </pic:spPr>
                </pic:pic>
              </a:graphicData>
            </a:graphic>
          </wp:inline>
        </w:drawing>
      </w:r>
    </w:p>
    <w:p w14:paraId="05B85C34" w14:textId="77777777" w:rsidR="00B01930" w:rsidRDefault="00B01930" w:rsidP="00B01930">
      <w:pPr>
        <w:spacing w:before="120" w:after="120"/>
        <w:jc w:val="both"/>
      </w:pPr>
      <w:bookmarkStart w:id="97" w:name="_Toc494111640"/>
      <w:bookmarkStart w:id="98" w:name="_Toc494277635"/>
      <w:bookmarkStart w:id="99" w:name="_Toc499541014"/>
      <w:bookmarkStart w:id="100" w:name="_Toc504399652"/>
      <w:bookmarkStart w:id="101" w:name="_Toc504406287"/>
      <w:bookmarkStart w:id="102" w:name="_Toc524329876"/>
    </w:p>
    <w:p w14:paraId="0CB5F54F" w14:textId="77777777" w:rsidR="00B01930" w:rsidRPr="00EC50AF" w:rsidRDefault="00B01930" w:rsidP="00B01930">
      <w:pPr>
        <w:pStyle w:val="a"/>
      </w:pPr>
      <w:bookmarkStart w:id="103" w:name="Analyser_idees_pol_pt_1_texte_01b_2c"/>
      <w:r>
        <w:t xml:space="preserve">C. </w:t>
      </w:r>
      <w:r w:rsidRPr="00EC50AF">
        <w:t>Les mouvements dysfonctionnels</w:t>
      </w:r>
      <w:bookmarkEnd w:id="97"/>
      <w:bookmarkEnd w:id="98"/>
      <w:bookmarkEnd w:id="99"/>
      <w:bookmarkEnd w:id="100"/>
      <w:bookmarkEnd w:id="101"/>
      <w:bookmarkEnd w:id="102"/>
    </w:p>
    <w:bookmarkEnd w:id="103"/>
    <w:p w14:paraId="3B9096F0" w14:textId="77777777" w:rsidR="00B01930" w:rsidRDefault="00B01930" w:rsidP="00B01930">
      <w:pPr>
        <w:spacing w:before="120" w:after="120"/>
        <w:jc w:val="both"/>
      </w:pPr>
    </w:p>
    <w:p w14:paraId="34FB5AB7"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29D3FD0B" w14:textId="77777777" w:rsidR="00B01930" w:rsidRPr="00EC50AF" w:rsidRDefault="00B01930" w:rsidP="00B01930">
      <w:pPr>
        <w:spacing w:before="120" w:after="120"/>
        <w:jc w:val="both"/>
      </w:pPr>
      <w:r w:rsidRPr="00EC50AF">
        <w:t>Du mouvement diachronique, comme du mouvement synchron</w:t>
      </w:r>
      <w:r w:rsidRPr="00EC50AF">
        <w:t>i</w:t>
      </w:r>
      <w:r w:rsidRPr="00EC50AF">
        <w:t>que fonctionnel, « se dégage un sentiment de logique et de rationalité dans la cour des idées, raisons pour lesquelles ils laissent insatisfaits. Une hypothèse complémentaire doit venir en perturber le cours trop linéa</w:t>
      </w:r>
      <w:r w:rsidRPr="00EC50AF">
        <w:t>i</w:t>
      </w:r>
      <w:r w:rsidRPr="00EC50AF">
        <w:t>re, et rendre compte du caractère erratique de certains chang</w:t>
      </w:r>
      <w:r w:rsidRPr="00EC50AF">
        <w:t>e</w:t>
      </w:r>
      <w:r w:rsidRPr="00EC50AF">
        <w:t>ments </w:t>
      </w:r>
      <w:r>
        <w:rPr>
          <w:rStyle w:val="Appelnotedebasdep"/>
        </w:rPr>
        <w:footnoteReference w:id="287"/>
      </w:r>
      <w:r w:rsidRPr="00EC50AF">
        <w:t> ».</w:t>
      </w:r>
    </w:p>
    <w:p w14:paraId="449F4B50" w14:textId="77777777" w:rsidR="00B01930" w:rsidRDefault="00B01930" w:rsidP="00B01930">
      <w:pPr>
        <w:spacing w:before="120" w:after="120"/>
        <w:jc w:val="both"/>
      </w:pPr>
      <w:bookmarkStart w:id="104" w:name="_Toc494111641"/>
      <w:bookmarkStart w:id="105" w:name="_Toc494277636"/>
      <w:bookmarkStart w:id="106" w:name="_Toc499541015"/>
      <w:bookmarkStart w:id="107" w:name="_Toc504399653"/>
      <w:bookmarkStart w:id="108" w:name="_Toc504406288"/>
      <w:bookmarkStart w:id="109" w:name="_Toc524329877"/>
    </w:p>
    <w:p w14:paraId="2E191E5F" w14:textId="77777777" w:rsidR="00B01930" w:rsidRPr="00EC50AF" w:rsidRDefault="00B01930" w:rsidP="00B01930">
      <w:pPr>
        <w:pStyle w:val="b"/>
      </w:pPr>
      <w:r w:rsidRPr="00EC50AF">
        <w:t>Le phénomène de capture</w:t>
      </w:r>
      <w:bookmarkEnd w:id="104"/>
      <w:bookmarkEnd w:id="105"/>
      <w:bookmarkEnd w:id="106"/>
      <w:bookmarkEnd w:id="107"/>
      <w:bookmarkEnd w:id="108"/>
      <w:bookmarkEnd w:id="109"/>
    </w:p>
    <w:p w14:paraId="14AEE1FB" w14:textId="77777777" w:rsidR="00B01930" w:rsidRDefault="00B01930" w:rsidP="00B01930">
      <w:pPr>
        <w:spacing w:before="120" w:after="120"/>
        <w:jc w:val="both"/>
      </w:pPr>
    </w:p>
    <w:p w14:paraId="142007E5" w14:textId="77777777" w:rsidR="00B01930" w:rsidRPr="00EC50AF" w:rsidRDefault="00B01930" w:rsidP="00B01930">
      <w:pPr>
        <w:spacing w:before="120" w:after="120"/>
        <w:jc w:val="both"/>
      </w:pPr>
      <w:r w:rsidRPr="00EC50AF">
        <w:t>Il s’agit de la cohabitation forcée de deux systèmes de représent</w:t>
      </w:r>
      <w:r w:rsidRPr="00EC50AF">
        <w:t>a</w:t>
      </w:r>
      <w:r w:rsidRPr="00EC50AF">
        <w:t>tion adverses qui, à défaut de se détruire, quelle qu’en soit la raison, cherchent à se capturer mutuell</w:t>
      </w:r>
      <w:r w:rsidRPr="00EC50AF">
        <w:t>e</w:t>
      </w:r>
      <w:r w:rsidRPr="00EC50AF">
        <w:t>ment.</w:t>
      </w:r>
    </w:p>
    <w:p w14:paraId="2BDB8807" w14:textId="77777777" w:rsidR="00B01930" w:rsidRPr="00EC50AF" w:rsidRDefault="00B01930" w:rsidP="00B01930">
      <w:pPr>
        <w:spacing w:before="120" w:after="120"/>
        <w:jc w:val="both"/>
      </w:pPr>
      <w:r w:rsidRPr="00EC50AF">
        <w:t>C’est ainsi qu’il faut comprendre les relations entre le marxisme et le christiani</w:t>
      </w:r>
      <w:r w:rsidRPr="00EC50AF">
        <w:t>s</w:t>
      </w:r>
      <w:r w:rsidRPr="00EC50AF">
        <w:t>me qui, en son temps, ont prospéré en Amérique latine sous le nom de « théologie de la libération » qui avait pour but d’enchâsser le marxisme dans la doctrine chrétienne. Le salut passait par la révolution, le chrétien dés</w:t>
      </w:r>
      <w:r w:rsidRPr="00EC50AF">
        <w:t>i</w:t>
      </w:r>
      <w:r w:rsidRPr="00EC50AF">
        <w:t>reux de vivre en accord avec ses convictions devait participer à la lutte des classes, lutte des exploités qui s’analysaient comme un moment du processus de libération en Jésus-Christ, anticipation sacrame</w:t>
      </w:r>
      <w:r w:rsidRPr="00EC50AF">
        <w:t>n</w:t>
      </w:r>
      <w:r w:rsidRPr="00EC50AF">
        <w:t>telle du Monde nouveau. L’identification aux intérêts et aux luttes des classes populaires const</w:t>
      </w:r>
      <w:r w:rsidRPr="00EC50AF">
        <w:t>i</w:t>
      </w:r>
      <w:r w:rsidRPr="00EC50AF">
        <w:t>tuait l’axe d’une nouvelle manière d’être homme et de recevoir le don de la parole du Seigneur.</w:t>
      </w:r>
    </w:p>
    <w:p w14:paraId="1FFE31FD" w14:textId="77777777" w:rsidR="00B01930" w:rsidRPr="00EC50AF" w:rsidRDefault="00B01930" w:rsidP="00B01930">
      <w:pPr>
        <w:spacing w:before="120" w:after="120"/>
        <w:jc w:val="both"/>
      </w:pPr>
      <w:r w:rsidRPr="00EC50AF">
        <w:t>On peut aussi faire référence au christianisme qui, s’étant identifié au modèle m</w:t>
      </w:r>
      <w:r w:rsidRPr="00EC50AF">
        <w:t>o</w:t>
      </w:r>
      <w:r w:rsidRPr="00EC50AF">
        <w:t>narchique, et proposant comme finalité ultime le Paradis céleste, va recevoir de « plein fouet » les idées d’égalité, de bonheur terrestre, de liberté. Dans un premier temps, il y aura conflit avec la société démocratique dont le Pape Grégoire XVI pr</w:t>
      </w:r>
      <w:r w:rsidRPr="00EC50AF">
        <w:t>o</w:t>
      </w:r>
      <w:r w:rsidRPr="00EC50AF">
        <w:t>noncera la condamnation, « doctrine absurde et erronée que chacun devrait po</w:t>
      </w:r>
      <w:r w:rsidRPr="00EC50AF">
        <w:t>u</w:t>
      </w:r>
      <w:r w:rsidRPr="00EC50AF">
        <w:t xml:space="preserve">voir jouir de la liberté de conscience », et il récuse la liberté de la presse. Pie IX confirme le rejet des nouvelles valeurs : « le Pape de Rome ne peut et ne doit se réconcilier avec la civilisation moderne » et, au </w:t>
      </w:r>
      <w:r w:rsidRPr="00EC50AF">
        <w:rPr>
          <w:smallCaps/>
        </w:rPr>
        <w:t>xix</w:t>
      </w:r>
      <w:r w:rsidRPr="00EC50AF">
        <w:rPr>
          <w:vertAlign w:val="superscript"/>
        </w:rPr>
        <w:t>e</w:t>
      </w:r>
      <w:r w:rsidRPr="00EC50AF">
        <w:t xml:space="preserve"> siècle (en plein essor de ce qui sera qualifié de « scientisme »), l’Église affirme l’infaillibilité pontificale, le dogme de l’Immaculée conception (et en… 1950 celui de L’Assomption).</w:t>
      </w:r>
    </w:p>
    <w:p w14:paraId="75D06849" w14:textId="77777777" w:rsidR="00B01930" w:rsidRPr="00EC50AF" w:rsidRDefault="00B01930" w:rsidP="00B01930">
      <w:pPr>
        <w:spacing w:before="120" w:after="120"/>
        <w:jc w:val="both"/>
      </w:pPr>
      <w:r w:rsidRPr="00EC50AF">
        <w:t>Dans un second temps, sous la pression des faits, l’Église amorce un « virage » et admet le régime démocratique. Aussitôt apparaît la formulation doctrinale du christianisme social </w:t>
      </w:r>
      <w:r>
        <w:rPr>
          <w:rStyle w:val="Appelnotedebasdep"/>
        </w:rPr>
        <w:footnoteReference w:id="288"/>
      </w:r>
      <w:r w:rsidRPr="00EC50AF">
        <w:t xml:space="preserve"> et, plus tard, le mo</w:t>
      </w:r>
      <w:r w:rsidRPr="00EC50AF">
        <w:t>u</w:t>
      </w:r>
      <w:r w:rsidRPr="00EC50AF">
        <w:t>vement de la démocratie chrétienne, qui n’est rien d’autre que la tent</w:t>
      </w:r>
      <w:r w:rsidRPr="00EC50AF">
        <w:t>a</w:t>
      </w:r>
      <w:r w:rsidRPr="00EC50AF">
        <w:t>tive de refaire la liaison métaphysique-politique. La Cité de Dieu pa</w:t>
      </w:r>
      <w:r w:rsidRPr="00EC50AF">
        <w:t>s</w:t>
      </w:r>
      <w:r w:rsidRPr="00EC50AF">
        <w:t>se désormais par le contrôle du peuple chrétien. L’Église entend r</w:t>
      </w:r>
      <w:r w:rsidRPr="00EC50AF">
        <w:t>e</w:t>
      </w:r>
      <w:r w:rsidRPr="00EC50AF">
        <w:t>trouver la place perdue dans les démocraties et, pour ce faire, revend</w:t>
      </w:r>
      <w:r w:rsidRPr="00EC50AF">
        <w:t>i</w:t>
      </w:r>
      <w:r w:rsidRPr="00EC50AF">
        <w:t>que, par exemple, le droit à l’enseignement confessionnel </w:t>
      </w:r>
      <w:r>
        <w:rPr>
          <w:rStyle w:val="Appelnotedebasdep"/>
        </w:rPr>
        <w:footnoteReference w:id="289"/>
      </w:r>
      <w:r w:rsidRPr="00EC50AF">
        <w:t xml:space="preserve"> (subve</w:t>
      </w:r>
      <w:r w:rsidRPr="00EC50AF">
        <w:t>n</w:t>
      </w:r>
      <w:r w:rsidRPr="00EC50AF">
        <w:t>tionné par l’État, au nom de l’égalité et de la liberté). L’Église va e</w:t>
      </w:r>
      <w:r w:rsidRPr="00EC50AF">
        <w:t>n</w:t>
      </w:r>
      <w:r w:rsidRPr="00EC50AF">
        <w:t xml:space="preserve">tamer une longue adaptation de son </w:t>
      </w:r>
      <w:r w:rsidRPr="00EC50AF">
        <w:rPr>
          <w:i/>
        </w:rPr>
        <w:t>corpus</w:t>
      </w:r>
      <w:r w:rsidRPr="00EC50AF">
        <w:t xml:space="preserve"> pour, même avec retard, suivre les évolutions, notamment des mœurs.</w:t>
      </w:r>
    </w:p>
    <w:p w14:paraId="573DAD42" w14:textId="77777777" w:rsidR="00B01930" w:rsidRPr="00EC50AF" w:rsidRDefault="00B01930" w:rsidP="00B01930">
      <w:pPr>
        <w:spacing w:before="120" w:after="120"/>
        <w:jc w:val="both"/>
      </w:pPr>
      <w:r w:rsidRPr="00EC50AF">
        <w:t>Mais au moment même où cet effort constant d’aménagement du code se produit jusque et y compris la réa</w:t>
      </w:r>
      <w:r w:rsidRPr="00EC50AF">
        <w:t>c</w:t>
      </w:r>
      <w:r w:rsidRPr="00EC50AF">
        <w:t>tualisation de la vulgate, (« catéchèse 80 »), un mouvement inverse émerge car, en définitive, il y a affaiblissement du me</w:t>
      </w:r>
      <w:r w:rsidRPr="00EC50AF">
        <w:t>s</w:t>
      </w:r>
      <w:r w:rsidRPr="00EC50AF">
        <w:t>sage, le détenteur de la vérité est en peine pour définir et no</w:t>
      </w:r>
      <w:r w:rsidRPr="00EC50AF">
        <w:t>m</w:t>
      </w:r>
      <w:r w:rsidRPr="00EC50AF">
        <w:t>mer vraiment le Bien et le Mal, ce qui ne peut que désorienter des croyants, d’où se manifeste, par exemple, l’amorce (dans les années soixante-dix) d’un mouvement schismatique et hér</w:t>
      </w:r>
      <w:r w:rsidRPr="00EC50AF">
        <w:t>é</w:t>
      </w:r>
      <w:r w:rsidRPr="00EC50AF">
        <w:t>tique en France – sous les auspices de Mgr Lefebvre (1905-1991) – : celui-ci « comprend une certaine idée de la Révélation de Dieu, ainsi qu’une position de l’Église à l’égard du monde moderne qui ne peut accepter la liberté religieuse et la reconnaissance d’une dignité h</w:t>
      </w:r>
      <w:r w:rsidRPr="00EC50AF">
        <w:t>u</w:t>
      </w:r>
      <w:r w:rsidRPr="00EC50AF">
        <w:t>maine aut</w:t>
      </w:r>
      <w:r w:rsidRPr="00EC50AF">
        <w:t>o</w:t>
      </w:r>
      <w:r w:rsidRPr="00EC50AF">
        <w:t>nome. Se durcit la logique d’enfermement sur une base d’opposition à Vatican II </w:t>
      </w:r>
      <w:r>
        <w:rPr>
          <w:rStyle w:val="Appelnotedebasdep"/>
        </w:rPr>
        <w:footnoteReference w:id="290"/>
      </w:r>
      <w:r w:rsidRPr="00EC50AF">
        <w:t> » ; elle s</w:t>
      </w:r>
      <w:r w:rsidRPr="00EC50AF">
        <w:rPr>
          <w:color w:val="2F2F2F"/>
        </w:rPr>
        <w:t>e cristallise sur la volonté de re</w:t>
      </w:r>
      <w:r w:rsidRPr="00EC50AF">
        <w:rPr>
          <w:color w:val="2F2F2F"/>
        </w:rPr>
        <w:t>s</w:t>
      </w:r>
      <w:r w:rsidRPr="00EC50AF">
        <w:rPr>
          <w:color w:val="2F2F2F"/>
        </w:rPr>
        <w:t xml:space="preserve">taurer la « messe de saint Pie V ». Il y a alors une opposition radicale à Rome, car, </w:t>
      </w:r>
      <w:r w:rsidRPr="00EC50AF">
        <w:t>pour cette vision intégriste (au sens strict) du catholici</w:t>
      </w:r>
      <w:r w:rsidRPr="00EC50AF">
        <w:t>s</w:t>
      </w:r>
      <w:r w:rsidRPr="00EC50AF">
        <w:t>me, l’évolution était plus protestante que catholique, il fallait donc préparer une nouvelle élite sacerdotale, de « vrais prêtres ». En 1980, la « Fraternité sacerdotale Saint-Pie X » était fondée. Un sémina</w:t>
      </w:r>
      <w:r w:rsidRPr="00EC50AF">
        <w:t>i</w:t>
      </w:r>
      <w:r w:rsidRPr="00EC50AF">
        <w:t>re avait été créé : « le séminaire de Écône », en Suisse. Après moult p</w:t>
      </w:r>
      <w:r w:rsidRPr="00EC50AF">
        <w:t>é</w:t>
      </w:r>
      <w:r w:rsidRPr="00EC50AF">
        <w:t>ripéties, le 22 juillet 1976, la sanction tomba : le fondateur du sém</w:t>
      </w:r>
      <w:r w:rsidRPr="00EC50AF">
        <w:t>i</w:t>
      </w:r>
      <w:r w:rsidRPr="00EC50AF">
        <w:t xml:space="preserve">naire de Écône était frappé de </w:t>
      </w:r>
      <w:r w:rsidRPr="00EC50AF">
        <w:rPr>
          <w:i/>
        </w:rPr>
        <w:t>suspensea div</w:t>
      </w:r>
      <w:r w:rsidRPr="00EC50AF">
        <w:rPr>
          <w:i/>
        </w:rPr>
        <w:t>i</w:t>
      </w:r>
      <w:r w:rsidRPr="00EC50AF">
        <w:rPr>
          <w:i/>
        </w:rPr>
        <w:t>nis</w:t>
      </w:r>
      <w:r w:rsidRPr="00EC50AF">
        <w:t> :</w:t>
      </w:r>
    </w:p>
    <w:p w14:paraId="742C96D0" w14:textId="77777777" w:rsidR="00B01930" w:rsidRDefault="00B01930" w:rsidP="00B01930">
      <w:pPr>
        <w:pStyle w:val="citation"/>
      </w:pPr>
    </w:p>
    <w:p w14:paraId="6DA2A198" w14:textId="77777777" w:rsidR="00B01930" w:rsidRDefault="00B01930" w:rsidP="00B01930">
      <w:pPr>
        <w:pStyle w:val="citation"/>
      </w:pPr>
      <w:r w:rsidRPr="00EC50AF">
        <w:t>Les lefebvristes se sont structurés au fil des années comme une Église parallèle avec ses propres institutions : une commission can</w:t>
      </w:r>
      <w:r w:rsidRPr="00EC50AF">
        <w:t>o</w:t>
      </w:r>
      <w:r w:rsidRPr="00EC50AF">
        <w:t xml:space="preserve">nique pour les nullités de </w:t>
      </w:r>
      <w:hyperlink r:id="rId21" w:history="1">
        <w:r w:rsidRPr="00EC50AF">
          <w:t>mariage</w:t>
        </w:r>
      </w:hyperlink>
      <w:r w:rsidRPr="00EC50AF">
        <w:t>, qui remplace celles des officialités diocésaines, une maison d’édition (Clovis) qui a publié plusieurs ce</w:t>
      </w:r>
      <w:r w:rsidRPr="00EC50AF">
        <w:t>n</w:t>
      </w:r>
      <w:r w:rsidRPr="00EC50AF">
        <w:t>taines d’ouvrages dispensant « la bonne doctrine » et, pour les jeunes, le Mouvement de la jeunesse c</w:t>
      </w:r>
      <w:r w:rsidRPr="00EC50AF">
        <w:t>a</w:t>
      </w:r>
      <w:r w:rsidRPr="00EC50AF">
        <w:t>tholique de France, une dizaine de groupes de scouts et guides, et surtout une trentaine d’écoles hors contrat auxquelles s’ajoute la do</w:t>
      </w:r>
      <w:r w:rsidRPr="00EC50AF">
        <w:t>u</w:t>
      </w:r>
      <w:r w:rsidRPr="00EC50AF">
        <w:t>zaine d’écoles tenues par les dom</w:t>
      </w:r>
      <w:r w:rsidRPr="00EC50AF">
        <w:t>i</w:t>
      </w:r>
      <w:r w:rsidRPr="00EC50AF">
        <w:t>nicaines […] La Fraternité est présente dans tous les diocèses, avec 250 pr</w:t>
      </w:r>
      <w:r w:rsidRPr="00EC50AF">
        <w:t>ê</w:t>
      </w:r>
      <w:r w:rsidRPr="00EC50AF">
        <w:t>tres (moins de 2 % du clergé français) assistés de religieuses ou d’oblates, répartis dans 37 prieurés et desservant plusieurs chape</w:t>
      </w:r>
      <w:r w:rsidRPr="00EC50AF">
        <w:t>l</w:t>
      </w:r>
      <w:r w:rsidRPr="00EC50AF">
        <w:t>les aux alentou</w:t>
      </w:r>
      <w:r>
        <w:t>rs </w:t>
      </w:r>
      <w:r>
        <w:rPr>
          <w:rStyle w:val="Appelnotedebasdep"/>
        </w:rPr>
        <w:footnoteReference w:id="291"/>
      </w:r>
      <w:r w:rsidRPr="00EC50AF">
        <w:t>.</w:t>
      </w:r>
    </w:p>
    <w:p w14:paraId="131E4420" w14:textId="77777777" w:rsidR="00B01930" w:rsidRPr="00EC50AF" w:rsidRDefault="00B01930" w:rsidP="00B01930">
      <w:pPr>
        <w:pStyle w:val="citation"/>
      </w:pPr>
    </w:p>
    <w:p w14:paraId="0B283581" w14:textId="77777777" w:rsidR="00B01930" w:rsidRPr="00EC50AF" w:rsidRDefault="00B01930" w:rsidP="00B01930">
      <w:pPr>
        <w:spacing w:before="120" w:after="120"/>
        <w:jc w:val="both"/>
      </w:pPr>
      <w:r w:rsidRPr="00EC50AF">
        <w:t>- Mais aussi, on voit depuis plusieurs années l’épiscopat et le Vat</w:t>
      </w:r>
      <w:r w:rsidRPr="00EC50AF">
        <w:t>i</w:t>
      </w:r>
      <w:r w:rsidRPr="00EC50AF">
        <w:t>can prendre des positions, voire appeler à manifester, ou à soutenir des manifestations, contre telle ou telle réforme touchant à la famille, l’éducation, la sexualité, voire avec le Pape Fra</w:t>
      </w:r>
      <w:r w:rsidRPr="00EC50AF">
        <w:t>n</w:t>
      </w:r>
      <w:r w:rsidRPr="00EC50AF">
        <w:t>çois (élu en 2013) la condamnation « du libéralisme sauv</w:t>
      </w:r>
      <w:r w:rsidRPr="00EC50AF">
        <w:t>a</w:t>
      </w:r>
      <w:r w:rsidRPr="00EC50AF">
        <w:t>ge du monde globalisé », ce qui est conforme à la logique du code. Ce sont les circonstances sociales, polit</w:t>
      </w:r>
      <w:r w:rsidRPr="00EC50AF">
        <w:t>i</w:t>
      </w:r>
      <w:r w:rsidRPr="00EC50AF">
        <w:t>ques, économiques, qui permettent ce retour de l’appel, officiel, à se conformer au Bien, et à des actions, y compris par la voie des éle</w:t>
      </w:r>
      <w:r w:rsidRPr="00EC50AF">
        <w:t>c</w:t>
      </w:r>
      <w:r w:rsidRPr="00EC50AF">
        <w:t>tions, visant à faire en sorte que le détenteur du pouvoir soit aussi le porteur de cette vérité afin de construire la Cité idéale. Mais il faut noter que c’est en s’appuyant sur des valeurs de la démocratie libérale, liberté, tolérance, voire égalité, intégrées au discours catholique co</w:t>
      </w:r>
      <w:r w:rsidRPr="00EC50AF">
        <w:t>m</w:t>
      </w:r>
      <w:r w:rsidRPr="00EC50AF">
        <w:t>me leviers d’action, que se fait ce r</w:t>
      </w:r>
      <w:r w:rsidRPr="00EC50AF">
        <w:t>e</w:t>
      </w:r>
      <w:r w:rsidRPr="00EC50AF">
        <w:t>tour.</w:t>
      </w:r>
    </w:p>
    <w:p w14:paraId="209939FB" w14:textId="77777777" w:rsidR="00B01930" w:rsidRDefault="00B01930" w:rsidP="00B01930">
      <w:pPr>
        <w:spacing w:before="120" w:after="120"/>
        <w:jc w:val="both"/>
      </w:pPr>
      <w:bookmarkStart w:id="110" w:name="_Toc494111642"/>
      <w:bookmarkStart w:id="111" w:name="_Toc494277637"/>
      <w:bookmarkStart w:id="112" w:name="_Toc499541016"/>
      <w:bookmarkStart w:id="113" w:name="_Toc504399654"/>
      <w:bookmarkStart w:id="114" w:name="_Toc504406289"/>
      <w:bookmarkStart w:id="115" w:name="_Toc524329878"/>
    </w:p>
    <w:p w14:paraId="31521ACA" w14:textId="77777777" w:rsidR="00B01930" w:rsidRPr="00EC50AF" w:rsidRDefault="00B01930" w:rsidP="00B01930">
      <w:pPr>
        <w:pStyle w:val="b"/>
      </w:pPr>
      <w:r w:rsidRPr="00EC50AF">
        <w:t>Le phénomène de contagion</w:t>
      </w:r>
      <w:bookmarkEnd w:id="110"/>
      <w:bookmarkEnd w:id="111"/>
      <w:bookmarkEnd w:id="112"/>
      <w:bookmarkEnd w:id="113"/>
      <w:bookmarkEnd w:id="114"/>
      <w:bookmarkEnd w:id="115"/>
    </w:p>
    <w:p w14:paraId="35DA9199" w14:textId="77777777" w:rsidR="00B01930" w:rsidRDefault="00B01930" w:rsidP="00B01930">
      <w:pPr>
        <w:spacing w:before="120" w:after="120"/>
        <w:jc w:val="both"/>
      </w:pPr>
    </w:p>
    <w:p w14:paraId="1D1068BC" w14:textId="77777777" w:rsidR="00B01930" w:rsidRPr="00EC50AF" w:rsidRDefault="00B01930" w:rsidP="00B01930">
      <w:pPr>
        <w:spacing w:before="120" w:after="120"/>
        <w:jc w:val="both"/>
      </w:pPr>
      <w:r w:rsidRPr="00EC50AF">
        <w:t>Jean-Louis Martres entend par là un phénomène d’emprunts idé</w:t>
      </w:r>
      <w:r w:rsidRPr="00EC50AF">
        <w:t>o</w:t>
      </w:r>
      <w:r w:rsidRPr="00EC50AF">
        <w:t>logiques, de transferts, par contact entre deux civilisations.</w:t>
      </w:r>
    </w:p>
    <w:p w14:paraId="198EB915" w14:textId="77777777" w:rsidR="00B01930" w:rsidRPr="00EC50AF" w:rsidRDefault="00B01930" w:rsidP="00B01930">
      <w:pPr>
        <w:spacing w:before="120" w:after="120"/>
        <w:jc w:val="both"/>
      </w:pPr>
      <w:r w:rsidRPr="00EC50AF">
        <w:t>C’est, par exemple, le cas des étudiants originaires des pays dits, à l’époque, du « Tiers-monde », venus étudier dans des sociétés indu</w:t>
      </w:r>
      <w:r w:rsidRPr="00EC50AF">
        <w:t>s</w:t>
      </w:r>
      <w:r w:rsidRPr="00EC50AF">
        <w:t>trialisées, qui auront fait leur les conflits idéol</w:t>
      </w:r>
      <w:r w:rsidRPr="00EC50AF">
        <w:t>o</w:t>
      </w:r>
      <w:r w:rsidRPr="00EC50AF">
        <w:t>giques qui agitaient ces sociétés et qui s’approprièrent tout ou partie de la pensée occidentale qui sera ensuite importée dans un milieu fort différent et loin de celle-ci, tant en termes de mentalités, que de conditions économiques et s</w:t>
      </w:r>
      <w:r w:rsidRPr="00EC50AF">
        <w:t>o</w:t>
      </w:r>
      <w:r w:rsidRPr="00EC50AF">
        <w:t>ciétales. Ce fut le cas du marxisme « plaqué » sur des réalités qui ne correspondaient en rien au dogme marxiste. Mais il en résultait les él</w:t>
      </w:r>
      <w:r w:rsidRPr="00EC50AF">
        <w:t>é</w:t>
      </w:r>
      <w:r w:rsidRPr="00EC50AF">
        <w:t>ments utiles à la lutte pour le pouvoir comme le parti unique, la dictature au nom de la lutte des classes (inexistantes, bien souvent, au sens marxiste), la nationalisation de la terre qui était, en fait, déjà en ge</w:t>
      </w:r>
      <w:r w:rsidRPr="00EC50AF">
        <w:t>s</w:t>
      </w:r>
      <w:r w:rsidRPr="00EC50AF">
        <w:t>tion communautaire. Ce qui rejoint le propos de Jean-Christophe Ruffin qui estimait que, lors de « la guerre froide », le Sud avait habi</w:t>
      </w:r>
      <w:r w:rsidRPr="00EC50AF">
        <w:t>l</w:t>
      </w:r>
      <w:r w:rsidRPr="00EC50AF">
        <w:t>lé ses propres conflits de phrasé</w:t>
      </w:r>
      <w:r w:rsidRPr="00EC50AF">
        <w:t>o</w:t>
      </w:r>
      <w:r w:rsidRPr="00EC50AF">
        <w:t>logie occidentale (libéralisme et marxisme) et que ce sont les circonstances qui ont fait que le combat politique dans le Tiers-Monde avait pris la forme révolutionnaire marxiste </w:t>
      </w:r>
      <w:r>
        <w:rPr>
          <w:rStyle w:val="Appelnotedebasdep"/>
        </w:rPr>
        <w:footnoteReference w:id="292"/>
      </w:r>
      <w:r w:rsidRPr="00EC50AF">
        <w:t>.</w:t>
      </w:r>
    </w:p>
    <w:p w14:paraId="135F2ABB" w14:textId="77777777" w:rsidR="00B01930" w:rsidRDefault="00B01930" w:rsidP="00B01930">
      <w:pPr>
        <w:spacing w:before="120" w:after="120"/>
        <w:jc w:val="both"/>
      </w:pPr>
      <w:r w:rsidRPr="00EC50AF">
        <w:t>Le cas le plus intéressant</w:t>
      </w:r>
    </w:p>
    <w:p w14:paraId="44F70214" w14:textId="77777777" w:rsidR="00B01930" w:rsidRDefault="00B01930" w:rsidP="00B01930">
      <w:pPr>
        <w:pStyle w:val="Citation00"/>
      </w:pPr>
    </w:p>
    <w:p w14:paraId="5317914E" w14:textId="77777777" w:rsidR="00B01930" w:rsidRDefault="00B01930" w:rsidP="00B01930">
      <w:pPr>
        <w:pStyle w:val="Citation00"/>
      </w:pPr>
      <w:r w:rsidRPr="00EC50AF">
        <w:t>concerne le sort de la Chine au contact de l’Occident. […] La société ch</w:t>
      </w:r>
      <w:r w:rsidRPr="00EC50AF">
        <w:t>i</w:t>
      </w:r>
      <w:r w:rsidRPr="00EC50AF">
        <w:t>noise a été travaillée par un appareil critique occidental ; touchant sa ph</w:t>
      </w:r>
      <w:r w:rsidRPr="00EC50AF">
        <w:t>i</w:t>
      </w:r>
      <w:r w:rsidRPr="00EC50AF">
        <w:t>losophie dès l’arrivée des mi</w:t>
      </w:r>
      <w:r w:rsidRPr="00EC50AF">
        <w:t>s</w:t>
      </w:r>
      <w:r w:rsidRPr="00EC50AF">
        <w:t>sionnaires, puis son système politique par la critique libérale, la démocratie républicaine par les marxistes. Actuell</w:t>
      </w:r>
      <w:r w:rsidRPr="00EC50AF">
        <w:t>e</w:t>
      </w:r>
      <w:r w:rsidRPr="00EC50AF">
        <w:t>ment elle se laisse séduire par l’économie de ma</w:t>
      </w:r>
      <w:r w:rsidRPr="00EC50AF">
        <w:t>r</w:t>
      </w:r>
      <w:r w:rsidRPr="00EC50AF">
        <w:t>ché, tout en lorgnant vers la sy</w:t>
      </w:r>
      <w:r w:rsidRPr="00EC50AF">
        <w:t>n</w:t>
      </w:r>
      <w:r w:rsidRPr="00EC50AF">
        <w:t>thèse néoconfucianiste de Singapour. […] La pensée traditionnelle, avilie, méprisée, ensevelie sous ses pr</w:t>
      </w:r>
      <w:r w:rsidRPr="00EC50AF">
        <w:t>o</w:t>
      </w:r>
      <w:r w:rsidRPr="00EC50AF">
        <w:t>pres décombres, ne survit que sous des formes minimales, mais esse</w:t>
      </w:r>
      <w:r w:rsidRPr="00EC50AF">
        <w:t>n</w:t>
      </w:r>
      <w:r w:rsidRPr="00EC50AF">
        <w:t>tielles </w:t>
      </w:r>
      <w:r>
        <w:rPr>
          <w:rStyle w:val="Appelnotedebasdep"/>
        </w:rPr>
        <w:footnoteReference w:id="293"/>
      </w:r>
      <w:r w:rsidRPr="00EC50AF">
        <w:t>.</w:t>
      </w:r>
    </w:p>
    <w:p w14:paraId="4A2E4795" w14:textId="77777777" w:rsidR="00B01930" w:rsidRPr="00EC50AF" w:rsidRDefault="00B01930" w:rsidP="00B01930">
      <w:pPr>
        <w:pStyle w:val="Citation00"/>
      </w:pPr>
    </w:p>
    <w:p w14:paraId="6C7D0EB2" w14:textId="77777777" w:rsidR="00B01930" w:rsidRPr="00EC50AF" w:rsidRDefault="00B01930" w:rsidP="00B01930">
      <w:pPr>
        <w:spacing w:before="120" w:after="120"/>
        <w:jc w:val="both"/>
      </w:pPr>
      <w:r w:rsidRPr="00EC50AF">
        <w:t>Nous écrivons : « C’est cette contagion qui met en mouvement le code n° 1 et e</w:t>
      </w:r>
      <w:r w:rsidRPr="00EC50AF">
        <w:t>x</w:t>
      </w:r>
      <w:r w:rsidRPr="00EC50AF">
        <w:t>plique le renouveau du christianisme en Chine, l’apparition de sectes de type occide</w:t>
      </w:r>
      <w:r w:rsidRPr="00EC50AF">
        <w:t>n</w:t>
      </w:r>
      <w:r w:rsidRPr="00EC50AF">
        <w:t>tal ou le réveil de l’islam chez les Ouïgours. La subversion du code n° 2 par le code n° 1 expliquerait ces phénomènes, auxquels s’ajoute la lutte des puissances dans le c</w:t>
      </w:r>
      <w:r w:rsidRPr="00EC50AF">
        <w:t>a</w:t>
      </w:r>
      <w:r w:rsidRPr="00EC50AF">
        <w:t>dre de la mondialisation et de la redistribution des cartes depuis la fin de l’URSS </w:t>
      </w:r>
      <w:r>
        <w:rPr>
          <w:rStyle w:val="Appelnotedebasdep"/>
        </w:rPr>
        <w:footnoteReference w:id="294"/>
      </w:r>
      <w:r w:rsidRPr="00EC50AF">
        <w:rPr>
          <w:smallCaps/>
        </w:rPr>
        <w:t>. »</w:t>
      </w:r>
      <w:r w:rsidRPr="00EC50AF">
        <w:t xml:space="preserve"> Et il est vrai que « la tectonique » des codes semble s’orienter vers la « suprématie » du code n° 1. Mais en même temps il faut con</w:t>
      </w:r>
      <w:r w:rsidRPr="00EC50AF">
        <w:t>s</w:t>
      </w:r>
      <w:r w:rsidRPr="00EC50AF">
        <w:t xml:space="preserve">tater que seul le mode de pensée chinois, dans </w:t>
      </w:r>
      <w:r>
        <w:t>le droit fil de son code (n° 2) </w:t>
      </w:r>
      <w:r>
        <w:rPr>
          <w:rStyle w:val="Appelnotedebasdep"/>
        </w:rPr>
        <w:footnoteReference w:id="295"/>
      </w:r>
      <w:r w:rsidRPr="00EC50AF">
        <w:t xml:space="preserve"> est capable de produire un régime politique comm</w:t>
      </w:r>
      <w:r w:rsidRPr="00EC50AF">
        <w:t>u</w:t>
      </w:r>
      <w:r w:rsidRPr="00EC50AF">
        <w:t>niste et, simultanément, une économie soumise, en grande partie, à l’économie de marché, comme d’accepter pour les nouvelles classes moye</w:t>
      </w:r>
      <w:r w:rsidRPr="00EC50AF">
        <w:t>n</w:t>
      </w:r>
      <w:r w:rsidRPr="00EC50AF">
        <w:t>nes des modes de vie tout à fait « bourgeois mondialisé ». La question du devenir reste ouverte</w:t>
      </w:r>
      <w:r w:rsidRPr="00EC50AF">
        <w:rPr>
          <w:i/>
        </w:rPr>
        <w:t> </w:t>
      </w:r>
      <w:r w:rsidRPr="00EC50AF">
        <w:t>: « La Chine pourra-t-elle digérer l’apport et reconstituer un un</w:t>
      </w:r>
      <w:r w:rsidRPr="00EC50AF">
        <w:t>i</w:t>
      </w:r>
      <w:r w:rsidRPr="00EC50AF">
        <w:t>vers culturel autonome […] </w:t>
      </w:r>
      <w:r>
        <w:rPr>
          <w:rStyle w:val="Appelnotedebasdep"/>
        </w:rPr>
        <w:footnoteReference w:id="296"/>
      </w:r>
      <w:r w:rsidRPr="00EC50AF">
        <w:t> ? »</w:t>
      </w:r>
    </w:p>
    <w:p w14:paraId="14A9AE44" w14:textId="77777777" w:rsidR="00B01930" w:rsidRDefault="00B01930" w:rsidP="00B01930">
      <w:pPr>
        <w:spacing w:before="120" w:after="120"/>
        <w:jc w:val="both"/>
      </w:pPr>
      <w:bookmarkStart w:id="116" w:name="_Toc494111643"/>
      <w:bookmarkStart w:id="117" w:name="_Toc494277638"/>
      <w:bookmarkStart w:id="118" w:name="_Toc499541017"/>
      <w:bookmarkStart w:id="119" w:name="_Toc504399655"/>
      <w:bookmarkStart w:id="120" w:name="_Toc504406290"/>
      <w:bookmarkStart w:id="121" w:name="_Toc524329879"/>
    </w:p>
    <w:p w14:paraId="4C8F13E2" w14:textId="77777777" w:rsidR="00B01930" w:rsidRPr="00EC50AF" w:rsidRDefault="00B01930" w:rsidP="00B01930">
      <w:pPr>
        <w:pStyle w:val="planche"/>
      </w:pPr>
      <w:bookmarkStart w:id="122" w:name="Analyser_idees_pol_pt_1_texte_01b_concl"/>
      <w:r w:rsidRPr="00EC50AF">
        <w:t>Conclusion</w:t>
      </w:r>
      <w:bookmarkEnd w:id="116"/>
      <w:bookmarkEnd w:id="117"/>
      <w:bookmarkEnd w:id="118"/>
      <w:bookmarkEnd w:id="119"/>
      <w:bookmarkEnd w:id="120"/>
      <w:bookmarkEnd w:id="121"/>
    </w:p>
    <w:bookmarkEnd w:id="122"/>
    <w:p w14:paraId="27FAB33F" w14:textId="77777777" w:rsidR="00B01930" w:rsidRDefault="00B01930" w:rsidP="00B01930">
      <w:pPr>
        <w:spacing w:before="120" w:after="120"/>
        <w:jc w:val="both"/>
      </w:pPr>
    </w:p>
    <w:p w14:paraId="57BB522D"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484C5D77" w14:textId="77777777" w:rsidR="00B01930" w:rsidRDefault="00B01930" w:rsidP="00B01930">
      <w:pPr>
        <w:spacing w:before="120" w:after="120"/>
        <w:jc w:val="both"/>
      </w:pPr>
      <w:r w:rsidRPr="00EC50AF">
        <w:t>Comme nous l’avons dit plus haut, le code n° 1 a engendré « cette machine thé</w:t>
      </w:r>
      <w:r w:rsidRPr="00EC50AF">
        <w:t>â</w:t>
      </w:r>
      <w:r w:rsidRPr="00EC50AF">
        <w:t>trale changeant les décors et les costumes des acteurs au gré de tous les vents que nous faisons souffler par nos inventions ou notre imagination </w:t>
      </w:r>
      <w:r>
        <w:rPr>
          <w:rStyle w:val="Appelnotedebasdep"/>
        </w:rPr>
        <w:footnoteReference w:id="297"/>
      </w:r>
      <w:r w:rsidRPr="00EC50AF">
        <w:t> ». Mais</w:t>
      </w:r>
    </w:p>
    <w:p w14:paraId="34AA8542" w14:textId="77777777" w:rsidR="00B01930" w:rsidRDefault="00B01930" w:rsidP="00B01930">
      <w:pPr>
        <w:pStyle w:val="Citation00"/>
      </w:pPr>
    </w:p>
    <w:p w14:paraId="0CC70574" w14:textId="77777777" w:rsidR="00B01930" w:rsidRDefault="00B01930" w:rsidP="00B01930">
      <w:pPr>
        <w:pStyle w:val="Citation00"/>
      </w:pPr>
      <w:r w:rsidRPr="00EC50AF">
        <w:t>l’homme utilise sa liberté pour se fabr</w:t>
      </w:r>
      <w:r w:rsidRPr="00EC50AF">
        <w:t>i</w:t>
      </w:r>
      <w:r w:rsidRPr="00EC50AF">
        <w:t>quer une cage. À partir du moment où le syst</w:t>
      </w:r>
      <w:r w:rsidRPr="00EC50AF">
        <w:t>è</w:t>
      </w:r>
      <w:r w:rsidRPr="00EC50AF">
        <w:t>me est devenu cohérent et majoritaire, les hommes s’efforcent d’en tirer toutes les possibilités. C’est pourquoi il est po</w:t>
      </w:r>
      <w:r w:rsidRPr="00EC50AF">
        <w:t>s</w:t>
      </w:r>
      <w:r w:rsidRPr="00EC50AF">
        <w:t>sible de dire que l’histoire des idées a une logique, mais pas de sens [mais c’est aussi pou</w:t>
      </w:r>
      <w:r w:rsidRPr="00EC50AF">
        <w:t>r</w:t>
      </w:r>
      <w:r w:rsidRPr="00EC50AF">
        <w:t>quoi] les obse</w:t>
      </w:r>
      <w:r w:rsidRPr="00EC50AF">
        <w:t>r</w:t>
      </w:r>
      <w:r w:rsidRPr="00EC50AF">
        <w:t>vateurs antérieurs ont cru pouvoir déduire de la réalisation des options pr</w:t>
      </w:r>
      <w:r w:rsidRPr="00EC50AF">
        <w:t>o</w:t>
      </w:r>
      <w:r w:rsidRPr="00EC50AF">
        <w:t>grammées par le code, l’existence d’un sens universel de l’Histoire […] sous cet angle [et seulement entendu ai</w:t>
      </w:r>
      <w:r w:rsidRPr="00EC50AF">
        <w:t>n</w:t>
      </w:r>
      <w:r w:rsidRPr="00EC50AF">
        <w:t>si] le sens existe donc […] </w:t>
      </w:r>
      <w:r>
        <w:rPr>
          <w:rStyle w:val="Appelnotedebasdep"/>
        </w:rPr>
        <w:footnoteReference w:id="298"/>
      </w:r>
      <w:r w:rsidRPr="00EC50AF">
        <w:t>.</w:t>
      </w:r>
    </w:p>
    <w:p w14:paraId="4A28E9C3" w14:textId="77777777" w:rsidR="00B01930" w:rsidRPr="00EC50AF" w:rsidRDefault="00B01930" w:rsidP="00B01930">
      <w:pPr>
        <w:pStyle w:val="Citation00"/>
      </w:pPr>
    </w:p>
    <w:p w14:paraId="1E9CC7A4" w14:textId="77777777" w:rsidR="00B01930" w:rsidRPr="00EC50AF" w:rsidRDefault="00B01930" w:rsidP="00B01930">
      <w:pPr>
        <w:spacing w:before="120" w:after="120"/>
        <w:jc w:val="both"/>
      </w:pPr>
      <w:r w:rsidRPr="00EC50AF">
        <w:t>La question ultime alors est : « y a-t-il vraiment changement parce qu’il y a mo</w:t>
      </w:r>
      <w:r w:rsidRPr="00EC50AF">
        <w:t>u</w:t>
      </w:r>
      <w:r w:rsidRPr="00EC50AF">
        <w:t>vement </w:t>
      </w:r>
      <w:r>
        <w:rPr>
          <w:rStyle w:val="Appelnotedebasdep"/>
        </w:rPr>
        <w:footnoteReference w:id="299"/>
      </w:r>
      <w:r w:rsidRPr="00EC50AF">
        <w:t> », et Jean-Louis Martres de s’interroger : « notre agitation perpétuelle a-t-elle jamais réussi à perturber l’immobilisme glacé du pouvoir </w:t>
      </w:r>
      <w:r>
        <w:rPr>
          <w:rStyle w:val="Appelnotedebasdep"/>
        </w:rPr>
        <w:footnoteReference w:id="300"/>
      </w:r>
      <w:r w:rsidRPr="00EC50AF">
        <w:t> » ?</w:t>
      </w:r>
    </w:p>
    <w:p w14:paraId="7FA3A455" w14:textId="77777777" w:rsidR="00B01930" w:rsidRPr="00EC50AF" w:rsidRDefault="00B01930" w:rsidP="00B01930">
      <w:pPr>
        <w:spacing w:before="120" w:after="120"/>
        <w:jc w:val="both"/>
      </w:pPr>
      <w:r w:rsidRPr="00EC50AF">
        <w:t>De fait, on peut se demander si réellement « la relation de l’homme au pouvoir [a] changé </w:t>
      </w:r>
      <w:r>
        <w:rPr>
          <w:rStyle w:val="Appelnotedebasdep"/>
        </w:rPr>
        <w:footnoteReference w:id="301"/>
      </w:r>
      <w:r w:rsidRPr="00EC50AF">
        <w:t xml:space="preserve"> » ? Pour notre part, et sans nous tromper sur la réponse qu’aurait faite </w:t>
      </w:r>
      <w:r w:rsidRPr="00EC50AF">
        <w:rPr>
          <w:i/>
        </w:rPr>
        <w:t xml:space="preserve">il professore, </w:t>
      </w:r>
      <w:r w:rsidRPr="00EC50AF">
        <w:t>nous pensons que non, rendant chimérique, si ce n’est dérisoire, le di</w:t>
      </w:r>
      <w:r w:rsidRPr="00EC50AF">
        <w:t>s</w:t>
      </w:r>
      <w:r w:rsidRPr="00EC50AF">
        <w:t>cours des politiciens, des « spécialistes », et des intellectuels, sur « l’innovation pol</w:t>
      </w:r>
      <w:r w:rsidRPr="00EC50AF">
        <w:t>i</w:t>
      </w:r>
      <w:r w:rsidRPr="00EC50AF">
        <w:t>tique</w:t>
      </w:r>
      <w:r>
        <w:t> </w:t>
      </w:r>
      <w:r>
        <w:rPr>
          <w:rStyle w:val="Appelnotedebasdep"/>
        </w:rPr>
        <w:footnoteReference w:id="302"/>
      </w:r>
      <w:r w:rsidRPr="00EC50AF">
        <w:t> ».</w:t>
      </w:r>
    </w:p>
    <w:p w14:paraId="43E45534" w14:textId="77777777" w:rsidR="00B01930" w:rsidRPr="00EC50AF" w:rsidRDefault="00B01930" w:rsidP="00B01930">
      <w:pPr>
        <w:spacing w:before="120" w:after="120"/>
        <w:jc w:val="both"/>
      </w:pPr>
      <w:r w:rsidRPr="00EC50AF">
        <w:t>« Quels que soient les régimes ou les partis, ils proclament tous qu’ils inaugur</w:t>
      </w:r>
      <w:r w:rsidRPr="00EC50AF">
        <w:t>e</w:t>
      </w:r>
      <w:r w:rsidRPr="00EC50AF">
        <w:t>ront une nouvelle politique, plus juste, plus propre, une politique inédite, et pourtant les gouvernés, malgré l’expérience, continuent à les croire </w:t>
      </w:r>
      <w:r>
        <w:rPr>
          <w:rStyle w:val="Appelnotedebasdep"/>
        </w:rPr>
        <w:footnoteReference w:id="303"/>
      </w:r>
      <w:r w:rsidRPr="00EC50AF">
        <w:t>. »</w:t>
      </w:r>
    </w:p>
    <w:p w14:paraId="29A57D57" w14:textId="77777777" w:rsidR="00B01930" w:rsidRDefault="00B01930" w:rsidP="00B01930">
      <w:pPr>
        <w:spacing w:before="120" w:after="120"/>
        <w:jc w:val="both"/>
      </w:pPr>
      <w:r w:rsidRPr="00EC50AF">
        <w:br w:type="page"/>
      </w:r>
      <w:bookmarkStart w:id="123" w:name="_Toc494111644"/>
      <w:bookmarkStart w:id="124" w:name="_Toc494111920"/>
      <w:bookmarkStart w:id="125" w:name="_Toc494277639"/>
      <w:bookmarkStart w:id="126" w:name="_Toc494277712"/>
      <w:bookmarkStart w:id="127" w:name="_Toc499541018"/>
      <w:bookmarkStart w:id="128" w:name="_Toc504399656"/>
      <w:bookmarkStart w:id="129" w:name="_Toc504406291"/>
      <w:bookmarkStart w:id="130" w:name="_Toc524329880"/>
    </w:p>
    <w:p w14:paraId="4CC63717" w14:textId="77777777" w:rsidR="00B01930" w:rsidRPr="00EC50AF" w:rsidRDefault="00B01930" w:rsidP="00B01930">
      <w:pPr>
        <w:pStyle w:val="planche"/>
      </w:pPr>
      <w:bookmarkStart w:id="131" w:name="Analyser_idees_pol_pt_1_texte_01b_annexe"/>
      <w:r w:rsidRPr="00EC50AF">
        <w:t>ANNEXE</w:t>
      </w:r>
      <w:bookmarkEnd w:id="123"/>
      <w:bookmarkEnd w:id="124"/>
      <w:bookmarkEnd w:id="125"/>
      <w:bookmarkEnd w:id="126"/>
      <w:bookmarkEnd w:id="127"/>
      <w:bookmarkEnd w:id="128"/>
      <w:bookmarkEnd w:id="129"/>
      <w:bookmarkEnd w:id="130"/>
    </w:p>
    <w:p w14:paraId="6B3C47F1" w14:textId="77777777" w:rsidR="00B01930" w:rsidRPr="00EC50AF" w:rsidRDefault="00B01930" w:rsidP="00B01930">
      <w:pPr>
        <w:pStyle w:val="planche"/>
      </w:pPr>
      <w:bookmarkStart w:id="132" w:name="_Toc494111645"/>
      <w:bookmarkStart w:id="133" w:name="_Toc494111921"/>
      <w:bookmarkStart w:id="134" w:name="_Toc494277640"/>
      <w:bookmarkStart w:id="135" w:name="_Toc494277713"/>
      <w:bookmarkStart w:id="136" w:name="_Toc499541019"/>
      <w:bookmarkStart w:id="137" w:name="_Toc504399657"/>
      <w:bookmarkStart w:id="138" w:name="_Toc504406292"/>
      <w:bookmarkStart w:id="139" w:name="_Toc524329881"/>
      <w:bookmarkEnd w:id="131"/>
      <w:r w:rsidRPr="00EC50AF">
        <w:t>Un exemple de réactualisation du code n° 1 :</w:t>
      </w:r>
      <w:bookmarkEnd w:id="132"/>
      <w:bookmarkEnd w:id="133"/>
      <w:bookmarkEnd w:id="134"/>
      <w:bookmarkEnd w:id="135"/>
      <w:bookmarkEnd w:id="136"/>
      <w:bookmarkEnd w:id="137"/>
      <w:bookmarkEnd w:id="138"/>
      <w:bookmarkEnd w:id="139"/>
    </w:p>
    <w:p w14:paraId="02A0D98C" w14:textId="77777777" w:rsidR="00B01930" w:rsidRPr="00EC50AF" w:rsidRDefault="00B01930" w:rsidP="00B01930">
      <w:pPr>
        <w:pStyle w:val="planche"/>
      </w:pPr>
      <w:bookmarkStart w:id="140" w:name="_Toc494111646"/>
      <w:bookmarkStart w:id="141" w:name="_Toc494277641"/>
      <w:bookmarkStart w:id="142" w:name="_Toc499541020"/>
      <w:bookmarkStart w:id="143" w:name="_Toc504399658"/>
      <w:bookmarkStart w:id="144" w:name="_Toc504406293"/>
      <w:bookmarkStart w:id="145" w:name="_Toc524329882"/>
      <w:r w:rsidRPr="00EC50AF">
        <w:t>Louis Althusser</w:t>
      </w:r>
      <w:bookmarkEnd w:id="140"/>
      <w:bookmarkEnd w:id="141"/>
      <w:bookmarkEnd w:id="142"/>
      <w:bookmarkEnd w:id="143"/>
      <w:bookmarkEnd w:id="144"/>
      <w:bookmarkEnd w:id="145"/>
    </w:p>
    <w:p w14:paraId="6FC68009" w14:textId="77777777" w:rsidR="00B01930" w:rsidRPr="00EC50AF" w:rsidRDefault="00B01930" w:rsidP="00B01930">
      <w:pPr>
        <w:spacing w:before="120" w:after="120"/>
        <w:jc w:val="both"/>
      </w:pPr>
    </w:p>
    <w:p w14:paraId="2D2AD19C" w14:textId="77777777" w:rsidR="00B01930" w:rsidRPr="00EC50AF" w:rsidRDefault="00B01930" w:rsidP="00B01930">
      <w:pPr>
        <w:spacing w:before="120" w:after="120"/>
        <w:jc w:val="both"/>
      </w:pPr>
    </w:p>
    <w:p w14:paraId="5EB80D49"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55E28B86" w14:textId="77777777" w:rsidR="00B01930" w:rsidRPr="00EC50AF" w:rsidRDefault="00B01930" w:rsidP="00B01930">
      <w:pPr>
        <w:spacing w:before="120" w:after="120"/>
        <w:jc w:val="both"/>
      </w:pPr>
      <w:r w:rsidRPr="00EC50AF">
        <w:t>Cet exemple nous semble mériter la présente annexe dans la mes</w:t>
      </w:r>
      <w:r w:rsidRPr="00EC50AF">
        <w:t>u</w:t>
      </w:r>
      <w:r w:rsidRPr="00EC50AF">
        <w:t xml:space="preserve">re où, encore aujourd’hui, les écrits marxistes, dont </w:t>
      </w:r>
      <w:r w:rsidRPr="00EC50AF">
        <w:rPr>
          <w:i/>
        </w:rPr>
        <w:t>Le Capital</w:t>
      </w:r>
      <w:r w:rsidRPr="00EC50AF">
        <w:t xml:space="preserve"> de Karl Marx, sont toujours édités (avec, en 2016, une… nouvelle tradu</w:t>
      </w:r>
      <w:r w:rsidRPr="00EC50AF">
        <w:t>c</w:t>
      </w:r>
      <w:r w:rsidRPr="00EC50AF">
        <w:t>tion) ; et qu’un séminaire (créé en 2009 et toujours en cours), à No</w:t>
      </w:r>
      <w:r w:rsidRPr="00EC50AF">
        <w:t>r</w:t>
      </w:r>
      <w:r w:rsidRPr="00EC50AF">
        <w:t>male Sup. Ulm, s’intitule : « Lectures de Marx »… (</w:t>
      </w:r>
      <w:hyperlink r:id="rId22" w:history="1">
        <w:r w:rsidRPr="00EC50AF">
          <w:t>http://adlc.hypotheses.org</w:t>
        </w:r>
      </w:hyperlink>
      <w:r w:rsidRPr="00EC50AF">
        <w:t xml:space="preserve">). Enfin la chaîne de télévision </w:t>
      </w:r>
      <w:r w:rsidRPr="00EC50AF">
        <w:rPr>
          <w:i/>
        </w:rPr>
        <w:t>Arte</w:t>
      </w:r>
      <w:r w:rsidRPr="00EC50AF">
        <w:t xml:space="preserve"> a diff</w:t>
      </w:r>
      <w:r w:rsidRPr="00EC50AF">
        <w:t>u</w:t>
      </w:r>
      <w:r w:rsidRPr="00EC50AF">
        <w:t>sé, le 18 janvier 2017, un documentaire : « L’aventure Althusser » (à 22 h 40, durée : une heure).</w:t>
      </w:r>
    </w:p>
    <w:p w14:paraId="6F0F83FF" w14:textId="77777777" w:rsidR="00B01930" w:rsidRPr="00EC50AF" w:rsidRDefault="00B01930" w:rsidP="00B01930">
      <w:pPr>
        <w:spacing w:before="120" w:after="120"/>
        <w:jc w:val="both"/>
      </w:pPr>
      <w:r w:rsidRPr="00EC50AF">
        <w:t xml:space="preserve">On pourrait paraphraser la célèbre ouverture du </w:t>
      </w:r>
      <w:r w:rsidRPr="00EC50AF">
        <w:rPr>
          <w:i/>
        </w:rPr>
        <w:t>Manifeste du parti communiste</w:t>
      </w:r>
      <w:r w:rsidRPr="00EC50AF">
        <w:t xml:space="preserve"> de Marx, de la manière suivante : « un spectre hante l’</w:t>
      </w:r>
      <w:r w:rsidRPr="00EC50AF">
        <w:rPr>
          <w:i/>
        </w:rPr>
        <w:t>intelligentsia</w:t>
      </w:r>
      <w:r w:rsidRPr="00EC50AF">
        <w:t>, c’est le spectre de Louis Althusser »…</w:t>
      </w:r>
    </w:p>
    <w:p w14:paraId="4147B231" w14:textId="77777777" w:rsidR="00B01930" w:rsidRDefault="00B01930" w:rsidP="00B01930">
      <w:pPr>
        <w:spacing w:before="120" w:after="120"/>
        <w:jc w:val="both"/>
      </w:pPr>
      <w:bookmarkStart w:id="146" w:name="_Toc494111647"/>
      <w:bookmarkStart w:id="147" w:name="_Toc494277642"/>
      <w:bookmarkStart w:id="148" w:name="_Toc499541021"/>
      <w:bookmarkStart w:id="149" w:name="_Toc504399659"/>
      <w:bookmarkStart w:id="150" w:name="_Toc504406294"/>
      <w:bookmarkStart w:id="151" w:name="_Toc524329883"/>
    </w:p>
    <w:p w14:paraId="768BD2A5" w14:textId="77777777" w:rsidR="00B01930" w:rsidRPr="00EC50AF" w:rsidRDefault="00B01930" w:rsidP="00B01930">
      <w:pPr>
        <w:pStyle w:val="a"/>
      </w:pPr>
      <w:r w:rsidRPr="00EC50AF">
        <w:t>Résumé de notre mémoire de 1974</w:t>
      </w:r>
      <w:r w:rsidRPr="00957F5E">
        <w:rPr>
          <w:b w:val="0"/>
          <w:i w:val="0"/>
        </w:rPr>
        <w:t> </w:t>
      </w:r>
      <w:r w:rsidRPr="00957F5E">
        <w:rPr>
          <w:rStyle w:val="Appelnotedebasdep"/>
          <w:b w:val="0"/>
          <w:i w:val="0"/>
        </w:rPr>
        <w:footnoteReference w:id="304"/>
      </w:r>
      <w:bookmarkEnd w:id="146"/>
      <w:bookmarkEnd w:id="147"/>
      <w:bookmarkEnd w:id="148"/>
      <w:bookmarkEnd w:id="149"/>
      <w:bookmarkEnd w:id="150"/>
      <w:bookmarkEnd w:id="151"/>
    </w:p>
    <w:p w14:paraId="6D1D03C4" w14:textId="77777777" w:rsidR="00B01930" w:rsidRDefault="00B01930" w:rsidP="00B01930">
      <w:pPr>
        <w:spacing w:before="120" w:after="120"/>
        <w:jc w:val="both"/>
      </w:pPr>
    </w:p>
    <w:p w14:paraId="0D2671EA" w14:textId="77777777" w:rsidR="00B01930" w:rsidRPr="00EC50AF" w:rsidRDefault="00B01930" w:rsidP="00B01930">
      <w:pPr>
        <w:spacing w:before="120" w:after="120"/>
        <w:jc w:val="both"/>
      </w:pPr>
      <w:r w:rsidRPr="00EC50AF">
        <w:t>Althusser, par une réflexion épistémologique appropriée, e</w:t>
      </w:r>
      <w:r w:rsidRPr="00EC50AF">
        <w:t>n</w:t>
      </w:r>
      <w:r w:rsidRPr="00EC50AF">
        <w:t>tendait donner au marxisme le statut de « théorie », c’est-à-dire, pour lui, de science – selon les critères en vigueur au moment de son entreprise.</w:t>
      </w:r>
    </w:p>
    <w:p w14:paraId="16ECCD4A" w14:textId="77777777" w:rsidR="00B01930" w:rsidRPr="00EC50AF" w:rsidRDefault="00B01930" w:rsidP="00B01930">
      <w:pPr>
        <w:spacing w:before="120" w:after="120"/>
        <w:jc w:val="both"/>
      </w:pPr>
      <w:r w:rsidRPr="00EC50AF">
        <w:t>Tout le travail d’Althusser visera à inclure toutes les reche</w:t>
      </w:r>
      <w:r w:rsidRPr="00EC50AF">
        <w:t>r</w:t>
      </w:r>
      <w:r w:rsidRPr="00EC50AF">
        <w:t>ches qui avaient cours dans les domaines, entre autres, de l’épistémologie, de la linguistique et de la psychanalyse, dont il importera certains concepts en leur donnant un nouveau sens et une nouvelle fonction, notamment toute la philosophie polit</w:t>
      </w:r>
      <w:r w:rsidRPr="00EC50AF">
        <w:t>i</w:t>
      </w:r>
      <w:r w:rsidRPr="00EC50AF">
        <w:t>que, relus et combinés, et insérés au cœur du marxisme.</w:t>
      </w:r>
    </w:p>
    <w:p w14:paraId="158C5AF7" w14:textId="77777777" w:rsidR="00B01930" w:rsidRPr="00EC50AF" w:rsidRDefault="00B01930" w:rsidP="00B01930">
      <w:pPr>
        <w:spacing w:before="120" w:after="120"/>
        <w:jc w:val="both"/>
      </w:pPr>
      <w:r w:rsidRPr="00EC50AF">
        <w:t>Selon lui, la théorie est un processus se passant tout entier dans la pensée. Marx a construit un objet de connaissance qui n’a rien à voir avec le réel ; c’est donc une hypothèse, un découpage fait par le che</w:t>
      </w:r>
      <w:r w:rsidRPr="00EC50AF">
        <w:t>r</w:t>
      </w:r>
      <w:r w:rsidRPr="00EC50AF">
        <w:t>cheur. L’autonomie de la connaissance permet ultérieurement de di</w:t>
      </w:r>
      <w:r w:rsidRPr="00EC50AF">
        <w:t>s</w:t>
      </w:r>
      <w:r w:rsidRPr="00EC50AF">
        <w:t>tinguer, d’après lui, science et idéologie au moyen de la notion de « coupure épistémologique ». En fait, il reprend les conceptions épi</w:t>
      </w:r>
      <w:r w:rsidRPr="00EC50AF">
        <w:t>s</w:t>
      </w:r>
      <w:r w:rsidRPr="00EC50AF">
        <w:t>témologiques cla</w:t>
      </w:r>
      <w:r w:rsidRPr="00EC50AF">
        <w:t>s</w:t>
      </w:r>
      <w:r w:rsidRPr="00EC50AF">
        <w:t>siques (wébériennes par exemple), mais cela revient implicitement à annuler la spécificité du marxisme, car, alors, il d</w:t>
      </w:r>
      <w:r w:rsidRPr="00EC50AF">
        <w:t>e</w:t>
      </w:r>
      <w:r w:rsidRPr="00EC50AF">
        <w:t>vient une hypothèse parmi d’autres ; il n’est donc plus LA clef de compréhension universelle, la vérité.</w:t>
      </w:r>
    </w:p>
    <w:p w14:paraId="448A695B" w14:textId="77777777" w:rsidR="00B01930" w:rsidRPr="00EC50AF" w:rsidRDefault="00B01930" w:rsidP="00B01930">
      <w:pPr>
        <w:spacing w:before="120" w:after="120"/>
        <w:jc w:val="both"/>
      </w:pPr>
      <w:r w:rsidRPr="00EC50AF">
        <w:t>Aussi, Louis Althusser réaffirme immédiatement que la science se définit en fonction du politique. Le marxisme est scientifique parce que prolétarien et révolutionnaire. En d’autres termes, Althusser a pa</w:t>
      </w:r>
      <w:r w:rsidRPr="00EC50AF">
        <w:t>r</w:t>
      </w:r>
      <w:r w:rsidRPr="00EC50AF">
        <w:t>faitement compris que le cara</w:t>
      </w:r>
      <w:r w:rsidRPr="00EC50AF">
        <w:t>c</w:t>
      </w:r>
      <w:r w:rsidRPr="00EC50AF">
        <w:t>tère scientifique du marxisme est un donné.</w:t>
      </w:r>
    </w:p>
    <w:p w14:paraId="0CF8A7AC" w14:textId="77777777" w:rsidR="00B01930" w:rsidRPr="00EC50AF" w:rsidRDefault="00B01930" w:rsidP="00B01930">
      <w:pPr>
        <w:spacing w:before="120" w:after="120"/>
        <w:jc w:val="both"/>
      </w:pPr>
      <w:r w:rsidRPr="00EC50AF">
        <w:t>Au niveau des concepts, il s’approprie la notion de système sous le terme de « totalité complexe » ; en définissant ce tout</w:t>
      </w:r>
      <w:r w:rsidRPr="00EC50AF">
        <w:rPr>
          <w:i/>
        </w:rPr>
        <w:t xml:space="preserve"> </w:t>
      </w:r>
      <w:r w:rsidRPr="00EC50AF">
        <w:t>à partir de l’économique, du politique et de l’idéologique, et en ajoutant l’idée de variation des combinaisons, Louis Althusser peut justifier la non-correspondance nécessaire entre les rapports de production et les fo</w:t>
      </w:r>
      <w:r w:rsidRPr="00EC50AF">
        <w:t>r</w:t>
      </w:r>
      <w:r w:rsidRPr="00EC50AF">
        <w:t>ces productives – ce qui était vér</w:t>
      </w:r>
      <w:r w:rsidRPr="00EC50AF">
        <w:t>i</w:t>
      </w:r>
      <w:r w:rsidRPr="00EC50AF">
        <w:t>fié depuis longtemps par l’expérience et par les auteurs non marxistes ! Mais l’orthodoxie ex</w:t>
      </w:r>
      <w:r w:rsidRPr="00EC50AF">
        <w:t>i</w:t>
      </w:r>
      <w:r w:rsidRPr="00EC50AF">
        <w:t>geait la nécessaire correspo</w:t>
      </w:r>
      <w:r w:rsidRPr="00EC50AF">
        <w:t>n</w:t>
      </w:r>
      <w:r w:rsidRPr="00EC50AF">
        <w:t>dance des deux plans (au prix de bien de « contorsions » et de négation des faits). Enfin cette totalité complexe se perpétue – elle s’autorégule, disaient les tenants de l’approche sy</w:t>
      </w:r>
      <w:r w:rsidRPr="00EC50AF">
        <w:t>s</w:t>
      </w:r>
      <w:r w:rsidRPr="00EC50AF">
        <w:t>témique – et les différentes instances sont… autonomes, ce qui expl</w:t>
      </w:r>
      <w:r w:rsidRPr="00EC50AF">
        <w:t>i</w:t>
      </w:r>
      <w:r w:rsidRPr="00EC50AF">
        <w:t>que que le changement du « tout » dépend de la conjoncture qui, en jargon althussérien, reçoit le nom de « surdétermination » : la révol</w:t>
      </w:r>
      <w:r w:rsidRPr="00EC50AF">
        <w:t>u</w:t>
      </w:r>
      <w:r w:rsidRPr="00EC50AF">
        <w:t>tion n’est plus… automatique, elle est seulement possible et la Rév</w:t>
      </w:r>
      <w:r w:rsidRPr="00EC50AF">
        <w:t>o</w:t>
      </w:r>
      <w:r w:rsidRPr="00EC50AF">
        <w:t>lution russe de 1917, nous dit Louis Althusser, s’explique par… les circonstances (ce qu’avaient toujours dit les auteurs « bourgeois »).</w:t>
      </w:r>
    </w:p>
    <w:p w14:paraId="3A451C45" w14:textId="77777777" w:rsidR="00B01930" w:rsidRPr="00EC50AF" w:rsidRDefault="00B01930" w:rsidP="00B01930">
      <w:pPr>
        <w:spacing w:before="120" w:after="120"/>
        <w:jc w:val="both"/>
      </w:pPr>
      <w:r w:rsidRPr="00EC50AF">
        <w:t>Sous le vocable d’« État facteur de cohésion des niveaux », les a</w:t>
      </w:r>
      <w:r w:rsidRPr="00EC50AF">
        <w:t>l</w:t>
      </w:r>
      <w:r w:rsidRPr="00EC50AF">
        <w:t>thussériens </w:t>
      </w:r>
      <w:r>
        <w:rPr>
          <w:rStyle w:val="Appelnotedebasdep"/>
        </w:rPr>
        <w:footnoteReference w:id="305"/>
      </w:r>
      <w:r w:rsidRPr="00EC50AF">
        <w:t xml:space="preserve"> reprirent la notion de système politique comme régul</w:t>
      </w:r>
      <w:r w:rsidRPr="00EC50AF">
        <w:t>a</w:t>
      </w:r>
      <w:r w:rsidRPr="00EC50AF">
        <w:t>teur du système social. Par là même, ils reco</w:t>
      </w:r>
      <w:r w:rsidRPr="00EC50AF">
        <w:t>n</w:t>
      </w:r>
      <w:r w:rsidRPr="00EC50AF">
        <w:t>naissaient la validité de la science politique « bourgeoise » et l’importance du politique et du pouvoir pour comprendre une société. Le politique devenant objet d’étude autonome, les ma</w:t>
      </w:r>
      <w:r w:rsidRPr="00EC50AF">
        <w:t>r</w:t>
      </w:r>
      <w:r w:rsidRPr="00EC50AF">
        <w:t>xistes pouvaient, alors, récupérer les acquis de la science polit</w:t>
      </w:r>
      <w:r w:rsidRPr="00EC50AF">
        <w:t>i</w:t>
      </w:r>
      <w:r w:rsidRPr="00EC50AF">
        <w:t>que et, du même coup, la pratique politique du Prince marxiste peut recevoir une explication « théorique marxiste ».</w:t>
      </w:r>
    </w:p>
    <w:p w14:paraId="085A520B" w14:textId="77777777" w:rsidR="00B01930" w:rsidRPr="00EC50AF" w:rsidRDefault="00B01930" w:rsidP="00B01930">
      <w:pPr>
        <w:spacing w:before="120" w:after="120"/>
        <w:jc w:val="both"/>
      </w:pPr>
      <w:r w:rsidRPr="00EC50AF">
        <w:t>Cependant le marxisme se définit comme Vérité et Science parce qu’il connaît les lois qui sous-tendent la marche de l’histoire ; lois qui se trouvent dans l’économie et que Marx n’a fait que révéler par l’usage de la raison. Pour garder la fonction explicative et la séduction du marxisme il faut maintenir le d</w:t>
      </w:r>
      <w:r w:rsidRPr="00EC50AF">
        <w:t>é</w:t>
      </w:r>
      <w:r w:rsidRPr="00EC50AF">
        <w:t>terminisme économique. C’est ce qu’a fait Althusser en affirmant, purement et simplement, que la stru</w:t>
      </w:r>
      <w:r w:rsidRPr="00EC50AF">
        <w:t>c</w:t>
      </w:r>
      <w:r w:rsidRPr="00EC50AF">
        <w:t>ture – ou totalité – est déterminée « en dernière instance » par l’économie. Donc le marxisme qui dévoile les forces économiques du devenir hist</w:t>
      </w:r>
      <w:r w:rsidRPr="00EC50AF">
        <w:t>o</w:t>
      </w:r>
      <w:r w:rsidRPr="00EC50AF">
        <w:t>rique reste vrai. Le parti communiste devient doublement n</w:t>
      </w:r>
      <w:r w:rsidRPr="00EC50AF">
        <w:t>é</w:t>
      </w:r>
      <w:r w:rsidRPr="00EC50AF">
        <w:t>cessaire, il rassemble ceux qui ont compris les lois de l’histoire et le but de celle-ci, il interprète la conjoncture en vue de la révolution ; il est donc bien le guide indispensable des masses ignorantes, puisque – comme le souligne Althusser – celles-ci vivent dans l’idéologie néce</w:t>
      </w:r>
      <w:r w:rsidRPr="00EC50AF">
        <w:t>s</w:t>
      </w:r>
      <w:r w:rsidRPr="00EC50AF">
        <w:t>saire au fonctionnement de toute société (un tel propos, venant d’un politologue non marxiste aurait été qualifié de « réactionnaire ») !</w:t>
      </w:r>
    </w:p>
    <w:p w14:paraId="0C0A34B5" w14:textId="77777777" w:rsidR="00B01930" w:rsidRDefault="00B01930" w:rsidP="00B01930">
      <w:pPr>
        <w:spacing w:before="120" w:after="120"/>
        <w:jc w:val="both"/>
      </w:pPr>
      <w:r w:rsidRPr="00EC50AF">
        <w:t>Ce qu’on a appelé, à un moment, « le retour à l’orthodoxie » d’Althusser, n’était, en réalité, que la conscience qu’il y avait des points fondamentaux de l’idéologie qu’on ne pouvait tran</w:t>
      </w:r>
      <w:r w:rsidRPr="00EC50AF">
        <w:t>s</w:t>
      </w:r>
      <w:r w:rsidRPr="00EC50AF">
        <w:t>gresser sous peine de ruiner l’édifice. Et rappelons que, nonob</w:t>
      </w:r>
      <w:r w:rsidRPr="00EC50AF">
        <w:t>s</w:t>
      </w:r>
      <w:r w:rsidRPr="00EC50AF">
        <w:t>tant tous les conflits avec le parti communiste français, il en resta membre toute sa vie.</w:t>
      </w:r>
    </w:p>
    <w:p w14:paraId="7E94CCE1" w14:textId="77777777" w:rsidR="00B01930" w:rsidRPr="00EC50AF" w:rsidRDefault="00B01930" w:rsidP="00B01930">
      <w:pPr>
        <w:spacing w:before="120" w:after="120"/>
        <w:jc w:val="both"/>
      </w:pPr>
    </w:p>
    <w:p w14:paraId="2D84DEBB" w14:textId="77777777" w:rsidR="00B01930" w:rsidRPr="00EC50AF" w:rsidRDefault="00B01930" w:rsidP="00B01930">
      <w:pPr>
        <w:pStyle w:val="a"/>
      </w:pPr>
      <w:bookmarkStart w:id="152" w:name="_Toc494111648"/>
      <w:bookmarkStart w:id="153" w:name="_Toc494277643"/>
      <w:bookmarkStart w:id="154" w:name="_Toc499541022"/>
      <w:bookmarkStart w:id="155" w:name="_Toc504399660"/>
      <w:bookmarkStart w:id="156" w:name="_Toc504406295"/>
      <w:bookmarkStart w:id="157" w:name="_Toc524329884"/>
      <w:r w:rsidRPr="00EC50AF">
        <w:t>Addendum au texte de 1974, rédigé en 1994</w:t>
      </w:r>
      <w:bookmarkEnd w:id="152"/>
      <w:bookmarkEnd w:id="153"/>
      <w:bookmarkEnd w:id="154"/>
      <w:bookmarkEnd w:id="155"/>
      <w:bookmarkEnd w:id="156"/>
      <w:bookmarkEnd w:id="157"/>
    </w:p>
    <w:p w14:paraId="5D6183AC" w14:textId="77777777" w:rsidR="00B01930" w:rsidRDefault="00B01930" w:rsidP="00B01930">
      <w:pPr>
        <w:spacing w:before="120" w:after="120"/>
        <w:jc w:val="both"/>
      </w:pPr>
    </w:p>
    <w:p w14:paraId="0105523A" w14:textId="77777777" w:rsidR="00B01930" w:rsidRPr="00EC50AF" w:rsidRDefault="00B01930" w:rsidP="00B01930">
      <w:pPr>
        <w:spacing w:before="120" w:after="120"/>
        <w:jc w:val="both"/>
      </w:pPr>
      <w:r w:rsidRPr="00EC50AF">
        <w:t>En 1994 nous écrivions le texte ci-après, intitulé : « Faut-il relire Althusser ? », (texte écrit pour une éventuelle publication qui ne se concrétisa pas), mais dont, même aujourd’hui, avec les rééditions et autres écrits relatifs à Althusser, il reste tout à fait d’actualité :</w:t>
      </w:r>
    </w:p>
    <w:p w14:paraId="44302E65" w14:textId="77777777" w:rsidR="00B01930" w:rsidRPr="00EC50AF" w:rsidRDefault="00B01930" w:rsidP="00B01930">
      <w:pPr>
        <w:spacing w:before="120" w:after="120"/>
        <w:jc w:val="both"/>
      </w:pPr>
    </w:p>
    <w:p w14:paraId="0770C2CB" w14:textId="77777777" w:rsidR="00B01930" w:rsidRPr="00EC50AF" w:rsidRDefault="00B01930" w:rsidP="00B01930">
      <w:pPr>
        <w:spacing w:before="120" w:after="120"/>
        <w:jc w:val="both"/>
      </w:pPr>
      <w:r w:rsidRPr="00EC50AF">
        <w:t>1974-1994. Vingt ans séparent notre réflexion sur Louis A</w:t>
      </w:r>
      <w:r w:rsidRPr="00EC50AF">
        <w:t>l</w:t>
      </w:r>
      <w:r w:rsidRPr="00EC50AF">
        <w:t>thusser d’une des dernières publications posthumes faisant partie de ses œ</w:t>
      </w:r>
      <w:r w:rsidRPr="00EC50AF">
        <w:t>u</w:t>
      </w:r>
      <w:r w:rsidRPr="00EC50AF">
        <w:t>vres inédites </w:t>
      </w:r>
      <w:r>
        <w:rPr>
          <w:rStyle w:val="Appelnotedebasdep"/>
        </w:rPr>
        <w:footnoteReference w:id="306"/>
      </w:r>
      <w:r w:rsidRPr="00EC50AF">
        <w:t>, édition qui fait écrire à un critique « Faut-il publier les travaux d’Althusser, ceux de l’obscurité, écrits après le drame de 1980 ? </w:t>
      </w:r>
      <w:r>
        <w:rPr>
          <w:rStyle w:val="Appelnotedebasdep"/>
        </w:rPr>
        <w:footnoteReference w:id="307"/>
      </w:r>
      <w:r w:rsidRPr="00EC50AF">
        <w:t xml:space="preserve"> Eh bien, lorsqu’on a lu ces inédits, la question ne se pose plus, il le fallait absolument. La philosophie l’exige, la biographie également </w:t>
      </w:r>
      <w:r>
        <w:rPr>
          <w:rStyle w:val="Appelnotedebasdep"/>
        </w:rPr>
        <w:footnoteReference w:id="308"/>
      </w:r>
      <w:r w:rsidRPr="00EC50AF">
        <w:t> », car il s’agissait d’un « livre majeur, d’une extrême i</w:t>
      </w:r>
      <w:r w:rsidRPr="00EC50AF">
        <w:t>m</w:t>
      </w:r>
      <w:r w:rsidRPr="00EC50AF">
        <w:t>portance </w:t>
      </w:r>
      <w:r>
        <w:rPr>
          <w:rStyle w:val="Appelnotedebasdep"/>
        </w:rPr>
        <w:footnoteReference w:id="309"/>
      </w:r>
      <w:r w:rsidRPr="00EC50AF">
        <w:t> ».</w:t>
      </w:r>
    </w:p>
    <w:p w14:paraId="0BEDAC7B" w14:textId="77777777" w:rsidR="00B01930" w:rsidRPr="00EC50AF" w:rsidRDefault="00B01930" w:rsidP="00B01930">
      <w:pPr>
        <w:spacing w:before="120" w:after="120"/>
        <w:jc w:val="both"/>
      </w:pPr>
      <w:r w:rsidRPr="00EC50AF">
        <w:t>En 1992, lors de l’édition posthume de son autobiogr</w:t>
      </w:r>
      <w:r w:rsidRPr="00EC50AF">
        <w:t>a</w:t>
      </w:r>
      <w:r w:rsidRPr="00EC50AF">
        <w:t>phie </w:t>
      </w:r>
      <w:r>
        <w:rPr>
          <w:rStyle w:val="Appelnotedebasdep"/>
        </w:rPr>
        <w:footnoteReference w:id="310"/>
      </w:r>
      <w:r w:rsidRPr="00EC50AF">
        <w:t xml:space="preserve"> et de la parution simultanée du premier volet de sa biographie </w:t>
      </w:r>
      <w:r>
        <w:rPr>
          <w:rStyle w:val="Appelnotedebasdep"/>
        </w:rPr>
        <w:footnoteReference w:id="311"/>
      </w:r>
      <w:r w:rsidRPr="00EC50AF">
        <w:t>, on appr</w:t>
      </w:r>
      <w:r w:rsidRPr="00EC50AF">
        <w:t>e</w:t>
      </w:r>
      <w:r w:rsidRPr="00EC50AF">
        <w:t>nait (ce qui était effectivement une révél</w:t>
      </w:r>
      <w:r w:rsidRPr="00EC50AF">
        <w:t>a</w:t>
      </w:r>
      <w:r w:rsidRPr="00EC50AF">
        <w:t>tion) qu’« Althusser n’avait jamais cessé d’écrire, de réfléchir, de penser. Il [avait] mult</w:t>
      </w:r>
      <w:r w:rsidRPr="00EC50AF">
        <w:t>i</w:t>
      </w:r>
      <w:r w:rsidRPr="00EC50AF">
        <w:t>plié les ébauches de manu</w:t>
      </w:r>
      <w:r w:rsidRPr="00EC50AF">
        <w:t>s</w:t>
      </w:r>
      <w:r w:rsidRPr="00EC50AF">
        <w:t>crits </w:t>
      </w:r>
      <w:r>
        <w:rPr>
          <w:rStyle w:val="Appelnotedebasdep"/>
        </w:rPr>
        <w:footnoteReference w:id="312"/>
      </w:r>
      <w:r w:rsidRPr="00EC50AF">
        <w:t> » ; au point que ces écrits font l’objet d’un programme d’édition sur plusieurs années </w:t>
      </w:r>
      <w:r>
        <w:rPr>
          <w:rStyle w:val="Appelnotedebasdep"/>
        </w:rPr>
        <w:footnoteReference w:id="313"/>
      </w:r>
      <w:r w:rsidRPr="00EC50AF">
        <w:t>.</w:t>
      </w:r>
    </w:p>
    <w:p w14:paraId="37FEB025" w14:textId="77777777" w:rsidR="00B01930" w:rsidRPr="00EC50AF" w:rsidRDefault="00B01930" w:rsidP="00B01930">
      <w:pPr>
        <w:spacing w:before="120" w:after="120"/>
        <w:jc w:val="both"/>
      </w:pPr>
      <w:r w:rsidRPr="00EC50AF">
        <w:t>Saluées par la presse et l’audiovisuel comme un évén</w:t>
      </w:r>
      <w:r w:rsidRPr="00EC50AF">
        <w:t>e</w:t>
      </w:r>
      <w:r w:rsidRPr="00EC50AF">
        <w:t>ment </w:t>
      </w:r>
      <w:r>
        <w:rPr>
          <w:rStyle w:val="Appelnotedebasdep"/>
        </w:rPr>
        <w:footnoteReference w:id="314"/>
      </w:r>
      <w:r w:rsidRPr="00EC50AF">
        <w:t>, ces biographies et la mise en œuvre de ce programme (sans oublier la r</w:t>
      </w:r>
      <w:r w:rsidRPr="00EC50AF">
        <w:t>é</w:t>
      </w:r>
      <w:r w:rsidRPr="00EC50AF">
        <w:t xml:space="preserve">édition de </w:t>
      </w:r>
      <w:r w:rsidRPr="00EC50AF">
        <w:rPr>
          <w:i/>
        </w:rPr>
        <w:t>Lire le Capital</w:t>
      </w:r>
      <w:r w:rsidRPr="00EC50AF">
        <w:t>, un des deux textes majeurs d’Althusser et des « althussériens »</w:t>
      </w:r>
      <w:r>
        <w:t> </w:t>
      </w:r>
      <w:r>
        <w:rPr>
          <w:rStyle w:val="Appelnotedebasdep"/>
        </w:rPr>
        <w:footnoteReference w:id="315"/>
      </w:r>
      <w:r w:rsidRPr="00EC50AF">
        <w:t>) conduisent à se demander si l’analyse crit</w:t>
      </w:r>
      <w:r w:rsidRPr="00EC50AF">
        <w:t>i</w:t>
      </w:r>
      <w:r w:rsidRPr="00EC50AF">
        <w:t>que des écrits d’Althusser par Raymond Aron, l’autorisant à parler de « marxismes imaginaires </w:t>
      </w:r>
      <w:r>
        <w:rPr>
          <w:rStyle w:val="Appelnotedebasdep"/>
        </w:rPr>
        <w:footnoteReference w:id="316"/>
      </w:r>
      <w:r w:rsidRPr="00EC50AF">
        <w:t> » et à écrire « pensée et écriture ésotér</w:t>
      </w:r>
      <w:r w:rsidRPr="00EC50AF">
        <w:t>i</w:t>
      </w:r>
      <w:r w:rsidRPr="00EC50AF">
        <w:t>que, action viole</w:t>
      </w:r>
      <w:r w:rsidRPr="00EC50AF">
        <w:t>n</w:t>
      </w:r>
      <w:r w:rsidRPr="00EC50AF">
        <w:t>te, faut-il prendre au sérieux le mélange ? Faut-il rire ou pleurer ? Honnêtement : je ne sais pas </w:t>
      </w:r>
      <w:r>
        <w:rPr>
          <w:rStyle w:val="Appelnotedebasdep"/>
        </w:rPr>
        <w:footnoteReference w:id="317"/>
      </w:r>
      <w:r w:rsidRPr="00EC50AF">
        <w:t> », n’était qu’un vulgaire pa</w:t>
      </w:r>
      <w:r w:rsidRPr="00EC50AF">
        <w:t>m</w:t>
      </w:r>
      <w:r w:rsidRPr="00EC50AF">
        <w:t>phlet d’un philosophe « de droite » en mal de publicité. À la lecture de la presse </w:t>
      </w:r>
      <w:r>
        <w:rPr>
          <w:rStyle w:val="Appelnotedebasdep"/>
        </w:rPr>
        <w:footnoteReference w:id="318"/>
      </w:r>
      <w:r w:rsidRPr="00EC50AF">
        <w:t>, on peut se demander aussi si l’</w:t>
      </w:r>
      <w:r w:rsidRPr="00EC50AF">
        <w:rPr>
          <w:i/>
        </w:rPr>
        <w:t>intelligentsia</w:t>
      </w:r>
      <w:r w:rsidRPr="00EC50AF">
        <w:t xml:space="preserve"> fra</w:t>
      </w:r>
      <w:r w:rsidRPr="00EC50AF">
        <w:t>n</w:t>
      </w:r>
      <w:r w:rsidRPr="00EC50AF">
        <w:t>çaise ne se serait pas montrée ingrate envers un grand philosophe qu’elle aurait volontairement oublié après l’avoir, pour une fraction d’entre elle, admiré, pour une petite partie, sévèrement critiqué, et pour une derni</w:t>
      </w:r>
      <w:r w:rsidRPr="00EC50AF">
        <w:t>è</w:t>
      </w:r>
      <w:r w:rsidRPr="00EC50AF">
        <w:t>re partie, adulé puis rejeté, les trois attitudes n’étant, après tout, que des conséquences d’un même phénomène : la reco</w:t>
      </w:r>
      <w:r w:rsidRPr="00EC50AF">
        <w:t>n</w:t>
      </w:r>
      <w:r w:rsidRPr="00EC50AF">
        <w:t>naissance par les intellectuels de ce qu’il était convenu d’appeler « la pensée althuss</w:t>
      </w:r>
      <w:r w:rsidRPr="00EC50AF">
        <w:t>é</w:t>
      </w:r>
      <w:r w:rsidRPr="00EC50AF">
        <w:t>rienne ».</w:t>
      </w:r>
    </w:p>
    <w:p w14:paraId="40B83D87" w14:textId="77777777" w:rsidR="00B01930" w:rsidRPr="00EC50AF" w:rsidRDefault="00B01930" w:rsidP="00B01930">
      <w:pPr>
        <w:spacing w:before="120" w:after="120"/>
        <w:jc w:val="both"/>
      </w:pPr>
      <w:r w:rsidRPr="00EC50AF">
        <w:t>Le silence qui enveloppa Althusser est dû seulement, comme on serait tenté de le comprendre aujourd’hui, au fait divers qui mit un terme à une brillante réflexion et qui aurait poussé – en même temps que les portes de l’univers psychiatrique se refe</w:t>
      </w:r>
      <w:r w:rsidRPr="00EC50AF">
        <w:t>r</w:t>
      </w:r>
      <w:r w:rsidRPr="00EC50AF">
        <w:t>maient sur lui – les intellectuels à refermer ses ouvrages et à les déposer aux objets tro</w:t>
      </w:r>
      <w:r w:rsidRPr="00EC50AF">
        <w:t>u</w:t>
      </w:r>
      <w:r w:rsidRPr="00EC50AF">
        <w:t>vés ? Cela supposerait que l’acte irréparable, révélateur de la profo</w:t>
      </w:r>
      <w:r w:rsidRPr="00EC50AF">
        <w:t>n</w:t>
      </w:r>
      <w:r w:rsidRPr="00EC50AF">
        <w:t>deur de la folie qui habitait depuis longtemps Althusser, mettait en cause radicalement l’œuvre entreprise.</w:t>
      </w:r>
    </w:p>
    <w:p w14:paraId="771D45D2" w14:textId="77777777" w:rsidR="00B01930" w:rsidRPr="00EC50AF" w:rsidRDefault="00B01930" w:rsidP="00B01930">
      <w:pPr>
        <w:spacing w:before="120" w:after="120"/>
        <w:jc w:val="both"/>
      </w:pPr>
      <w:r w:rsidRPr="00EC50AF">
        <w:t xml:space="preserve">Aujourd’hui, une certaine </w:t>
      </w:r>
      <w:r w:rsidRPr="00EC50AF">
        <w:rPr>
          <w:i/>
        </w:rPr>
        <w:t>intelligentsia</w:t>
      </w:r>
      <w:r w:rsidRPr="00EC50AF">
        <w:t xml:space="preserve"> parisienne </w:t>
      </w:r>
      <w:r>
        <w:rPr>
          <w:rStyle w:val="Appelnotedebasdep"/>
        </w:rPr>
        <w:footnoteReference w:id="319"/>
      </w:r>
      <w:r w:rsidRPr="00EC50AF">
        <w:t xml:space="preserve"> se sent</w:t>
      </w:r>
      <w:r w:rsidRPr="00EC50AF">
        <w:t>i</w:t>
      </w:r>
      <w:r w:rsidRPr="00EC50AF">
        <w:t>rait-elle coupable de cette amnésie qu’elle ne peut – si l’on retient cette interprétation – justifier rationnellement au point qu’elle chercherait le rachat par un « retour à Althusser » comme celui-ci avait fait « un r</w:t>
      </w:r>
      <w:r w:rsidRPr="00EC50AF">
        <w:t>e</w:t>
      </w:r>
      <w:r w:rsidRPr="00EC50AF">
        <w:t>tour à Marx » ?</w:t>
      </w:r>
    </w:p>
    <w:p w14:paraId="390C8B11" w14:textId="77777777" w:rsidR="00B01930" w:rsidRPr="00EC50AF" w:rsidRDefault="00B01930" w:rsidP="00B01930">
      <w:pPr>
        <w:spacing w:before="120" w:after="120"/>
        <w:jc w:val="both"/>
      </w:pPr>
      <w:r w:rsidRPr="00EC50AF">
        <w:t>Ou bien (plus ou moins mêlé à cette culpabilité), n’y aurait-il pas pour ces intellectuels, l’opportunité de tenter la réintroduction du fét</w:t>
      </w:r>
      <w:r w:rsidRPr="00EC50AF">
        <w:t>i</w:t>
      </w:r>
      <w:r w:rsidRPr="00EC50AF">
        <w:t>chisme du concept dont Althusser fut la parfaite incarnation devant le vide laissé par la fin du marxisme et la pauvreté du débat politique. Tant il est vrai que « le concept était pour [Althusser] un corps concret et il n’est personne comme l’intellectuel français pour avoir la haine de son corps, Louis était animé par cette haine-là </w:t>
      </w:r>
      <w:r>
        <w:rPr>
          <w:rStyle w:val="Appelnotedebasdep"/>
        </w:rPr>
        <w:footnoteReference w:id="320"/>
      </w:r>
      <w:r w:rsidRPr="00EC50AF">
        <w:t> ».</w:t>
      </w:r>
    </w:p>
    <w:p w14:paraId="313FD5BB" w14:textId="77777777" w:rsidR="00B01930" w:rsidRPr="00EC50AF" w:rsidRDefault="00B01930" w:rsidP="00B01930">
      <w:pPr>
        <w:spacing w:before="120" w:after="120"/>
        <w:jc w:val="both"/>
      </w:pPr>
      <w:r w:rsidRPr="00EC50AF">
        <w:t>Le silence sur son œuvre ne résulte-t-il pas, plus vraisemblabl</w:t>
      </w:r>
      <w:r w:rsidRPr="00EC50AF">
        <w:t>e</w:t>
      </w:r>
      <w:r w:rsidRPr="00EC50AF">
        <w:t>ment – et surtout – du fait que le travail d’Althusser est rigoureus</w:t>
      </w:r>
      <w:r w:rsidRPr="00EC50AF">
        <w:t>e</w:t>
      </w:r>
      <w:r w:rsidRPr="00EC50AF">
        <w:t xml:space="preserve">ment daté, relevant d’un </w:t>
      </w:r>
      <w:r w:rsidRPr="00EC50AF">
        <w:rPr>
          <w:i/>
        </w:rPr>
        <w:t>corpus</w:t>
      </w:r>
      <w:r w:rsidRPr="00EC50AF">
        <w:t xml:space="preserve"> précis, le marxisme, qui, en se dél</w:t>
      </w:r>
      <w:r w:rsidRPr="00EC50AF">
        <w:t>i</w:t>
      </w:r>
      <w:r w:rsidRPr="00EC50AF">
        <w:t xml:space="preserve">tant à la fin des années quatre-vingt a rendu </w:t>
      </w:r>
      <w:r w:rsidRPr="00EC50AF">
        <w:rPr>
          <w:i/>
        </w:rPr>
        <w:t xml:space="preserve">ipso facto </w:t>
      </w:r>
      <w:r w:rsidRPr="00EC50AF">
        <w:t xml:space="preserve">sa réflexion caduque, celle-ci étant fonctionnellement liée à ce </w:t>
      </w:r>
      <w:r w:rsidRPr="00EC50AF">
        <w:rPr>
          <w:i/>
        </w:rPr>
        <w:t>corpus</w:t>
      </w:r>
      <w:r w:rsidRPr="00EC50AF">
        <w:t>. Telle était la question que nous posions en 1974, telle est la question qu’on ne peut toujours pas éluder en 1994 (même si le « Pour Althusser »</w:t>
      </w:r>
      <w:r>
        <w:t> </w:t>
      </w:r>
      <w:r>
        <w:rPr>
          <w:rStyle w:val="Appelnotedebasdep"/>
        </w:rPr>
        <w:footnoteReference w:id="321"/>
      </w:r>
      <w:r w:rsidRPr="00EC50AF">
        <w:t xml:space="preserve"> – implicitement véhiculé par ce programme d’édition – se fait au nom des bons sentiments).</w:t>
      </w:r>
    </w:p>
    <w:p w14:paraId="78F73681" w14:textId="77777777" w:rsidR="00B01930" w:rsidRPr="00EC50AF" w:rsidRDefault="00B01930" w:rsidP="00B01930">
      <w:pPr>
        <w:spacing w:before="120" w:after="120"/>
        <w:jc w:val="both"/>
      </w:pPr>
      <w:r w:rsidRPr="00EC50AF">
        <w:t xml:space="preserve">Ce sera le trentième anniversaire de la publication de </w:t>
      </w:r>
      <w:r w:rsidRPr="00EC50AF">
        <w:rPr>
          <w:i/>
        </w:rPr>
        <w:t xml:space="preserve">Pour Marx </w:t>
      </w:r>
      <w:r w:rsidRPr="00EC50AF">
        <w:t>et</w:t>
      </w:r>
      <w:r w:rsidRPr="00EC50AF">
        <w:rPr>
          <w:i/>
        </w:rPr>
        <w:t xml:space="preserve"> Lire le</w:t>
      </w:r>
      <w:r w:rsidRPr="00EC50AF">
        <w:t xml:space="preserve"> </w:t>
      </w:r>
      <w:r w:rsidRPr="00EC50AF">
        <w:rPr>
          <w:i/>
        </w:rPr>
        <w:t>Capital</w:t>
      </w:r>
      <w:r w:rsidRPr="00EC50AF">
        <w:t>, ouvrages qui inaugurèrent le déploi</w:t>
      </w:r>
      <w:r w:rsidRPr="00EC50AF">
        <w:t>e</w:t>
      </w:r>
      <w:r w:rsidRPr="00EC50AF">
        <w:t>ment de la « pensée althussérienne » au sein du marxisme fra</w:t>
      </w:r>
      <w:r w:rsidRPr="00EC50AF">
        <w:t>n</w:t>
      </w:r>
      <w:r w:rsidRPr="00EC50AF">
        <w:t>çais (ainsi qu’italien et latino-américain) et ce jusqu’en 1980 </w:t>
      </w:r>
      <w:r>
        <w:rPr>
          <w:rStyle w:val="Appelnotedebasdep"/>
        </w:rPr>
        <w:footnoteReference w:id="322"/>
      </w:r>
      <w:r w:rsidRPr="00EC50AF">
        <w:t>.</w:t>
      </w:r>
    </w:p>
    <w:p w14:paraId="3EF2EF52" w14:textId="77777777" w:rsidR="00B01930" w:rsidRPr="00EC50AF" w:rsidRDefault="00B01930" w:rsidP="00B01930">
      <w:pPr>
        <w:spacing w:before="120" w:after="120"/>
        <w:jc w:val="both"/>
      </w:pPr>
      <w:r w:rsidRPr="00EC50AF">
        <w:t>En 1974, frappé par la constance du phénomène, en dépit de la cr</w:t>
      </w:r>
      <w:r w:rsidRPr="00EC50AF">
        <w:t>i</w:t>
      </w:r>
      <w:r w:rsidRPr="00EC50AF">
        <w:t>tique incisive et argumentée de Raymond Aron, fondée sur les comp</w:t>
      </w:r>
      <w:r w:rsidRPr="00EC50AF">
        <w:t>a</w:t>
      </w:r>
      <w:r w:rsidRPr="00EC50AF">
        <w:t>raisons de textes, il nous avait semblé opportun de tenter de compre</w:t>
      </w:r>
      <w:r w:rsidRPr="00EC50AF">
        <w:t>n</w:t>
      </w:r>
      <w:r w:rsidRPr="00EC50AF">
        <w:t>dre cette démarche singulière qui exerçait une si forte attraction pour ne pas dire fascination. Si, comme l’écrivait Aron, Althusser était à ranger parmi les « marxismes imaginaires </w:t>
      </w:r>
      <w:r>
        <w:rPr>
          <w:rStyle w:val="Appelnotedebasdep"/>
        </w:rPr>
        <w:footnoteReference w:id="323"/>
      </w:r>
      <w:r w:rsidRPr="00EC50AF">
        <w:t> », il fallait bien que son travail et l’accueil qui lui étaient réservés par les intellectuels (marxi</w:t>
      </w:r>
      <w:r w:rsidRPr="00EC50AF">
        <w:t>s</w:t>
      </w:r>
      <w:r w:rsidRPr="00EC50AF">
        <w:t>tes – de toutes te</w:t>
      </w:r>
      <w:r w:rsidRPr="00EC50AF">
        <w:t>n</w:t>
      </w:r>
      <w:r w:rsidRPr="00EC50AF">
        <w:t>dances – ou non) trouva quelque explication qui n’était pas liée à la véracité ou non des textes d’Althusser par rapport à Marx.</w:t>
      </w:r>
    </w:p>
    <w:p w14:paraId="08D3EB64" w14:textId="77777777" w:rsidR="00B01930" w:rsidRPr="00EC50AF" w:rsidRDefault="00B01930" w:rsidP="00B01930">
      <w:pPr>
        <w:spacing w:before="120" w:after="120"/>
        <w:jc w:val="both"/>
      </w:pPr>
      <w:r w:rsidRPr="00EC50AF">
        <w:t>La problématique créée par ce constat devenait alors : à quoi sert Althusser ? Comment fonctionne le discours althussérien ? L’idée était que son travail répondait à une exigence fonctionnelle d’un sy</w:t>
      </w:r>
      <w:r w:rsidRPr="00EC50AF">
        <w:t>s</w:t>
      </w:r>
      <w:r w:rsidRPr="00EC50AF">
        <w:t>tème de pensée dont Althusser, au fond, n’était qu’un instrument à un moment donné.</w:t>
      </w:r>
    </w:p>
    <w:p w14:paraId="44FA238F" w14:textId="77777777" w:rsidR="00B01930" w:rsidRPr="00EC50AF" w:rsidRDefault="00B01930" w:rsidP="00B01930">
      <w:pPr>
        <w:spacing w:before="120" w:after="120"/>
        <w:jc w:val="both"/>
      </w:pPr>
      <w:r w:rsidRPr="00EC50AF">
        <w:t>Althusser proposait de débarrasser le marxisme de toute le</w:t>
      </w:r>
      <w:r w:rsidRPr="00EC50AF">
        <w:t>c</w:t>
      </w:r>
      <w:r w:rsidRPr="00EC50AF">
        <w:t>ture historiciste, humaniste ou phénoménologique, afin d’en retrouver le véritable sens et la scientificité englués dans dive</w:t>
      </w:r>
      <w:r w:rsidRPr="00EC50AF">
        <w:t>r</w:t>
      </w:r>
      <w:r w:rsidRPr="00EC50AF">
        <w:t>ses versions qui n’étaient que des facettes différentes de l’idéologie bourgeoise. Au terme de ce travail, il apparaissait que Marx avait fondé le « Continent Histoire » en tant que pr</w:t>
      </w:r>
      <w:r w:rsidRPr="00EC50AF">
        <w:t>o</w:t>
      </w:r>
      <w:r w:rsidRPr="00EC50AF">
        <w:t>cès sans Sujet mû par les interactions entre les différentes instances qui constituent la « Totalité sociale surdéte</w:t>
      </w:r>
      <w:r w:rsidRPr="00EC50AF">
        <w:t>r</w:t>
      </w:r>
      <w:r w:rsidRPr="00EC50AF">
        <w:t>minée par l’instance économique ». Le rôle de l’intellectuel passe par une « pratique théorique » rigoureuse afin de parvenir à déchiffrer ce</w:t>
      </w:r>
      <w:r w:rsidRPr="00EC50AF">
        <w:t>t</w:t>
      </w:r>
      <w:r w:rsidRPr="00EC50AF">
        <w:t>te complexité. En élaborant la théorie matérialiste, l’intellectuel peut élaborer du « concret de pensée » permettant de connaître le réel et de la transformer. Le texte philosophique devient terrain de combat, car c’est le lieu où se réfléchir et se concentrent la lutte des classes : la philosophie est lutte des classes dans la théorie </w:t>
      </w:r>
      <w:r>
        <w:rPr>
          <w:rStyle w:val="Appelnotedebasdep"/>
        </w:rPr>
        <w:footnoteReference w:id="324"/>
      </w:r>
      <w:r w:rsidRPr="00EC50AF">
        <w:t>.</w:t>
      </w:r>
    </w:p>
    <w:p w14:paraId="4B3302AF" w14:textId="77777777" w:rsidR="00B01930" w:rsidRPr="00EC50AF" w:rsidRDefault="00B01930" w:rsidP="00B01930">
      <w:pPr>
        <w:spacing w:before="120" w:after="120"/>
        <w:jc w:val="both"/>
      </w:pPr>
      <w:r w:rsidRPr="00EC50AF">
        <w:t>Ainsi, grâce à une indéniable virtuosité à manipuler l’abstraction et à « sentir » l’air du temps, Althusser supprimait par la « pratique thé</w:t>
      </w:r>
      <w:r w:rsidRPr="00EC50AF">
        <w:t>o</w:t>
      </w:r>
      <w:r w:rsidRPr="00EC50AF">
        <w:t>rique », la difficile question, non résolue, entre la théorie marxiste et la pratique révolutionnaire et du même coup permettait aux intelle</w:t>
      </w:r>
      <w:r w:rsidRPr="00EC50AF">
        <w:t>c</w:t>
      </w:r>
      <w:r w:rsidRPr="00EC50AF">
        <w:t>tuels de s’assimiler à la pr</w:t>
      </w:r>
      <w:r w:rsidRPr="00EC50AF">
        <w:t>a</w:t>
      </w:r>
      <w:r w:rsidRPr="00EC50AF">
        <w:t>tique ouvrière : ils pratiquaient la lutte des classes en travaillant les concepts. L’obsessionnelle culpabilité des intellectuels ma</w:t>
      </w:r>
      <w:r w:rsidRPr="00EC50AF">
        <w:t>r</w:t>
      </w:r>
      <w:r w:rsidRPr="00EC50AF">
        <w:t>xistes à l’égard des masses laborieuses se trouvait enfin levée. Par ailleurs, la révélation que Marx avait découvert le « Continent Histoire », et la mise à jour des « concepts » liés à celui-ci expliquait tout aussi bien que les sciences humaines bourgeoises : le stalinisme, l’absence de révolution dans les pays industriels occide</w:t>
      </w:r>
      <w:r w:rsidRPr="00EC50AF">
        <w:t>n</w:t>
      </w:r>
      <w:r w:rsidRPr="00EC50AF">
        <w:t>taux, la Révolution chinoise faite par les paysans et non les ouvriers, l’impérialisme américain (et ses victoires), les nationalismes du tiers-monde, etc. ce qui prouvait la scientificité du marxisme et sa préte</w:t>
      </w:r>
      <w:r w:rsidRPr="00EC50AF">
        <w:t>n</w:t>
      </w:r>
      <w:r w:rsidRPr="00EC50AF">
        <w:t>tion à être la science du devenir des sociétés.</w:t>
      </w:r>
    </w:p>
    <w:p w14:paraId="7EFAD654" w14:textId="77777777" w:rsidR="00B01930" w:rsidRPr="00EC50AF" w:rsidRDefault="00B01930" w:rsidP="00B01930">
      <w:pPr>
        <w:spacing w:before="120" w:after="120"/>
        <w:jc w:val="both"/>
      </w:pPr>
      <w:r w:rsidRPr="00EC50AF">
        <w:t>Nous avons montré</w:t>
      </w:r>
      <w:r>
        <w:t> </w:t>
      </w:r>
      <w:r>
        <w:rPr>
          <w:rStyle w:val="Appelnotedebasdep"/>
        </w:rPr>
        <w:footnoteReference w:id="325"/>
      </w:r>
      <w:r w:rsidRPr="00EC50AF">
        <w:t xml:space="preserve"> que l’objet du travail d’Althusser n’avait j</w:t>
      </w:r>
      <w:r w:rsidRPr="00EC50AF">
        <w:t>a</w:t>
      </w:r>
      <w:r w:rsidRPr="00EC50AF">
        <w:t>mais été de faire œuvre scientifique. Il s’agissait de capturer – par le biais d’un retour à Marx (méconnu, puisque pollué par l’idéologie bourgeoise) – toutes les notions, concepts et découvertes apparues dans les sciences, hors du marxisme, au cours des décennies précéde</w:t>
      </w:r>
      <w:r w:rsidRPr="00EC50AF">
        <w:t>n</w:t>
      </w:r>
      <w:r w:rsidRPr="00EC50AF">
        <w:t>tes afin, justement, de pouvoir démontrer que dès l’origine Marx avait déjà posé tous les éléments permettant de rendre compte de la co</w:t>
      </w:r>
      <w:r w:rsidRPr="00EC50AF">
        <w:t>m</w:t>
      </w:r>
      <w:r w:rsidRPr="00EC50AF">
        <w:t>plexité du réel et d’expliquer l’évolution historique. Ainsi, Althusser restaurait la fonction explicative du marxisme </w:t>
      </w:r>
      <w:r>
        <w:rPr>
          <w:rStyle w:val="Appelnotedebasdep"/>
        </w:rPr>
        <w:footnoteReference w:id="326"/>
      </w:r>
      <w:r w:rsidRPr="00EC50AF">
        <w:t>.</w:t>
      </w:r>
    </w:p>
    <w:p w14:paraId="77FD3DC9" w14:textId="77777777" w:rsidR="00B01930" w:rsidRPr="00EC50AF" w:rsidRDefault="00B01930" w:rsidP="00B01930">
      <w:pPr>
        <w:spacing w:before="120" w:after="120"/>
        <w:jc w:val="both"/>
      </w:pPr>
      <w:r w:rsidRPr="00EC50AF">
        <w:t>La publication des œuvres posthumes a le mérite de valider, par l’auteur lui-même, notre analyse et la critique textuelle de Aron.</w:t>
      </w:r>
    </w:p>
    <w:p w14:paraId="4938502A" w14:textId="77777777" w:rsidR="00B01930" w:rsidRPr="00EC50AF" w:rsidRDefault="00B01930" w:rsidP="00B01930">
      <w:pPr>
        <w:spacing w:before="120" w:after="120"/>
        <w:jc w:val="both"/>
      </w:pPr>
      <w:r w:rsidRPr="00EC50AF">
        <w:t>En effet, Althusser dira plus tard </w:t>
      </w:r>
      <w:r>
        <w:rPr>
          <w:rStyle w:val="Appelnotedebasdep"/>
        </w:rPr>
        <w:footnoteReference w:id="327"/>
      </w:r>
      <w:r w:rsidRPr="00EC50AF">
        <w:t> : « […] Aron avait un peu ra</w:t>
      </w:r>
      <w:r w:rsidRPr="00EC50AF">
        <w:t>i</w:t>
      </w:r>
      <w:r w:rsidRPr="00EC50AF">
        <w:t>son. Nous avons fabriqué une philosophie “imaginaire” pour Marx, une philosophie qui n’existait pas dans son œuvre si l’on s’en tient à la lettre de ses textes. » Et il écrit : « j’ai comme fabriqué une philos</w:t>
      </w:r>
      <w:r w:rsidRPr="00EC50AF">
        <w:t>o</w:t>
      </w:r>
      <w:r w:rsidRPr="00EC50AF">
        <w:t>phie pour Marx différente du marxisme vulgaire, mais comme elle fournissait au lecteur une exposition non plus contradictoire, mais c</w:t>
      </w:r>
      <w:r w:rsidRPr="00EC50AF">
        <w:t>o</w:t>
      </w:r>
      <w:r w:rsidRPr="00EC50AF">
        <w:t>hérente et intelligible, je pensais que l’objectif était atteint et que je m’étais aussi “approprié” Marx en lui rendant ses exigences de coh</w:t>
      </w:r>
      <w:r w:rsidRPr="00EC50AF">
        <w:t>é</w:t>
      </w:r>
      <w:r w:rsidRPr="00EC50AF">
        <w:t>rence et d’intelligibilité </w:t>
      </w:r>
      <w:r>
        <w:rPr>
          <w:rStyle w:val="Appelnotedebasdep"/>
        </w:rPr>
        <w:footnoteReference w:id="328"/>
      </w:r>
      <w:r w:rsidRPr="00EC50AF">
        <w:t> ». Et il ajoute :</w:t>
      </w:r>
    </w:p>
    <w:p w14:paraId="106836C0" w14:textId="77777777" w:rsidR="00B01930" w:rsidRDefault="00B01930" w:rsidP="00B01930">
      <w:pPr>
        <w:pStyle w:val="citation"/>
      </w:pPr>
    </w:p>
    <w:p w14:paraId="09090EEA" w14:textId="77777777" w:rsidR="00B01930" w:rsidRDefault="00B01930" w:rsidP="00B01930">
      <w:pPr>
        <w:pStyle w:val="citation"/>
      </w:pPr>
      <w:r w:rsidRPr="00EC50AF">
        <w:t>C’est sans doute ce qui « ouvrit » à nombre de jeunes, en ce temps, la perspective nouvelle suivante : on pouvait penser dans cette nouvelle pr</w:t>
      </w:r>
      <w:r w:rsidRPr="00EC50AF">
        <w:t>é</w:t>
      </w:r>
      <w:r w:rsidRPr="00EC50AF">
        <w:t>sentation de Marx sans rien renier des exigences de cohérence et d’intelligibilité, on pouvait lui re</w:t>
      </w:r>
      <w:r w:rsidRPr="00EC50AF">
        <w:t>n</w:t>
      </w:r>
      <w:r w:rsidRPr="00EC50AF">
        <w:t>dre le service de maîtriser mieux que lui sa propre pensée tout naturellement prise dans les contraintes théoriques de son temps […] on pouvait donc nous le rendre véritablement conte</w:t>
      </w:r>
      <w:r w:rsidRPr="00EC50AF">
        <w:t>m</w:t>
      </w:r>
      <w:r w:rsidRPr="00EC50AF">
        <w:t>porain </w:t>
      </w:r>
      <w:r>
        <w:rPr>
          <w:rStyle w:val="Appelnotedebasdep"/>
        </w:rPr>
        <w:footnoteReference w:id="329"/>
      </w:r>
      <w:r w:rsidRPr="00EC50AF">
        <w:t>.</w:t>
      </w:r>
    </w:p>
    <w:p w14:paraId="3B8DCC19" w14:textId="77777777" w:rsidR="00B01930" w:rsidRPr="00EC50AF" w:rsidRDefault="00B01930" w:rsidP="00B01930">
      <w:pPr>
        <w:pStyle w:val="citation"/>
      </w:pPr>
    </w:p>
    <w:p w14:paraId="49DBB18D" w14:textId="77777777" w:rsidR="00B01930" w:rsidRPr="00EC50AF" w:rsidRDefault="00B01930" w:rsidP="00B01930">
      <w:pPr>
        <w:spacing w:before="120" w:after="120"/>
        <w:jc w:val="both"/>
      </w:pPr>
      <w:r w:rsidRPr="00EC50AF">
        <w:t>Toute la question était de savoir jusqu’où on pouvait aller dans l’intégration de la nouveauté sans défigurer le sens du message initial et sans en saper les fondements. On peut rema</w:t>
      </w:r>
      <w:r w:rsidRPr="00EC50AF">
        <w:t>r</w:t>
      </w:r>
      <w:r w:rsidRPr="00EC50AF">
        <w:t>quer que la publication actuelle des textes inédits d’Althusser postérieurs à 1980 conduit à se demander si celui-ci n’aurait pas fini, emporté par sa logique de coller à la contemporanéité, par annuler toute l’originalité du marxisme, vo</w:t>
      </w:r>
      <w:r w:rsidRPr="00EC50AF">
        <w:t>i</w:t>
      </w:r>
      <w:r w:rsidRPr="00EC50AF">
        <w:t>re la singularité de sa propre réflexion ! En effet « [il acceptait] l’idée que la “rupture épistémologique” n’a pas été totale, mais</w:t>
      </w:r>
      <w:r w:rsidRPr="00EC50AF">
        <w:rPr>
          <w:i/>
        </w:rPr>
        <w:t xml:space="preserve"> </w:t>
      </w:r>
      <w:r w:rsidRPr="00EC50AF">
        <w:t>seulement te</w:t>
      </w:r>
      <w:r w:rsidRPr="00EC50AF">
        <w:t>n</w:t>
      </w:r>
      <w:r w:rsidRPr="00EC50AF">
        <w:t>dancielle </w:t>
      </w:r>
      <w:r>
        <w:rPr>
          <w:rStyle w:val="Appelnotedebasdep"/>
        </w:rPr>
        <w:footnoteReference w:id="330"/>
      </w:r>
      <w:r w:rsidRPr="00EC50AF">
        <w:t> ». De façon plus caractéristique, il dit : « Nous [avons donné à Marx] la philosophie qui [était] dominée par “l’air du temps”, d’inspiration bachelardienne et structuraliste, dont même si elle rend compte d’une série d’aspects de la pe</w:t>
      </w:r>
      <w:r w:rsidRPr="00EC50AF">
        <w:t>n</w:t>
      </w:r>
      <w:r w:rsidRPr="00EC50AF">
        <w:t>sée de Marx, je</w:t>
      </w:r>
      <w:r w:rsidRPr="00EC50AF">
        <w:rPr>
          <w:i/>
        </w:rPr>
        <w:t xml:space="preserve"> </w:t>
      </w:r>
      <w:r w:rsidRPr="00EC50AF">
        <w:t>ne crois pas qu’elle puisse être appelée philosophie marxiste </w:t>
      </w:r>
      <w:r>
        <w:rPr>
          <w:rStyle w:val="Appelnotedebasdep"/>
        </w:rPr>
        <w:footnoteReference w:id="331"/>
      </w:r>
      <w:r w:rsidRPr="00EC50AF">
        <w:t>. » Quant au ma</w:t>
      </w:r>
      <w:r w:rsidRPr="00EC50AF">
        <w:t>r</w:t>
      </w:r>
      <w:r w:rsidRPr="00EC50AF">
        <w:t>xisme, il est écrit que « ses u</w:t>
      </w:r>
      <w:r w:rsidRPr="00EC50AF">
        <w:t>l</w:t>
      </w:r>
      <w:r w:rsidRPr="00EC50AF">
        <w:t>times recherches [s’organisaient] sur le matérialisme aléato</w:t>
      </w:r>
      <w:r w:rsidRPr="00EC50AF">
        <w:t>i</w:t>
      </w:r>
      <w:r w:rsidRPr="00EC50AF">
        <w:t>re, c’est-à-dire un</w:t>
      </w:r>
      <w:r w:rsidRPr="00EC50AF">
        <w:rPr>
          <w:i/>
        </w:rPr>
        <w:t xml:space="preserve"> </w:t>
      </w:r>
      <w:r w:rsidRPr="00EC50AF">
        <w:t>matérialisme de la rencontre, de la continge</w:t>
      </w:r>
      <w:r w:rsidRPr="00EC50AF">
        <w:t>n</w:t>
      </w:r>
      <w:r w:rsidRPr="00EC50AF">
        <w:t>ce </w:t>
      </w:r>
      <w:r>
        <w:rPr>
          <w:rStyle w:val="Appelnotedebasdep"/>
        </w:rPr>
        <w:footnoteReference w:id="332"/>
      </w:r>
      <w:r w:rsidRPr="00EC50AF">
        <w:t> ».</w:t>
      </w:r>
    </w:p>
    <w:p w14:paraId="0C37393B" w14:textId="77777777" w:rsidR="00B01930" w:rsidRPr="00EC50AF" w:rsidRDefault="00B01930" w:rsidP="00B01930">
      <w:pPr>
        <w:spacing w:before="120" w:after="120"/>
        <w:jc w:val="both"/>
      </w:pPr>
      <w:r w:rsidRPr="00EC50AF">
        <w:t>Le marxisme avait apporté au mouvement ouvrier « la cert</w:t>
      </w:r>
      <w:r w:rsidRPr="00EC50AF">
        <w:t>i</w:t>
      </w:r>
      <w:r w:rsidRPr="00EC50AF">
        <w:t>tude que l’effort n’est pas vain et que le sens de l’histoire (si les ouvriers y contribuaient) le menait à la victoire ; l’enthousiasme de collaborer à un moment historique gigantesque qui nous emporte aussi nécessaire et déterminé que les lois de la nature, mouvement qui, par une me</w:t>
      </w:r>
      <w:r w:rsidRPr="00EC50AF">
        <w:t>r</w:t>
      </w:r>
      <w:r w:rsidRPr="00EC50AF">
        <w:t>veilleuse coïncidence aboutissait à un résultat aussi heureux pour l’humanité qu’historiquement fatal </w:t>
      </w:r>
      <w:r>
        <w:rPr>
          <w:rStyle w:val="Appelnotedebasdep"/>
        </w:rPr>
        <w:footnoteReference w:id="333"/>
      </w:r>
      <w:r w:rsidRPr="00EC50AF">
        <w:t> ».</w:t>
      </w:r>
    </w:p>
    <w:p w14:paraId="3D9B3917" w14:textId="77777777" w:rsidR="00B01930" w:rsidRPr="00EC50AF" w:rsidRDefault="00B01930" w:rsidP="00B01930">
      <w:pPr>
        <w:spacing w:before="120" w:after="120"/>
        <w:jc w:val="both"/>
      </w:pPr>
      <w:r w:rsidRPr="00EC50AF">
        <w:t>Avec un marxisme aléatoire, il n’y a plus de possibilité de répo</w:t>
      </w:r>
      <w:r w:rsidRPr="00EC50AF">
        <w:t>n</w:t>
      </w:r>
      <w:r w:rsidRPr="00EC50AF">
        <w:t>dre à une telle promesse d’un bonheur terrestre inéluctable pour les prolétaires, si ce n’est sous de vagues formulations comme « il n’y a pas de classe qui soit absolument le “sujet de l’histoire”, mais il ne fait aucun doute que ce sont les masses qui, fondamentalement, “font l’histoire”, c’est-à-dire peuvent opérer des changements polit</w:t>
      </w:r>
      <w:r w:rsidRPr="00EC50AF">
        <w:t>i</w:t>
      </w:r>
      <w:r w:rsidRPr="00EC50AF">
        <w:t>ques </w:t>
      </w:r>
      <w:r>
        <w:rPr>
          <w:rStyle w:val="Appelnotedebasdep"/>
        </w:rPr>
        <w:footnoteReference w:id="334"/>
      </w:r>
      <w:r w:rsidRPr="00EC50AF">
        <w:t> ». On reste confondu d</w:t>
      </w:r>
      <w:r w:rsidRPr="00EC50AF">
        <w:t>e</w:t>
      </w:r>
      <w:r w:rsidRPr="00EC50AF">
        <w:t>vant cette assertion démentie par ce qui s’est passé dans l’ex-Union soviétique, pour ne prendre que cet exemple récent (et majeur). La conclusion du message d’Althusser serait que « le communisme […] en tant que mode production </w:t>
      </w:r>
      <w:r>
        <w:rPr>
          <w:rStyle w:val="Appelnotedebasdep"/>
        </w:rPr>
        <w:footnoteReference w:id="335"/>
      </w:r>
      <w:r w:rsidRPr="00EC50AF">
        <w:t xml:space="preserve"> est [seul</w:t>
      </w:r>
      <w:r w:rsidRPr="00EC50AF">
        <w:t>e</w:t>
      </w:r>
      <w:r w:rsidRPr="00EC50AF">
        <w:t>ment] une possibilité qui existe toujours dans l’histoire de toute idéologie et non pas seulement de l’idéologie bourgeoise </w:t>
      </w:r>
      <w:r>
        <w:rPr>
          <w:rStyle w:val="Appelnotedebasdep"/>
        </w:rPr>
        <w:footnoteReference w:id="336"/>
      </w:r>
      <w:r w:rsidRPr="00EC50AF">
        <w:t> », étant observé que « l’idéologie est partout dans la société et le conflit est partout dans l’idéologie </w:t>
      </w:r>
      <w:r>
        <w:rPr>
          <w:rStyle w:val="Appelnotedebasdep"/>
        </w:rPr>
        <w:footnoteReference w:id="337"/>
      </w:r>
      <w:r w:rsidRPr="00EC50AF">
        <w:t> ».</w:t>
      </w:r>
    </w:p>
    <w:p w14:paraId="06EA0B17" w14:textId="77777777" w:rsidR="00B01930" w:rsidRPr="00EC50AF" w:rsidRDefault="00B01930" w:rsidP="00B01930">
      <w:pPr>
        <w:spacing w:before="120" w:after="120"/>
        <w:jc w:val="both"/>
      </w:pPr>
      <w:r w:rsidRPr="00EC50AF">
        <w:t>Quant à Althusser, ce n’était « pas un théoricien [marxiste] de la société, mais plutôt un philosophe avant tout préoccupé de la “tran</w:t>
      </w:r>
      <w:r w:rsidRPr="00EC50AF">
        <w:t>s</w:t>
      </w:r>
      <w:r w:rsidRPr="00EC50AF">
        <w:t>formation de la philosophie” d’un point de vue co</w:t>
      </w:r>
      <w:r w:rsidRPr="00EC50AF">
        <w:t>m</w:t>
      </w:r>
      <w:r w:rsidRPr="00EC50AF">
        <w:t>muniste </w:t>
      </w:r>
      <w:r>
        <w:rPr>
          <w:rStyle w:val="Appelnotedebasdep"/>
        </w:rPr>
        <w:footnoteReference w:id="338"/>
      </w:r>
      <w:r w:rsidRPr="00EC50AF">
        <w:t> ». De surcroît, on ne peut nullement estimer que A</w:t>
      </w:r>
      <w:r w:rsidRPr="00EC50AF">
        <w:t>l</w:t>
      </w:r>
      <w:r w:rsidRPr="00EC50AF">
        <w:t>thusser se serait vraiment renié au fur et à mesure de ses écrits. En effet, « L’explication phil</w:t>
      </w:r>
      <w:r w:rsidRPr="00EC50AF">
        <w:t>o</w:t>
      </w:r>
      <w:r w:rsidRPr="00EC50AF">
        <w:t>sophique nous oblige à faire re</w:t>
      </w:r>
      <w:r w:rsidRPr="00EC50AF">
        <w:t>n</w:t>
      </w:r>
      <w:r w:rsidRPr="00EC50AF">
        <w:t>dre aux textes d’Althusser un peu plus que ce qu’on y a généralement cherché : non pas seulement des th</w:t>
      </w:r>
      <w:r w:rsidRPr="00EC50AF">
        <w:t>è</w:t>
      </w:r>
      <w:r w:rsidRPr="00EC50AF">
        <w:t>ses, mais l’effet non nul, s’il existe, d’un parcours qui annule ses pr</w:t>
      </w:r>
      <w:r w:rsidRPr="00EC50AF">
        <w:t>o</w:t>
      </w:r>
      <w:r w:rsidRPr="00EC50AF">
        <w:t>pres thèses (ou ses “positions”) : un effet qui s’exprime nécessair</w:t>
      </w:r>
      <w:r w:rsidRPr="00EC50AF">
        <w:t>e</w:t>
      </w:r>
      <w:r w:rsidRPr="00EC50AF">
        <w:t>ment dans des “antithèses” </w:t>
      </w:r>
      <w:r>
        <w:rPr>
          <w:rStyle w:val="Appelnotedebasdep"/>
        </w:rPr>
        <w:footnoteReference w:id="339"/>
      </w:r>
      <w:r w:rsidRPr="00EC50AF">
        <w:t> », ses concepts contenant to</w:t>
      </w:r>
      <w:r w:rsidRPr="00EC50AF">
        <w:t>u</w:t>
      </w:r>
      <w:r w:rsidRPr="00EC50AF">
        <w:t>jours un élément de négation. Par avance, ils comportent un élément qui s’oppose à ce que leur usage débouche sur l’univocité d’une théorie enfin trouvée </w:t>
      </w:r>
      <w:r>
        <w:rPr>
          <w:rStyle w:val="Appelnotedebasdep"/>
        </w:rPr>
        <w:footnoteReference w:id="340"/>
      </w:r>
      <w:r w:rsidRPr="00EC50AF">
        <w:t>. Autrement dit, Althusser, parce que penseur rigo</w:t>
      </w:r>
      <w:r w:rsidRPr="00EC50AF">
        <w:t>u</w:t>
      </w:r>
      <w:r w:rsidRPr="00EC50AF">
        <w:t>reux, volontairement affirmait une chose et simu</w:t>
      </w:r>
      <w:r w:rsidRPr="00EC50AF">
        <w:t>l</w:t>
      </w:r>
      <w:r w:rsidRPr="00EC50AF">
        <w:t>tanément son contraire !</w:t>
      </w:r>
    </w:p>
    <w:p w14:paraId="5BB81BC3" w14:textId="77777777" w:rsidR="00B01930" w:rsidRPr="00EC50AF" w:rsidRDefault="00B01930" w:rsidP="00B01930">
      <w:pPr>
        <w:spacing w:before="120" w:after="120"/>
        <w:jc w:val="both"/>
      </w:pPr>
      <w:r w:rsidRPr="00EC50AF">
        <w:t>Le moins que l’on puisse dire est que cette manière de tenter de sauver l’œuvre d’Althusser </w:t>
      </w:r>
      <w:r>
        <w:rPr>
          <w:rStyle w:val="Appelnotedebasdep"/>
        </w:rPr>
        <w:footnoteReference w:id="341"/>
      </w:r>
      <w:r w:rsidRPr="00EC50AF">
        <w:t xml:space="preserve"> ne manque pas d’audace à défaut de s</w:t>
      </w:r>
      <w:r w:rsidRPr="00EC50AF">
        <w:t>é</w:t>
      </w:r>
      <w:r w:rsidRPr="00EC50AF">
        <w:t>rieux. Nos hypothèses de 1974 nous paraissent (en dépit, sûrement, de certaines imperfections) mieux rendre compte de la trajectoire d’Althusser tout en lui conservant sa juste place (mais rien que sa pl</w:t>
      </w:r>
      <w:r w:rsidRPr="00EC50AF">
        <w:t>a</w:t>
      </w:r>
      <w:r w:rsidRPr="00EC50AF">
        <w:t>ce) au sein du marxisme.</w:t>
      </w:r>
    </w:p>
    <w:p w14:paraId="410E00B3" w14:textId="77777777" w:rsidR="00B01930" w:rsidRPr="00EC50AF" w:rsidRDefault="00B01930" w:rsidP="00B01930">
      <w:pPr>
        <w:spacing w:before="120" w:after="120"/>
        <w:jc w:val="both"/>
      </w:pPr>
      <w:r w:rsidRPr="00EC50AF">
        <w:t>On peut légitimement s’interroger, alors, sur ce qu’on peut retirer aujourd’hui de la publication des œuvres inédites d’Althusser et sur « l’urgence des questions [que pose sa pe</w:t>
      </w:r>
      <w:r w:rsidRPr="00EC50AF">
        <w:t>n</w:t>
      </w:r>
      <w:r w:rsidRPr="00EC50AF">
        <w:t>sée] </w:t>
      </w:r>
      <w:r>
        <w:rPr>
          <w:rStyle w:val="Appelnotedebasdep"/>
        </w:rPr>
        <w:footnoteReference w:id="342"/>
      </w:r>
      <w:r w:rsidRPr="00EC50AF">
        <w:t> ».</w:t>
      </w:r>
    </w:p>
    <w:p w14:paraId="513DAC57" w14:textId="77777777" w:rsidR="00B01930" w:rsidRPr="00EC50AF" w:rsidRDefault="00B01930" w:rsidP="00B01930">
      <w:pPr>
        <w:spacing w:before="120" w:after="120"/>
        <w:jc w:val="both"/>
      </w:pPr>
      <w:r w:rsidRPr="00EC50AF">
        <w:t>Compte tenu de ce que nous venons de voir, nous pouvons répo</w:t>
      </w:r>
      <w:r w:rsidRPr="00EC50AF">
        <w:t>n</w:t>
      </w:r>
      <w:r w:rsidRPr="00EC50AF">
        <w:t>dre que le « temps est peut-être venu de laisser la réalité reprendre ses droits sur le mythe </w:t>
      </w:r>
      <w:r>
        <w:rPr>
          <w:rStyle w:val="Appelnotedebasdep"/>
        </w:rPr>
        <w:footnoteReference w:id="343"/>
      </w:r>
      <w:r w:rsidRPr="00EC50AF">
        <w:t> » et que « ces derniers écrits […] ne peuvent constituer ni une approche de son travail thé</w:t>
      </w:r>
      <w:r w:rsidRPr="00EC50AF">
        <w:t>o</w:t>
      </w:r>
      <w:r w:rsidRPr="00EC50AF">
        <w:t>rique, ni un document nosographique de la démence, ni le t</w:t>
      </w:r>
      <w:r w:rsidRPr="00EC50AF">
        <w:t>é</w:t>
      </w:r>
      <w:r w:rsidRPr="00EC50AF">
        <w:t>moignage d’un penseur placé au cœur des plus grands débats de ce siècle </w:t>
      </w:r>
      <w:r>
        <w:rPr>
          <w:rStyle w:val="Appelnotedebasdep"/>
        </w:rPr>
        <w:footnoteReference w:id="344"/>
      </w:r>
      <w:r w:rsidRPr="00EC50AF">
        <w:t> ». En 1985, la phraséol</w:t>
      </w:r>
      <w:r w:rsidRPr="00EC50AF">
        <w:t>o</w:t>
      </w:r>
      <w:r w:rsidRPr="00EC50AF">
        <w:t>gie marxiste est intacte. Il continue de parler du « “point de vue prolét</w:t>
      </w:r>
      <w:r w:rsidRPr="00EC50AF">
        <w:t>a</w:t>
      </w:r>
      <w:r w:rsidRPr="00EC50AF">
        <w:t>rien” en philos</w:t>
      </w:r>
      <w:r w:rsidRPr="00EC50AF">
        <w:t>o</w:t>
      </w:r>
      <w:r w:rsidRPr="00EC50AF">
        <w:t>phie comme si le cours du temps s’était arrêté en 1950 </w:t>
      </w:r>
      <w:r>
        <w:rPr>
          <w:rStyle w:val="Appelnotedebasdep"/>
        </w:rPr>
        <w:footnoteReference w:id="345"/>
      </w:r>
      <w:r w:rsidRPr="00EC50AF">
        <w:t> » et le « Capital [est une] œuvre scientifique </w:t>
      </w:r>
      <w:r>
        <w:rPr>
          <w:rStyle w:val="Appelnotedebasdep"/>
        </w:rPr>
        <w:footnoteReference w:id="346"/>
      </w:r>
      <w:r w:rsidRPr="00EC50AF">
        <w:t> », car « Marx se dépl</w:t>
      </w:r>
      <w:r w:rsidRPr="00EC50AF">
        <w:t>a</w:t>
      </w:r>
      <w:r w:rsidRPr="00EC50AF">
        <w:t>ça bien vers un autre terrain, celui de la Science sur lequel il fonda le matérialisme historique </w:t>
      </w:r>
      <w:r>
        <w:rPr>
          <w:rStyle w:val="Appelnotedebasdep"/>
        </w:rPr>
        <w:footnoteReference w:id="347"/>
      </w:r>
      <w:r w:rsidRPr="00EC50AF">
        <w:t> » ; « l’essentiel de la déco</w:t>
      </w:r>
      <w:r w:rsidRPr="00EC50AF">
        <w:t>u</w:t>
      </w:r>
      <w:r w:rsidRPr="00EC50AF">
        <w:t>verte de Marx est de caractère scientifique : avoir mis en év</w:t>
      </w:r>
      <w:r w:rsidRPr="00EC50AF">
        <w:t>i</w:t>
      </w:r>
      <w:r w:rsidRPr="00EC50AF">
        <w:t>dence le mode de fonctionnement du régime capitaliste </w:t>
      </w:r>
      <w:r>
        <w:rPr>
          <w:rStyle w:val="Appelnotedebasdep"/>
        </w:rPr>
        <w:footnoteReference w:id="348"/>
      </w:r>
      <w:r w:rsidRPr="00EC50AF">
        <w:t> ».</w:t>
      </w:r>
    </w:p>
    <w:p w14:paraId="4609733A" w14:textId="77777777" w:rsidR="00B01930" w:rsidRPr="00EC50AF" w:rsidRDefault="00B01930" w:rsidP="00B01930">
      <w:pPr>
        <w:spacing w:before="120" w:after="120"/>
        <w:jc w:val="both"/>
      </w:pPr>
      <w:r w:rsidRPr="00EC50AF">
        <w:t>Comme le constate un critique </w:t>
      </w:r>
      <w:r>
        <w:rPr>
          <w:rStyle w:val="Appelnotedebasdep"/>
        </w:rPr>
        <w:footnoteReference w:id="349"/>
      </w:r>
      <w:r w:rsidRPr="00EC50AF">
        <w:t xml:space="preserve"> « il ne renie rien des inventions a</w:t>
      </w:r>
      <w:r w:rsidRPr="00EC50AF">
        <w:t>l</w:t>
      </w:r>
      <w:r w:rsidRPr="00EC50AF">
        <w:t>thussériennes : l’idéologie “condition d’existence des individus”, les appareils idéologiques d’État, et surtout la notion de “dernière insta</w:t>
      </w:r>
      <w:r w:rsidRPr="00EC50AF">
        <w:t>n</w:t>
      </w:r>
      <w:r w:rsidRPr="00EC50AF">
        <w:t>ce” qui dans le champ de bataille philos</w:t>
      </w:r>
      <w:r w:rsidRPr="00EC50AF">
        <w:t>o</w:t>
      </w:r>
      <w:r w:rsidRPr="00EC50AF">
        <w:t>phique […] relève toujours de la lutte des classes, mais de manière aléatoire ». Parlant du co</w:t>
      </w:r>
      <w:r w:rsidRPr="00EC50AF">
        <w:t>m</w:t>
      </w:r>
      <w:r w:rsidRPr="00EC50AF">
        <w:t>munisme il écrit : « je crois […] – et pense sur ce point être dans la ligne de la pensée de Marx – que la seule définition possible du co</w:t>
      </w:r>
      <w:r w:rsidRPr="00EC50AF">
        <w:t>m</w:t>
      </w:r>
      <w:r w:rsidRPr="00EC50AF">
        <w:t>munisme – s’il doit un jour exister dans le monde –, c’est l’absence de rapports marchands, donc de rapports d’exploitation de classe et de domination de l’État […] </w:t>
      </w:r>
      <w:r>
        <w:rPr>
          <w:rStyle w:val="Appelnotedebasdep"/>
        </w:rPr>
        <w:footnoteReference w:id="350"/>
      </w:r>
      <w:r w:rsidRPr="00EC50AF">
        <w:t> ». Par quelle voie ce passage au comm</w:t>
      </w:r>
      <w:r w:rsidRPr="00EC50AF">
        <w:t>u</w:t>
      </w:r>
      <w:r w:rsidRPr="00EC50AF">
        <w:t>nisme peut-il se faire :</w:t>
      </w:r>
    </w:p>
    <w:p w14:paraId="739647F1" w14:textId="77777777" w:rsidR="00B01930" w:rsidRDefault="00B01930" w:rsidP="00B01930">
      <w:pPr>
        <w:pStyle w:val="citation"/>
      </w:pPr>
    </w:p>
    <w:p w14:paraId="6752DA84" w14:textId="77777777" w:rsidR="00B01930" w:rsidRDefault="00B01930" w:rsidP="00B01930">
      <w:pPr>
        <w:pStyle w:val="citation"/>
      </w:pPr>
      <w:r w:rsidRPr="00EC50AF">
        <w:t>Nul ne peut prévoir – en tout cas ce ne peut être par l’exemple de la voie soviétique. Sera-ce par la prise de pouvoir de l’État ? Sans doute, mais cet acte engage dans le socialisme (d’État, nécessairement d’État) […]. Sera-ce alors par le dépérissement de l’État ? Certes, mais dans un monde capitaliste-impérialiste de plus en plus assuré sur ses bases, et qui rend la prise du pouvoir d’État précaire sinon illuso</w:t>
      </w:r>
      <w:r w:rsidRPr="00EC50AF">
        <w:t>i</w:t>
      </w:r>
      <w:r w:rsidRPr="00EC50AF">
        <w:t>re, comment envisager un dépérissement de l’État ? Ce ne sont assurément pas la déce</w:t>
      </w:r>
      <w:r w:rsidRPr="00EC50AF">
        <w:t>n</w:t>
      </w:r>
      <w:r w:rsidRPr="00EC50AF">
        <w:t>tralisation de Gaston Defferre ni les mots d’ordre stupides de nos nouveaux libéraux à la Reagan ou à la Chirac qui nous d</w:t>
      </w:r>
      <w:r w:rsidRPr="00EC50AF">
        <w:t>é</w:t>
      </w:r>
      <w:r w:rsidRPr="00EC50AF">
        <w:t>barrasseront d’un État indispensable à la domination de l’hégémonie capitaliste-internationaliste bourgeoise. S’il y a un e</w:t>
      </w:r>
      <w:r w:rsidRPr="00EC50AF">
        <w:t>s</w:t>
      </w:r>
      <w:r w:rsidRPr="00EC50AF">
        <w:t>poir, c’est dans les mouvements des masses</w:t>
      </w:r>
      <w:r>
        <w:t> </w:t>
      </w:r>
      <w:r>
        <w:rPr>
          <w:rStyle w:val="Appelnotedebasdep"/>
        </w:rPr>
        <w:footnoteReference w:id="351"/>
      </w:r>
      <w:r w:rsidRPr="00EC50AF">
        <w:t>.</w:t>
      </w:r>
    </w:p>
    <w:p w14:paraId="7095DE6E" w14:textId="77777777" w:rsidR="00B01930" w:rsidRPr="00EC50AF" w:rsidRDefault="00B01930" w:rsidP="00B01930">
      <w:pPr>
        <w:pStyle w:val="citation"/>
      </w:pPr>
    </w:p>
    <w:p w14:paraId="4083120E" w14:textId="77777777" w:rsidR="00B01930" w:rsidRPr="00EC50AF" w:rsidRDefault="00B01930" w:rsidP="00B01930">
      <w:pPr>
        <w:spacing w:before="120" w:after="120"/>
        <w:jc w:val="both"/>
      </w:pPr>
      <w:r w:rsidRPr="00EC50AF">
        <w:t>N’oublions pas « qu’il est un des très rares intellectuels de quelque envergure à n’avoir jamais rompu avec le PC qu’il critiqua certes, mais toujours de l’intérieur et en partageant ses principales orient</w:t>
      </w:r>
      <w:r w:rsidRPr="00EC50AF">
        <w:t>a</w:t>
      </w:r>
      <w:r w:rsidRPr="00EC50AF">
        <w:t>tions </w:t>
      </w:r>
      <w:r>
        <w:rPr>
          <w:rStyle w:val="Appelnotedebasdep"/>
        </w:rPr>
        <w:footnoteReference w:id="352"/>
      </w:r>
      <w:r w:rsidRPr="00EC50AF">
        <w:t> ». Si le parti communiste français n’a jamais exclu Althusser – bien que des “disciples” de celui-ci aient versé dans le maoïsme sur la base de sa réflexion théorique – c’est que ce dernier n’avait pas dépa</w:t>
      </w:r>
      <w:r w:rsidRPr="00EC50AF">
        <w:t>s</w:t>
      </w:r>
      <w:r w:rsidRPr="00EC50AF">
        <w:t>sé </w:t>
      </w:r>
      <w:r>
        <w:rPr>
          <w:rStyle w:val="Appelnotedebasdep"/>
        </w:rPr>
        <w:footnoteReference w:id="353"/>
      </w:r>
      <w:r w:rsidRPr="00EC50AF">
        <w:t xml:space="preserve"> les limites qui auraient gravement mis en cause par sa log</w:t>
      </w:r>
      <w:r w:rsidRPr="00EC50AF">
        <w:t>i</w:t>
      </w:r>
      <w:r w:rsidRPr="00EC50AF">
        <w:t>que doctrinale les impératifs liés à la lutte pour le pouvoir.</w:t>
      </w:r>
    </w:p>
    <w:p w14:paraId="7F5872BB" w14:textId="77777777" w:rsidR="00B01930" w:rsidRPr="00EC50AF" w:rsidRDefault="00B01930" w:rsidP="00B01930">
      <w:pPr>
        <w:spacing w:before="120" w:after="120"/>
        <w:jc w:val="both"/>
      </w:pPr>
      <w:r w:rsidRPr="00EC50AF">
        <w:t>Il était plus efficace, compte tenu de la notoriété de l’auteur de ne pas sanctionner publiquement celui-ci </w:t>
      </w:r>
      <w:r>
        <w:rPr>
          <w:rStyle w:val="Appelnotedebasdep"/>
        </w:rPr>
        <w:footnoteReference w:id="354"/>
      </w:r>
      <w:r w:rsidRPr="00EC50AF">
        <w:rPr>
          <w:vertAlign w:val="superscript"/>
        </w:rPr>
        <w:footnoteReference w:id="355"/>
      </w:r>
      <w:r w:rsidRPr="00EC50AF">
        <w:t>, « m’appuyer sur l’autorité de Marx […] me donnait […] une force singulière qui me rendait diffic</w:t>
      </w:r>
      <w:r w:rsidRPr="00EC50AF">
        <w:t>i</w:t>
      </w:r>
      <w:r w:rsidRPr="00EC50AF">
        <w:t>lement attaquable au sein du Parti </w:t>
      </w:r>
      <w:r>
        <w:rPr>
          <w:rStyle w:val="Appelnotedebasdep"/>
        </w:rPr>
        <w:footnoteReference w:id="356"/>
      </w:r>
      <w:r w:rsidRPr="00EC50AF">
        <w:t> ». Son « action » s’inscrivait dans le cadre du marxisme-léninisme </w:t>
      </w:r>
      <w:r>
        <w:rPr>
          <w:rStyle w:val="Appelnotedebasdep"/>
        </w:rPr>
        <w:footnoteReference w:id="357"/>
      </w:r>
      <w:r w:rsidRPr="00EC50AF">
        <w:t xml:space="preserve"> et en tout état de cause, il n’avait pas franchi la frontière au-delà de laquelle le doctrinaire d’une idéol</w:t>
      </w:r>
      <w:r w:rsidRPr="00EC50AF">
        <w:t>o</w:t>
      </w:r>
      <w:r w:rsidRPr="00EC50AF">
        <w:t>gie s’oppose au Prince qui prétend incarner celle-ci </w:t>
      </w:r>
      <w:r>
        <w:rPr>
          <w:rStyle w:val="Appelnotedebasdep"/>
        </w:rPr>
        <w:footnoteReference w:id="358"/>
      </w:r>
      <w:r w:rsidRPr="00EC50AF">
        <w:t>.</w:t>
      </w:r>
    </w:p>
    <w:p w14:paraId="7F36735B" w14:textId="77777777" w:rsidR="00B01930" w:rsidRPr="00EC50AF" w:rsidRDefault="00B01930" w:rsidP="00B01930">
      <w:pPr>
        <w:spacing w:before="120" w:after="120"/>
        <w:jc w:val="both"/>
      </w:pPr>
      <w:r w:rsidRPr="00EC50AF">
        <w:t>On peut se demander, à la lecture des inédits, si Althusser aurait rompu avec le dogme professé par l’appareil officiel ? C’est probable. Cela aurait-il eu un impact politique réel ? On peut en douter : son travail était fondamentalement d’essence intellectuelle et ne pouvait toucher qu’une minorité.</w:t>
      </w:r>
    </w:p>
    <w:p w14:paraId="66F45AF9" w14:textId="77777777" w:rsidR="00B01930" w:rsidRPr="00EC50AF" w:rsidRDefault="00B01930" w:rsidP="00B01930">
      <w:pPr>
        <w:spacing w:before="120" w:after="120"/>
        <w:jc w:val="both"/>
      </w:pPr>
      <w:r w:rsidRPr="00EC50AF">
        <w:t>Par ailleurs, l’effondrement des régimes politiques se récl</w:t>
      </w:r>
      <w:r w:rsidRPr="00EC50AF">
        <w:t>a</w:t>
      </w:r>
      <w:r w:rsidRPr="00EC50AF">
        <w:t>mant du marxisme n’autorisait pas la transformation de sa r</w:t>
      </w:r>
      <w:r w:rsidRPr="00EC50AF">
        <w:t>é</w:t>
      </w:r>
      <w:r w:rsidRPr="00EC50AF">
        <w:t>flexion en projet politique, le marxisme entier semblant, littér</w:t>
      </w:r>
      <w:r w:rsidRPr="00EC50AF">
        <w:t>a</w:t>
      </w:r>
      <w:r w:rsidRPr="00EC50AF">
        <w:t>lement, se volatiliser.</w:t>
      </w:r>
    </w:p>
    <w:p w14:paraId="4752F878" w14:textId="77777777" w:rsidR="00B01930" w:rsidRPr="00EC50AF" w:rsidRDefault="00B01930" w:rsidP="00B01930">
      <w:pPr>
        <w:spacing w:before="120" w:after="120"/>
        <w:jc w:val="both"/>
      </w:pPr>
      <w:r w:rsidRPr="00EC50AF">
        <w:t>« Il se pourrait que Louis Althusser survécût à la chute du marxi</w:t>
      </w:r>
      <w:r w:rsidRPr="00EC50AF">
        <w:t>s</w:t>
      </w:r>
      <w:r w:rsidRPr="00EC50AF">
        <w:t>me », écrivait un commentateur lors de la parution de l’autobiographie </w:t>
      </w:r>
      <w:r>
        <w:rPr>
          <w:rStyle w:val="Appelnotedebasdep"/>
        </w:rPr>
        <w:footnoteReference w:id="359"/>
      </w:r>
      <w:r w:rsidRPr="00EC50AF">
        <w:t>. En deuil d’une explication totalisante d’un mo</w:t>
      </w:r>
      <w:r w:rsidRPr="00EC50AF">
        <w:t>n</w:t>
      </w:r>
      <w:r w:rsidRPr="00EC50AF">
        <w:t>de en proie à la dépression économique et au désordre pol</w:t>
      </w:r>
      <w:r w:rsidRPr="00EC50AF">
        <w:t>i</w:t>
      </w:r>
      <w:r w:rsidRPr="00EC50AF">
        <w:t>tique issu de la déstabilisation des relations internationales par la fin de l’Empire s</w:t>
      </w:r>
      <w:r w:rsidRPr="00EC50AF">
        <w:t>o</w:t>
      </w:r>
      <w:r w:rsidRPr="00EC50AF">
        <w:t xml:space="preserve">viétique, une certaine </w:t>
      </w:r>
      <w:r w:rsidRPr="00EC50AF">
        <w:rPr>
          <w:i/>
        </w:rPr>
        <w:t xml:space="preserve">intelligentsia </w:t>
      </w:r>
      <w:r w:rsidRPr="00EC50AF">
        <w:t>(fra</w:t>
      </w:r>
      <w:r w:rsidRPr="00EC50AF">
        <w:t>n</w:t>
      </w:r>
      <w:r w:rsidRPr="00EC50AF">
        <w:t>çaise, mais aussi anglo-saxonne) tente de refaire la synthèse explicative en revenant à Marx, comme en 1965 et 1980 A</w:t>
      </w:r>
      <w:r w:rsidRPr="00EC50AF">
        <w:t>l</w:t>
      </w:r>
      <w:r w:rsidRPr="00EC50AF">
        <w:t>thusser avait tenté de le faire </w:t>
      </w:r>
      <w:r>
        <w:rPr>
          <w:rStyle w:val="Appelnotedebasdep"/>
        </w:rPr>
        <w:footnoteReference w:id="360"/>
      </w:r>
      <w:r w:rsidRPr="00EC50AF">
        <w:t>. L’originalité de la démarche est que ce retour au marxisme se fait de façon indirecte, ma</w:t>
      </w:r>
      <w:r w:rsidRPr="00EC50AF">
        <w:t>s</w:t>
      </w:r>
      <w:r w:rsidRPr="00EC50AF">
        <w:t>quée. En l’espèce, on commence par substituer Althusser à Marx, comme Althusser avait substitué la « pratique thé</w:t>
      </w:r>
      <w:r w:rsidRPr="00EC50AF">
        <w:t>o</w:t>
      </w:r>
      <w:r w:rsidRPr="00EC50AF">
        <w:t>rique » à la dure réalité. De même que Althusser avait fabriqué un « nouveau Marx » pour séduire les intellectuels en quête de sens su</w:t>
      </w:r>
      <w:r w:rsidRPr="00EC50AF">
        <w:t>s</w:t>
      </w:r>
      <w:r w:rsidRPr="00EC50AF">
        <w:t>ceptible d’expliquer la complexité des liens sociaux contemporains – tout en conservant l’escha</w:t>
      </w:r>
      <w:r w:rsidRPr="00EC50AF">
        <w:softHyphen/>
        <w:t>tologie communiste – les intellectuels en question nous invitent à lire un Althusser dont on peut se demander s’il fut marxiste. En effet, à la lecture attentive des commentaires et des critiques littéraires </w:t>
      </w:r>
      <w:r>
        <w:rPr>
          <w:rStyle w:val="Appelnotedebasdep"/>
        </w:rPr>
        <w:footnoteReference w:id="361"/>
      </w:r>
      <w:r w:rsidRPr="00EC50AF">
        <w:t xml:space="preserve"> on r</w:t>
      </w:r>
      <w:r w:rsidRPr="00EC50AF">
        <w:t>e</w:t>
      </w:r>
      <w:r w:rsidRPr="00EC50AF">
        <w:t>marque un véritable « blanc » sur ce chapitre. Au mieux on laisse entendre, ou on feint de croire, que le marxisme – en « dernière instance » ?… – n’a été qu’un moment de la r</w:t>
      </w:r>
      <w:r w:rsidRPr="00EC50AF">
        <w:t>é</w:t>
      </w:r>
      <w:r w:rsidRPr="00EC50AF">
        <w:t>flexion ou, au pire, un épiphénomène.</w:t>
      </w:r>
    </w:p>
    <w:p w14:paraId="5512F0A7" w14:textId="77777777" w:rsidR="00B01930" w:rsidRPr="00EC50AF" w:rsidRDefault="00B01930" w:rsidP="00B01930">
      <w:pPr>
        <w:spacing w:before="120" w:after="120"/>
        <w:jc w:val="both"/>
      </w:pPr>
      <w:r w:rsidRPr="00EC50AF">
        <w:t>Il y a un jeu habile du résumé, de l’allusion et surtout le r</w:t>
      </w:r>
      <w:r w:rsidRPr="00EC50AF">
        <w:t>e</w:t>
      </w:r>
      <w:r w:rsidRPr="00EC50AF">
        <w:t>cours au récit de l’aventure personnelle d’Althusser </w:t>
      </w:r>
      <w:r>
        <w:rPr>
          <w:rStyle w:val="Appelnotedebasdep"/>
        </w:rPr>
        <w:footnoteReference w:id="362"/>
      </w:r>
      <w:r w:rsidRPr="00EC50AF">
        <w:t xml:space="preserve"> « Extraordinaire doc</w:t>
      </w:r>
      <w:r w:rsidRPr="00EC50AF">
        <w:t>u</w:t>
      </w:r>
      <w:r w:rsidRPr="00EC50AF">
        <w:t>ment surgi de la nuit de la folie et de la mort </w:t>
      </w:r>
      <w:r>
        <w:rPr>
          <w:rStyle w:val="Appelnotedebasdep"/>
        </w:rPr>
        <w:footnoteReference w:id="363"/>
      </w:r>
      <w:r w:rsidRPr="00EC50AF">
        <w:t> » qui est un « déchirant livre de souffrance dont le pathétique se hisse souvent jusqu’au trag</w:t>
      </w:r>
      <w:r w:rsidRPr="00EC50AF">
        <w:t>i</w:t>
      </w:r>
      <w:r w:rsidRPr="00EC50AF">
        <w:t>que </w:t>
      </w:r>
      <w:r>
        <w:rPr>
          <w:rStyle w:val="Appelnotedebasdep"/>
        </w:rPr>
        <w:footnoteReference w:id="364"/>
      </w:r>
      <w:r w:rsidRPr="00EC50AF">
        <w:t> », ce qui « fait penser à l’</w:t>
      </w:r>
      <w:r w:rsidRPr="00EC50AF">
        <w:rPr>
          <w:i/>
        </w:rPr>
        <w:t>Historia calamitatum</w:t>
      </w:r>
      <w:r w:rsidRPr="00EC50AF">
        <w:t xml:space="preserve"> d’Abélard, ta</w:t>
      </w:r>
      <w:r w:rsidRPr="00EC50AF">
        <w:t>n</w:t>
      </w:r>
      <w:r w:rsidRPr="00EC50AF">
        <w:t xml:space="preserve">tôt aux </w:t>
      </w:r>
      <w:r w:rsidRPr="00EC50AF">
        <w:rPr>
          <w:i/>
        </w:rPr>
        <w:t>Confessions</w:t>
      </w:r>
      <w:r w:rsidRPr="00EC50AF">
        <w:t xml:space="preserve"> de Rousseau […] au </w:t>
      </w:r>
      <w:r w:rsidRPr="00EC50AF">
        <w:rPr>
          <w:i/>
        </w:rPr>
        <w:t>Journal d’un fou</w:t>
      </w:r>
      <w:r w:rsidRPr="00EC50AF">
        <w:t xml:space="preserve"> de G</w:t>
      </w:r>
      <w:r w:rsidRPr="00EC50AF">
        <w:t>o</w:t>
      </w:r>
      <w:r w:rsidRPr="00EC50AF">
        <w:t>gol </w:t>
      </w:r>
      <w:r>
        <w:rPr>
          <w:rStyle w:val="Appelnotedebasdep"/>
        </w:rPr>
        <w:footnoteReference w:id="365"/>
      </w:r>
      <w:r w:rsidRPr="00EC50AF">
        <w:t> » au point que l’ouvrage « est un “document” – et deviendra une œuvre exceptionnelle – sans équivalent </w:t>
      </w:r>
      <w:r>
        <w:rPr>
          <w:rStyle w:val="Appelnotedebasdep"/>
        </w:rPr>
        <w:footnoteReference w:id="366"/>
      </w:r>
      <w:r w:rsidRPr="00EC50AF">
        <w:t> ». L’intérêt du le</w:t>
      </w:r>
      <w:r w:rsidRPr="00EC50AF">
        <w:t>c</w:t>
      </w:r>
      <w:r w:rsidRPr="00EC50AF">
        <w:t>teur est éveillé et on peut glisser, sans y paraître, sur le plan des idées et lai</w:t>
      </w:r>
      <w:r w:rsidRPr="00EC50AF">
        <w:t>s</w:t>
      </w:r>
      <w:r w:rsidRPr="00EC50AF">
        <w:t>ser croire que Althusser était un grand philosophe dont les concepts et la déma</w:t>
      </w:r>
      <w:r w:rsidRPr="00EC50AF">
        <w:t>r</w:t>
      </w:r>
      <w:r w:rsidRPr="00EC50AF">
        <w:t>che seraient susceptibles de répondre aux interr</w:t>
      </w:r>
      <w:r w:rsidRPr="00EC50AF">
        <w:t>o</w:t>
      </w:r>
      <w:r w:rsidRPr="00EC50AF">
        <w:t>gations de notre pays que se posent plus particulièrement les intelle</w:t>
      </w:r>
      <w:r w:rsidRPr="00EC50AF">
        <w:t>c</w:t>
      </w:r>
      <w:r w:rsidRPr="00EC50AF">
        <w:t>tuels du « peuple de gauche », orphelins de « maîtres-penseurs » d</w:t>
      </w:r>
      <w:r w:rsidRPr="00EC50AF">
        <w:t>i</w:t>
      </w:r>
      <w:r w:rsidRPr="00EC50AF">
        <w:t>gnes de ce nom et les jeunes intellectuels (lycéens et universitaires) à tout le moins dése</w:t>
      </w:r>
      <w:r w:rsidRPr="00EC50AF">
        <w:t>n</w:t>
      </w:r>
      <w:r w:rsidRPr="00EC50AF">
        <w:t>chantés (si l’on en croit les mouvements divers et autres indicateurs) par la s</w:t>
      </w:r>
      <w:r w:rsidRPr="00EC50AF">
        <w:t>o</w:t>
      </w:r>
      <w:r w:rsidRPr="00EC50AF">
        <w:t>ciété dans laquelle ils vivent. Rien de tel n’est évidemment expressément écrit en ce sens, mais – comme A</w:t>
      </w:r>
      <w:r w:rsidRPr="00EC50AF">
        <w:t>l</w:t>
      </w:r>
      <w:r w:rsidRPr="00EC50AF">
        <w:t>thusser en son temps réactu</w:t>
      </w:r>
      <w:r w:rsidRPr="00EC50AF">
        <w:t>a</w:t>
      </w:r>
      <w:r w:rsidRPr="00EC50AF">
        <w:t>lisait Marx par nécessité fonctionnelle – le même processus de mise au goût du jour est en place, mais ici par le truch</w:t>
      </w:r>
      <w:r w:rsidRPr="00EC50AF">
        <w:t>e</w:t>
      </w:r>
      <w:r w:rsidRPr="00EC50AF">
        <w:t>ment, non pas du Logos (le concept), mais de l’individu Althusser </w:t>
      </w:r>
      <w:r>
        <w:rPr>
          <w:rStyle w:val="Appelnotedebasdep"/>
        </w:rPr>
        <w:footnoteReference w:id="367"/>
      </w:r>
      <w:r w:rsidRPr="00EC50AF">
        <w:t>. On ne nous i</w:t>
      </w:r>
      <w:r w:rsidRPr="00EC50AF">
        <w:t>n</w:t>
      </w:r>
      <w:r w:rsidRPr="00EC50AF">
        <w:t>vite pas à pratiquer la « lecture symptômale » d’Althusser, mais peu s’en faut.</w:t>
      </w:r>
    </w:p>
    <w:p w14:paraId="52A7276F" w14:textId="77777777" w:rsidR="00B01930" w:rsidRPr="00EC50AF" w:rsidRDefault="00B01930" w:rsidP="00B01930">
      <w:pPr>
        <w:spacing w:before="120" w:after="120"/>
        <w:jc w:val="both"/>
      </w:pPr>
      <w:r w:rsidRPr="00EC50AF">
        <w:t>Pas plus que Althusser ne pouvait indéfiniment inventer ce qui n’existait pas chez Marx, pas plus aujourd’hui on ne peut trouver chez Althusser ce qui n’y est pas et n’y a jamais été, et nier ce qui s’y tro</w:t>
      </w:r>
      <w:r w:rsidRPr="00EC50AF">
        <w:t>u</w:t>
      </w:r>
      <w:r w:rsidRPr="00EC50AF">
        <w:t>vait : un marxisme-léninisme sommaire </w:t>
      </w:r>
      <w:r>
        <w:rPr>
          <w:rStyle w:val="Appelnotedebasdep"/>
        </w:rPr>
        <w:footnoteReference w:id="368"/>
      </w:r>
      <w:r w:rsidRPr="00EC50AF">
        <w:t xml:space="preserve"> revisité par les sciences de l’époque. Yann Moulier-Boutang a fort justement dit </w:t>
      </w:r>
      <w:r>
        <w:rPr>
          <w:rStyle w:val="Appelnotedebasdep"/>
        </w:rPr>
        <w:footnoteReference w:id="369"/>
      </w:r>
      <w:r w:rsidRPr="00EC50AF">
        <w:t xml:space="preserve"> que Althusser avait été un médiateur, un catalyseur dans une conjoncture sociale et intellectuelle précise.</w:t>
      </w:r>
    </w:p>
    <w:p w14:paraId="71A0B552" w14:textId="77777777" w:rsidR="00B01930" w:rsidRPr="00EC50AF" w:rsidRDefault="00B01930" w:rsidP="00B01930">
      <w:pPr>
        <w:spacing w:before="120" w:after="120"/>
        <w:jc w:val="both"/>
      </w:pPr>
      <w:r w:rsidRPr="00EC50AF">
        <w:t>La réponse à notre question « faut-il relire Althusser ? » est catég</w:t>
      </w:r>
      <w:r w:rsidRPr="00EC50AF">
        <w:t>o</w:t>
      </w:r>
      <w:r w:rsidRPr="00EC50AF">
        <w:t>riquement non si on y cherche une démarche scientifique ou philos</w:t>
      </w:r>
      <w:r w:rsidRPr="00EC50AF">
        <w:t>o</w:t>
      </w:r>
      <w:r w:rsidRPr="00EC50AF">
        <w:t>phique permettent de penser le monde (de son ép</w:t>
      </w:r>
      <w:r w:rsidRPr="00EC50AF">
        <w:t>o</w:t>
      </w:r>
      <w:r w:rsidRPr="00EC50AF">
        <w:t>que ou actuel), car tel n’était pas l’objet de sa réflexion nous l’avons amplement démo</w:t>
      </w:r>
      <w:r w:rsidRPr="00EC50AF">
        <w:t>n</w:t>
      </w:r>
      <w:r w:rsidRPr="00EC50AF">
        <w:t>tré </w:t>
      </w:r>
      <w:r>
        <w:rPr>
          <w:rStyle w:val="Appelnotedebasdep"/>
        </w:rPr>
        <w:footnoteReference w:id="370"/>
      </w:r>
      <w:r w:rsidRPr="00EC50AF">
        <w:t>. La réponse sera oui si on veut comprendre le champ intelle</w:t>
      </w:r>
      <w:r w:rsidRPr="00EC50AF">
        <w:t>c</w:t>
      </w:r>
      <w:r w:rsidRPr="00EC50AF">
        <w:t>tuel français d’après-guerre et plus particulièrement celui des années soixante à quatre-vingts. On ne peut, pour ce faire, se dispenser de connaître le marxisme (Raymond Aron, faut-il le rappeler, antimarxi</w:t>
      </w:r>
      <w:r w:rsidRPr="00EC50AF">
        <w:t>s</w:t>
      </w:r>
      <w:r w:rsidRPr="00EC50AF">
        <w:t>te convaincu, n’en était pas moins un grand lecteur de Marx et de ses épigones). Althusser fait partie intégrante de celui-ci et illustre à me</w:t>
      </w:r>
      <w:r w:rsidRPr="00EC50AF">
        <w:t>r</w:t>
      </w:r>
      <w:r w:rsidRPr="00EC50AF">
        <w:t>veille les mécanismes de fonctionnement d’une idéologie </w:t>
      </w:r>
      <w:r>
        <w:rPr>
          <w:rStyle w:val="Appelnotedebasdep"/>
        </w:rPr>
        <w:footnoteReference w:id="371"/>
      </w:r>
      <w:r w:rsidRPr="00EC50AF">
        <w:t xml:space="preserve"> et, au r</w:t>
      </w:r>
      <w:r w:rsidRPr="00EC50AF">
        <w:t>e</w:t>
      </w:r>
      <w:r w:rsidRPr="00EC50AF">
        <w:t>gard de la dogmatique communiste de l’époque, on comprendra pou</w:t>
      </w:r>
      <w:r w:rsidRPr="00EC50AF">
        <w:t>r</w:t>
      </w:r>
      <w:r w:rsidRPr="00EC50AF">
        <w:t>quoi et comment grâce à une extrême virtuos</w:t>
      </w:r>
      <w:r w:rsidRPr="00EC50AF">
        <w:t>i</w:t>
      </w:r>
      <w:r w:rsidRPr="00EC50AF">
        <w:t>té à manipuler l’abstraction, il a pu fasciner, susciter engouement et travaux, et am</w:t>
      </w:r>
      <w:r w:rsidRPr="00EC50AF">
        <w:t>e</w:t>
      </w:r>
      <w:r w:rsidRPr="00EC50AF">
        <w:t>ner au marxisme nombre de jeunes inte</w:t>
      </w:r>
      <w:r w:rsidRPr="00EC50AF">
        <w:t>l</w:t>
      </w:r>
      <w:r w:rsidRPr="00EC50AF">
        <w:t>lectuels. Car il y avait dans l’œuvre une certaine dime</w:t>
      </w:r>
      <w:r w:rsidRPr="00EC50AF">
        <w:t>n</w:t>
      </w:r>
      <w:r w:rsidRPr="00EC50AF">
        <w:t>sion, qu’on pourrait qualifier d’esthétique, qui se surajoutait au but idéologique et qui n’est pas sans expliquer son attrait.</w:t>
      </w:r>
    </w:p>
    <w:p w14:paraId="3D590F7D" w14:textId="77777777" w:rsidR="00B01930" w:rsidRPr="00EC50AF" w:rsidRDefault="00B01930" w:rsidP="00B01930">
      <w:pPr>
        <w:spacing w:before="120" w:after="120"/>
        <w:jc w:val="both"/>
      </w:pPr>
      <w:r w:rsidRPr="00EC50AF">
        <w:t xml:space="preserve">Peut-on dire enfin, pour terminer, que </w:t>
      </w:r>
      <w:r w:rsidRPr="00EC50AF">
        <w:rPr>
          <w:i/>
        </w:rPr>
        <w:t>l’intelligentsia</w:t>
      </w:r>
      <w:r w:rsidRPr="00EC50AF">
        <w:t xml:space="preserve"> par</w:t>
      </w:r>
      <w:r w:rsidRPr="00EC50AF">
        <w:t>i</w:t>
      </w:r>
      <w:r w:rsidRPr="00EC50AF">
        <w:t>sienne « a tout oublié et rien appris » lorsqu’on examine la production litt</w:t>
      </w:r>
      <w:r w:rsidRPr="00EC50AF">
        <w:t>é</w:t>
      </w:r>
      <w:r w:rsidRPr="00EC50AF">
        <w:t>raire consacrée à Althusser depuis 1992 (et à venir) et l’indigence de cette même production à l’occasion du dixi</w:t>
      </w:r>
      <w:r w:rsidRPr="00EC50AF">
        <w:t>è</w:t>
      </w:r>
      <w:r w:rsidRPr="00EC50AF">
        <w:t>me anniversaire de la mort de Raymond Aron </w:t>
      </w:r>
      <w:r>
        <w:rPr>
          <w:rStyle w:val="Appelnotedebasdep"/>
        </w:rPr>
        <w:footnoteReference w:id="372"/>
      </w:r>
      <w:r w:rsidRPr="00EC50AF">
        <w:t>, y compris dans la presse dite libérale avec laquelle il avait partagé son intelligence et son sens aigu de la pédag</w:t>
      </w:r>
      <w:r w:rsidRPr="00EC50AF">
        <w:t>o</w:t>
      </w:r>
      <w:r w:rsidRPr="00EC50AF">
        <w:t>gie ?</w:t>
      </w:r>
    </w:p>
    <w:p w14:paraId="1CB3FC43" w14:textId="77777777" w:rsidR="00B01930" w:rsidRPr="00EC50AF" w:rsidRDefault="00B01930" w:rsidP="00B01930">
      <w:pPr>
        <w:spacing w:before="120" w:after="120"/>
        <w:jc w:val="both"/>
      </w:pPr>
      <w:r w:rsidRPr="00EC50AF">
        <w:t>À la figure emblématique du philosophe reclus à « Normale Sup. », détenteur de la science inscrite au cœur des œuvres de Karl Marx qui s’offrait à nous dans les années soixante-dix, répond la fig</w:t>
      </w:r>
      <w:r w:rsidRPr="00EC50AF">
        <w:t>u</w:t>
      </w:r>
      <w:r w:rsidRPr="00EC50AF">
        <w:t>re d’un vibrionnant « nouveau philosophe » bo</w:t>
      </w:r>
      <w:r w:rsidRPr="00EC50AF">
        <w:t>n</w:t>
      </w:r>
      <w:r w:rsidRPr="00EC50AF">
        <w:t>dissant d’avions en plateaux de télévision et essaimant, au gré de bloc-notes hebdomada</w:t>
      </w:r>
      <w:r w:rsidRPr="00EC50AF">
        <w:t>i</w:t>
      </w:r>
      <w:r w:rsidRPr="00EC50AF">
        <w:t>res ou de livres, des « analyses » à propos desquelles Raymond Aron, en son temps, eut l’occasion de se livrer à une critique radicale que son biographe </w:t>
      </w:r>
      <w:r>
        <w:rPr>
          <w:rStyle w:val="Appelnotedebasdep"/>
        </w:rPr>
        <w:footnoteReference w:id="373"/>
      </w:r>
      <w:r w:rsidRPr="00EC50AF">
        <w:t xml:space="preserve"> résume parfaitement en ces quelques lignes : « l’amalgame réalisé par Bernard-Henri Lévy, au mépris des faits, des dates et des textes, relevait donc à la fois de l’imposture historique et d’un goût immodéré pour le scandale, utilisé à des fins de promotion personnelle. Le plus grand tort de Bernard-Henri Lévy était en défin</w:t>
      </w:r>
      <w:r w:rsidRPr="00EC50AF">
        <w:t>i</w:t>
      </w:r>
      <w:r w:rsidRPr="00EC50AF">
        <w:t>tive de traiter avec une légèreté peu commune de que</w:t>
      </w:r>
      <w:r w:rsidRPr="00EC50AF">
        <w:t>s</w:t>
      </w:r>
      <w:r w:rsidRPr="00EC50AF">
        <w:t>tions graves ».</w:t>
      </w:r>
    </w:p>
    <w:p w14:paraId="3FE1659D" w14:textId="77777777" w:rsidR="00B01930" w:rsidRPr="00EC50AF" w:rsidRDefault="00B01930" w:rsidP="00B01930">
      <w:pPr>
        <w:spacing w:before="120" w:after="120"/>
        <w:jc w:val="both"/>
      </w:pPr>
      <w:r w:rsidRPr="00EC50AF">
        <w:t>À vingt ans de distance, les points communs sont l’oubli de Raymond Aron, la cécité et l’indigence de l’élite intellectuelle et jou</w:t>
      </w:r>
      <w:r w:rsidRPr="00EC50AF">
        <w:t>r</w:t>
      </w:r>
      <w:r w:rsidRPr="00EC50AF">
        <w:t>nalistique parisienne. À croire que nous sommes au rouet.</w:t>
      </w:r>
    </w:p>
    <w:p w14:paraId="4504189E" w14:textId="77777777" w:rsidR="00B01930" w:rsidRPr="00EC50AF" w:rsidRDefault="00B01930" w:rsidP="00B01930">
      <w:pPr>
        <w:spacing w:before="120" w:after="120"/>
        <w:jc w:val="both"/>
      </w:pPr>
    </w:p>
    <w:p w14:paraId="49314468" w14:textId="77777777" w:rsidR="00B01930" w:rsidRPr="00EC50AF" w:rsidRDefault="00B01930" w:rsidP="00B01930">
      <w:pPr>
        <w:spacing w:before="120" w:after="120"/>
        <w:jc w:val="both"/>
      </w:pPr>
      <w:r w:rsidRPr="00EC50AF">
        <w:br w:type="page"/>
      </w:r>
      <w:bookmarkStart w:id="159" w:name="_Toc504399687"/>
      <w:bookmarkStart w:id="160" w:name="_Toc504406322"/>
    </w:p>
    <w:p w14:paraId="021A2FEA" w14:textId="77777777" w:rsidR="00B01930" w:rsidRPr="00EC50AF" w:rsidRDefault="00B01930" w:rsidP="00B01930">
      <w:pPr>
        <w:spacing w:before="120" w:after="120"/>
        <w:jc w:val="both"/>
      </w:pPr>
    </w:p>
    <w:p w14:paraId="41ACC739" w14:textId="77777777" w:rsidR="00B01930" w:rsidRPr="00EC50AF" w:rsidRDefault="00B01930" w:rsidP="00B01930">
      <w:pPr>
        <w:pStyle w:val="planche"/>
      </w:pPr>
      <w:bookmarkStart w:id="161" w:name="_Toc524329885"/>
      <w:bookmarkStart w:id="162" w:name="Analyser_idees_pol_pt_1_texte_01b_biblio"/>
      <w:r>
        <w:t>À</w:t>
      </w:r>
      <w:r w:rsidRPr="00EC50AF">
        <w:t xml:space="preserve"> titre indicatif  les publications</w:t>
      </w:r>
      <w:r w:rsidRPr="00EC50AF">
        <w:br/>
        <w:t>les plus significatives</w:t>
      </w:r>
      <w:r w:rsidRPr="00EC50AF">
        <w:br/>
        <w:t>de  Jean-Louis Martres</w:t>
      </w:r>
      <w:bookmarkEnd w:id="159"/>
      <w:bookmarkEnd w:id="160"/>
      <w:bookmarkEnd w:id="161"/>
    </w:p>
    <w:bookmarkEnd w:id="162"/>
    <w:p w14:paraId="1C63BDCA" w14:textId="77777777" w:rsidR="00B01930" w:rsidRPr="00EC50AF" w:rsidRDefault="00B01930" w:rsidP="00B01930">
      <w:pPr>
        <w:spacing w:before="120" w:after="120"/>
        <w:jc w:val="both"/>
        <w:rPr>
          <w:b/>
          <w:szCs w:val="22"/>
        </w:rPr>
      </w:pPr>
    </w:p>
    <w:p w14:paraId="39749DF7" w14:textId="77777777" w:rsidR="00B01930" w:rsidRPr="00EC50AF" w:rsidRDefault="00B01930" w:rsidP="00B01930">
      <w:pPr>
        <w:spacing w:before="120" w:after="120"/>
        <w:jc w:val="both"/>
        <w:rPr>
          <w:b/>
          <w:szCs w:val="22"/>
        </w:rPr>
      </w:pPr>
    </w:p>
    <w:p w14:paraId="49DCCD52" w14:textId="77777777" w:rsidR="00B01930" w:rsidRPr="00EC50AF" w:rsidRDefault="00B01930" w:rsidP="00B01930">
      <w:pPr>
        <w:spacing w:before="120" w:after="120"/>
        <w:jc w:val="both"/>
      </w:pPr>
    </w:p>
    <w:p w14:paraId="36BD8C4B"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20BBFA5B" w14:textId="77777777" w:rsidR="00B01930" w:rsidRPr="00EC50AF" w:rsidRDefault="00B01930" w:rsidP="00B01930">
      <w:pPr>
        <w:spacing w:before="120" w:after="120"/>
        <w:jc w:val="both"/>
      </w:pPr>
      <w:r w:rsidRPr="00EC50AF">
        <w:t>Jean-Louis Martres n’a pas publié d’ouvrages, trop attaché à faire partager l’évolution de sa pensée à ses étudiants, néanmoins on tro</w:t>
      </w:r>
      <w:r w:rsidRPr="00EC50AF">
        <w:t>u</w:t>
      </w:r>
      <w:r w:rsidRPr="00EC50AF">
        <w:t>vait – en idées politiques – la quintessence de sa pensée dans :</w:t>
      </w:r>
    </w:p>
    <w:p w14:paraId="6680381E" w14:textId="77777777" w:rsidR="00B01930" w:rsidRPr="00EC50AF" w:rsidRDefault="00B01930" w:rsidP="00B01930">
      <w:pPr>
        <w:spacing w:before="120" w:after="120"/>
        <w:jc w:val="both"/>
        <w:rPr>
          <w:szCs w:val="22"/>
        </w:rPr>
      </w:pPr>
    </w:p>
    <w:p w14:paraId="5FF5C68A" w14:textId="77777777" w:rsidR="00B01930" w:rsidRPr="00EC50AF" w:rsidRDefault="00B01930" w:rsidP="00B01930">
      <w:pPr>
        <w:spacing w:before="120" w:after="120"/>
        <w:jc w:val="both"/>
        <w:rPr>
          <w:szCs w:val="22"/>
        </w:rPr>
      </w:pPr>
      <w:r w:rsidRPr="00EC50AF">
        <w:rPr>
          <w:szCs w:val="22"/>
        </w:rPr>
        <w:t>- La préface au livre de Xu Zhen Zhou (qui est la thèse de ce de</w:t>
      </w:r>
      <w:r w:rsidRPr="00EC50AF">
        <w:rPr>
          <w:szCs w:val="22"/>
        </w:rPr>
        <w:t>r</w:t>
      </w:r>
      <w:r w:rsidRPr="00EC50AF">
        <w:rPr>
          <w:szCs w:val="22"/>
        </w:rPr>
        <w:t>nier, dirigée par J.-L. Ma</w:t>
      </w:r>
      <w:r w:rsidRPr="00EC50AF">
        <w:rPr>
          <w:szCs w:val="22"/>
        </w:rPr>
        <w:t>r</w:t>
      </w:r>
      <w:r w:rsidRPr="00EC50AF">
        <w:rPr>
          <w:szCs w:val="22"/>
        </w:rPr>
        <w:t xml:space="preserve">tres) : </w:t>
      </w:r>
      <w:r w:rsidRPr="00EC50AF">
        <w:rPr>
          <w:i/>
          <w:szCs w:val="22"/>
        </w:rPr>
        <w:t>L’art de la politique chez les légistes chinois</w:t>
      </w:r>
      <w:r w:rsidRPr="00EC50AF">
        <w:rPr>
          <w:szCs w:val="22"/>
        </w:rPr>
        <w:t>, Paris, Economica, 1995 (préface dont il me soumit le manu</w:t>
      </w:r>
      <w:r w:rsidRPr="00EC50AF">
        <w:rPr>
          <w:szCs w:val="22"/>
        </w:rPr>
        <w:t>s</w:t>
      </w:r>
      <w:r w:rsidRPr="00EC50AF">
        <w:rPr>
          <w:szCs w:val="22"/>
        </w:rPr>
        <w:t>crit pour relecture).</w:t>
      </w:r>
    </w:p>
    <w:p w14:paraId="72CE8EB2" w14:textId="77777777" w:rsidR="00B01930" w:rsidRPr="00EC50AF" w:rsidRDefault="00B01930" w:rsidP="00B01930">
      <w:pPr>
        <w:spacing w:before="120" w:after="120"/>
        <w:jc w:val="both"/>
        <w:rPr>
          <w:szCs w:val="22"/>
        </w:rPr>
      </w:pPr>
      <w:r w:rsidRPr="00EC50AF">
        <w:rPr>
          <w:szCs w:val="22"/>
        </w:rPr>
        <w:t xml:space="preserve">- La préface au livre de Claude Horrut : </w:t>
      </w:r>
      <w:r w:rsidRPr="00EC50AF">
        <w:rPr>
          <w:i/>
          <w:szCs w:val="22"/>
        </w:rPr>
        <w:t>Ibn Khaldûn, un islam</w:t>
      </w:r>
      <w:r w:rsidRPr="00EC50AF">
        <w:rPr>
          <w:szCs w:val="22"/>
        </w:rPr>
        <w:t xml:space="preserve"> </w:t>
      </w:r>
      <w:r w:rsidRPr="00EC50AF">
        <w:rPr>
          <w:i/>
          <w:szCs w:val="22"/>
        </w:rPr>
        <w:t>des lumières</w:t>
      </w:r>
      <w:r w:rsidRPr="00EC50AF">
        <w:rPr>
          <w:szCs w:val="22"/>
        </w:rPr>
        <w:t>, Paris, Ed. Co</w:t>
      </w:r>
      <w:r w:rsidRPr="00EC50AF">
        <w:rPr>
          <w:szCs w:val="22"/>
        </w:rPr>
        <w:t>m</w:t>
      </w:r>
      <w:r w:rsidRPr="00EC50AF">
        <w:rPr>
          <w:szCs w:val="22"/>
        </w:rPr>
        <w:t>plexe, 2006.</w:t>
      </w:r>
    </w:p>
    <w:p w14:paraId="79453873" w14:textId="77777777" w:rsidR="00B01930" w:rsidRPr="00EC50AF" w:rsidRDefault="00B01930" w:rsidP="00B01930">
      <w:pPr>
        <w:spacing w:before="120" w:after="120"/>
        <w:jc w:val="both"/>
        <w:rPr>
          <w:szCs w:val="22"/>
        </w:rPr>
      </w:pPr>
    </w:p>
    <w:p w14:paraId="6F93824B" w14:textId="77777777" w:rsidR="00B01930" w:rsidRPr="00EC50AF" w:rsidRDefault="00B01930" w:rsidP="00B01930">
      <w:pPr>
        <w:spacing w:before="120" w:after="120"/>
        <w:jc w:val="both"/>
      </w:pPr>
      <w:r w:rsidRPr="00EC50AF">
        <w:t>En revanche il a livré, ici et là, dans des préfaces ou des d</w:t>
      </w:r>
      <w:r w:rsidRPr="00EC50AF">
        <w:t>i</w:t>
      </w:r>
      <w:r w:rsidRPr="00EC50AF">
        <w:t>rections d’ouvrages collectifs divers aspects de sa pensée :</w:t>
      </w:r>
    </w:p>
    <w:p w14:paraId="08FA7474" w14:textId="77777777" w:rsidR="00B01930" w:rsidRPr="00EC50AF" w:rsidRDefault="00B01930" w:rsidP="00B01930">
      <w:pPr>
        <w:spacing w:before="120" w:after="120"/>
        <w:jc w:val="both"/>
        <w:rPr>
          <w:szCs w:val="22"/>
        </w:rPr>
      </w:pPr>
    </w:p>
    <w:p w14:paraId="0B524DB3" w14:textId="77777777" w:rsidR="00B01930" w:rsidRPr="00EC50AF" w:rsidRDefault="00B01930" w:rsidP="00B01930">
      <w:pPr>
        <w:spacing w:before="120" w:after="120"/>
        <w:jc w:val="both"/>
        <w:rPr>
          <w:szCs w:val="22"/>
        </w:rPr>
      </w:pPr>
      <w:r w:rsidRPr="00EC50AF">
        <w:rPr>
          <w:i/>
          <w:szCs w:val="22"/>
        </w:rPr>
        <w:t>- L’Union soviétique dans les relations internationales</w:t>
      </w:r>
      <w:r w:rsidRPr="00EC50AF">
        <w:rPr>
          <w:szCs w:val="22"/>
        </w:rPr>
        <w:t xml:space="preserve"> (dir. Fra</w:t>
      </w:r>
      <w:r w:rsidRPr="00EC50AF">
        <w:rPr>
          <w:szCs w:val="22"/>
        </w:rPr>
        <w:t>n</w:t>
      </w:r>
      <w:r w:rsidRPr="00EC50AF">
        <w:rPr>
          <w:szCs w:val="22"/>
        </w:rPr>
        <w:t>cis Conte, J.-L. Martres), Paris, Economica, 1982.</w:t>
      </w:r>
    </w:p>
    <w:p w14:paraId="6F7B9169" w14:textId="77777777" w:rsidR="00B01930" w:rsidRPr="00EC50AF" w:rsidRDefault="00B01930" w:rsidP="00B01930">
      <w:pPr>
        <w:spacing w:before="120" w:after="120"/>
        <w:jc w:val="both"/>
        <w:rPr>
          <w:szCs w:val="22"/>
        </w:rPr>
      </w:pPr>
      <w:r w:rsidRPr="00EC50AF">
        <w:rPr>
          <w:i/>
          <w:szCs w:val="22"/>
        </w:rPr>
        <w:t>- Le discours sur les révolutions</w:t>
      </w:r>
      <w:r w:rsidRPr="00EC50AF">
        <w:rPr>
          <w:szCs w:val="22"/>
        </w:rPr>
        <w:t>, vol. 1, colloque Charlotte</w:t>
      </w:r>
      <w:r w:rsidRPr="00EC50AF">
        <w:rPr>
          <w:szCs w:val="22"/>
        </w:rPr>
        <w:t>s</w:t>
      </w:r>
      <w:r w:rsidRPr="00EC50AF">
        <w:rPr>
          <w:szCs w:val="22"/>
        </w:rPr>
        <w:t>ville, Université de Virginie, 1987, et vol. 2, colloque de Bordeaux, Unive</w:t>
      </w:r>
      <w:r w:rsidRPr="00EC50AF">
        <w:rPr>
          <w:szCs w:val="22"/>
        </w:rPr>
        <w:t>r</w:t>
      </w:r>
      <w:r w:rsidRPr="00EC50AF">
        <w:rPr>
          <w:szCs w:val="22"/>
        </w:rPr>
        <w:t>sité Montesquieu- Bordeaux IV, 1989.</w:t>
      </w:r>
    </w:p>
    <w:p w14:paraId="72864AA0" w14:textId="77777777" w:rsidR="00B01930" w:rsidRPr="00EC50AF" w:rsidRDefault="00B01930" w:rsidP="00B01930">
      <w:pPr>
        <w:spacing w:before="120" w:after="120"/>
        <w:jc w:val="both"/>
        <w:rPr>
          <w:szCs w:val="22"/>
        </w:rPr>
      </w:pPr>
      <w:r w:rsidRPr="00EC50AF">
        <w:rPr>
          <w:i/>
          <w:szCs w:val="22"/>
        </w:rPr>
        <w:t>- La Politique forestière française, esquisse d’un modèle</w:t>
      </w:r>
      <w:r w:rsidRPr="00EC50AF">
        <w:rPr>
          <w:szCs w:val="22"/>
        </w:rPr>
        <w:t xml:space="preserve">, (dir. J.-L. Martres), Centre d’Analyse politique comparée, Maison des Sciences de l’Homme, Université </w:t>
      </w:r>
      <w:r w:rsidRPr="00EC50AF">
        <w:t xml:space="preserve">Montesquieu-Bordeaux </w:t>
      </w:r>
      <w:r w:rsidRPr="00EC50AF">
        <w:rPr>
          <w:szCs w:val="22"/>
        </w:rPr>
        <w:t>IV, 1989.</w:t>
      </w:r>
    </w:p>
    <w:p w14:paraId="24E9C21B" w14:textId="77777777" w:rsidR="00B01930" w:rsidRPr="00EC50AF" w:rsidRDefault="00B01930" w:rsidP="00B01930">
      <w:pPr>
        <w:spacing w:before="120" w:after="120"/>
        <w:jc w:val="both"/>
        <w:rPr>
          <w:szCs w:val="22"/>
        </w:rPr>
      </w:pPr>
      <w:r w:rsidRPr="00EC50AF">
        <w:rPr>
          <w:szCs w:val="22"/>
        </w:rPr>
        <w:t xml:space="preserve">- Préface au livre de Gérard Dussouy : </w:t>
      </w:r>
      <w:r w:rsidRPr="00EC50AF">
        <w:rPr>
          <w:i/>
          <w:szCs w:val="22"/>
        </w:rPr>
        <w:t>Quelle géopolitique au</w:t>
      </w:r>
      <w:r w:rsidRPr="00EC50AF">
        <w:rPr>
          <w:szCs w:val="22"/>
        </w:rPr>
        <w:t xml:space="preserve"> </w:t>
      </w:r>
      <w:r w:rsidRPr="00EC50AF">
        <w:rPr>
          <w:i/>
          <w:smallCaps/>
          <w:szCs w:val="22"/>
        </w:rPr>
        <w:t>xxi</w:t>
      </w:r>
      <w:r w:rsidRPr="00EC50AF">
        <w:rPr>
          <w:i/>
          <w:szCs w:val="22"/>
          <w:vertAlign w:val="superscript"/>
        </w:rPr>
        <w:t>e</w:t>
      </w:r>
      <w:r w:rsidRPr="00EC50AF">
        <w:rPr>
          <w:i/>
          <w:szCs w:val="22"/>
        </w:rPr>
        <w:t xml:space="preserve"> siècle ?</w:t>
      </w:r>
      <w:r w:rsidRPr="00EC50AF">
        <w:rPr>
          <w:szCs w:val="22"/>
        </w:rPr>
        <w:t xml:space="preserve"> Bruxelles, Ed. Complexe, 2001.</w:t>
      </w:r>
    </w:p>
    <w:p w14:paraId="36C84187" w14:textId="77777777" w:rsidR="00B01930" w:rsidRPr="00EC50AF" w:rsidRDefault="00B01930" w:rsidP="00B01930">
      <w:pPr>
        <w:spacing w:before="120" w:after="120"/>
        <w:jc w:val="both"/>
        <w:rPr>
          <w:szCs w:val="22"/>
        </w:rPr>
      </w:pPr>
      <w:r w:rsidRPr="00EC50AF">
        <w:rPr>
          <w:szCs w:val="22"/>
        </w:rPr>
        <w:t xml:space="preserve">- « De la nécessité d’une théorie des relations internationales, l’illusion paradigmatique », </w:t>
      </w:r>
      <w:r w:rsidRPr="00EC50AF">
        <w:rPr>
          <w:i/>
          <w:szCs w:val="22"/>
        </w:rPr>
        <w:t>AFRI</w:t>
      </w:r>
      <w:r w:rsidRPr="00EC50AF">
        <w:t>, vol. IV,</w:t>
      </w:r>
      <w:r w:rsidRPr="00EC50AF">
        <w:rPr>
          <w:szCs w:val="22"/>
        </w:rPr>
        <w:t xml:space="preserve"> 2003, Centre Th</w:t>
      </w:r>
      <w:r w:rsidRPr="00EC50AF">
        <w:rPr>
          <w:szCs w:val="22"/>
        </w:rPr>
        <w:t>u</w:t>
      </w:r>
      <w:r w:rsidRPr="00EC50AF">
        <w:rPr>
          <w:szCs w:val="22"/>
        </w:rPr>
        <w:t xml:space="preserve">cydide, publié également dans </w:t>
      </w:r>
      <w:r w:rsidRPr="00EC50AF">
        <w:rPr>
          <w:i/>
          <w:szCs w:val="22"/>
        </w:rPr>
        <w:t>Penser les Relations internati</w:t>
      </w:r>
      <w:r w:rsidRPr="00EC50AF">
        <w:rPr>
          <w:i/>
          <w:szCs w:val="22"/>
        </w:rPr>
        <w:t>o</w:t>
      </w:r>
      <w:r w:rsidRPr="00EC50AF">
        <w:rPr>
          <w:i/>
          <w:szCs w:val="22"/>
        </w:rPr>
        <w:t>nal</w:t>
      </w:r>
      <w:r w:rsidRPr="00EC50AF">
        <w:rPr>
          <w:szCs w:val="22"/>
        </w:rPr>
        <w:t xml:space="preserve"> (dir. Michel Bergès), Paris, L’Harmattan, 2008.</w:t>
      </w:r>
    </w:p>
    <w:p w14:paraId="3B86A8F7" w14:textId="77777777" w:rsidR="00B01930" w:rsidRPr="00EC50AF" w:rsidRDefault="00B01930" w:rsidP="00B01930">
      <w:pPr>
        <w:spacing w:before="120" w:after="120"/>
        <w:jc w:val="both"/>
        <w:rPr>
          <w:szCs w:val="22"/>
        </w:rPr>
      </w:pPr>
      <w:r w:rsidRPr="00EC50AF">
        <w:rPr>
          <w:szCs w:val="22"/>
        </w:rPr>
        <w:t>- « La puissance comme lieu commun des r</w:t>
      </w:r>
      <w:r w:rsidRPr="00EC50AF">
        <w:rPr>
          <w:szCs w:val="22"/>
        </w:rPr>
        <w:t>e</w:t>
      </w:r>
      <w:r w:rsidRPr="00EC50AF">
        <w:rPr>
          <w:szCs w:val="22"/>
        </w:rPr>
        <w:t xml:space="preserve">lations internationales, le retour de la puissance », </w:t>
      </w:r>
      <w:r w:rsidRPr="00EC50AF">
        <w:rPr>
          <w:i/>
          <w:szCs w:val="22"/>
        </w:rPr>
        <w:t>AFRI</w:t>
      </w:r>
      <w:r w:rsidRPr="00EC50AF">
        <w:t>, vol. VIII,</w:t>
      </w:r>
      <w:r w:rsidRPr="00EC50AF">
        <w:rPr>
          <w:szCs w:val="22"/>
        </w:rPr>
        <w:t xml:space="preserve"> 2007, Ce</w:t>
      </w:r>
      <w:r w:rsidRPr="00EC50AF">
        <w:rPr>
          <w:szCs w:val="22"/>
        </w:rPr>
        <w:t>n</w:t>
      </w:r>
      <w:r w:rsidRPr="00EC50AF">
        <w:rPr>
          <w:szCs w:val="22"/>
        </w:rPr>
        <w:t xml:space="preserve">tre Thucydide, publié également dans </w:t>
      </w:r>
      <w:r w:rsidRPr="00EC50AF">
        <w:rPr>
          <w:i/>
          <w:szCs w:val="22"/>
        </w:rPr>
        <w:t>Penser les Relations</w:t>
      </w:r>
      <w:r w:rsidRPr="00EC50AF">
        <w:rPr>
          <w:szCs w:val="22"/>
        </w:rPr>
        <w:t xml:space="preserve"> </w:t>
      </w:r>
      <w:r w:rsidRPr="00EC50AF">
        <w:rPr>
          <w:i/>
          <w:szCs w:val="22"/>
        </w:rPr>
        <w:t>internationales</w:t>
      </w:r>
      <w:r w:rsidRPr="00EC50AF">
        <w:rPr>
          <w:szCs w:val="22"/>
        </w:rPr>
        <w:t xml:space="preserve"> (dir. M</w:t>
      </w:r>
      <w:r w:rsidRPr="00EC50AF">
        <w:rPr>
          <w:szCs w:val="22"/>
        </w:rPr>
        <w:t>i</w:t>
      </w:r>
      <w:r w:rsidRPr="00EC50AF">
        <w:rPr>
          <w:szCs w:val="22"/>
        </w:rPr>
        <w:t>chel Bergès), Paris, L’Harmattan, 2008.</w:t>
      </w:r>
    </w:p>
    <w:p w14:paraId="380CEC2A" w14:textId="77777777" w:rsidR="00B01930" w:rsidRPr="00EC50AF" w:rsidRDefault="00B01930" w:rsidP="00B01930">
      <w:pPr>
        <w:spacing w:before="120" w:after="120"/>
        <w:jc w:val="both"/>
        <w:rPr>
          <w:b/>
          <w:szCs w:val="22"/>
        </w:rPr>
      </w:pPr>
      <w:r w:rsidRPr="00EC50AF">
        <w:rPr>
          <w:szCs w:val="22"/>
        </w:rPr>
        <w:t>- « Essai de définition d’une diplomatie cult</w:t>
      </w:r>
      <w:r w:rsidRPr="00EC50AF">
        <w:rPr>
          <w:szCs w:val="22"/>
        </w:rPr>
        <w:t>u</w:t>
      </w:r>
      <w:r w:rsidRPr="00EC50AF">
        <w:rPr>
          <w:szCs w:val="22"/>
        </w:rPr>
        <w:t xml:space="preserve">relle », </w:t>
      </w:r>
      <w:r w:rsidRPr="00EC50AF">
        <w:rPr>
          <w:i/>
          <w:szCs w:val="22"/>
        </w:rPr>
        <w:t>in</w:t>
      </w:r>
      <w:r w:rsidRPr="00EC50AF">
        <w:rPr>
          <w:szCs w:val="22"/>
        </w:rPr>
        <w:t xml:space="preserve"> </w:t>
      </w:r>
      <w:r w:rsidRPr="00EC50AF">
        <w:rPr>
          <w:i/>
          <w:szCs w:val="22"/>
        </w:rPr>
        <w:t>Penser les</w:t>
      </w:r>
      <w:r w:rsidRPr="00EC50AF">
        <w:rPr>
          <w:szCs w:val="22"/>
        </w:rPr>
        <w:t xml:space="preserve"> </w:t>
      </w:r>
      <w:r w:rsidRPr="00EC50AF">
        <w:rPr>
          <w:i/>
          <w:szCs w:val="22"/>
        </w:rPr>
        <w:t>Relations internationales,</w:t>
      </w:r>
      <w:r w:rsidRPr="00EC50AF">
        <w:rPr>
          <w:szCs w:val="22"/>
        </w:rPr>
        <w:t xml:space="preserve"> (dir. Michel Bergès), Paris, L’Harmattan, 2008.</w:t>
      </w:r>
    </w:p>
    <w:p w14:paraId="62CCD854" w14:textId="77777777" w:rsidR="00B01930" w:rsidRPr="00EC50AF" w:rsidRDefault="00B01930" w:rsidP="00B01930">
      <w:pPr>
        <w:spacing w:before="120" w:after="120"/>
        <w:jc w:val="both"/>
        <w:rPr>
          <w:b/>
        </w:rPr>
      </w:pPr>
      <w:r w:rsidRPr="00EC50AF">
        <w:rPr>
          <w:szCs w:val="22"/>
        </w:rPr>
        <w:t>- « L’iridescence chez les papillons : un essai de transposition des méthodes de l’analyse physique dans le domaine des relations intern</w:t>
      </w:r>
      <w:r w:rsidRPr="00EC50AF">
        <w:rPr>
          <w:szCs w:val="22"/>
        </w:rPr>
        <w:t>a</w:t>
      </w:r>
      <w:r w:rsidRPr="00EC50AF">
        <w:rPr>
          <w:szCs w:val="22"/>
        </w:rPr>
        <w:t xml:space="preserve">tionales » (en coll. avec Pascal Tozzi), </w:t>
      </w:r>
      <w:r w:rsidRPr="00EC50AF">
        <w:rPr>
          <w:i/>
          <w:szCs w:val="22"/>
        </w:rPr>
        <w:t>in</w:t>
      </w:r>
      <w:r w:rsidRPr="00EC50AF">
        <w:rPr>
          <w:szCs w:val="22"/>
        </w:rPr>
        <w:t xml:space="preserve"> </w:t>
      </w:r>
      <w:r w:rsidRPr="00EC50AF">
        <w:rPr>
          <w:i/>
          <w:szCs w:val="22"/>
        </w:rPr>
        <w:t>Penser les</w:t>
      </w:r>
      <w:r w:rsidRPr="00EC50AF">
        <w:rPr>
          <w:szCs w:val="22"/>
        </w:rPr>
        <w:t xml:space="preserve"> </w:t>
      </w:r>
      <w:r w:rsidRPr="00EC50AF">
        <w:rPr>
          <w:i/>
          <w:szCs w:val="22"/>
        </w:rPr>
        <w:t>Relations inte</w:t>
      </w:r>
      <w:r w:rsidRPr="00EC50AF">
        <w:rPr>
          <w:i/>
          <w:szCs w:val="22"/>
        </w:rPr>
        <w:t>r</w:t>
      </w:r>
      <w:r w:rsidRPr="00EC50AF">
        <w:rPr>
          <w:i/>
          <w:szCs w:val="22"/>
        </w:rPr>
        <w:t>nationales,</w:t>
      </w:r>
      <w:r w:rsidRPr="00EC50AF">
        <w:rPr>
          <w:szCs w:val="22"/>
        </w:rPr>
        <w:t xml:space="preserve"> (dir. Michel Bergès), Paris, L’Harmattan</w:t>
      </w:r>
      <w:r w:rsidRPr="00EC50AF">
        <w:t>, 2008.</w:t>
      </w:r>
    </w:p>
    <w:p w14:paraId="6793FCE2" w14:textId="77777777" w:rsidR="00B01930" w:rsidRPr="00EC50AF" w:rsidRDefault="00B01930" w:rsidP="00B01930">
      <w:pPr>
        <w:spacing w:before="120" w:after="120"/>
        <w:jc w:val="both"/>
        <w:rPr>
          <w:szCs w:val="22"/>
        </w:rPr>
      </w:pPr>
      <w:r w:rsidRPr="00EC50AF">
        <w:rPr>
          <w:szCs w:val="22"/>
        </w:rPr>
        <w:t xml:space="preserve">- Enfin, </w:t>
      </w:r>
      <w:r w:rsidRPr="00EC50AF">
        <w:rPr>
          <w:i/>
          <w:szCs w:val="22"/>
        </w:rPr>
        <w:t>Les grilles de la pensée politique</w:t>
      </w:r>
      <w:r w:rsidRPr="00EC50AF">
        <w:rPr>
          <w:b/>
          <w:szCs w:val="22"/>
        </w:rPr>
        <w:t xml:space="preserve">, </w:t>
      </w:r>
      <w:r w:rsidRPr="00EC50AF">
        <w:rPr>
          <w:szCs w:val="22"/>
        </w:rPr>
        <w:t>China Century Press Group Cie limited, China Social Science Documentation Press, Hong Kong, 2012, 812 p., non diffusé.</w:t>
      </w:r>
    </w:p>
    <w:p w14:paraId="3359594C" w14:textId="77777777" w:rsidR="00B01930" w:rsidRDefault="00B01930" w:rsidP="00B01930">
      <w:pPr>
        <w:spacing w:before="120" w:after="120"/>
        <w:jc w:val="both"/>
        <w:rPr>
          <w:szCs w:val="22"/>
        </w:rPr>
      </w:pPr>
    </w:p>
    <w:p w14:paraId="05C3815E" w14:textId="77777777" w:rsidR="00B01930" w:rsidRDefault="00B01930" w:rsidP="00B01930">
      <w:pPr>
        <w:spacing w:before="120" w:after="120"/>
        <w:jc w:val="both"/>
      </w:pPr>
      <w:r>
        <w:br w:type="page"/>
      </w:r>
    </w:p>
    <w:p w14:paraId="3846B4F0" w14:textId="77777777" w:rsidR="00B01930" w:rsidRPr="00EC50AF" w:rsidRDefault="008C39FA" w:rsidP="00B01930">
      <w:pPr>
        <w:pStyle w:val="fig"/>
      </w:pPr>
      <w:r>
        <w:rPr>
          <w:noProof/>
        </w:rPr>
        <w:drawing>
          <wp:inline distT="0" distB="0" distL="0" distR="0" wp14:anchorId="78BB5A01" wp14:editId="4678CF20">
            <wp:extent cx="5003800" cy="32512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800" cy="3251200"/>
                    </a:xfrm>
                    <a:prstGeom prst="rect">
                      <a:avLst/>
                    </a:prstGeom>
                    <a:noFill/>
                    <a:ln>
                      <a:noFill/>
                    </a:ln>
                  </pic:spPr>
                </pic:pic>
              </a:graphicData>
            </a:graphic>
          </wp:inline>
        </w:drawing>
      </w:r>
    </w:p>
    <w:p w14:paraId="0B982119" w14:textId="77777777" w:rsidR="00B01930" w:rsidRDefault="00B01930" w:rsidP="00B01930">
      <w:pPr>
        <w:spacing w:before="120" w:after="120"/>
        <w:jc w:val="both"/>
        <w:rPr>
          <w:szCs w:val="22"/>
        </w:rPr>
      </w:pPr>
    </w:p>
    <w:p w14:paraId="663A819D" w14:textId="77777777" w:rsidR="00B01930" w:rsidRPr="009F13B7" w:rsidRDefault="00B01930" w:rsidP="00B01930">
      <w:pPr>
        <w:spacing w:before="120" w:after="120"/>
        <w:jc w:val="both"/>
        <w:rPr>
          <w:szCs w:val="22"/>
        </w:rPr>
      </w:pPr>
      <w:r w:rsidRPr="009F13B7">
        <w:t>Les Palais Vides, peinture sur soie de Chine du XVIII</w:t>
      </w:r>
      <w:r w:rsidRPr="009F13B7">
        <w:rPr>
          <w:vertAlign w:val="superscript"/>
        </w:rPr>
        <w:t>e</w:t>
      </w:r>
      <w:r w:rsidRPr="009F13B7">
        <w:t> siècle, co</w:t>
      </w:r>
      <w:r w:rsidRPr="009F13B7">
        <w:t>u</w:t>
      </w:r>
      <w:r w:rsidRPr="009F13B7">
        <w:t>ve</w:t>
      </w:r>
      <w:r w:rsidRPr="009F13B7">
        <w:t>r</w:t>
      </w:r>
      <w:r w:rsidRPr="009F13B7">
        <w:t>ture du livre de J.-L. Martres, édité, mais non diffusé, Les grilles de la pensée politique, (reproduction photo communiquée par le pr</w:t>
      </w:r>
      <w:r w:rsidRPr="009F13B7">
        <w:t>o</w:t>
      </w:r>
      <w:r w:rsidRPr="009F13B7">
        <w:t>fesseur Michel Bergès, 2013).</w:t>
      </w:r>
    </w:p>
    <w:p w14:paraId="6D8B5373" w14:textId="77777777" w:rsidR="00B01930" w:rsidRDefault="00B01930" w:rsidP="00B01930">
      <w:pPr>
        <w:spacing w:before="120" w:after="120"/>
        <w:jc w:val="both"/>
        <w:rPr>
          <w:b/>
        </w:rPr>
      </w:pPr>
      <w:bookmarkStart w:id="163" w:name="_Toc504399688"/>
      <w:bookmarkStart w:id="164" w:name="_Toc504406323"/>
      <w:bookmarkStart w:id="165" w:name="_Toc524329886"/>
    </w:p>
    <w:p w14:paraId="150D66CE" w14:textId="77777777" w:rsidR="00B01930" w:rsidRPr="00EC50AF" w:rsidRDefault="00B01930" w:rsidP="00B01930">
      <w:pPr>
        <w:pStyle w:val="planche"/>
      </w:pPr>
      <w:bookmarkStart w:id="166" w:name="Analyser_idees_pol_pt_1_texte_01b_auteur"/>
      <w:r w:rsidRPr="00EC50AF">
        <w:t>Note sur l’auteur</w:t>
      </w:r>
      <w:bookmarkEnd w:id="163"/>
      <w:bookmarkEnd w:id="164"/>
      <w:bookmarkEnd w:id="165"/>
    </w:p>
    <w:bookmarkEnd w:id="166"/>
    <w:p w14:paraId="3E2DA269" w14:textId="77777777" w:rsidR="00B01930" w:rsidRPr="00EC50AF" w:rsidRDefault="00B01930" w:rsidP="00B01930">
      <w:pPr>
        <w:spacing w:before="120" w:after="120"/>
        <w:jc w:val="center"/>
        <w:rPr>
          <w:szCs w:val="22"/>
        </w:rPr>
      </w:pPr>
      <w:r w:rsidRPr="00EC50AF">
        <w:rPr>
          <w:szCs w:val="22"/>
        </w:rPr>
        <w:t>Daniel Lagraula</w:t>
      </w:r>
    </w:p>
    <w:p w14:paraId="77BC6B1C" w14:textId="77777777" w:rsidR="00B01930" w:rsidRPr="00EC50AF" w:rsidRDefault="00B01930" w:rsidP="00B01930">
      <w:pPr>
        <w:spacing w:before="120" w:after="120"/>
        <w:jc w:val="both"/>
        <w:rPr>
          <w:szCs w:val="22"/>
        </w:rPr>
      </w:pPr>
    </w:p>
    <w:p w14:paraId="126610A1"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7098A2EA" w14:textId="77777777" w:rsidR="00B01930" w:rsidRPr="00EC50AF" w:rsidRDefault="00B01930" w:rsidP="00B01930">
      <w:pPr>
        <w:spacing w:before="120" w:after="120"/>
        <w:jc w:val="both"/>
        <w:rPr>
          <w:szCs w:val="22"/>
        </w:rPr>
      </w:pPr>
      <w:r w:rsidRPr="00EC50AF">
        <w:rPr>
          <w:szCs w:val="22"/>
        </w:rPr>
        <w:t>Né le 2 décembre 1949 à Bordeaux.</w:t>
      </w:r>
    </w:p>
    <w:p w14:paraId="2AAECE37" w14:textId="77777777" w:rsidR="00B01930" w:rsidRPr="00EC50AF" w:rsidRDefault="00B01930" w:rsidP="00B01930">
      <w:pPr>
        <w:spacing w:before="120" w:after="120"/>
        <w:jc w:val="both"/>
        <w:rPr>
          <w:szCs w:val="22"/>
        </w:rPr>
      </w:pPr>
      <w:r w:rsidRPr="00EC50AF">
        <w:rPr>
          <w:szCs w:val="22"/>
        </w:rPr>
        <w:t xml:space="preserve">DEA en science politique (mémoire : </w:t>
      </w:r>
      <w:r w:rsidRPr="00EC50AF">
        <w:rPr>
          <w:i/>
          <w:szCs w:val="22"/>
        </w:rPr>
        <w:t>Althusser, essai d’interprétation de la pensée marxiste contemporaine</w:t>
      </w:r>
      <w:r w:rsidRPr="00EC50AF">
        <w:rPr>
          <w:szCs w:val="22"/>
        </w:rPr>
        <w:t>, inédit-1974) Université de Bo</w:t>
      </w:r>
      <w:r w:rsidRPr="00EC50AF">
        <w:rPr>
          <w:szCs w:val="22"/>
        </w:rPr>
        <w:t>r</w:t>
      </w:r>
      <w:r w:rsidRPr="00EC50AF">
        <w:rPr>
          <w:szCs w:val="22"/>
        </w:rPr>
        <w:t>deaux.</w:t>
      </w:r>
    </w:p>
    <w:p w14:paraId="0F29DA57" w14:textId="77777777" w:rsidR="00B01930" w:rsidRPr="00EC50AF" w:rsidRDefault="00B01930" w:rsidP="00B01930">
      <w:pPr>
        <w:spacing w:before="120" w:after="120"/>
        <w:jc w:val="both"/>
        <w:rPr>
          <w:szCs w:val="22"/>
        </w:rPr>
      </w:pPr>
      <w:r w:rsidRPr="00EC50AF">
        <w:rPr>
          <w:szCs w:val="22"/>
        </w:rPr>
        <w:t>Ancien cadre de l’Assurance chômage : au sein de l’Assedic Sud-Ouest, jusqu’en 1996, puis au sein de l’Unédic (Délégation Unédic-Ags) : cadre opérationnel puis fonctionnel (responsable national qual</w:t>
      </w:r>
      <w:r w:rsidRPr="00EC50AF">
        <w:rPr>
          <w:szCs w:val="22"/>
        </w:rPr>
        <w:t>i</w:t>
      </w:r>
      <w:r w:rsidRPr="00EC50AF">
        <w:rPr>
          <w:szCs w:val="22"/>
        </w:rPr>
        <w:t>té) jusqu’en 2011.</w:t>
      </w:r>
    </w:p>
    <w:p w14:paraId="53AA0496" w14:textId="77777777" w:rsidR="00B01930" w:rsidRPr="00EC50AF" w:rsidRDefault="00B01930" w:rsidP="00B01930">
      <w:pPr>
        <w:spacing w:before="120" w:after="120"/>
        <w:jc w:val="both"/>
        <w:rPr>
          <w:szCs w:val="22"/>
        </w:rPr>
      </w:pPr>
      <w:r w:rsidRPr="00EC50AF">
        <w:rPr>
          <w:szCs w:val="22"/>
        </w:rPr>
        <w:t>En dépit de cette carrière professionnelle a e</w:t>
      </w:r>
      <w:r w:rsidRPr="00EC50AF">
        <w:rPr>
          <w:szCs w:val="22"/>
        </w:rPr>
        <w:t>n</w:t>
      </w:r>
      <w:r w:rsidRPr="00EC50AF">
        <w:rPr>
          <w:szCs w:val="22"/>
        </w:rPr>
        <w:t>tretenu depuis 1973, une relation intellectuelle avec Jean-Louis Martres.</w:t>
      </w:r>
    </w:p>
    <w:p w14:paraId="3C7EC52F" w14:textId="77777777" w:rsidR="00B01930" w:rsidRPr="00EC50AF" w:rsidRDefault="00B01930" w:rsidP="00B01930">
      <w:pPr>
        <w:spacing w:before="120" w:after="120"/>
        <w:jc w:val="both"/>
        <w:rPr>
          <w:szCs w:val="22"/>
        </w:rPr>
      </w:pPr>
    </w:p>
    <w:p w14:paraId="665F7BFB" w14:textId="77777777" w:rsidR="00B01930" w:rsidRPr="00EC50AF" w:rsidRDefault="00B01930" w:rsidP="00B01930">
      <w:pPr>
        <w:spacing w:before="120" w:after="120"/>
        <w:jc w:val="both"/>
        <w:rPr>
          <w:szCs w:val="22"/>
        </w:rPr>
      </w:pPr>
      <w:r w:rsidRPr="00EC50AF">
        <w:rPr>
          <w:szCs w:val="22"/>
        </w:rPr>
        <w:t>A publié diverses contributions :</w:t>
      </w:r>
    </w:p>
    <w:p w14:paraId="78243933" w14:textId="77777777" w:rsidR="00B01930" w:rsidRPr="00EC50AF" w:rsidRDefault="00B01930" w:rsidP="00B01930">
      <w:pPr>
        <w:spacing w:before="120" w:after="120"/>
        <w:jc w:val="both"/>
        <w:rPr>
          <w:szCs w:val="22"/>
        </w:rPr>
      </w:pPr>
      <w:r w:rsidRPr="00EC50AF">
        <w:rPr>
          <w:szCs w:val="22"/>
        </w:rPr>
        <w:t xml:space="preserve">à </w:t>
      </w:r>
      <w:r w:rsidRPr="00EC50AF">
        <w:rPr>
          <w:i/>
          <w:szCs w:val="22"/>
        </w:rPr>
        <w:t>La Gazette du Palais</w:t>
      </w:r>
      <w:r w:rsidRPr="00EC50AF">
        <w:rPr>
          <w:szCs w:val="22"/>
        </w:rPr>
        <w:t xml:space="preserve"> (Paris) et aux </w:t>
      </w:r>
      <w:r w:rsidRPr="00EC50AF">
        <w:rPr>
          <w:i/>
          <w:szCs w:val="22"/>
        </w:rPr>
        <w:t>Petites affiches</w:t>
      </w:r>
      <w:r w:rsidRPr="00EC50AF">
        <w:rPr>
          <w:szCs w:val="22"/>
        </w:rPr>
        <w:t xml:space="preserve"> (Paris), entre autres :</w:t>
      </w:r>
    </w:p>
    <w:p w14:paraId="20B364BF" w14:textId="77777777" w:rsidR="00B01930" w:rsidRPr="00EC50AF" w:rsidRDefault="00B01930" w:rsidP="00B01930">
      <w:pPr>
        <w:spacing w:before="120" w:after="120"/>
        <w:ind w:left="720" w:hanging="360"/>
        <w:jc w:val="both"/>
        <w:rPr>
          <w:szCs w:val="22"/>
        </w:rPr>
      </w:pPr>
      <w:r>
        <w:rPr>
          <w:szCs w:val="22"/>
        </w:rPr>
        <w:t>-</w:t>
      </w:r>
      <w:r>
        <w:rPr>
          <w:szCs w:val="22"/>
        </w:rPr>
        <w:tab/>
      </w:r>
      <w:r w:rsidRPr="00EC50AF">
        <w:rPr>
          <w:szCs w:val="22"/>
        </w:rPr>
        <w:t xml:space="preserve">« Le rôle de l’A.G.S. dans la loi du 27 décembre 1973 », </w:t>
      </w:r>
      <w:r w:rsidRPr="00EC50AF">
        <w:rPr>
          <w:i/>
          <w:szCs w:val="22"/>
        </w:rPr>
        <w:t>Petites a</w:t>
      </w:r>
      <w:r w:rsidRPr="00EC50AF">
        <w:rPr>
          <w:i/>
          <w:szCs w:val="22"/>
        </w:rPr>
        <w:t>f</w:t>
      </w:r>
      <w:r w:rsidRPr="00EC50AF">
        <w:rPr>
          <w:i/>
          <w:szCs w:val="22"/>
        </w:rPr>
        <w:t>fiches</w:t>
      </w:r>
      <w:r w:rsidRPr="00EC50AF">
        <w:rPr>
          <w:szCs w:val="22"/>
        </w:rPr>
        <w:t>, 148, 11 décembre 1985.</w:t>
      </w:r>
    </w:p>
    <w:p w14:paraId="1D2CB9BF" w14:textId="77777777" w:rsidR="00B01930" w:rsidRPr="00EC50AF" w:rsidRDefault="00B01930" w:rsidP="00B01930">
      <w:pPr>
        <w:spacing w:before="120" w:after="120"/>
        <w:ind w:left="720" w:hanging="360"/>
        <w:jc w:val="both"/>
        <w:rPr>
          <w:szCs w:val="22"/>
        </w:rPr>
      </w:pPr>
      <w:r>
        <w:rPr>
          <w:szCs w:val="22"/>
        </w:rPr>
        <w:t>-</w:t>
      </w:r>
      <w:r>
        <w:rPr>
          <w:szCs w:val="22"/>
        </w:rPr>
        <w:tab/>
      </w:r>
      <w:r w:rsidRPr="00EC50AF">
        <w:rPr>
          <w:szCs w:val="22"/>
        </w:rPr>
        <w:t>« Esquisse d’une introduction historique et politolog</w:t>
      </w:r>
      <w:r w:rsidRPr="00EC50AF">
        <w:rPr>
          <w:szCs w:val="22"/>
        </w:rPr>
        <w:t>i</w:t>
      </w:r>
      <w:r w:rsidRPr="00EC50AF">
        <w:rPr>
          <w:szCs w:val="22"/>
        </w:rPr>
        <w:t xml:space="preserve">que à la loi du 25 janvier 1985 », </w:t>
      </w:r>
      <w:r w:rsidRPr="00EC50AF">
        <w:rPr>
          <w:i/>
          <w:szCs w:val="22"/>
        </w:rPr>
        <w:t>Petites affiches</w:t>
      </w:r>
      <w:r w:rsidRPr="00EC50AF">
        <w:rPr>
          <w:szCs w:val="22"/>
        </w:rPr>
        <w:t>, 49, 24 avril 1987.</w:t>
      </w:r>
    </w:p>
    <w:p w14:paraId="57DE9D5E" w14:textId="77777777" w:rsidR="00B01930" w:rsidRPr="00EC50AF" w:rsidRDefault="00B01930" w:rsidP="00B01930">
      <w:pPr>
        <w:spacing w:before="120" w:after="120"/>
        <w:ind w:left="720" w:hanging="360"/>
        <w:jc w:val="both"/>
        <w:rPr>
          <w:szCs w:val="22"/>
        </w:rPr>
      </w:pPr>
      <w:r>
        <w:rPr>
          <w:szCs w:val="22"/>
        </w:rPr>
        <w:t>-</w:t>
      </w:r>
      <w:r>
        <w:rPr>
          <w:szCs w:val="22"/>
        </w:rPr>
        <w:tab/>
      </w:r>
      <w:r w:rsidRPr="00EC50AF">
        <w:rPr>
          <w:szCs w:val="22"/>
        </w:rPr>
        <w:t xml:space="preserve">« Comprendre les relations internationales », </w:t>
      </w:r>
      <w:r w:rsidRPr="00EC50AF">
        <w:rPr>
          <w:i/>
          <w:szCs w:val="22"/>
        </w:rPr>
        <w:t>Petites a</w:t>
      </w:r>
      <w:r w:rsidRPr="00EC50AF">
        <w:rPr>
          <w:i/>
          <w:szCs w:val="22"/>
        </w:rPr>
        <w:t>f</w:t>
      </w:r>
      <w:r w:rsidRPr="00EC50AF">
        <w:rPr>
          <w:i/>
          <w:szCs w:val="22"/>
        </w:rPr>
        <w:t>fiches</w:t>
      </w:r>
      <w:r w:rsidRPr="00EC50AF">
        <w:rPr>
          <w:szCs w:val="22"/>
        </w:rPr>
        <w:t>, 76, 24 juin 1988.</w:t>
      </w:r>
    </w:p>
    <w:p w14:paraId="1247F5D8" w14:textId="77777777" w:rsidR="00B01930" w:rsidRPr="00EC50AF" w:rsidRDefault="00B01930" w:rsidP="00B01930">
      <w:pPr>
        <w:spacing w:before="120" w:after="120"/>
        <w:ind w:left="720" w:hanging="360"/>
        <w:jc w:val="both"/>
        <w:rPr>
          <w:szCs w:val="22"/>
        </w:rPr>
      </w:pPr>
      <w:r>
        <w:rPr>
          <w:szCs w:val="22"/>
        </w:rPr>
        <w:t>-</w:t>
      </w:r>
      <w:r>
        <w:rPr>
          <w:szCs w:val="22"/>
        </w:rPr>
        <w:tab/>
      </w:r>
      <w:r w:rsidRPr="00EC50AF">
        <w:rPr>
          <w:szCs w:val="22"/>
        </w:rPr>
        <w:t xml:space="preserve">« Pour une approche intégrée des théories en organisation », </w:t>
      </w:r>
      <w:r w:rsidRPr="00EC50AF">
        <w:rPr>
          <w:i/>
          <w:szCs w:val="22"/>
        </w:rPr>
        <w:t>Pet</w:t>
      </w:r>
      <w:r w:rsidRPr="00EC50AF">
        <w:rPr>
          <w:i/>
          <w:szCs w:val="22"/>
        </w:rPr>
        <w:t>i</w:t>
      </w:r>
      <w:r w:rsidRPr="00EC50AF">
        <w:rPr>
          <w:i/>
          <w:szCs w:val="22"/>
        </w:rPr>
        <w:t>tes affiches</w:t>
      </w:r>
      <w:r w:rsidRPr="00EC50AF">
        <w:rPr>
          <w:szCs w:val="22"/>
        </w:rPr>
        <w:t>, 15, 3 février 1989.</w:t>
      </w:r>
    </w:p>
    <w:p w14:paraId="6DAF1903" w14:textId="77777777" w:rsidR="00B01930" w:rsidRPr="00EC50AF" w:rsidRDefault="00B01930" w:rsidP="00B01930">
      <w:pPr>
        <w:spacing w:before="120" w:after="120"/>
        <w:ind w:left="720" w:hanging="360"/>
        <w:jc w:val="both"/>
        <w:rPr>
          <w:szCs w:val="22"/>
        </w:rPr>
      </w:pPr>
      <w:r>
        <w:rPr>
          <w:szCs w:val="22"/>
        </w:rPr>
        <w:t>-</w:t>
      </w:r>
      <w:r>
        <w:rPr>
          <w:szCs w:val="22"/>
        </w:rPr>
        <w:tab/>
      </w:r>
      <w:r w:rsidRPr="00EC50AF">
        <w:rPr>
          <w:szCs w:val="22"/>
        </w:rPr>
        <w:t>« Praxis et droit dans les procédures colle</w:t>
      </w:r>
      <w:r w:rsidRPr="00EC50AF">
        <w:rPr>
          <w:szCs w:val="22"/>
        </w:rPr>
        <w:t>c</w:t>
      </w:r>
      <w:r w:rsidRPr="00EC50AF">
        <w:rPr>
          <w:szCs w:val="22"/>
        </w:rPr>
        <w:t xml:space="preserve">tives », </w:t>
      </w:r>
      <w:r w:rsidRPr="00EC50AF">
        <w:rPr>
          <w:i/>
          <w:szCs w:val="22"/>
        </w:rPr>
        <w:t>La Gazette du Palais</w:t>
      </w:r>
      <w:r w:rsidRPr="00EC50AF">
        <w:rPr>
          <w:szCs w:val="22"/>
        </w:rPr>
        <w:t>, 153-155, 2 au 4 juin 1991.</w:t>
      </w:r>
    </w:p>
    <w:p w14:paraId="715F751C" w14:textId="77777777" w:rsidR="00B01930" w:rsidRDefault="00B01930" w:rsidP="00B01930">
      <w:pPr>
        <w:spacing w:before="120" w:after="120"/>
        <w:jc w:val="both"/>
        <w:rPr>
          <w:szCs w:val="22"/>
        </w:rPr>
      </w:pPr>
    </w:p>
    <w:p w14:paraId="761C9819" w14:textId="77777777" w:rsidR="00B01930" w:rsidRPr="00EC50AF" w:rsidRDefault="00B01930" w:rsidP="00B01930">
      <w:pPr>
        <w:spacing w:before="120" w:after="120"/>
        <w:jc w:val="both"/>
      </w:pPr>
      <w:r w:rsidRPr="00EC50AF">
        <w:rPr>
          <w:szCs w:val="22"/>
        </w:rPr>
        <w:t xml:space="preserve">Dans la revue </w:t>
      </w:r>
      <w:r w:rsidRPr="00EC50AF">
        <w:rPr>
          <w:i/>
          <w:szCs w:val="22"/>
        </w:rPr>
        <w:t>Qualitique</w:t>
      </w:r>
      <w:r w:rsidRPr="00EC50AF">
        <w:rPr>
          <w:szCs w:val="22"/>
        </w:rPr>
        <w:t xml:space="preserve"> (n° 214, mars 2010) : « Des mots et des choses en management</w:t>
      </w:r>
      <w:r w:rsidRPr="00EC50AF">
        <w:t> »</w:t>
      </w:r>
    </w:p>
    <w:p w14:paraId="4203EAB2" w14:textId="77777777" w:rsidR="00B01930" w:rsidRPr="00EC50AF" w:rsidRDefault="00B01930" w:rsidP="00B01930">
      <w:pPr>
        <w:spacing w:before="120" w:after="120"/>
        <w:jc w:val="both"/>
      </w:pPr>
    </w:p>
    <w:p w14:paraId="2B4F92FF" w14:textId="77777777" w:rsidR="00B01930" w:rsidRDefault="00B01930" w:rsidP="00B01930">
      <w:pPr>
        <w:spacing w:before="120" w:after="120"/>
        <w:jc w:val="both"/>
      </w:pPr>
      <w:r w:rsidRPr="00EC50AF">
        <w:t xml:space="preserve">Enfin, les différents textes relatifs à la pensée martrienne,  et à son application,  dans la revue </w:t>
      </w:r>
      <w:r w:rsidRPr="00EC50AF">
        <w:rPr>
          <w:i/>
        </w:rPr>
        <w:t>Politeia</w:t>
      </w:r>
      <w:r>
        <w:t>, n° 30, automne 2016 ;</w:t>
      </w:r>
    </w:p>
    <w:p w14:paraId="26C6FC6E" w14:textId="77777777" w:rsidR="00B01930" w:rsidRDefault="00B01930" w:rsidP="00B01930">
      <w:pPr>
        <w:spacing w:before="120" w:after="120"/>
        <w:jc w:val="both"/>
      </w:pPr>
    </w:p>
    <w:p w14:paraId="3ACEDFDA" w14:textId="77777777" w:rsidR="00B01930" w:rsidRPr="00EC50AF" w:rsidRDefault="00B01930" w:rsidP="00B01930">
      <w:pPr>
        <w:spacing w:before="120" w:after="120"/>
        <w:jc w:val="both"/>
      </w:pPr>
      <w:r w:rsidRPr="00EC50AF">
        <w:t>(Précision de Michel Bergès : on peut retro</w:t>
      </w:r>
      <w:r w:rsidRPr="00EC50AF">
        <w:t>u</w:t>
      </w:r>
      <w:r w:rsidRPr="00EC50AF">
        <w:t>ver ces textes dans : « </w:t>
      </w:r>
      <w:hyperlink r:id="rId24" w:history="1">
        <w:r w:rsidRPr="00C04861">
          <w:rPr>
            <w:rStyle w:val="Hyperlien"/>
            <w:b/>
            <w:i/>
          </w:rPr>
          <w:t>Analyser les idées politiques, hommage à Jean-Louis Martres </w:t>
        </w:r>
      </w:hyperlink>
      <w:r w:rsidRPr="00EC50AF">
        <w:t>», dir. M.</w:t>
      </w:r>
      <w:r>
        <w:t> </w:t>
      </w:r>
      <w:r w:rsidRPr="00EC50AF">
        <w:t xml:space="preserve">Bergès, </w:t>
      </w:r>
      <w:r w:rsidRPr="00EC50AF">
        <w:rPr>
          <w:i/>
        </w:rPr>
        <w:t>classiques des</w:t>
      </w:r>
      <w:r w:rsidRPr="00EC50AF">
        <w:t xml:space="preserve"> </w:t>
      </w:r>
      <w:r w:rsidRPr="00EC50AF">
        <w:rPr>
          <w:i/>
        </w:rPr>
        <w:t>Sciences sociales</w:t>
      </w:r>
      <w:r>
        <w:t>, UQAC </w:t>
      </w:r>
      <w:r w:rsidRPr="00EC50AF">
        <w:rPr>
          <w:b/>
          <w:color w:val="000000"/>
          <w:szCs w:val="18"/>
        </w:rPr>
        <w:t>».</w:t>
      </w:r>
      <w:r w:rsidRPr="00EC50AF">
        <w:rPr>
          <w:b/>
          <w:lang w:bidi="x-none"/>
        </w:rPr>
        <w:t>)</w:t>
      </w:r>
    </w:p>
    <w:p w14:paraId="2D6E8A82" w14:textId="77777777" w:rsidR="00B01930" w:rsidRDefault="00B01930" w:rsidP="00B01930"/>
    <w:p w14:paraId="04C46EAD" w14:textId="77777777" w:rsidR="00B01930" w:rsidRPr="00E07116" w:rsidRDefault="00B01930" w:rsidP="00B01930">
      <w:r>
        <w:br w:type="page"/>
      </w:r>
    </w:p>
    <w:p w14:paraId="7ED6A754" w14:textId="77777777" w:rsidR="00B01930" w:rsidRDefault="00B01930" w:rsidP="00B01930">
      <w:pPr>
        <w:jc w:val="both"/>
      </w:pPr>
    </w:p>
    <w:p w14:paraId="0BDE4279" w14:textId="77777777" w:rsidR="00B01930" w:rsidRPr="00E07116" w:rsidRDefault="00B01930" w:rsidP="00B01930">
      <w:pPr>
        <w:jc w:val="both"/>
      </w:pPr>
    </w:p>
    <w:p w14:paraId="68A8C04C" w14:textId="77777777" w:rsidR="00B01930" w:rsidRPr="00E07116" w:rsidRDefault="00B01930" w:rsidP="00B01930">
      <w:pPr>
        <w:jc w:val="both"/>
      </w:pPr>
    </w:p>
    <w:p w14:paraId="2CE6011F" w14:textId="77777777" w:rsidR="00B01930" w:rsidRPr="00283FCC" w:rsidRDefault="00B01930" w:rsidP="00B01930">
      <w:pPr>
        <w:spacing w:after="120"/>
        <w:ind w:firstLine="0"/>
        <w:jc w:val="center"/>
        <w:rPr>
          <w:b/>
          <w:i/>
        </w:rPr>
      </w:pPr>
      <w:bookmarkStart w:id="167" w:name="Analyser_idees_pol_pt_2"/>
      <w:r>
        <w:rPr>
          <w:b/>
        </w:rPr>
        <w:t>Analyser les idées politiques</w:t>
      </w:r>
      <w:r w:rsidRPr="00283FCC">
        <w:rPr>
          <w:b/>
        </w:rPr>
        <w:t>.</w:t>
      </w:r>
      <w:r w:rsidRPr="00283FCC">
        <w:rPr>
          <w:b/>
        </w:rPr>
        <w:br/>
      </w:r>
      <w:r>
        <w:rPr>
          <w:i/>
        </w:rPr>
        <w:t>Hommages au Pr. Jean-Louis Martres</w:t>
      </w:r>
    </w:p>
    <w:p w14:paraId="0EC5D01E" w14:textId="77777777" w:rsidR="00B01930" w:rsidRPr="00E07116" w:rsidRDefault="00B01930" w:rsidP="00B01930">
      <w:pPr>
        <w:jc w:val="both"/>
      </w:pPr>
    </w:p>
    <w:p w14:paraId="55CDB7CF" w14:textId="77777777" w:rsidR="00B01930" w:rsidRPr="00384B20" w:rsidRDefault="00B01930" w:rsidP="00B01930">
      <w:pPr>
        <w:pStyle w:val="partie"/>
        <w:jc w:val="center"/>
        <w:rPr>
          <w:sz w:val="72"/>
        </w:rPr>
      </w:pPr>
      <w:r>
        <w:rPr>
          <w:sz w:val="72"/>
        </w:rPr>
        <w:t>Deuxième</w:t>
      </w:r>
      <w:r w:rsidRPr="00384B20">
        <w:rPr>
          <w:sz w:val="72"/>
        </w:rPr>
        <w:t xml:space="preserve"> partie</w:t>
      </w:r>
    </w:p>
    <w:p w14:paraId="501160C8" w14:textId="77777777" w:rsidR="00B01930" w:rsidRPr="00E07116" w:rsidRDefault="00B01930" w:rsidP="00B01930">
      <w:pPr>
        <w:jc w:val="both"/>
      </w:pPr>
    </w:p>
    <w:p w14:paraId="45BAB7AA" w14:textId="77777777" w:rsidR="00B01930" w:rsidRPr="00384B20" w:rsidRDefault="00B01930" w:rsidP="00B01930">
      <w:pPr>
        <w:pStyle w:val="Titreniveau2"/>
      </w:pPr>
      <w:r>
        <w:t>DE QUELQUES IDÉES</w:t>
      </w:r>
      <w:r>
        <w:br/>
        <w:t>POLITIQUES DU « PASSÉ »</w:t>
      </w:r>
    </w:p>
    <w:bookmarkEnd w:id="167"/>
    <w:p w14:paraId="2724DAE3" w14:textId="77777777" w:rsidR="00B01930" w:rsidRPr="00E07116" w:rsidRDefault="00B01930" w:rsidP="00B01930">
      <w:pPr>
        <w:jc w:val="both"/>
      </w:pPr>
    </w:p>
    <w:p w14:paraId="4BEE000B" w14:textId="77777777" w:rsidR="00B01930" w:rsidRPr="00E07116" w:rsidRDefault="00B01930" w:rsidP="00B01930">
      <w:pPr>
        <w:jc w:val="both"/>
      </w:pPr>
    </w:p>
    <w:p w14:paraId="04848E13" w14:textId="77777777" w:rsidR="00B01930" w:rsidRPr="00E07116" w:rsidRDefault="00B01930" w:rsidP="00B01930">
      <w:pPr>
        <w:jc w:val="both"/>
      </w:pPr>
    </w:p>
    <w:p w14:paraId="6C4B2DD7" w14:textId="77777777" w:rsidR="00B01930" w:rsidRPr="00E07116" w:rsidRDefault="00B01930" w:rsidP="00B01930">
      <w:pPr>
        <w:jc w:val="both"/>
      </w:pPr>
    </w:p>
    <w:p w14:paraId="1B2A8120" w14:textId="77777777" w:rsidR="00B01930" w:rsidRPr="00E07116" w:rsidRDefault="00B01930" w:rsidP="00B01930">
      <w:pPr>
        <w:jc w:val="both"/>
      </w:pPr>
    </w:p>
    <w:p w14:paraId="48A87161" w14:textId="77777777" w:rsidR="00B01930" w:rsidRPr="00E07116" w:rsidRDefault="00B01930" w:rsidP="00B01930">
      <w:pPr>
        <w:jc w:val="both"/>
      </w:pPr>
    </w:p>
    <w:p w14:paraId="01127E65" w14:textId="77777777" w:rsidR="00B01930" w:rsidRPr="00E07116" w:rsidRDefault="00B01930" w:rsidP="00B01930">
      <w:pPr>
        <w:jc w:val="both"/>
      </w:pPr>
    </w:p>
    <w:p w14:paraId="3D87883D" w14:textId="77777777" w:rsidR="00B01930" w:rsidRPr="00E07116" w:rsidRDefault="00B01930" w:rsidP="00B01930">
      <w:pPr>
        <w:jc w:val="both"/>
      </w:pPr>
    </w:p>
    <w:p w14:paraId="138251B3"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0984EE30" w14:textId="77777777" w:rsidR="00B01930" w:rsidRPr="00E07116" w:rsidRDefault="00B01930" w:rsidP="00B01930">
      <w:pPr>
        <w:jc w:val="both"/>
      </w:pPr>
    </w:p>
    <w:p w14:paraId="4BB256B8" w14:textId="77777777" w:rsidR="00B01930" w:rsidRPr="00320A86" w:rsidRDefault="00B01930" w:rsidP="00B01930">
      <w:pPr>
        <w:spacing w:before="120" w:after="120"/>
        <w:jc w:val="both"/>
      </w:pPr>
    </w:p>
    <w:p w14:paraId="13B59BED" w14:textId="77777777" w:rsidR="00B01930" w:rsidRPr="00320A86" w:rsidRDefault="00B01930" w:rsidP="00B01930">
      <w:pPr>
        <w:spacing w:before="120" w:after="120"/>
        <w:jc w:val="both"/>
      </w:pPr>
    </w:p>
    <w:p w14:paraId="392B86B9" w14:textId="77777777" w:rsidR="00B01930" w:rsidRDefault="00B01930" w:rsidP="00B01930">
      <w:pPr>
        <w:jc w:val="both"/>
      </w:pPr>
      <w:r w:rsidRPr="00320A86">
        <w:br w:type="page"/>
      </w:r>
    </w:p>
    <w:p w14:paraId="55DC46D1" w14:textId="77777777" w:rsidR="00B01930" w:rsidRDefault="00B01930" w:rsidP="00B01930">
      <w:pPr>
        <w:jc w:val="both"/>
      </w:pPr>
    </w:p>
    <w:p w14:paraId="7E959112" w14:textId="77777777" w:rsidR="00B01930" w:rsidRPr="009D4882" w:rsidRDefault="00B01930" w:rsidP="00B01930">
      <w:pPr>
        <w:spacing w:after="120"/>
        <w:ind w:firstLine="0"/>
        <w:jc w:val="center"/>
        <w:rPr>
          <w:b/>
          <w:color w:val="000080"/>
        </w:rPr>
      </w:pPr>
      <w:bookmarkStart w:id="168" w:name="Analyser_idees_pol_pt_2_texte_02"/>
      <w:r>
        <w:rPr>
          <w:b/>
          <w:color w:val="000080"/>
        </w:rPr>
        <w:t>Deuxième</w:t>
      </w:r>
      <w:r w:rsidRPr="009D4882">
        <w:rPr>
          <w:b/>
          <w:color w:val="000080"/>
        </w:rPr>
        <w:t xml:space="preserve"> partie</w:t>
      </w:r>
      <w:r w:rsidRPr="009D4882">
        <w:rPr>
          <w:b/>
          <w:color w:val="000080"/>
        </w:rPr>
        <w:br/>
      </w:r>
      <w:r>
        <w:rPr>
          <w:i/>
          <w:color w:val="000080"/>
        </w:rPr>
        <w:t>Quelques idées politiques du «passé»</w:t>
      </w:r>
    </w:p>
    <w:p w14:paraId="4AEB54E0" w14:textId="77777777" w:rsidR="00B01930" w:rsidRDefault="00B01930" w:rsidP="00B01930">
      <w:pPr>
        <w:pStyle w:val="Titreniveau1"/>
        <w:rPr>
          <w:szCs w:val="36"/>
        </w:rPr>
      </w:pPr>
      <w:r>
        <w:rPr>
          <w:szCs w:val="36"/>
        </w:rPr>
        <w:t>2</w:t>
      </w:r>
    </w:p>
    <w:p w14:paraId="41240099" w14:textId="77777777" w:rsidR="00B01930" w:rsidRDefault="00B01930" w:rsidP="00B01930">
      <w:pPr>
        <w:jc w:val="both"/>
        <w:rPr>
          <w:szCs w:val="36"/>
        </w:rPr>
      </w:pPr>
    </w:p>
    <w:p w14:paraId="1D37C4A7" w14:textId="77777777" w:rsidR="00B01930" w:rsidRPr="00843F3E" w:rsidRDefault="00B01930" w:rsidP="00B01930">
      <w:pPr>
        <w:pStyle w:val="Titreniveau2"/>
      </w:pPr>
      <w:r>
        <w:t>“</w:t>
      </w:r>
      <w:r w:rsidRPr="0004576F">
        <w:t>De l’origine pythagoricienne</w:t>
      </w:r>
      <w:r>
        <w:br/>
      </w:r>
      <w:r w:rsidRPr="0004576F">
        <w:t>des Con</w:t>
      </w:r>
      <w:r w:rsidRPr="0004576F">
        <w:t>s</w:t>
      </w:r>
      <w:r w:rsidRPr="0004576F">
        <w:t>titutions politiques :</w:t>
      </w:r>
      <w:r>
        <w:br/>
      </w:r>
      <w:r w:rsidRPr="0004576F">
        <w:t>l’approche tran</w:t>
      </w:r>
      <w:r w:rsidRPr="0004576F">
        <w:t>s</w:t>
      </w:r>
      <w:r w:rsidRPr="0004576F">
        <w:t>cendantaliste</w:t>
      </w:r>
      <w:r>
        <w:br/>
      </w:r>
      <w:r w:rsidRPr="0004576F">
        <w:t>des Grecs</w:t>
      </w:r>
      <w:r>
        <w:t>.”</w:t>
      </w:r>
    </w:p>
    <w:bookmarkEnd w:id="168"/>
    <w:p w14:paraId="7F7FF0B0" w14:textId="77777777" w:rsidR="00B01930" w:rsidRDefault="00B01930" w:rsidP="00B01930">
      <w:pPr>
        <w:jc w:val="both"/>
        <w:rPr>
          <w:szCs w:val="36"/>
        </w:rPr>
      </w:pPr>
    </w:p>
    <w:p w14:paraId="6A418EB7" w14:textId="77777777" w:rsidR="00B01930" w:rsidRDefault="00B01930" w:rsidP="00B01930">
      <w:pPr>
        <w:pStyle w:val="suite"/>
      </w:pPr>
      <w:r>
        <w:t>Michel BERGÈS</w:t>
      </w:r>
    </w:p>
    <w:p w14:paraId="700CE934" w14:textId="77777777" w:rsidR="00B01930" w:rsidRDefault="00B01930" w:rsidP="00B01930">
      <w:pPr>
        <w:jc w:val="both"/>
      </w:pPr>
    </w:p>
    <w:p w14:paraId="3A5B7138" w14:textId="77777777" w:rsidR="00B01930" w:rsidRDefault="00B01930" w:rsidP="00B01930">
      <w:pPr>
        <w:jc w:val="both"/>
      </w:pPr>
    </w:p>
    <w:p w14:paraId="61133899" w14:textId="77777777" w:rsidR="00B01930" w:rsidRPr="00124F92" w:rsidRDefault="00B01930" w:rsidP="00B01930">
      <w:pPr>
        <w:spacing w:before="120" w:after="120"/>
        <w:jc w:val="both"/>
        <w:rPr>
          <w:i/>
          <w:sz w:val="20"/>
        </w:rPr>
      </w:pPr>
      <w:r w:rsidRPr="00124F92">
        <w:rPr>
          <w:i/>
          <w:sz w:val="20"/>
        </w:rPr>
        <w:t>« </w:t>
      </w:r>
      <w:r w:rsidRPr="00124F92">
        <w:rPr>
          <w:i/>
          <w:color w:val="000090"/>
          <w:sz w:val="20"/>
        </w:rPr>
        <w:t>Pour un engendré divin, il existe une période que détermine un nombre parfait, tandis que, pour un e</w:t>
      </w:r>
      <w:r w:rsidRPr="00124F92">
        <w:rPr>
          <w:i/>
          <w:color w:val="000090"/>
          <w:sz w:val="20"/>
        </w:rPr>
        <w:t>n</w:t>
      </w:r>
      <w:r w:rsidRPr="00124F92">
        <w:rPr>
          <w:i/>
          <w:color w:val="000090"/>
          <w:sz w:val="20"/>
        </w:rPr>
        <w:t>gendré humain, c’est un nombre dans lequel, pour la première fois, des accroissements ayant puissance ou soumis à puissance ayant reçu trois distances et quatre limites, de termes ass</w:t>
      </w:r>
      <w:r w:rsidRPr="00124F92">
        <w:rPr>
          <w:i/>
          <w:color w:val="000090"/>
          <w:sz w:val="20"/>
        </w:rPr>
        <w:t>i</w:t>
      </w:r>
      <w:r w:rsidRPr="00124F92">
        <w:rPr>
          <w:i/>
          <w:color w:val="000090"/>
          <w:sz w:val="20"/>
        </w:rPr>
        <w:t>milants et désassimilants, accroissant et diminuant, mettent en évidence toutes les relations de correspondances mutuelles, rationnellement exprim</w:t>
      </w:r>
      <w:r w:rsidRPr="00124F92">
        <w:rPr>
          <w:i/>
          <w:color w:val="000090"/>
          <w:sz w:val="20"/>
        </w:rPr>
        <w:t>a</w:t>
      </w:r>
      <w:r w:rsidRPr="00124F92">
        <w:rPr>
          <w:i/>
          <w:color w:val="000090"/>
          <w:sz w:val="20"/>
        </w:rPr>
        <w:t>bles ; le fondement épitrite de ces termes, une fois marié au nombre cinq, donne lieu, quand on l’a multiplié trois fois, à deux harmonies : l’une égale un nombre égal de fois, autant de fois cent ; l’autre, en un sens, d’égale longueur, allongée par ailleurs : savoir, d’une part, de 100 nombres (carrés) provenant des diagonales ratio</w:t>
      </w:r>
      <w:r w:rsidRPr="00124F92">
        <w:rPr>
          <w:i/>
          <w:color w:val="000090"/>
          <w:sz w:val="20"/>
        </w:rPr>
        <w:t>n</w:t>
      </w:r>
      <w:r w:rsidRPr="00124F92">
        <w:rPr>
          <w:i/>
          <w:color w:val="000090"/>
          <w:sz w:val="20"/>
        </w:rPr>
        <w:t>nelles exprimables de 5, déficients chacun d’une seule centaine, ou de deux centaines s’ils proviennent de di</w:t>
      </w:r>
      <w:r w:rsidRPr="00124F92">
        <w:rPr>
          <w:i/>
          <w:color w:val="000090"/>
          <w:sz w:val="20"/>
        </w:rPr>
        <w:t>a</w:t>
      </w:r>
      <w:r w:rsidRPr="00124F92">
        <w:rPr>
          <w:i/>
          <w:color w:val="000090"/>
          <w:sz w:val="20"/>
        </w:rPr>
        <w:t>gonales irrationnelles, et, d’autre part, de cent cubes du nombre trois </w:t>
      </w:r>
      <w:r w:rsidRPr="00124F92">
        <w:rPr>
          <w:i/>
          <w:sz w:val="20"/>
        </w:rPr>
        <w:t>».</w:t>
      </w:r>
    </w:p>
    <w:p w14:paraId="396F3BD2" w14:textId="77777777" w:rsidR="00B01930" w:rsidRPr="00124F92" w:rsidRDefault="00B01930" w:rsidP="00B01930">
      <w:pPr>
        <w:spacing w:before="120" w:after="120"/>
        <w:jc w:val="right"/>
        <w:rPr>
          <w:sz w:val="20"/>
        </w:rPr>
      </w:pPr>
      <w:r w:rsidRPr="00124F92">
        <w:rPr>
          <w:sz w:val="20"/>
        </w:rPr>
        <w:t>Platon, La République : « Le nombre nuptial »</w:t>
      </w:r>
      <w:r>
        <w:rPr>
          <w:sz w:val="20"/>
        </w:rPr>
        <w:br/>
      </w:r>
      <w:r w:rsidRPr="00124F92">
        <w:rPr>
          <w:sz w:val="20"/>
        </w:rPr>
        <w:t>VIII, 546, 547</w:t>
      </w:r>
      <w:r>
        <w:rPr>
          <w:sz w:val="20"/>
        </w:rPr>
        <w:t xml:space="preserve">, </w:t>
      </w:r>
      <w:r w:rsidRPr="00124F92">
        <w:rPr>
          <w:sz w:val="20"/>
        </w:rPr>
        <w:t>p. 1143, Gallimard, La Pléiade.</w:t>
      </w:r>
    </w:p>
    <w:p w14:paraId="7B56B2E3" w14:textId="77777777" w:rsidR="00B01930" w:rsidRPr="00124F92" w:rsidRDefault="00B01930" w:rsidP="00B01930">
      <w:pPr>
        <w:spacing w:before="120" w:after="120"/>
        <w:jc w:val="center"/>
        <w:rPr>
          <w:sz w:val="20"/>
        </w:rPr>
      </w:pPr>
      <w:r w:rsidRPr="00124F92">
        <w:rPr>
          <w:sz w:val="20"/>
        </w:rPr>
        <w:t>« </w:t>
      </w:r>
      <w:r w:rsidRPr="00124F92">
        <w:rPr>
          <w:i/>
          <w:color w:val="000090"/>
          <w:sz w:val="20"/>
        </w:rPr>
        <w:t>Nous sommes tous des pythagoriciens </w:t>
      </w:r>
      <w:r w:rsidRPr="00124F92">
        <w:rPr>
          <w:sz w:val="20"/>
        </w:rPr>
        <w:t>»</w:t>
      </w:r>
    </w:p>
    <w:p w14:paraId="4819B93B" w14:textId="77777777" w:rsidR="00B01930" w:rsidRPr="00124F92" w:rsidRDefault="00B01930" w:rsidP="00B01930">
      <w:pPr>
        <w:spacing w:before="120" w:after="120"/>
        <w:jc w:val="right"/>
        <w:rPr>
          <w:sz w:val="20"/>
        </w:rPr>
      </w:pPr>
      <w:r w:rsidRPr="00124F92">
        <w:rPr>
          <w:sz w:val="20"/>
        </w:rPr>
        <w:t>Iannis Xénakis</w:t>
      </w:r>
    </w:p>
    <w:p w14:paraId="1DE3F58F" w14:textId="77777777" w:rsidR="00B01930" w:rsidRPr="00124F92" w:rsidRDefault="00B01930" w:rsidP="00B01930">
      <w:pPr>
        <w:spacing w:before="120" w:after="120"/>
        <w:jc w:val="center"/>
        <w:rPr>
          <w:sz w:val="20"/>
        </w:rPr>
      </w:pPr>
      <w:r w:rsidRPr="00124F92">
        <w:rPr>
          <w:sz w:val="20"/>
        </w:rPr>
        <w:t>« </w:t>
      </w:r>
      <w:r w:rsidRPr="00124F92">
        <w:rPr>
          <w:i/>
          <w:color w:val="000090"/>
          <w:sz w:val="20"/>
        </w:rPr>
        <w:t>Pythagore fut aussi, dit-on,</w:t>
      </w:r>
      <w:r>
        <w:rPr>
          <w:i/>
          <w:color w:val="000090"/>
          <w:sz w:val="20"/>
        </w:rPr>
        <w:br/>
      </w:r>
      <w:r w:rsidRPr="00124F92">
        <w:rPr>
          <w:i/>
          <w:color w:val="000090"/>
          <w:sz w:val="20"/>
        </w:rPr>
        <w:t>le fondateur de la science politique toute entière </w:t>
      </w:r>
      <w:r w:rsidRPr="00124F92">
        <w:rPr>
          <w:sz w:val="20"/>
        </w:rPr>
        <w:t>»</w:t>
      </w:r>
    </w:p>
    <w:p w14:paraId="4D5042B8" w14:textId="77777777" w:rsidR="00B01930" w:rsidRPr="00124F92" w:rsidRDefault="00B01930" w:rsidP="00B01930">
      <w:pPr>
        <w:spacing w:before="120" w:after="120"/>
        <w:jc w:val="right"/>
        <w:rPr>
          <w:sz w:val="20"/>
        </w:rPr>
      </w:pPr>
      <w:r w:rsidRPr="00124F92">
        <w:rPr>
          <w:sz w:val="20"/>
        </w:rPr>
        <w:t>Jamblique, Vie de Pythagore, 130.</w:t>
      </w:r>
    </w:p>
    <w:p w14:paraId="1B1C6988" w14:textId="77777777" w:rsidR="00B01930" w:rsidRDefault="00B01930" w:rsidP="00B01930">
      <w:pPr>
        <w:spacing w:before="120" w:after="120"/>
        <w:jc w:val="both"/>
      </w:pPr>
    </w:p>
    <w:p w14:paraId="2C095455"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7CF5171E" w14:textId="77777777" w:rsidR="00B01930" w:rsidRPr="00320A86" w:rsidRDefault="00B01930" w:rsidP="00B01930">
      <w:pPr>
        <w:spacing w:before="120" w:after="120"/>
        <w:jc w:val="both"/>
      </w:pPr>
      <w:r>
        <w:br w:type="page"/>
      </w:r>
    </w:p>
    <w:p w14:paraId="6184DCB9" w14:textId="77777777" w:rsidR="00B01930" w:rsidRPr="00320A86" w:rsidRDefault="00B01930" w:rsidP="00B01930">
      <w:pPr>
        <w:pStyle w:val="planche"/>
      </w:pPr>
      <w:r w:rsidRPr="00320A86">
        <w:t>I.</w:t>
      </w:r>
    </w:p>
    <w:p w14:paraId="411484BE" w14:textId="77777777" w:rsidR="00B01930" w:rsidRPr="00320A86" w:rsidRDefault="00B01930" w:rsidP="00B01930">
      <w:pPr>
        <w:spacing w:before="120" w:after="120"/>
        <w:jc w:val="both"/>
      </w:pPr>
    </w:p>
    <w:p w14:paraId="4B353734" w14:textId="77777777" w:rsidR="00B01930" w:rsidRPr="00320A86" w:rsidRDefault="00B01930" w:rsidP="00B01930">
      <w:pPr>
        <w:spacing w:before="120" w:after="120"/>
        <w:jc w:val="both"/>
      </w:pPr>
      <w:r w:rsidRPr="00320A86">
        <w:t>Laissons-nous porter quelques instants par le long fleuve tranquille de l’histoire des idées politiques. Ne serait-ce que pour oublier les f</w:t>
      </w:r>
      <w:r w:rsidRPr="00320A86">
        <w:t>u</w:t>
      </w:r>
      <w:r w:rsidRPr="00320A86">
        <w:t>reurs et la r</w:t>
      </w:r>
      <w:r w:rsidRPr="00320A86">
        <w:t>a</w:t>
      </w:r>
      <w:r w:rsidRPr="00320A86">
        <w:t>pidité de la société moderne d’aujourd’hui…</w:t>
      </w:r>
    </w:p>
    <w:p w14:paraId="539398FC" w14:textId="77777777" w:rsidR="00B01930" w:rsidRPr="00320A86" w:rsidRDefault="00B01930" w:rsidP="00B01930">
      <w:pPr>
        <w:spacing w:before="120" w:after="120"/>
        <w:jc w:val="both"/>
      </w:pPr>
      <w:r w:rsidRPr="00320A86">
        <w:t>Au regard de l’origine des Constitutions, tentons ici, prudemment, une brève incursion dans la pensée grecque. Celle-ci – cela se sait et se discute de façon controversée sur le plan international –, malgré la dimension irrationnelle et mythologique qu’elle a investie religieus</w:t>
      </w:r>
      <w:r w:rsidRPr="00320A86">
        <w:t>e</w:t>
      </w:r>
      <w:r w:rsidRPr="00320A86">
        <w:t>ment sans pouvoir s’en déprendre, a aussi « inventé » la rationalité, le « regard distancié » (la theoria), à travers la philos</w:t>
      </w:r>
      <w:r w:rsidRPr="00320A86">
        <w:t>o</w:t>
      </w:r>
      <w:r w:rsidRPr="00320A86">
        <w:t>phie, la science (porteuse de découvertes heuristiques et prémonitoires à tous les n</w:t>
      </w:r>
      <w:r w:rsidRPr="00320A86">
        <w:t>i</w:t>
      </w:r>
      <w:r w:rsidRPr="00320A86">
        <w:t>veaux), sans parler du théâtre tragique ou comique, de la littérature poétique, romanesque et épique, de la pédagogie universitaire, de la gamme musicale ou de la typologie des régimes politiques et des questions d’éthique… En les r</w:t>
      </w:r>
      <w:r w:rsidRPr="00320A86">
        <w:t>e</w:t>
      </w:r>
      <w:r w:rsidRPr="00320A86">
        <w:t xml:space="preserve">liant, pour tous les temps. Restons donc quelque peu des disciples de </w:t>
      </w:r>
      <w:r w:rsidRPr="00BF00DD">
        <w:rPr>
          <w:i/>
        </w:rPr>
        <w:t>La Cité antique</w:t>
      </w:r>
      <w:r w:rsidRPr="00320A86">
        <w:t xml:space="preserve"> de Fustel de Co</w:t>
      </w:r>
      <w:r w:rsidRPr="00320A86">
        <w:t>u</w:t>
      </w:r>
      <w:r w:rsidRPr="00320A86">
        <w:t>langes, le maître d’Émile Durkheim à l’École normale supérieure de Paris.</w:t>
      </w:r>
    </w:p>
    <w:p w14:paraId="6060E63E" w14:textId="77777777" w:rsidR="00B01930" w:rsidRPr="00320A86" w:rsidRDefault="00B01930" w:rsidP="00B01930">
      <w:pPr>
        <w:spacing w:before="120" w:after="120"/>
        <w:jc w:val="both"/>
      </w:pPr>
      <w:r w:rsidRPr="00320A86">
        <w:t>Marquée par des auteurs ayant vécu une aventure individuelle ou collective de pensée dans la très longue durée (2600 ans environ), parvenue jusqu’à nous par miracle, malgré des lacunes temporelles liées à la survie des supports mat</w:t>
      </w:r>
      <w:r w:rsidRPr="00320A86">
        <w:t>é</w:t>
      </w:r>
      <w:r w:rsidRPr="00320A86">
        <w:t>riels des textes, auteurs par auteurs, la pensée politique grecque, dans sa dime</w:t>
      </w:r>
      <w:r w:rsidRPr="00320A86">
        <w:t>n</w:t>
      </w:r>
      <w:r w:rsidRPr="00320A86">
        <w:t>sion transcendantaliste, a fait s’affronter dès ses débuts les théories humanistes ou sophistes, celle du « Droit naturel », celle du « Contrat social » et de « La loi » écrite</w:t>
      </w:r>
      <w:r>
        <w:t> </w:t>
      </w:r>
      <w:r>
        <w:rPr>
          <w:rStyle w:val="Appelnotedebasdep"/>
        </w:rPr>
        <w:footnoteReference w:id="374"/>
      </w:r>
      <w:r w:rsidRPr="00320A86">
        <w:t>, ou, à l’inverse, celle de la violence politique déchaînée à l’état pur. Dans une société très portée sur la guerre, de classe sociale à classe sociale, de clans familiaux à clans familiaux, de cités à cités, sur les inégalités esclavagistes ainsi que sexistes – cela dit sans an</w:t>
      </w:r>
      <w:r w:rsidRPr="00320A86">
        <w:t>a</w:t>
      </w:r>
      <w:r w:rsidRPr="00320A86">
        <w:t>chronisme.</w:t>
      </w:r>
    </w:p>
    <w:p w14:paraId="006DCB8B" w14:textId="77777777" w:rsidR="00B01930" w:rsidRPr="00320A86" w:rsidRDefault="00B01930" w:rsidP="00B01930">
      <w:pPr>
        <w:spacing w:before="120" w:after="120"/>
        <w:jc w:val="both"/>
      </w:pPr>
      <w:r w:rsidRPr="00320A86">
        <w:t>La théorie selon laquelle l’homme était « la mesure de toute ch</w:t>
      </w:r>
      <w:r w:rsidRPr="00320A86">
        <w:t>o</w:t>
      </w:r>
      <w:r w:rsidRPr="00320A86">
        <w:t>se », reposa, elle, sur le Droit et la Loi (même celui ou celle du plus fort !), et donc sur la v</w:t>
      </w:r>
      <w:r w:rsidRPr="00320A86">
        <w:t>o</w:t>
      </w:r>
      <w:r w:rsidRPr="00320A86">
        <w:t>lonté bonne ou mauvaise des hommes à l’aune de leur nature si versatile, tantôt positive, tantôt passionnée et destru</w:t>
      </w:r>
      <w:r w:rsidRPr="00320A86">
        <w:t>c</w:t>
      </w:r>
      <w:r w:rsidRPr="00320A86">
        <w:t>trice, voire animale. Dans quelques cas, la première tendance du Droit lié à la Nature a déteint sur la seconde, fondée sur la raison strictement humaine, qui a voulu alors l’intégrer comme par mimétisme ou par fascination, notamment pour essayer de définir la « démocratie », un des trois grands types de régimes distingués et analysés par les Grecs, avec la monarchie et l’aristocratie, mais aussi dans leurs formes d</w:t>
      </w:r>
      <w:r w:rsidRPr="00320A86">
        <w:t>é</w:t>
      </w:r>
      <w:r w:rsidRPr="00320A86">
        <w:t>viées : la tyrannie, la ploutocratie (pouvoir de l’argent-roi), ou la l</w:t>
      </w:r>
      <w:r w:rsidRPr="00320A86">
        <w:t>i</w:t>
      </w:r>
      <w:r w:rsidRPr="00320A86">
        <w:t>cence démagogique, populiste et anarchique. Ce débat fait écho, év</w:t>
      </w:r>
      <w:r w:rsidRPr="00320A86">
        <w:t>i</w:t>
      </w:r>
      <w:r w:rsidRPr="00320A86">
        <w:t>demment, dans la durée, aux « idéalistes pl</w:t>
      </w:r>
      <w:r w:rsidRPr="00320A86">
        <w:t>a</w:t>
      </w:r>
      <w:r w:rsidRPr="00320A86">
        <w:t>toniciens » et aux « réalistes aristotéliciens » – ou inversement, aux « réalistes platon</w:t>
      </w:r>
      <w:r w:rsidRPr="00320A86">
        <w:t>i</w:t>
      </w:r>
      <w:r w:rsidRPr="00320A86">
        <w:t>ciens » et aux « idéalistes aristotéliciens » –, courants qui ont structuré de façon divergente la pensée politique occidentale avec tous les effets d’interpolations, de déformations, de miroirs, de récurrence et de r</w:t>
      </w:r>
      <w:r w:rsidRPr="00320A86">
        <w:t>e</w:t>
      </w:r>
      <w:r w:rsidRPr="00320A86">
        <w:t>bondiss</w:t>
      </w:r>
      <w:r w:rsidRPr="00320A86">
        <w:t>e</w:t>
      </w:r>
      <w:r w:rsidRPr="00320A86">
        <w:t>ment dans chaque « camp », à toutes les générations d’hommes.</w:t>
      </w:r>
    </w:p>
    <w:p w14:paraId="0F264002" w14:textId="77777777" w:rsidR="00B01930" w:rsidRPr="00320A86" w:rsidRDefault="00B01930" w:rsidP="00B01930">
      <w:pPr>
        <w:spacing w:before="120" w:after="120"/>
        <w:jc w:val="both"/>
      </w:pPr>
      <w:r w:rsidRPr="00320A86">
        <w:t>Observons là que l’Occident n’a rien à envier, en termes de répét</w:t>
      </w:r>
      <w:r w:rsidRPr="00320A86">
        <w:t>i</w:t>
      </w:r>
      <w:r w:rsidRPr="00320A86">
        <w:t>tion, à la pensée chinoise, qui, vu de trop loin, nous apparaît parfois, elle, totalement figée et immuable depuis ses débuts (ce qui est faux)</w:t>
      </w:r>
      <w:r>
        <w:t> </w:t>
      </w:r>
      <w:r>
        <w:rPr>
          <w:rStyle w:val="Appelnotedebasdep"/>
        </w:rPr>
        <w:footnoteReference w:id="375"/>
      </w:r>
      <w:r w:rsidRPr="00320A86">
        <w:t> </w:t>
      </w:r>
      <w:r w:rsidRPr="00320A86">
        <w:rPr>
          <w:rFonts w:eastAsia="Calibri"/>
        </w:rPr>
        <w:footnoteReference w:id="376"/>
      </w:r>
      <w:r w:rsidRPr="00320A86">
        <w:t>. En tout cas, nous retrouvons sur ce point, en l’élargissant et en l’inversant, la problématique que nous avions développée conce</w:t>
      </w:r>
      <w:r w:rsidRPr="00320A86">
        <w:t>r</w:t>
      </w:r>
      <w:r w:rsidRPr="00320A86">
        <w:t>nant l’œuvre nodale – en apparence ! – de Nicolas Machiavel, qui brassa lui aussi, à sa manière, à l’orée du XVI</w:t>
      </w:r>
      <w:r w:rsidRPr="00320A86">
        <w:rPr>
          <w:vertAlign w:val="superscript"/>
        </w:rPr>
        <w:t>e</w:t>
      </w:r>
      <w:r w:rsidRPr="00320A86">
        <w:t xml:space="preserve"> siècle, les messages de l’Antiquité, échoués comme des bouteilles jetées à la mer</w:t>
      </w:r>
      <w:r>
        <w:t> </w:t>
      </w:r>
      <w:r>
        <w:rPr>
          <w:rStyle w:val="Appelnotedebasdep"/>
        </w:rPr>
        <w:footnoteReference w:id="377"/>
      </w:r>
      <w:r w:rsidRPr="00320A86">
        <w:t>. Il nous reste à i</w:t>
      </w:r>
      <w:r w:rsidRPr="00320A86">
        <w:t>n</w:t>
      </w:r>
      <w:r w:rsidRPr="00320A86">
        <w:t>vestir ici, non plus un regard « culturaliste », enfermant un écrivain dans sa prison temporelle, comme précédemment pour le Fl</w:t>
      </w:r>
      <w:r w:rsidRPr="00320A86">
        <w:t>o</w:t>
      </w:r>
      <w:r w:rsidRPr="00320A86">
        <w:t>rentin, avec ses mots et son sens, mais, à l’opposé, une conception diachronique, comparative, errant au gré des « textes » émergés de façon aléatoire de l’Antiquité</w:t>
      </w:r>
      <w:r>
        <w:t> </w:t>
      </w:r>
      <w:r>
        <w:rPr>
          <w:rStyle w:val="Appelnotedebasdep"/>
        </w:rPr>
        <w:footnoteReference w:id="378"/>
      </w:r>
      <w:r w:rsidRPr="00320A86">
        <w:t>, depuis Pythagore.</w:t>
      </w:r>
    </w:p>
    <w:p w14:paraId="49723C28" w14:textId="77777777" w:rsidR="00B01930" w:rsidRPr="00320A86" w:rsidRDefault="00B01930" w:rsidP="00B01930">
      <w:pPr>
        <w:spacing w:before="120" w:after="120"/>
        <w:jc w:val="both"/>
      </w:pPr>
      <w:r w:rsidRPr="00320A86">
        <w:t>Très loin donc de « notre » « modernité » ou « post-modernité », ont pu « renaître » en effet des livres oubliés ou insuffisamment « relus », grimoires ou palimpsestes, qui ont hanté l’imagination des penseurs du politique comme des théologiens, des scientifiques et des musiciens ultérieurs, malgré le fait que les uns et les autres ont diss</w:t>
      </w:r>
      <w:r w:rsidRPr="00320A86">
        <w:t>o</w:t>
      </w:r>
      <w:r w:rsidRPr="00320A86">
        <w:t>cié progressivement leur savoir, non sans avoir tenté parfois de les recouper de façon intuitive, voire nostalgique ou « magique ». Y a</w:t>
      </w:r>
      <w:r w:rsidRPr="00320A86">
        <w:t>u</w:t>
      </w:r>
      <w:r w:rsidRPr="00320A86">
        <w:t>rait-il donc une « mémoire » inconsciente du « Grand thème », plein de beauté imaginative, « inventé » semble-t-il par Pythagore de S</w:t>
      </w:r>
      <w:r w:rsidRPr="00320A86">
        <w:t>a</w:t>
      </w:r>
      <w:r w:rsidRPr="00320A86">
        <w:t>mos, qui aurait inspiré l’origine transcendantaliste des Constitutions politiques de façon durable, étant effectivement « le fondateur de la science politique » ? Quoi de plus étonnant ?</w:t>
      </w:r>
    </w:p>
    <w:p w14:paraId="3E7AAF0C" w14:textId="77777777" w:rsidR="00B01930" w:rsidRPr="00320A86" w:rsidRDefault="00B01930" w:rsidP="00B01930">
      <w:pPr>
        <w:spacing w:before="120" w:after="120"/>
        <w:jc w:val="both"/>
      </w:pPr>
      <w:r w:rsidRPr="00320A86">
        <w:t>En tout cas, ce thème, qui est à la fois celui du fondement math</w:t>
      </w:r>
      <w:r w:rsidRPr="00320A86">
        <w:t>é</w:t>
      </w:r>
      <w:r w:rsidRPr="00320A86">
        <w:t>matique des Constitutions politiques, si prisé par la Révolution fra</w:t>
      </w:r>
      <w:r w:rsidRPr="00320A86">
        <w:t>n</w:t>
      </w:r>
      <w:r w:rsidRPr="00320A86">
        <w:t>çaise via l’École pol</w:t>
      </w:r>
      <w:r w:rsidRPr="00320A86">
        <w:t>y</w:t>
      </w:r>
      <w:r w:rsidRPr="00320A86">
        <w:t>technique ou ses polytechniciens, et celui de « la musique des sphères », structurant une sorte d’ordre politique tran</w:t>
      </w:r>
      <w:r w:rsidRPr="00320A86">
        <w:t>s</w:t>
      </w:r>
      <w:r w:rsidRPr="00320A86">
        <w:t xml:space="preserve">cendant fondé sur les mathématiques, a été incontestablement repris par le Platon du « Mythe d’Er » de </w:t>
      </w:r>
      <w:r w:rsidRPr="00BF00DD">
        <w:rPr>
          <w:i/>
        </w:rPr>
        <w:t>La République</w:t>
      </w:r>
      <w:r w:rsidRPr="00320A86">
        <w:t xml:space="preserve">, du </w:t>
      </w:r>
      <w:r w:rsidRPr="00BF00DD">
        <w:rPr>
          <w:i/>
        </w:rPr>
        <w:t>Timée</w:t>
      </w:r>
      <w:r w:rsidRPr="00320A86">
        <w:t xml:space="preserve"> (ce si grand livre « occidental » !), mais aussi répété par Cicéron (</w:t>
      </w:r>
      <w:r w:rsidRPr="00BF00DD">
        <w:rPr>
          <w:i/>
        </w:rPr>
        <w:t>Le So</w:t>
      </w:r>
      <w:r w:rsidRPr="00BF00DD">
        <w:rPr>
          <w:i/>
        </w:rPr>
        <w:t>n</w:t>
      </w:r>
      <w:r w:rsidRPr="00BF00DD">
        <w:rPr>
          <w:i/>
        </w:rPr>
        <w:t>ge de Scipion</w:t>
      </w:r>
      <w:r w:rsidRPr="00320A86">
        <w:t xml:space="preserve"> du </w:t>
      </w:r>
      <w:r w:rsidRPr="00BF00DD">
        <w:rPr>
          <w:i/>
        </w:rPr>
        <w:t>De Republica</w:t>
      </w:r>
      <w:r w:rsidRPr="00320A86">
        <w:t xml:space="preserve">), en passant, entre autres, par l’historien grec Dion Cassius, par Nicomaque, Aristote, Plutarque (De musica), Appolonius de Tyane, le Saint Augustin de </w:t>
      </w:r>
      <w:r w:rsidRPr="00BF00DD">
        <w:rPr>
          <w:i/>
        </w:rPr>
        <w:t>La Cité de Dieu</w:t>
      </w:r>
      <w:r w:rsidRPr="00320A86">
        <w:t xml:space="preserve"> et du </w:t>
      </w:r>
      <w:r w:rsidRPr="00BF00DD">
        <w:rPr>
          <w:i/>
        </w:rPr>
        <w:t>De Musica</w:t>
      </w:r>
      <w:r w:rsidRPr="00320A86">
        <w:t xml:space="preserve">, Macrobe, Jean Bodin (le sixième Livre de </w:t>
      </w:r>
      <w:r w:rsidRPr="00BF00DD">
        <w:rPr>
          <w:i/>
        </w:rPr>
        <w:t>La République</w:t>
      </w:r>
      <w:r w:rsidRPr="00320A86">
        <w:t xml:space="preserve"> avec ses schémas platoniciens !), Jean-Jacques Rousseau (</w:t>
      </w:r>
      <w:r w:rsidRPr="00BF00DD">
        <w:rPr>
          <w:i/>
        </w:rPr>
        <w:t>Le Contrat social</w:t>
      </w:r>
      <w:r w:rsidRPr="00320A86">
        <w:t>, qui plagie quasiment Bodin en inve</w:t>
      </w:r>
      <w:r w:rsidRPr="00320A86">
        <w:t>r</w:t>
      </w:r>
      <w:r w:rsidRPr="00320A86">
        <w:t>sant la répétition de la théorie de la « souveraineté », non plus monarchique mais devenue « populaire », sur la pointe des pieds – inversion identique à celle de Platon par rapport à son maître Pythagore ?), Condorcet et ses « mathématiques sociales » statisticiennes et probabilistes, Sylvain Maréchal, disciple des « voyages de Pythagore » réinventés… Cela jusqu’aux années 1790 ! Fragilité des penseurs, qui, voulant imiter la Nature, empreints pour certains de « newtonisme social » en leur temps, tentèrent de fonder un ordre politique sur des « Lois nature</w:t>
      </w:r>
      <w:r w:rsidRPr="00320A86">
        <w:t>l</w:t>
      </w:r>
      <w:r w:rsidRPr="00320A86">
        <w:t>les »… qui les dépassent pourtant, en rêvant de les projeter sur l’univers politique et la société.</w:t>
      </w:r>
    </w:p>
    <w:p w14:paraId="039A3FB9" w14:textId="77777777" w:rsidR="00B01930" w:rsidRPr="00320A86" w:rsidRDefault="00B01930" w:rsidP="00B01930">
      <w:pPr>
        <w:spacing w:before="120" w:after="120"/>
        <w:jc w:val="both"/>
      </w:pPr>
      <w:r w:rsidRPr="00320A86">
        <w:t xml:space="preserve">Sans parler de la fascination </w:t>
      </w:r>
      <w:r w:rsidRPr="00906631">
        <w:rPr>
          <w:i/>
        </w:rPr>
        <w:t>explicite</w:t>
      </w:r>
      <w:r w:rsidRPr="00320A86">
        <w:t>, par rapport à Pythagore, des philos</w:t>
      </w:r>
      <w:r w:rsidRPr="00320A86">
        <w:t>o</w:t>
      </w:r>
      <w:r w:rsidRPr="00320A86">
        <w:t>phes (le Père Athanasius Kircher, René Descartes, son ami le Père Marin Me</w:t>
      </w:r>
      <w:r w:rsidRPr="00320A86">
        <w:t>r</w:t>
      </w:r>
      <w:r w:rsidRPr="00320A86">
        <w:t xml:space="preserve">senne et son </w:t>
      </w:r>
      <w:r w:rsidRPr="00906631">
        <w:rPr>
          <w:i/>
        </w:rPr>
        <w:t>Traité de l’Harmonie universelle</w:t>
      </w:r>
      <w:r w:rsidRPr="00320A86">
        <w:t xml:space="preserve">…), des théologiens (pensons-là au discours unanimement remarqué du Pape </w:t>
      </w:r>
      <w:r>
        <w:t>Benoît XVI</w:t>
      </w:r>
      <w:r w:rsidRPr="00320A86">
        <w:t xml:space="preserve"> à Paris, au Couvent des Bernardins, en novembre 2008, où il se réfère à plusieurs reprises aux travaux de Dom Jean Leclercq, de l’Abbaye de Clairvaux, dont </w:t>
      </w:r>
      <w:r w:rsidRPr="00906631">
        <w:rPr>
          <w:i/>
        </w:rPr>
        <w:t>L’Amour des Lettres et le désir de Dieu </w:t>
      </w:r>
      <w:r>
        <w:rPr>
          <w:rStyle w:val="Appelnotedebasdep"/>
        </w:rPr>
        <w:footnoteReference w:id="379"/>
      </w:r>
      <w:r w:rsidRPr="00320A86">
        <w:t>), des savants (Képler, Newton, aujourd’hui, Trinh Xuan Thuan – </w:t>
      </w:r>
      <w:r w:rsidRPr="00906631">
        <w:rPr>
          <w:i/>
        </w:rPr>
        <w:t>La Mélodie secrète</w:t>
      </w:r>
      <w:r w:rsidRPr="00320A86">
        <w:t xml:space="preserve">, </w:t>
      </w:r>
      <w:r w:rsidRPr="00906631">
        <w:rPr>
          <w:i/>
        </w:rPr>
        <w:t>Le Chaos</w:t>
      </w:r>
      <w:r w:rsidRPr="00320A86">
        <w:t xml:space="preserve"> </w:t>
      </w:r>
      <w:r w:rsidRPr="00906631">
        <w:rPr>
          <w:i/>
        </w:rPr>
        <w:t>et</w:t>
      </w:r>
      <w:r w:rsidRPr="00320A86">
        <w:t xml:space="preserve"> </w:t>
      </w:r>
      <w:r w:rsidRPr="00906631">
        <w:rPr>
          <w:i/>
        </w:rPr>
        <w:t>l’Harmonie</w:t>
      </w:r>
      <w:r w:rsidRPr="00320A86">
        <w:t>…) ou des musiciens (pensons év</w:t>
      </w:r>
      <w:r w:rsidRPr="00320A86">
        <w:t>i</w:t>
      </w:r>
      <w:r w:rsidRPr="00320A86">
        <w:t>demment à Jean-Sébastien Bach et à sa « science » innée des nombres, présente dans toute son œuvre. Notons encore que M</w:t>
      </w:r>
      <w:r w:rsidRPr="00320A86">
        <w:t>o</w:t>
      </w:r>
      <w:r w:rsidRPr="00320A86">
        <w:t xml:space="preserve">zart a composé, jeune, un opéra, </w:t>
      </w:r>
      <w:r w:rsidRPr="00906631">
        <w:rPr>
          <w:i/>
        </w:rPr>
        <w:t>Le Songe de Scipion</w:t>
      </w:r>
      <w:r w:rsidRPr="00320A86">
        <w:t xml:space="preserve">, puis </w:t>
      </w:r>
      <w:r w:rsidRPr="00906631">
        <w:rPr>
          <w:i/>
        </w:rPr>
        <w:t>La Flûte enchantée</w:t>
      </w:r>
      <w:r w:rsidRPr="00320A86">
        <w:t xml:space="preserve">, Joseph Strauss, une valse, </w:t>
      </w:r>
      <w:r w:rsidRPr="00906631">
        <w:rPr>
          <w:i/>
        </w:rPr>
        <w:t>La Musique des sphères</w:t>
      </w:r>
      <w:r w:rsidRPr="00320A86">
        <w:t>, Schö</w:t>
      </w:r>
      <w:r w:rsidRPr="00320A86">
        <w:t>n</w:t>
      </w:r>
      <w:r w:rsidRPr="00320A86">
        <w:t xml:space="preserve">berg, </w:t>
      </w:r>
      <w:r w:rsidRPr="00906631">
        <w:rPr>
          <w:i/>
        </w:rPr>
        <w:t>la Kammersymphonie</w:t>
      </w:r>
      <w:r w:rsidRPr="00320A86">
        <w:t>, Paul Hindemith un opéra sur la vie de Képler, L’Harmonie du monde…). Et n’ignorons pas la dernière œuvre du romancier allemand, Prix Nobel de Littérature en 1946, He</w:t>
      </w:r>
      <w:r w:rsidRPr="00320A86">
        <w:t>r</w:t>
      </w:r>
      <w:r w:rsidRPr="00320A86">
        <w:t xml:space="preserve">mann Hesse, </w:t>
      </w:r>
      <w:r w:rsidRPr="00906631">
        <w:rPr>
          <w:i/>
        </w:rPr>
        <w:t>Le Jeu des perles de verre</w:t>
      </w:r>
      <w:r w:rsidRPr="00320A86">
        <w:t>, avec son héros fascinant, Joseph Valet, ludi magister qui jongle avec tous les éléments de la cult</w:t>
      </w:r>
      <w:r w:rsidRPr="00320A86">
        <w:t>u</w:t>
      </w:r>
      <w:r w:rsidRPr="00320A86">
        <w:t>re humaine et parle lui aussi de cette « Musique des Sphères » – un des grands mythes fondateurs de la pensée occidentale… en ra</w:t>
      </w:r>
      <w:r w:rsidRPr="00320A86">
        <w:t>p</w:t>
      </w:r>
      <w:r w:rsidRPr="00320A86">
        <w:t>pr</w:t>
      </w:r>
      <w:r w:rsidRPr="00320A86">
        <w:t>o</w:t>
      </w:r>
      <w:r w:rsidRPr="00320A86">
        <w:t>chant, étrangement, tous les savoirs, comme si l’histoire de l’origine des sciences s’était effacée et comme si l’on retournait au monde de pensée du temps de Pythagore…</w:t>
      </w:r>
    </w:p>
    <w:p w14:paraId="4F8B3FF2" w14:textId="77777777" w:rsidR="00B01930" w:rsidRPr="00320A86" w:rsidRDefault="00B01930" w:rsidP="00B01930">
      <w:pPr>
        <w:spacing w:before="120" w:after="120"/>
        <w:jc w:val="both"/>
      </w:pPr>
      <w:r w:rsidRPr="00320A86">
        <w:t>Pour mieux concevoir cette redondance mentale et temporelle, c</w:t>
      </w:r>
      <w:r w:rsidRPr="00320A86">
        <w:t>a</w:t>
      </w:r>
      <w:r w:rsidRPr="00320A86">
        <w:t>ractéristique de l’histoire des idées politiques occidentales, qui tran</w:t>
      </w:r>
      <w:r w:rsidRPr="00320A86">
        <w:t>s</w:t>
      </w:r>
      <w:r w:rsidRPr="00320A86">
        <w:t>cende de fait les époques, dans les façons brèves qui nous sont impa</w:t>
      </w:r>
      <w:r w:rsidRPr="00320A86">
        <w:t>r</w:t>
      </w:r>
      <w:r w:rsidRPr="00320A86">
        <w:t>ties, nous avons choisi l’orientation suivante, en termes d’hommage à Jean-Louis Martres : condenser le discours de Pythagore lui-même, qui a certes beaucoup parlé et enseigné, mais dont nous n’avons gardé aucun écrit. Ce qui renforce son « mystère », d’autant que, depuis le XVI</w:t>
      </w:r>
      <w:r w:rsidRPr="00320A86">
        <w:rPr>
          <w:vertAlign w:val="superscript"/>
        </w:rPr>
        <w:t>e</w:t>
      </w:r>
      <w:r w:rsidRPr="00320A86">
        <w:t xml:space="preserve"> siècle, avec la création d’une « réalité » par de jeunes physiciens qui ont réussi à faire coïncider les expériences avec essais et erreurs et le langage m</w:t>
      </w:r>
      <w:r w:rsidRPr="00320A86">
        <w:t>a</w:t>
      </w:r>
      <w:r w:rsidRPr="00320A86">
        <w:t>thématique lui-même, comme avec, aujourd’hui, la « révolution numérique » de notre société (jusque dans nos vies quot</w:t>
      </w:r>
      <w:r w:rsidRPr="00320A86">
        <w:t>i</w:t>
      </w:r>
      <w:r w:rsidRPr="00320A86">
        <w:t>diennes !), le pythagorisme semble bien avoir fait preuve de sa dime</w:t>
      </w:r>
      <w:r w:rsidRPr="00320A86">
        <w:t>n</w:t>
      </w:r>
      <w:r w:rsidRPr="00320A86">
        <w:t>sion heuristique. C’est du moins ce que tente de montrer l’anthropologue et économiste Paul Jorion, qui parle sans fard de « la victoire » et de « la revanche de Pythagore » (sic), les mathématiques ayant permis de réaliser une véritable « production culturelle » de po</w:t>
      </w:r>
      <w:r w:rsidRPr="00320A86">
        <w:t>r</w:t>
      </w:r>
      <w:r w:rsidRPr="00320A86">
        <w:t>tée mondiale (la « révolution numérique »)</w:t>
      </w:r>
      <w:r>
        <w:t> </w:t>
      </w:r>
      <w:r>
        <w:rPr>
          <w:rStyle w:val="Appelnotedebasdep"/>
        </w:rPr>
        <w:footnoteReference w:id="380"/>
      </w:r>
      <w:r w:rsidRPr="00320A86">
        <w:t> !</w:t>
      </w:r>
    </w:p>
    <w:p w14:paraId="2C211968" w14:textId="77777777" w:rsidR="00B01930" w:rsidRPr="00320A86" w:rsidRDefault="00B01930" w:rsidP="00B01930">
      <w:pPr>
        <w:spacing w:before="120" w:after="120"/>
        <w:jc w:val="both"/>
      </w:pPr>
      <w:r w:rsidRPr="00320A86">
        <w:t>Cette méthode « phénoménologique », propice à l’historien, revêt un double risque : prendre pour argent comptant les échos déformés par les disciples contemporains ou ultérieurs du propre enseignement de ce mystérieux Pythagore (preuve de son influence doctrinaire et pluridisciplinaire, tout de même), mais aussi les gloses, les comme</w:t>
      </w:r>
      <w:r w:rsidRPr="00320A86">
        <w:t>n</w:t>
      </w:r>
      <w:r w:rsidRPr="00320A86">
        <w:t>taires, tout autant discutables, vraisemblablement, des auteurs d’autres périodes. Comme – seconde critique justifiable –  le défaut évident de pastiche artificiel, donc non crédible… Bref, le danger de lui faire dire n’importe quoi ! Nous relevons cependant le défi, intellectuellement parlant, quitte à être critiqué et contredit, ceci dit sans tomber dans le mythe grec reconstruit de façon déformante par le XIX</w:t>
      </w:r>
      <w:r w:rsidRPr="00320A86">
        <w:rPr>
          <w:vertAlign w:val="superscript"/>
        </w:rPr>
        <w:t>e</w:t>
      </w:r>
      <w:r w:rsidRPr="00320A86">
        <w:t xml:space="preserve"> siècle roma</w:t>
      </w:r>
      <w:r w:rsidRPr="00320A86">
        <w:t>n</w:t>
      </w:r>
      <w:r w:rsidRPr="00320A86">
        <w:t>tique, comme nous en supplie avec tant de raison démonstrative, Ma</w:t>
      </w:r>
      <w:r w:rsidRPr="00320A86">
        <w:t>r</w:t>
      </w:r>
      <w:r w:rsidRPr="00320A86">
        <w:t>tin Bernal</w:t>
      </w:r>
      <w:r>
        <w:t> </w:t>
      </w:r>
      <w:r>
        <w:rPr>
          <w:rStyle w:val="Appelnotedebasdep"/>
        </w:rPr>
        <w:footnoteReference w:id="381"/>
      </w:r>
      <w:r w:rsidRPr="00320A86">
        <w:t xml:space="preserve">… </w:t>
      </w:r>
    </w:p>
    <w:p w14:paraId="0CD8733E" w14:textId="77777777" w:rsidR="00B01930" w:rsidRPr="00320A86" w:rsidRDefault="00B01930" w:rsidP="00B01930">
      <w:pPr>
        <w:spacing w:before="120" w:after="120"/>
        <w:jc w:val="both"/>
      </w:pPr>
      <w:r>
        <w:br w:type="page"/>
      </w:r>
    </w:p>
    <w:p w14:paraId="66C9B76F" w14:textId="77777777" w:rsidR="00B01930" w:rsidRPr="00320A86" w:rsidRDefault="00B01930" w:rsidP="00B01930">
      <w:pPr>
        <w:pStyle w:val="planche"/>
      </w:pPr>
      <w:r w:rsidRPr="00320A86">
        <w:t>II.</w:t>
      </w:r>
    </w:p>
    <w:p w14:paraId="638F1A14" w14:textId="77777777" w:rsidR="00B01930" w:rsidRPr="00320A86" w:rsidRDefault="00B01930" w:rsidP="00B01930">
      <w:pPr>
        <w:spacing w:before="120" w:after="120"/>
        <w:jc w:val="both"/>
      </w:pPr>
    </w:p>
    <w:p w14:paraId="03E85BAB" w14:textId="77777777" w:rsidR="00B01930" w:rsidRPr="00320A86" w:rsidRDefault="00B01930" w:rsidP="00B01930">
      <w:pPr>
        <w:spacing w:before="120" w:after="120"/>
        <w:jc w:val="both"/>
      </w:pPr>
      <w:r w:rsidRPr="00320A86">
        <w:t>Transportons-nous donc avec nos bottes de sept-lieues, à Crotone, en Gra</w:t>
      </w:r>
      <w:r w:rsidRPr="00320A86">
        <w:t>n</w:t>
      </w:r>
      <w:r w:rsidRPr="00320A86">
        <w:t>de-Grèce, en 530 ans a. c., pour observer subrepticement un des grands moments de la naissance de la Raison théorique, étape i</w:t>
      </w:r>
      <w:r w:rsidRPr="00320A86">
        <w:t>m</w:t>
      </w:r>
      <w:r w:rsidRPr="00320A86">
        <w:t>portante dans l’histoire de la pensée humaine universelle. Imaginons que par une soirée d’été, sur une colline boisée, se tient une réunion de la société des pythagorikoi…</w:t>
      </w:r>
    </w:p>
    <w:p w14:paraId="04115FE7" w14:textId="77777777" w:rsidR="00B01930" w:rsidRPr="00320A86" w:rsidRDefault="00B01930" w:rsidP="00B01930">
      <w:pPr>
        <w:spacing w:before="120" w:after="120"/>
        <w:jc w:val="both"/>
      </w:pPr>
      <w:r w:rsidRPr="00320A86">
        <w:t>Après un bain en feux follets sur les bords de la mer Tyrrhénienne, les jeunes gens des divers degrés d’initiation de « l’École des It</w:t>
      </w:r>
      <w:r w:rsidRPr="00320A86">
        <w:t>a</w:t>
      </w:r>
      <w:r w:rsidRPr="00320A86">
        <w:t>liens » qu’a fondée Pyth</w:t>
      </w:r>
      <w:r w:rsidRPr="00320A86">
        <w:t>a</w:t>
      </w:r>
      <w:r w:rsidRPr="00320A86">
        <w:t>gore de Samos</w:t>
      </w:r>
      <w:r>
        <w:t> </w:t>
      </w:r>
      <w:r>
        <w:rPr>
          <w:rStyle w:val="Appelnotedebasdep"/>
        </w:rPr>
        <w:footnoteReference w:id="382"/>
      </w:r>
      <w:r w:rsidRPr="00320A86">
        <w:t>, ont partagé avec le pain de l’amitié, servi par des esclaves f</w:t>
      </w:r>
      <w:r w:rsidRPr="00320A86">
        <w:t>é</w:t>
      </w:r>
      <w:r w:rsidRPr="00320A86">
        <w:t>minines et masculins, tous de blanc vêtus, le fameux sussitia, mélange de graines de pavot et de s</w:t>
      </w:r>
      <w:r w:rsidRPr="00320A86">
        <w:t>é</w:t>
      </w:r>
      <w:r w:rsidRPr="00320A86">
        <w:t>same, de peau d’oignon de mer, de fleurs de jonquilles et de mauve, broyé en une pâte assaisonnée de pois chiches et d’orge, agglomérée avec du miel. Le repas a été agrémenté d’invitations à boire, de sacr</w:t>
      </w:r>
      <w:r w:rsidRPr="00320A86">
        <w:t>i</w:t>
      </w:r>
      <w:r w:rsidRPr="00320A86">
        <w:t xml:space="preserve">fices et d’interminables offrandes aux divinités diverses. Lyres, cithares, </w:t>
      </w:r>
      <w:r w:rsidRPr="00906631">
        <w:rPr>
          <w:i/>
        </w:rPr>
        <w:t>a</w:t>
      </w:r>
      <w:r w:rsidRPr="00906631">
        <w:rPr>
          <w:i/>
        </w:rPr>
        <w:t>u</w:t>
      </w:r>
      <w:r w:rsidRPr="00906631">
        <w:rPr>
          <w:i/>
        </w:rPr>
        <w:t>loï</w:t>
      </w:r>
      <w:r w:rsidRPr="00320A86">
        <w:t xml:space="preserve">, </w:t>
      </w:r>
      <w:r w:rsidRPr="00906631">
        <w:rPr>
          <w:i/>
        </w:rPr>
        <w:t>tymp</w:t>
      </w:r>
      <w:r w:rsidRPr="00906631">
        <w:rPr>
          <w:i/>
        </w:rPr>
        <w:t>a</w:t>
      </w:r>
      <w:r w:rsidRPr="00906631">
        <w:rPr>
          <w:i/>
        </w:rPr>
        <w:t>noï</w:t>
      </w:r>
      <w:r w:rsidRPr="00320A86">
        <w:t xml:space="preserve">, </w:t>
      </w:r>
      <w:r w:rsidRPr="00906631">
        <w:rPr>
          <w:i/>
        </w:rPr>
        <w:t>syrinx</w:t>
      </w:r>
      <w:r w:rsidRPr="00320A86">
        <w:t>, tambourins…, tenus par des musiciens chantant et imitant les cris de divers animaux, ont harmonieusement mêlé a</w:t>
      </w:r>
      <w:r w:rsidRPr="00320A86">
        <w:t>c</w:t>
      </w:r>
      <w:r w:rsidRPr="00320A86">
        <w:t>cords errants, mélodies, exercices sur la gamme de l’École, poèmes… Les effluves de sel, pur produit du soleil, du vent et de la mer, mêlées aux parfums de feu de bois, d’huile d’olive, de fruits j</w:t>
      </w:r>
      <w:r w:rsidRPr="00320A86">
        <w:t>u</w:t>
      </w:r>
      <w:r w:rsidRPr="00320A86">
        <w:t>teux, de vin, d’encens, ont grisé les esprits et délié les langues avant l’écoute de la leçon du Maître…</w:t>
      </w:r>
    </w:p>
    <w:p w14:paraId="2998DDE9" w14:textId="77777777" w:rsidR="00B01930" w:rsidRPr="00320A86" w:rsidRDefault="00B01930" w:rsidP="00B01930">
      <w:pPr>
        <w:spacing w:before="120" w:after="120"/>
        <w:jc w:val="both"/>
      </w:pPr>
      <w:r w:rsidRPr="00320A86">
        <w:t xml:space="preserve">Libations et agapes achevées, les convives ont gagné l’amphithéâtre en bas de la colline, sous les cyprès. Comme si leur place était assignée à l’avance, se regroupèrent entre eux les </w:t>
      </w:r>
      <w:r w:rsidRPr="00906631">
        <w:rPr>
          <w:i/>
        </w:rPr>
        <w:t>math</w:t>
      </w:r>
      <w:r w:rsidRPr="00906631">
        <w:rPr>
          <w:i/>
        </w:rPr>
        <w:t>è</w:t>
      </w:r>
      <w:r w:rsidRPr="00906631">
        <w:rPr>
          <w:i/>
        </w:rPr>
        <w:t>matikoï</w:t>
      </w:r>
      <w:r w:rsidRPr="00320A86">
        <w:t xml:space="preserve">, les physikoï, les </w:t>
      </w:r>
      <w:r w:rsidRPr="00906631">
        <w:rPr>
          <w:i/>
        </w:rPr>
        <w:t>thèorètikoï</w:t>
      </w:r>
      <w:r w:rsidRPr="00320A86">
        <w:t xml:space="preserve">, les </w:t>
      </w:r>
      <w:r w:rsidRPr="00906631">
        <w:rPr>
          <w:i/>
        </w:rPr>
        <w:t>seba</w:t>
      </w:r>
      <w:r w:rsidRPr="00906631">
        <w:rPr>
          <w:i/>
        </w:rPr>
        <w:t>s</w:t>
      </w:r>
      <w:r w:rsidRPr="00906631">
        <w:rPr>
          <w:i/>
        </w:rPr>
        <w:t>tikoï</w:t>
      </w:r>
      <w:r w:rsidRPr="00320A86">
        <w:t xml:space="preserve">, les </w:t>
      </w:r>
      <w:r w:rsidRPr="00906631">
        <w:rPr>
          <w:i/>
        </w:rPr>
        <w:t>politikoï</w:t>
      </w:r>
      <w:r w:rsidRPr="00320A86">
        <w:t xml:space="preserve">, les </w:t>
      </w:r>
      <w:r w:rsidRPr="00906631">
        <w:rPr>
          <w:i/>
        </w:rPr>
        <w:t>oikonomikoï</w:t>
      </w:r>
      <w:r w:rsidRPr="00320A86">
        <w:t xml:space="preserve">, les </w:t>
      </w:r>
      <w:r w:rsidRPr="00906631">
        <w:rPr>
          <w:i/>
        </w:rPr>
        <w:t>nomothetikoï</w:t>
      </w:r>
      <w:r w:rsidRPr="00320A86">
        <w:t xml:space="preserve">, les </w:t>
      </w:r>
      <w:r w:rsidRPr="00906631">
        <w:rPr>
          <w:i/>
        </w:rPr>
        <w:t>akousmatikoï</w:t>
      </w:r>
      <w:r w:rsidRPr="00320A86">
        <w:t>. Aux él</w:t>
      </w:r>
      <w:r w:rsidRPr="00320A86">
        <w:t>è</w:t>
      </w:r>
      <w:r w:rsidRPr="00320A86">
        <w:t>ves et aux frères enseignants, se sont joints les athlètes célèbres des écoles de gymnastique (Milon, qui a épousé la fille du Maître, Myïa, mais aussi Iccos, Crison, Astyle…), accompagnés des belles épouses des me</w:t>
      </w:r>
      <w:r w:rsidRPr="00320A86">
        <w:t>m</w:t>
      </w:r>
      <w:r w:rsidRPr="00320A86">
        <w:t>bres du Synèdrion, le sénat de la Cité. Mêlons-nous en rêve subrept</w:t>
      </w:r>
      <w:r w:rsidRPr="00320A86">
        <w:t>i</w:t>
      </w:r>
      <w:r w:rsidRPr="00320A86">
        <w:t>cement à eux…</w:t>
      </w:r>
    </w:p>
    <w:p w14:paraId="688607F0" w14:textId="77777777" w:rsidR="00B01930" w:rsidRPr="00320A86" w:rsidRDefault="00B01930" w:rsidP="00B01930">
      <w:pPr>
        <w:spacing w:before="120" w:after="120"/>
        <w:jc w:val="both"/>
      </w:pPr>
      <w:r w:rsidRPr="00320A86">
        <w:t>Les couleurs du jour s’effacent lentement. Le bleu profond de la nuit recouvre bientôt l’assemblée. Les bavardages s’éteignent. Un di</w:t>
      </w:r>
      <w:r w:rsidRPr="00320A86">
        <w:t>s</w:t>
      </w:r>
      <w:r w:rsidRPr="00320A86">
        <w:t>ciple favori annonce soudain le « Grand thème », sur lequel va disse</w:t>
      </w:r>
      <w:r w:rsidRPr="00320A86">
        <w:t>r</w:t>
      </w:r>
      <w:r w:rsidRPr="00320A86">
        <w:t>ter le fils de Mnésarchos, Pyth</w:t>
      </w:r>
      <w:r w:rsidRPr="00320A86">
        <w:t>a</w:t>
      </w:r>
      <w:r w:rsidRPr="00320A86">
        <w:t>gore, qui, lui, s’était abstenu de dîner, et se présente de façon solennelle devant toutes et tous.</w:t>
      </w:r>
    </w:p>
    <w:p w14:paraId="78EB6949" w14:textId="77777777" w:rsidR="00B01930" w:rsidRDefault="00B01930" w:rsidP="00B01930">
      <w:pPr>
        <w:spacing w:before="120" w:after="120"/>
        <w:jc w:val="both"/>
      </w:pPr>
      <w:r w:rsidRPr="00320A86">
        <w:t>Éclairé par une lune resplendissante, fendu en deux par une voie lactée particulièrement visible ce soir-là, le ciel étoilé lui sert de d</w:t>
      </w:r>
      <w:r w:rsidRPr="00320A86">
        <w:t>é</w:t>
      </w:r>
      <w:r w:rsidRPr="00320A86">
        <w:t>cor. Plantées dans le sol, les torches de résine, dispersées tout autour, révèlent un homme de grande pre</w:t>
      </w:r>
      <w:r w:rsidRPr="00320A86">
        <w:t>s</w:t>
      </w:r>
      <w:r w:rsidRPr="00320A86">
        <w:t>tance, au front immense, mince, élégant avec sa barbe blanche au-dessus de sa toge de lin agrémentée d’un pentagramme dessiné en noir. Il s’avance à petits pas, appuyé sur un long bâton d’olivier. Il lève soudain les deux bras comme pour embrasser l’auditoire. Un vent légèrement frais, venu de la Tyrrh</w:t>
      </w:r>
      <w:r w:rsidRPr="00320A86">
        <w:t>é</w:t>
      </w:r>
      <w:r w:rsidRPr="00320A86">
        <w:t>nienne, porte sa parole aux oreilles des auditeurs…</w:t>
      </w:r>
    </w:p>
    <w:p w14:paraId="7A331352" w14:textId="77777777" w:rsidR="00B01930" w:rsidRPr="00320A86" w:rsidRDefault="00B01930" w:rsidP="00B01930">
      <w:pPr>
        <w:spacing w:before="120" w:after="120"/>
        <w:jc w:val="both"/>
      </w:pPr>
    </w:p>
    <w:p w14:paraId="14793018" w14:textId="77777777" w:rsidR="00B01930" w:rsidRPr="00320A86" w:rsidRDefault="00B01930" w:rsidP="00B01930">
      <w:pPr>
        <w:pStyle w:val="citation"/>
      </w:pPr>
      <w:r w:rsidRPr="00320A86">
        <w:t>« Chers invités, jeunes gens, mes chers disciples, si votre repas n’a pas été trop lourd, comme le recommande notre enseignement, même si ce</w:t>
      </w:r>
      <w:r w:rsidRPr="00320A86">
        <w:t>r</w:t>
      </w:r>
      <w:r w:rsidRPr="00320A86">
        <w:t>tains me semblent avoir le hoquet [rires dans l’assistance], nous allons pouvoir partager ensemble une fois encore, quelques moments de r</w:t>
      </w:r>
      <w:r w:rsidRPr="00320A86">
        <w:t>é</w:t>
      </w:r>
      <w:r w:rsidRPr="00320A86">
        <w:t>flexion, dans le sens que vous savez plus ou moins d</w:t>
      </w:r>
      <w:r w:rsidRPr="00320A86">
        <w:t>é</w:t>
      </w:r>
      <w:r w:rsidRPr="00320A86">
        <w:t>jà.</w:t>
      </w:r>
    </w:p>
    <w:p w14:paraId="0836D393" w14:textId="77777777" w:rsidR="00B01930" w:rsidRPr="00320A86" w:rsidRDefault="00B01930" w:rsidP="00B01930">
      <w:pPr>
        <w:pStyle w:val="citation"/>
      </w:pPr>
      <w:r w:rsidRPr="00320A86">
        <w:t>Je voudrais vous parler, ce soir, du lien entre les sciences, l’astronomie, l’arithmétique, la géométrie, la musique et, puisqu’il y a parmi nous des membres du Synèdrion de Crotone, la politique, sœurs e</w:t>
      </w:r>
      <w:r w:rsidRPr="00320A86">
        <w:t>n</w:t>
      </w:r>
      <w:r w:rsidRPr="00320A86">
        <w:t>tre elles, au-delà de l’apparence de la di</w:t>
      </w:r>
      <w:r w:rsidRPr="00320A86">
        <w:t>f</w:t>
      </w:r>
      <w:r w:rsidRPr="00320A86">
        <w:t>férence de leurs objets. Toutes ces muses sont de la même famille. Ces savoirs, auxquels notre société de s</w:t>
      </w:r>
      <w:r w:rsidRPr="00320A86">
        <w:t>a</w:t>
      </w:r>
      <w:r w:rsidRPr="00320A86">
        <w:t>gesse vous initie, doivent donc être regroupés, même si on vous les a</w:t>
      </w:r>
      <w:r w:rsidRPr="00320A86">
        <w:t>p</w:t>
      </w:r>
      <w:r w:rsidRPr="00320A86">
        <w:t>prend séparément… Examinons cela de plus près…</w:t>
      </w:r>
    </w:p>
    <w:p w14:paraId="3A5F737D" w14:textId="77777777" w:rsidR="00B01930" w:rsidRPr="00320A86" w:rsidRDefault="00B01930" w:rsidP="00B01930">
      <w:pPr>
        <w:pStyle w:val="citation"/>
      </w:pPr>
      <w:r w:rsidRPr="00320A86">
        <w:t>Je dis : le Dieu, Il « est ». Il ne peut pas ne pas être, et nous so</w:t>
      </w:r>
      <w:r w:rsidRPr="00320A86">
        <w:t>m</w:t>
      </w:r>
      <w:r w:rsidRPr="00320A86">
        <w:t>mes tous les uns face aux autres. Il est éternel et infini. Il est avant toute cré</w:t>
      </w:r>
      <w:r w:rsidRPr="00320A86">
        <w:t>a</w:t>
      </w:r>
      <w:r w:rsidRPr="00320A86">
        <w:t>tion. Il a même créé le Dieu créateur du Monde… Il est le Modèle, l’Unique, l’Un, l’Indivisible. Et il « est » à la fois le Même et l’Autre. Il n’a donc pas eu de commencement. Il n’aura jamais de fin. Il n’est pas d</w:t>
      </w:r>
      <w:r w:rsidRPr="00320A86">
        <w:t>e</w:t>
      </w:r>
      <w:r w:rsidRPr="00320A86">
        <w:t>venir. Car il est avant le Temps, même s’il contient le Temps, qu’il a aussi créé. Il est hors de toute cause, étant, Lui, l’Incréé, Cause première, Cause de toutes les causes. Et Il est hors de toutes les formes qui sont ce</w:t>
      </w:r>
      <w:r w:rsidRPr="00320A86">
        <w:t>l</w:t>
      </w:r>
      <w:r w:rsidRPr="00320A86">
        <w:t>les de sa création, du monde du multiple et non plus de l’Un. L’Un contient pote</w:t>
      </w:r>
      <w:r w:rsidRPr="00320A86">
        <w:t>n</w:t>
      </w:r>
      <w:r w:rsidRPr="00320A86">
        <w:t>tiellement le multiple…</w:t>
      </w:r>
    </w:p>
    <w:p w14:paraId="7ADE4804" w14:textId="77777777" w:rsidR="00B01930" w:rsidRPr="00320A86" w:rsidRDefault="00B01930" w:rsidP="00B01930">
      <w:pPr>
        <w:pStyle w:val="citation"/>
      </w:pPr>
      <w:r w:rsidRPr="00320A86">
        <w:t>Il y a donc le Dieu, mais il y a aussi sa création : le Dieu créateur, les divers dieux dans le Ciel, puis l’Univers, le Cosmos, architecturé à son image, beau, ordonné et bon, que reflètent le Ciel et l’Harmonie de tout le Cosmos. L’Autre de la Chose, en tant que partie du Tout, n’est pas le Même, bien qu’il lui ressemble. Le Même ne peut être r</w:t>
      </w:r>
      <w:r w:rsidRPr="00320A86">
        <w:t>é</w:t>
      </w:r>
      <w:r w:rsidRPr="00320A86">
        <w:t>duit à la somme de ses parties. L’Autre créé aussi de façon seconde. Ainsi, le Deux indéf</w:t>
      </w:r>
      <w:r w:rsidRPr="00320A86">
        <w:t>i</w:t>
      </w:r>
      <w:r w:rsidRPr="00320A86">
        <w:t>ni est devenu en partie le Dieu créateur, le Mult</w:t>
      </w:r>
      <w:r w:rsidRPr="00320A86">
        <w:t>i</w:t>
      </w:r>
      <w:r w:rsidRPr="00320A86">
        <w:t>ple défini, divisible, limité par les formes que vont représenter les nombres. Il constitue le Monde d’Ici-Haut, qui enveloppe tous les v</w:t>
      </w:r>
      <w:r w:rsidRPr="00320A86">
        <w:t>i</w:t>
      </w:r>
      <w:r w:rsidRPr="00320A86">
        <w:t>vants intelligibles et les âmes des Bienheureux, comme le Monde d’Ici-Bas, qui contient les créatures vis</w:t>
      </w:r>
      <w:r w:rsidRPr="00320A86">
        <w:t>i</w:t>
      </w:r>
      <w:r w:rsidRPr="00320A86">
        <w:t>bles. L’Autre, le Deux et les autres nombres après le Deux, est la substa</w:t>
      </w:r>
      <w:r w:rsidRPr="00320A86">
        <w:t>n</w:t>
      </w:r>
      <w:r w:rsidRPr="00320A86">
        <w:t>ce du Dieu qui est la Cause. Je reviendrai si j’en ai le temps ce soir, d</w:t>
      </w:r>
      <w:r w:rsidRPr="00320A86">
        <w:t>e</w:t>
      </w:r>
      <w:r w:rsidRPr="00320A86">
        <w:t>vant vous, sur la création de ces deux Mondes. Mais parlons d’abord du no</w:t>
      </w:r>
      <w:r w:rsidRPr="00320A86">
        <w:t>m</w:t>
      </w:r>
      <w:r w:rsidRPr="00320A86">
        <w:t>bre.</w:t>
      </w:r>
    </w:p>
    <w:p w14:paraId="3C7DB7D7" w14:textId="77777777" w:rsidR="00B01930" w:rsidRPr="00320A86" w:rsidRDefault="00B01930" w:rsidP="00B01930">
      <w:pPr>
        <w:pStyle w:val="citation"/>
      </w:pPr>
      <w:r w:rsidRPr="00320A86">
        <w:t>Le nombre, qui part de l’Un, est la manifestation évidente et l’instrument de l’Intelligence du Dieu Un. C’est le langage et l’être de Dieu, le Logos, précisément, c’est-à-dire les rapports, les proportions e</w:t>
      </w:r>
      <w:r w:rsidRPr="00320A86">
        <w:t>n</w:t>
      </w:r>
      <w:r w:rsidRPr="00320A86">
        <w:t>tre les nombres, que peut reproduire à ce</w:t>
      </w:r>
      <w:r w:rsidRPr="00320A86">
        <w:t>r</w:t>
      </w:r>
      <w:r w:rsidRPr="00320A86">
        <w:t>taines conditions, voulues par la théoria, la Raison de l’homme qui le reflète.</w:t>
      </w:r>
    </w:p>
    <w:p w14:paraId="3E028CA5" w14:textId="77777777" w:rsidR="00B01930" w:rsidRPr="00320A86" w:rsidRDefault="00B01930" w:rsidP="00B01930">
      <w:pPr>
        <w:pStyle w:val="citation"/>
      </w:pPr>
      <w:r w:rsidRPr="00320A86">
        <w:t>Tout est nombre, à l’image du Créateur du Dieu créateur et de sa V</w:t>
      </w:r>
      <w:r w:rsidRPr="00320A86">
        <w:t>o</w:t>
      </w:r>
      <w:r w:rsidRPr="00320A86">
        <w:t>lonté prov</w:t>
      </w:r>
      <w:r w:rsidRPr="00320A86">
        <w:t>i</w:t>
      </w:r>
      <w:r w:rsidRPr="00320A86">
        <w:t>dentielle. Le nombre est son organe de décision. Issu de l’Intellect divin, qui n’est qu’esprit, il reflète sa pensée suprême dans tous les ordres de la cré</w:t>
      </w:r>
      <w:r w:rsidRPr="00320A86">
        <w:t>a</w:t>
      </w:r>
      <w:r w:rsidRPr="00320A86">
        <w:t>tion : l’Univers et ses éléments, les Astres, le Temps, les Planètes, instruments du temps et de la mus</w:t>
      </w:r>
      <w:r w:rsidRPr="00320A86">
        <w:t>i</w:t>
      </w:r>
      <w:r w:rsidRPr="00320A86">
        <w:t>que céleste, les matières fondamentales, l’Eau, l’Air, la Terre, le Feu, les pierres et les végétaux, les espèces de vivants, l’Âme elle-même. Les nombres expriment la beauté et l’ordre du monde de l’Un, à travers l’ensemble des formes. Ils s’incarnent dans les deux mondes, prenant la forme des choses visibles et des choses humaines, même la politique de la Cité, comme celle des ch</w:t>
      </w:r>
      <w:r w:rsidRPr="00320A86">
        <w:t>o</w:t>
      </w:r>
      <w:r w:rsidRPr="00320A86">
        <w:t>ses invisibles et indivisibles. Tout est nombre aussi dans notre e</w:t>
      </w:r>
      <w:r w:rsidRPr="00320A86">
        <w:t>s</w:t>
      </w:r>
      <w:r w:rsidRPr="00320A86">
        <w:t>prit quand on fait l’effort d’atteindre l’ordre et cette beauté pure et première. On peut donc tout déduire des nombres qui sont à l’origine de toutes les formes. Esse</w:t>
      </w:r>
      <w:r w:rsidRPr="00320A86">
        <w:t>n</w:t>
      </w:r>
      <w:r w:rsidRPr="00320A86">
        <w:t>ces intelligibles et imm</w:t>
      </w:r>
      <w:r w:rsidRPr="00320A86">
        <w:t>a</w:t>
      </w:r>
      <w:r w:rsidRPr="00320A86">
        <w:t>nentes, présents aussi en tant que langage du Dieu créateur depuis la création de l’Univers, les nombres sont encore à l’origine de la cré</w:t>
      </w:r>
      <w:r w:rsidRPr="00320A86">
        <w:t>a</w:t>
      </w:r>
      <w:r w:rsidRPr="00320A86">
        <w:t>tion de l’Univers. Ils organisent le lien, l’analogie, la similitude entre les êtres éternels et les créatures soumises au temps, au devenir, qui ont, elles, un commenc</w:t>
      </w:r>
      <w:r w:rsidRPr="00320A86">
        <w:t>e</w:t>
      </w:r>
      <w:r w:rsidRPr="00320A86">
        <w:t>ment, un milieu et une fin.</w:t>
      </w:r>
    </w:p>
    <w:p w14:paraId="02DA721B" w14:textId="77777777" w:rsidR="00B01930" w:rsidRPr="00320A86" w:rsidRDefault="00B01930" w:rsidP="00B01930">
      <w:pPr>
        <w:pStyle w:val="citation"/>
      </w:pPr>
      <w:r w:rsidRPr="00320A86">
        <w:t>Reflets à la fois de l’Unité du Dieu créateur et du Multiple du Monde, principes, formes, propriétés et substances, ils entrent en rapports et pr</w:t>
      </w:r>
      <w:r w:rsidRPr="00320A86">
        <w:t>o</w:t>
      </w:r>
      <w:r w:rsidRPr="00320A86">
        <w:t>portions entre eux et e</w:t>
      </w:r>
      <w:r w:rsidRPr="00320A86">
        <w:t>n</w:t>
      </w:r>
      <w:r w:rsidRPr="00320A86">
        <w:t>tre les choses. Ils lient le Monde à l’Un, atteignant la beauté par des proportions harmoniques et l’ordre par des proportions arithmétiques et géométriques. La mus</w:t>
      </w:r>
      <w:r w:rsidRPr="00320A86">
        <w:t>i</w:t>
      </w:r>
      <w:r w:rsidRPr="00320A86">
        <w:t>que est ainsi nombre, et le Monde, musique, par les nombres. Comment retrouver, derrière les choses, ces l</w:t>
      </w:r>
      <w:r w:rsidRPr="00320A86">
        <w:t>o</w:t>
      </w:r>
      <w:r w:rsidRPr="00320A86">
        <w:t>goï, ces rapports entre les nombres qui forment la Gra</w:t>
      </w:r>
      <w:r w:rsidRPr="00320A86">
        <w:t>m</w:t>
      </w:r>
      <w:r w:rsidRPr="00320A86">
        <w:t xml:space="preserve">maire du Dieu Premier, absolu ? </w:t>
      </w:r>
    </w:p>
    <w:p w14:paraId="11583952" w14:textId="77777777" w:rsidR="00B01930" w:rsidRPr="00320A86" w:rsidRDefault="00B01930" w:rsidP="00B01930">
      <w:pPr>
        <w:pStyle w:val="citation"/>
      </w:pPr>
      <w:r w:rsidRPr="00320A86">
        <w:t>Parlons d’abord de ces nombres si mystérieux, que l’homme ord</w:t>
      </w:r>
      <w:r w:rsidRPr="00320A86">
        <w:t>i</w:t>
      </w:r>
      <w:r w:rsidRPr="00320A86">
        <w:t>naire non instruit ne peut comprendre s’il n’est point initié. Saisissons-les sép</w:t>
      </w:r>
      <w:r w:rsidRPr="00320A86">
        <w:t>a</w:t>
      </w:r>
      <w:r w:rsidRPr="00320A86">
        <w:t>rément et en série, lorsqu’on définit et mesure le Mult</w:t>
      </w:r>
      <w:r w:rsidRPr="00320A86">
        <w:t>i</w:t>
      </w:r>
      <w:r w:rsidRPr="00320A86">
        <w:t>ple.</w:t>
      </w:r>
    </w:p>
    <w:p w14:paraId="009BCB86" w14:textId="77777777" w:rsidR="00B01930" w:rsidRPr="00320A86" w:rsidRDefault="00B01930" w:rsidP="00B01930">
      <w:pPr>
        <w:pStyle w:val="citation"/>
      </w:pPr>
      <w:r w:rsidRPr="00320A86">
        <w:t>Les éléments du nombre sont d’abord, l’impair, qui divise en parts inégales, puis, le pair, qui divise en parts égales. Nous nous heurtons dès l’abord au secret des trois premiers nombres.</w:t>
      </w:r>
    </w:p>
    <w:p w14:paraId="73DB77CB" w14:textId="77777777" w:rsidR="00B01930" w:rsidRPr="00320A86" w:rsidRDefault="00B01930" w:rsidP="00B01930">
      <w:pPr>
        <w:pStyle w:val="citation"/>
      </w:pPr>
      <w:r w:rsidRPr="00320A86">
        <w:t>Prenons le nombre Un, la Monade, en tant que principe symbol</w:t>
      </w:r>
      <w:r w:rsidRPr="00320A86">
        <w:t>i</w:t>
      </w:r>
      <w:r w:rsidRPr="00320A86">
        <w:t>sant le monde, qui définit l’unité, l’identité, l’égalité. Il est le premier des princ</w:t>
      </w:r>
      <w:r w:rsidRPr="00320A86">
        <w:t>i</w:t>
      </w:r>
      <w:r w:rsidRPr="00320A86">
        <w:t>pes, corre</w:t>
      </w:r>
      <w:r w:rsidRPr="00320A86">
        <w:t>s</w:t>
      </w:r>
      <w:r w:rsidRPr="00320A86">
        <w:t>pondant à la cause efficiente de toutes les formes. Il incarne l’Intellect divin, invisible et silencieux. À l’Image du Dieu des dieux, la Monade est le début et la totalité de tous les chiffres, pairs et impairs. C’est le symbole de l’infini, du seul, du point parfait, mais aussi celui du fini, du limité, du devenir en puissance. C’est ce que j’appelle “le grand mystère”. Le premier nombre symbolise l’unité de l’Être et aussi de l’Âme, cet autre élément des corps qui les quitte et monte pour rejoindre le Dieu dans l’éternité du Ciel. Le Un, l’illimité, n’est pas cepe</w:t>
      </w:r>
      <w:r w:rsidRPr="00320A86">
        <w:t>n</w:t>
      </w:r>
      <w:r w:rsidRPr="00320A86">
        <w:t>dant le contraire du Multiple puisqu’il le contient.</w:t>
      </w:r>
    </w:p>
    <w:p w14:paraId="458F95B7" w14:textId="77777777" w:rsidR="00B01930" w:rsidRPr="00320A86" w:rsidRDefault="00B01930" w:rsidP="00B01930">
      <w:pPr>
        <w:pStyle w:val="citation"/>
      </w:pPr>
      <w:r w:rsidRPr="00320A86">
        <w:t>En effet, le nombre deux (pair), ou Dyade, en tant que principe, repr</w:t>
      </w:r>
      <w:r w:rsidRPr="00320A86">
        <w:t>é</w:t>
      </w:r>
      <w:r w:rsidRPr="00320A86">
        <w:t>sente la ca</w:t>
      </w:r>
      <w:r w:rsidRPr="00320A86">
        <w:t>u</w:t>
      </w:r>
      <w:r w:rsidRPr="00320A86">
        <w:t>se passive et matérielle, le monde visible, l’Autre, le créé, qui représente la mutabilité de tout ce qui est. Il est la forme du début de la d</w:t>
      </w:r>
      <w:r w:rsidRPr="00320A86">
        <w:t>i</w:t>
      </w:r>
      <w:r w:rsidRPr="00320A86">
        <w:t>vision de l’être et du multiple. Il symbolise le contraire, la dichotomie, le mouvement, le changement, les transform</w:t>
      </w:r>
      <w:r w:rsidRPr="00320A86">
        <w:t>a</w:t>
      </w:r>
      <w:r w:rsidRPr="00320A86">
        <w:t>tions des formes de l’Être, son infinité inépuisable, ses limites aussi, qui s’épuisent dans chaque forme. Il est aussi la femme et la fécondité, introduisant le contradictoire et les di</w:t>
      </w:r>
      <w:r w:rsidRPr="00320A86">
        <w:t>s</w:t>
      </w:r>
      <w:r w:rsidRPr="00320A86">
        <w:t>cordances dans le monde…</w:t>
      </w:r>
    </w:p>
    <w:p w14:paraId="306F734F" w14:textId="77777777" w:rsidR="00B01930" w:rsidRPr="00320A86" w:rsidRDefault="00B01930" w:rsidP="00B01930">
      <w:pPr>
        <w:pStyle w:val="citation"/>
      </w:pPr>
      <w:r w:rsidRPr="00320A86">
        <w:t>Le nombre trois (impair), la Triade, est formé du premier nombre i</w:t>
      </w:r>
      <w:r w:rsidRPr="00320A86">
        <w:t>m</w:t>
      </w:r>
      <w:r w:rsidRPr="00320A86">
        <w:t>pair et du premier nombre pair. Il symbolise la succession dans le temps. C’est le début de la suite des nombres (1 + 2), la réconciliation de la M</w:t>
      </w:r>
      <w:r w:rsidRPr="00320A86">
        <w:t>o</w:t>
      </w:r>
      <w:r w:rsidRPr="00320A86">
        <w:t>nade et de la Dyade, du un et du deux… Et, de là, il représente la suite de toutes les formes qui le symbolisent, les ét</w:t>
      </w:r>
      <w:r w:rsidRPr="00320A86">
        <w:t>a</w:t>
      </w:r>
      <w:r w:rsidRPr="00320A86">
        <w:t>pes du vivant dans le temps, les palpitations de la vie : celle-ci est, elle, ce qui commence, ce qui a un d</w:t>
      </w:r>
      <w:r w:rsidRPr="00320A86">
        <w:t>é</w:t>
      </w:r>
      <w:r w:rsidRPr="00320A86">
        <w:t>veloppement, puis ce qui a une fin. Comme la plante, comme l’oiseau, comme l’homme, comme la femme et l’enfant qui naît de leur union, i</w:t>
      </w:r>
      <w:r w:rsidRPr="00320A86">
        <w:t>n</w:t>
      </w:r>
      <w:r w:rsidRPr="00320A86">
        <w:t>carné par le chiffre 3…</w:t>
      </w:r>
    </w:p>
    <w:p w14:paraId="3EA771C5" w14:textId="77777777" w:rsidR="00B01930" w:rsidRPr="00320A86" w:rsidRDefault="00B01930" w:rsidP="00B01930">
      <w:pPr>
        <w:pStyle w:val="citation"/>
      </w:pPr>
      <w:r w:rsidRPr="00320A86">
        <w:t>Le nombre 4, la Tétrade, nous lui donnons le nom de Tetraktys, vous ne le savez que trop… C’est un nombre sacré ! On le retrouve en musique avec la quarte, mais aussi dans le mélange des quatre él</w:t>
      </w:r>
      <w:r w:rsidRPr="00320A86">
        <w:t>é</w:t>
      </w:r>
      <w:r w:rsidRPr="00320A86">
        <w:t>ments de l’Univers (eau, air, terre, feu), et ainsi de suite… Il nous mène vers le nombre dix, la Décade, par sa force et sa vitalité accum</w:t>
      </w:r>
      <w:r w:rsidRPr="00320A86">
        <w:t>u</w:t>
      </w:r>
      <w:r w:rsidRPr="00320A86">
        <w:t>lante.</w:t>
      </w:r>
    </w:p>
    <w:p w14:paraId="38C464C3" w14:textId="77777777" w:rsidR="00B01930" w:rsidRPr="00320A86" w:rsidRDefault="00B01930" w:rsidP="00B01930">
      <w:pPr>
        <w:pStyle w:val="citation"/>
      </w:pPr>
      <w:r w:rsidRPr="00320A86">
        <w:t>En effet, si l’on additionne les quatre premiers nombres, on obtient dix (1+2+3+4 = 10), à savoir la Décade ! Cette dernière représente évide</w:t>
      </w:r>
      <w:r w:rsidRPr="00320A86">
        <w:t>m</w:t>
      </w:r>
      <w:r w:rsidRPr="00320A86">
        <w:t>ment la nature du no</w:t>
      </w:r>
      <w:r w:rsidRPr="00320A86">
        <w:t>m</w:t>
      </w:r>
      <w:r w:rsidRPr="00320A86">
        <w:t>bre. Avec elle, on retourne à Un, car après Dix, qui est aussi le nombre des doigts de nos deux mains, on repart de l’Unité pour suivre la multiplicité. Donc la décade re</w:t>
      </w:r>
      <w:r w:rsidRPr="00320A86">
        <w:t>n</w:t>
      </w:r>
      <w:r w:rsidRPr="00320A86">
        <w:t>ferme le nombre selon l’Unité. Elle embrasse la nature des nombres dans son ense</w:t>
      </w:r>
      <w:r w:rsidRPr="00320A86">
        <w:t>m</w:t>
      </w:r>
      <w:r w:rsidRPr="00320A86">
        <w:t>ble (les corps planétaires qui parcourent le Ciel ne sont-ils pas au nombre de dix ?). La décade résume par ailleurs les dix opposés qui sont les princ</w:t>
      </w:r>
      <w:r w:rsidRPr="00320A86">
        <w:t>i</w:t>
      </w:r>
      <w:r w:rsidRPr="00320A86">
        <w:t>pes de tous les êtres. Il existe en effet, vous le savez, dix dualités fond</w:t>
      </w:r>
      <w:r w:rsidRPr="00320A86">
        <w:t>a</w:t>
      </w:r>
      <w:r w:rsidRPr="00320A86">
        <w:t>mentales, dont la première est la principale. Elles présentent, dans l’ordre, soit sous forme d’opposés, soit sous forme de contraires, le fini et l’infini, l’impair et le pair, l’un et le multiple, la droite et la gauche, le mâle et la femelle, le r</w:t>
      </w:r>
      <w:r w:rsidRPr="00320A86">
        <w:t>e</w:t>
      </w:r>
      <w:r w:rsidRPr="00320A86">
        <w:t>pos et le mouvement, le rectiligne et le courbe, le clair et le foncé, le bon et le mauvais, le ca</w:t>
      </w:r>
      <w:r w:rsidRPr="00320A86">
        <w:t>r</w:t>
      </w:r>
      <w:r w:rsidRPr="00320A86">
        <w:t>ré et le rectangle…</w:t>
      </w:r>
    </w:p>
    <w:p w14:paraId="615A70A5" w14:textId="77777777" w:rsidR="00B01930" w:rsidRPr="00320A86" w:rsidRDefault="00B01930" w:rsidP="00B01930">
      <w:pPr>
        <w:pStyle w:val="citation"/>
      </w:pPr>
      <w:r w:rsidRPr="00320A86">
        <w:t>Pourquoi dix dualités ? Parce que Dix est le nombre parfait et r</w:t>
      </w:r>
      <w:r w:rsidRPr="00320A86">
        <w:t>e</w:t>
      </w:r>
      <w:r w:rsidRPr="00320A86">
        <w:t>joint l’unité de l’être en tant que somme des quatre premiers nombres. Vous s</w:t>
      </w:r>
      <w:r w:rsidRPr="00320A86">
        <w:t>a</w:t>
      </w:r>
      <w:r w:rsidRPr="00320A86">
        <w:t>vez qu’il existe aussi des liens entre ces dualités : par exemple, l’infini est lié à l’obscurité, le fini à la l</w:t>
      </w:r>
      <w:r w:rsidRPr="00320A86">
        <w:t>u</w:t>
      </w:r>
      <w:r w:rsidRPr="00320A86">
        <w:t>mière et au feu, comme le montrent le ciel et les étoiles qui scintillent au-dessus de nous…</w:t>
      </w:r>
    </w:p>
    <w:p w14:paraId="65A041AE" w14:textId="77777777" w:rsidR="00B01930" w:rsidRPr="00320A86" w:rsidRDefault="00B01930" w:rsidP="00B01930">
      <w:pPr>
        <w:pStyle w:val="citation"/>
      </w:pPr>
      <w:r w:rsidRPr="00320A86">
        <w:t>Revenons à l’importance de la Tétrade. Si l’unité est renfermée dans le Dix, elle l’est aussi dans le Quatre avec la puissance qu’il contient et la fait revenir à elle-même. C’est d’ailleurs à partir des quatre premiers no</w:t>
      </w:r>
      <w:r w:rsidRPr="00320A86">
        <w:t>m</w:t>
      </w:r>
      <w:r w:rsidRPr="00320A86">
        <w:t>bres, des points et des lignes, que se forment les figures planes, puis les f</w:t>
      </w:r>
      <w:r w:rsidRPr="00320A86">
        <w:t>i</w:t>
      </w:r>
      <w:r w:rsidRPr="00320A86">
        <w:t>gures complexes. Avec la Tétrade, on passe de l’arithmétique à la géom</w:t>
      </w:r>
      <w:r w:rsidRPr="00320A86">
        <w:t>é</w:t>
      </w:r>
      <w:r w:rsidRPr="00320A86">
        <w:t>trie ! Avant l’évolution de toutes les formes géométriques et music</w:t>
      </w:r>
      <w:r w:rsidRPr="00320A86">
        <w:t>a</w:t>
      </w:r>
      <w:r w:rsidRPr="00320A86">
        <w:t>les que nous rencontrons dans la Nature !</w:t>
      </w:r>
    </w:p>
    <w:p w14:paraId="5004A4F3" w14:textId="77777777" w:rsidR="00B01930" w:rsidRPr="00320A86" w:rsidRDefault="00B01930" w:rsidP="00B01930">
      <w:pPr>
        <w:pStyle w:val="citation"/>
      </w:pPr>
      <w:r w:rsidRPr="00320A86">
        <w:t>Vous savez que tous ces calculs peuvent s’expliquer à partir de la m</w:t>
      </w:r>
      <w:r w:rsidRPr="00320A86">
        <w:t>a</w:t>
      </w:r>
      <w:r w:rsidRPr="00320A86">
        <w:t>nipulation des cailloux, ce qu’apprennent les apprentis de notre enseign</w:t>
      </w:r>
      <w:r w:rsidRPr="00320A86">
        <w:t>e</w:t>
      </w:r>
      <w:r w:rsidRPr="00320A86">
        <w:t xml:space="preserve">ment ! </w:t>
      </w:r>
    </w:p>
    <w:p w14:paraId="5D38D7F7" w14:textId="77777777" w:rsidR="00B01930" w:rsidRPr="00320A86" w:rsidRDefault="00B01930" w:rsidP="00B01930">
      <w:pPr>
        <w:pStyle w:val="citation"/>
      </w:pPr>
      <w:r w:rsidRPr="00320A86">
        <w:t>Si, à partir d’un caillou, vous alignez des lignes de cailloux dont ch</w:t>
      </w:r>
      <w:r w:rsidRPr="00320A86">
        <w:t>a</w:t>
      </w:r>
      <w:r w:rsidRPr="00320A86">
        <w:t>cune contient un caillou de plus que la précédente, vous obtenez un no</w:t>
      </w:r>
      <w:r w:rsidRPr="00320A86">
        <w:t>m</w:t>
      </w:r>
      <w:r w:rsidRPr="00320A86">
        <w:t>bre triangulaire. Pourquoi ? Parce que  les nombres qui forment les ch</w:t>
      </w:r>
      <w:r w:rsidRPr="00320A86">
        <w:t>o</w:t>
      </w:r>
      <w:r w:rsidRPr="00320A86">
        <w:t>ses sont aussi à la base des figures qui s’étalent dans l’espace. Si vous placez les uns sous les a</w:t>
      </w:r>
      <w:r w:rsidRPr="00320A86">
        <w:t>u</w:t>
      </w:r>
      <w:r w:rsidRPr="00320A86">
        <w:t>tres en les dessinant par exemple sur du sable, les quatre premiers nombres 1, 2, 3, 4, alignés côte à côte, vous obtenez la forme géométrique qui est le plus si</w:t>
      </w:r>
      <w:r w:rsidRPr="00320A86">
        <w:t>m</w:t>
      </w:r>
      <w:r w:rsidRPr="00320A86">
        <w:t>ple des corps parfaits : le triangle.</w:t>
      </w:r>
    </w:p>
    <w:p w14:paraId="68C208D4" w14:textId="77777777" w:rsidR="00B01930" w:rsidRPr="00320A86" w:rsidRDefault="00B01930" w:rsidP="00B01930">
      <w:pPr>
        <w:pStyle w:val="citation"/>
      </w:pPr>
      <w:r w:rsidRPr="00320A86">
        <w:t>Posés dans l’espace les uns sous les autres et alignés les uns à côté des autres, les quatre premiers nombres additionnés, forment la Tetraktys, qui, dans sa pe</w:t>
      </w:r>
      <w:r w:rsidRPr="00320A86">
        <w:t>r</w:t>
      </w:r>
      <w:r w:rsidRPr="00320A86">
        <w:t>fection, retrouve l’unité du Dix, et par-delà, l’unité de l’Être. C’est pour cela que dans notre confrérie, nous vous faisons pr</w:t>
      </w:r>
      <w:r w:rsidRPr="00320A86">
        <w:t>o</w:t>
      </w:r>
      <w:r w:rsidRPr="00320A86">
        <w:t>noncer le fameux serment sur la T</w:t>
      </w:r>
      <w:r w:rsidRPr="00320A86">
        <w:t>e</w:t>
      </w:r>
      <w:r w:rsidRPr="00320A86">
        <w:t>traktys…</w:t>
      </w:r>
    </w:p>
    <w:p w14:paraId="76D98EA5" w14:textId="77777777" w:rsidR="00B01930" w:rsidRPr="00320A86" w:rsidRDefault="00B01930" w:rsidP="00B01930">
      <w:pPr>
        <w:pStyle w:val="citation"/>
      </w:pPr>
      <w:r w:rsidRPr="00320A86">
        <w:t>Celui-ci signifie que la Tétraktys est la source de toute notre sagesse, le fo</w:t>
      </w:r>
      <w:r w:rsidRPr="00320A86">
        <w:t>n</w:t>
      </w:r>
      <w:r w:rsidRPr="00320A86">
        <w:t>dement perpétuel et la racine du Monde créé par le Dieu Premier et Éternel ! C’est le moment précis, mystérieux, où le simple nombre devient figure géom</w:t>
      </w:r>
      <w:r w:rsidRPr="00320A86">
        <w:t>é</w:t>
      </w:r>
      <w:r w:rsidRPr="00320A86">
        <w:t>trique !</w:t>
      </w:r>
    </w:p>
    <w:p w14:paraId="134243C9" w14:textId="77777777" w:rsidR="00B01930" w:rsidRPr="00320A86" w:rsidRDefault="00B01930" w:rsidP="00B01930">
      <w:pPr>
        <w:pStyle w:val="citation"/>
      </w:pPr>
      <w:r w:rsidRPr="00320A86">
        <w:t>Vous savez qu’ensuite, si vous alignez les séries de chiffres selon l’équerre, c’est-à-dire le Gnomon, outil de base de tous nos charpe</w:t>
      </w:r>
      <w:r w:rsidRPr="00320A86">
        <w:t>n</w:t>
      </w:r>
      <w:r w:rsidRPr="00320A86">
        <w:t>tiers, architectes et bâtisseurs, qui forme un angle droit : vous obtiendrez to</w:t>
      </w:r>
      <w:r w:rsidRPr="00320A86">
        <w:t>u</w:t>
      </w:r>
      <w:r w:rsidRPr="00320A86">
        <w:t>jours, à partir du nombre 1, la forme gé</w:t>
      </w:r>
      <w:r w:rsidRPr="00320A86">
        <w:t>o</w:t>
      </w:r>
      <w:r w:rsidRPr="00320A86">
        <w:t>métrique du carré, ou, à partir du nombre 2, la forme géométrique du rectangle. Comment cela ?</w:t>
      </w:r>
    </w:p>
    <w:p w14:paraId="702F2299" w14:textId="77777777" w:rsidR="00B01930" w:rsidRPr="00320A86" w:rsidRDefault="00B01930" w:rsidP="00B01930">
      <w:pPr>
        <w:pStyle w:val="citation"/>
      </w:pPr>
      <w:r w:rsidRPr="00320A86">
        <w:t>Partons de 1, symbole de l’Unité. Prenons 2 (symbole de la Dualité i</w:t>
      </w:r>
      <w:r w:rsidRPr="00320A86">
        <w:t>s</w:t>
      </w:r>
      <w:r w:rsidRPr="00320A86">
        <w:t>su de l’Unité démultipliée : 1+1). Ajoutons 2 à 1 (cela fait 3), puis 2 à 3, (cela fait 5), puis 2 à 5 (cela fait 7), et ainsi de suite. De la succession des nombres impairs (1, 3, 5, 7…) pos</w:t>
      </w:r>
      <w:r w:rsidRPr="00320A86">
        <w:t>i</w:t>
      </w:r>
      <w:r w:rsidRPr="00320A86">
        <w:t>tionnés dans l’espace en suivant le Gnomon, apparaît toujours géométriquement la f</w:t>
      </w:r>
      <w:r w:rsidRPr="00320A86">
        <w:t>i</w:t>
      </w:r>
      <w:r w:rsidRPr="00320A86">
        <w:t>gure du Carré !</w:t>
      </w:r>
    </w:p>
    <w:p w14:paraId="5B4F4AB5" w14:textId="77777777" w:rsidR="00B01930" w:rsidRPr="00320A86" w:rsidRDefault="00B01930" w:rsidP="00B01930">
      <w:pPr>
        <w:pStyle w:val="citation"/>
      </w:pPr>
      <w:r w:rsidRPr="00320A86">
        <w:t>Partons maintenant de 2. Ajoutons chaque fois 2 (2, 4, 6, 8…). Le Gnomon pair devient alors un Rectangle !</w:t>
      </w:r>
    </w:p>
    <w:p w14:paraId="0BF1D6CD" w14:textId="77777777" w:rsidR="00B01930" w:rsidRPr="00320A86" w:rsidRDefault="00B01930" w:rsidP="00B01930">
      <w:pPr>
        <w:pStyle w:val="citation"/>
      </w:pPr>
      <w:r w:rsidRPr="00320A86">
        <w:t>Triangle, Carré, Rectangle… Le Carré est la somme des nombres i</w:t>
      </w:r>
      <w:r w:rsidRPr="00320A86">
        <w:t>m</w:t>
      </w:r>
      <w:r w:rsidRPr="00320A86">
        <w:t>pairs succe</w:t>
      </w:r>
      <w:r w:rsidRPr="00320A86">
        <w:t>s</w:t>
      </w:r>
      <w:r w:rsidRPr="00320A86">
        <w:t>sifs. Le Rectangle est la somme des nombres pairs successifs. Avec seulement les qu</w:t>
      </w:r>
      <w:r w:rsidRPr="00320A86">
        <w:t>a</w:t>
      </w:r>
      <w:r w:rsidRPr="00320A86">
        <w:t>tre premiers chiffres, vous obtenez les trois figures géométriques fondamentales ! Avant d’aller plus loin, je veux vérifier si vous n’avez pas tout oublié de nos leçons. Quels sont les nombres linéa</w:t>
      </w:r>
      <w:r w:rsidRPr="00320A86">
        <w:t>i</w:t>
      </w:r>
      <w:r w:rsidRPr="00320A86">
        <w:t>res, qui ne forment aucune figure ?</w:t>
      </w:r>
    </w:p>
    <w:p w14:paraId="57CA302B" w14:textId="77777777" w:rsidR="00B01930" w:rsidRPr="00320A86" w:rsidRDefault="00B01930" w:rsidP="00B01930">
      <w:pPr>
        <w:pStyle w:val="citation"/>
      </w:pPr>
      <w:r w:rsidRPr="00320A86">
        <w:t>–  Trois et cinq ! crient ensemble les disciples impliqués, amusés par l’exercice mnémonique du Maître…</w:t>
      </w:r>
    </w:p>
    <w:p w14:paraId="02A6B638" w14:textId="77777777" w:rsidR="00B01930" w:rsidRPr="00320A86" w:rsidRDefault="00B01930" w:rsidP="00B01930">
      <w:pPr>
        <w:pStyle w:val="citation"/>
      </w:pPr>
      <w:r w:rsidRPr="00320A86">
        <w:t>– Et les nombres carrés, c’est-à-dire qui forment un Carré ?</w:t>
      </w:r>
    </w:p>
    <w:p w14:paraId="50A93897" w14:textId="77777777" w:rsidR="00B01930" w:rsidRPr="00320A86" w:rsidRDefault="00B01930" w:rsidP="00B01930">
      <w:pPr>
        <w:pStyle w:val="citation"/>
      </w:pPr>
      <w:r w:rsidRPr="00320A86">
        <w:t>– 4 et 9…</w:t>
      </w:r>
    </w:p>
    <w:p w14:paraId="06ECE62F" w14:textId="77777777" w:rsidR="00B01930" w:rsidRPr="00320A86" w:rsidRDefault="00B01930" w:rsidP="00B01930">
      <w:pPr>
        <w:pStyle w:val="citation"/>
      </w:pPr>
      <w:r w:rsidRPr="00320A86">
        <w:t>– Et les nombres triangulaires, obtenus par addition ?</w:t>
      </w:r>
    </w:p>
    <w:p w14:paraId="49473DB7" w14:textId="77777777" w:rsidR="00B01930" w:rsidRPr="00320A86" w:rsidRDefault="00B01930" w:rsidP="00B01930">
      <w:pPr>
        <w:pStyle w:val="citation"/>
      </w:pPr>
      <w:r w:rsidRPr="00320A86">
        <w:t>– 6 (1 + 2 + 3) et 10 (1 + 2 + 3   4)…</w:t>
      </w:r>
    </w:p>
    <w:p w14:paraId="4D176880" w14:textId="77777777" w:rsidR="00B01930" w:rsidRPr="00320A86" w:rsidRDefault="00B01930" w:rsidP="00B01930">
      <w:pPr>
        <w:pStyle w:val="citation"/>
      </w:pPr>
      <w:r w:rsidRPr="00320A86">
        <w:t>– Et les nombres oblongs, qui forment des Rectangles, qui mettent en év</w:t>
      </w:r>
      <w:r w:rsidRPr="00320A86">
        <w:t>i</w:t>
      </w:r>
      <w:r w:rsidRPr="00320A86">
        <w:t>dence les diviseurs d’un nombre et leur multiplication ?</w:t>
      </w:r>
    </w:p>
    <w:p w14:paraId="1610DA3C" w14:textId="77777777" w:rsidR="00B01930" w:rsidRPr="00320A86" w:rsidRDefault="00B01930" w:rsidP="00B01930">
      <w:pPr>
        <w:pStyle w:val="citation"/>
      </w:pPr>
      <w:r w:rsidRPr="00320A86">
        <w:t>– 6, 8 et 12…</w:t>
      </w:r>
    </w:p>
    <w:p w14:paraId="1F90DA35" w14:textId="77777777" w:rsidR="00B01930" w:rsidRPr="00320A86" w:rsidRDefault="00B01930" w:rsidP="00B01930">
      <w:pPr>
        <w:pStyle w:val="citation"/>
      </w:pPr>
      <w:r w:rsidRPr="00320A86">
        <w:t>– Quels sont les deux premiers nombres solides, permettant d’obtenir des f</w:t>
      </w:r>
      <w:r w:rsidRPr="00320A86">
        <w:t>i</w:t>
      </w:r>
      <w:r w:rsidRPr="00320A86">
        <w:t>gures à trois dimensions ?</w:t>
      </w:r>
    </w:p>
    <w:p w14:paraId="130FF5C1" w14:textId="77777777" w:rsidR="00B01930" w:rsidRPr="00320A86" w:rsidRDefault="00B01930" w:rsidP="00B01930">
      <w:pPr>
        <w:pStyle w:val="citation"/>
      </w:pPr>
      <w:r w:rsidRPr="00320A86">
        <w:t>– 2</w:t>
      </w:r>
      <w:r w:rsidRPr="00320A86">
        <w:rPr>
          <w:vertAlign w:val="superscript"/>
        </w:rPr>
        <w:t>3</w:t>
      </w:r>
      <w:r w:rsidRPr="00320A86">
        <w:t xml:space="preserve"> et 3</w:t>
      </w:r>
      <w:r w:rsidRPr="00320A86">
        <w:rPr>
          <w:vertAlign w:val="superscript"/>
        </w:rPr>
        <w:t>3</w:t>
      </w:r>
      <w:r w:rsidRPr="00320A86">
        <w:t>…</w:t>
      </w:r>
    </w:p>
    <w:p w14:paraId="6653A010" w14:textId="77777777" w:rsidR="00B01930" w:rsidRPr="00320A86" w:rsidRDefault="00B01930" w:rsidP="00B01930">
      <w:pPr>
        <w:pStyle w:val="citation"/>
      </w:pPr>
      <w:r w:rsidRPr="00320A86">
        <w:t>– Quelle est la somme des cubes des quatre premiers nombres ?</w:t>
      </w:r>
    </w:p>
    <w:p w14:paraId="3130736F" w14:textId="77777777" w:rsidR="00B01930" w:rsidRPr="00320A86" w:rsidRDefault="00B01930" w:rsidP="00B01930">
      <w:pPr>
        <w:pStyle w:val="citation"/>
      </w:pPr>
      <w:r w:rsidRPr="00320A86">
        <w:t>– 1</w:t>
      </w:r>
      <w:r w:rsidRPr="00320A86">
        <w:rPr>
          <w:vertAlign w:val="superscript"/>
        </w:rPr>
        <w:t>3</w:t>
      </w:r>
      <w:r w:rsidRPr="00320A86">
        <w:t xml:space="preserve"> + 2</w:t>
      </w:r>
      <w:r w:rsidRPr="00320A86">
        <w:rPr>
          <w:vertAlign w:val="superscript"/>
        </w:rPr>
        <w:t>3</w:t>
      </w:r>
      <w:r w:rsidRPr="00320A86">
        <w:t xml:space="preserve"> + 3</w:t>
      </w:r>
      <w:r w:rsidRPr="00320A86">
        <w:rPr>
          <w:vertAlign w:val="superscript"/>
        </w:rPr>
        <w:t>3</w:t>
      </w:r>
      <w:r w:rsidRPr="00320A86">
        <w:t xml:space="preserve"> + 4</w:t>
      </w:r>
      <w:r w:rsidRPr="00320A86">
        <w:rPr>
          <w:vertAlign w:val="superscript"/>
        </w:rPr>
        <w:t>3</w:t>
      </w:r>
      <w:r w:rsidRPr="00320A86">
        <w:t xml:space="preserve"> = 1 + 8 + 27 + 64 = 100… »</w:t>
      </w:r>
    </w:p>
    <w:p w14:paraId="2AC93933" w14:textId="77777777" w:rsidR="00B01930" w:rsidRPr="00320A86" w:rsidRDefault="00B01930" w:rsidP="00B01930">
      <w:pPr>
        <w:pStyle w:val="citation"/>
      </w:pPr>
      <w:r w:rsidRPr="00320A86">
        <w:t>Les mathématikoï sourient, fiers de leurs réponses. Satisfait de l’apprentissage des leçons, le Maître poursuit :</w:t>
      </w:r>
    </w:p>
    <w:p w14:paraId="04A42522" w14:textId="77777777" w:rsidR="00B01930" w:rsidRPr="00320A86" w:rsidRDefault="00B01930" w:rsidP="00B01930">
      <w:pPr>
        <w:pStyle w:val="citation"/>
      </w:pPr>
      <w:r w:rsidRPr="00320A86">
        <w:t>« Vous voyez que multiplié à la puissance, 1 reste toujours 1, c’est-à-dire le sy</w:t>
      </w:r>
      <w:r w:rsidRPr="00320A86">
        <w:t>m</w:t>
      </w:r>
      <w:r w:rsidRPr="00320A86">
        <w:t xml:space="preserve">bole de l’Un, de l’Inchangé, du Dieu Premier… </w:t>
      </w:r>
    </w:p>
    <w:p w14:paraId="28314765" w14:textId="77777777" w:rsidR="00B01930" w:rsidRPr="00320A86" w:rsidRDefault="00B01930" w:rsidP="00B01930">
      <w:pPr>
        <w:pStyle w:val="citation"/>
      </w:pPr>
      <w:r w:rsidRPr="00320A86">
        <w:t>Je m’aperçois que je viens d’oublier ce qui est aussi le symbole du s</w:t>
      </w:r>
      <w:r w:rsidRPr="00320A86">
        <w:t>a</w:t>
      </w:r>
      <w:r w:rsidRPr="00320A86">
        <w:t>voir de notre École : le chiffre 5, ou Pentade, représenté par le pent</w:t>
      </w:r>
      <w:r w:rsidRPr="00320A86">
        <w:t>a</w:t>
      </w:r>
      <w:r w:rsidRPr="00320A86">
        <w:t>gramme que je po</w:t>
      </w:r>
      <w:r w:rsidRPr="00320A86">
        <w:t>r</w:t>
      </w:r>
      <w:r w:rsidRPr="00320A86">
        <w:t>te sur ma toge… C’est le chiffre de l’hypothénuse, le grand côté du triangle pa</w:t>
      </w:r>
      <w:r w:rsidRPr="00320A86">
        <w:t>r</w:t>
      </w:r>
      <w:r w:rsidRPr="00320A86">
        <w:t>fait avec ses deux autres côtés de 3 et de 4. Ce nombre est aussi représenté en musique par la qui</w:t>
      </w:r>
      <w:r w:rsidRPr="00320A86">
        <w:t>n</w:t>
      </w:r>
      <w:r w:rsidRPr="00320A86">
        <w:t>te, qui donne la note dominante de notre gamme musicale. La Pentade est produite par la f</w:t>
      </w:r>
      <w:r w:rsidRPr="00320A86">
        <w:t>u</w:t>
      </w:r>
      <w:r w:rsidRPr="00320A86">
        <w:t>sion du premier pair féminin, 2, et par le pr</w:t>
      </w:r>
      <w:r w:rsidRPr="00320A86">
        <w:t>e</w:t>
      </w:r>
      <w:r w:rsidRPr="00320A86">
        <w:t>mier impair masculin, 3. Ajoutée à elle même, nous obtenons la Décade (5 + 5 + = 10). Chacune de nos mains n’a-t-elle pas 5 doigts ? Et combien y a-t-il de cercles céle</w:t>
      </w:r>
      <w:r w:rsidRPr="00320A86">
        <w:t>s</w:t>
      </w:r>
      <w:r w:rsidRPr="00320A86">
        <w:t>tes ?…</w:t>
      </w:r>
    </w:p>
    <w:p w14:paraId="058CB075" w14:textId="77777777" w:rsidR="00B01930" w:rsidRPr="00320A86" w:rsidRDefault="00B01930" w:rsidP="00B01930">
      <w:pPr>
        <w:pStyle w:val="citation"/>
      </w:pPr>
      <w:r w:rsidRPr="00320A86">
        <w:t>Restons-en là pour ce soir, peut-être après vos « distractions » antéc</w:t>
      </w:r>
      <w:r w:rsidRPr="00320A86">
        <w:t>e</w:t>
      </w:r>
      <w:r w:rsidRPr="00320A86">
        <w:t>dentes, sans aller plus loin en ce qui concerne la construction de solides à partir de formes él</w:t>
      </w:r>
      <w:r w:rsidRPr="00320A86">
        <w:t>é</w:t>
      </w:r>
      <w:r w:rsidRPr="00320A86">
        <w:t>mentaires de triangles, qui, assemblées entre eux, à des carrés ou à des rectangles, donnent, vous le savez, des tétraèdres, des cubes, des octaèdres, des icosaèdres, n</w:t>
      </w:r>
      <w:r w:rsidRPr="00320A86">
        <w:t>o</w:t>
      </w:r>
      <w:r w:rsidRPr="00320A86">
        <w:t>tamment, eux qui sont à la base du feu, de la terre, de l’air et de l’eau, et de toutes les formes que nous perc</w:t>
      </w:r>
      <w:r w:rsidRPr="00320A86">
        <w:t>e</w:t>
      </w:r>
      <w:r w:rsidRPr="00320A86">
        <w:t>vons de façon sensible qui comp</w:t>
      </w:r>
      <w:r w:rsidRPr="00320A86">
        <w:t>o</w:t>
      </w:r>
      <w:r w:rsidRPr="00320A86">
        <w:t>sent l’univers.</w:t>
      </w:r>
    </w:p>
    <w:p w14:paraId="015A25EA" w14:textId="77777777" w:rsidR="00B01930" w:rsidRPr="00320A86" w:rsidRDefault="00B01930" w:rsidP="00B01930">
      <w:pPr>
        <w:pStyle w:val="citation"/>
      </w:pPr>
      <w:r w:rsidRPr="00320A86">
        <w:t>Pour en revenir aux nombres, à leur suite et à leurs liaisons, rapp</w:t>
      </w:r>
      <w:r w:rsidRPr="00320A86">
        <w:t>e</w:t>
      </w:r>
      <w:r w:rsidRPr="00320A86">
        <w:t>lons-nous que l’Illimité, c’est le nombre pair, qui entouré et limité par l’impair, confère aux êtres leur illimitation, c’est-à-dire que vous po</w:t>
      </w:r>
      <w:r w:rsidRPr="00320A86">
        <w:t>u</w:t>
      </w:r>
      <w:r w:rsidRPr="00320A86">
        <w:t>vez les diviser à l’infini, ce qui correspond à la puissance du continu, la limite étant la forme. La preuve, c’est que si vous ajoutez les gnomon impairs autour de l’Unité, vous obtenez toujours une figure identique. C</w:t>
      </w:r>
      <w:r w:rsidRPr="00320A86">
        <w:t>e</w:t>
      </w:r>
      <w:r w:rsidRPr="00320A86">
        <w:t>pendant, si vous ajoutez les gnomons pairs sans partir de l’Unité, la figure est toujours a</w:t>
      </w:r>
      <w:r w:rsidRPr="00320A86">
        <w:t>u</w:t>
      </w:r>
      <w:r w:rsidRPr="00320A86">
        <w:t>tre. L’Illimité est le nombre pair, pa</w:t>
      </w:r>
      <w:r w:rsidRPr="00320A86">
        <w:t>r</w:t>
      </w:r>
      <w:r w:rsidRPr="00320A86">
        <w:t>ce que tout nombre pair est divisible en deux parties égales jusqu’à l’infini. L’addition d’un nombre impair l</w:t>
      </w:r>
      <w:r w:rsidRPr="00320A86">
        <w:t>i</w:t>
      </w:r>
      <w:r w:rsidRPr="00320A86">
        <w:t>mite le pair, i</w:t>
      </w:r>
      <w:r w:rsidRPr="00320A86">
        <w:t>n</w:t>
      </w:r>
      <w:r w:rsidRPr="00320A86">
        <w:t>terdisant la division en moitiés égales. La division, je le précise, ne s’applique pas aux nombres, mais aux grandeurs. L’illimité est donc une substance, mais aussi une matière que l’on peut d</w:t>
      </w:r>
      <w:r w:rsidRPr="00320A86">
        <w:t>i</w:t>
      </w:r>
      <w:r w:rsidRPr="00320A86">
        <w:t>viser en partie.</w:t>
      </w:r>
    </w:p>
    <w:p w14:paraId="7A6D3854" w14:textId="77777777" w:rsidR="00B01930" w:rsidRPr="00320A86" w:rsidRDefault="00B01930" w:rsidP="00B01930">
      <w:pPr>
        <w:pStyle w:val="citation"/>
      </w:pPr>
      <w:r w:rsidRPr="00320A86">
        <w:t>Laissons-là les chiffres seuls ou en série, ainsi que les figures, qui pourraient nous amener très loin, puisque des nombres, naissent les points, des points, les lignes, des lignes, les figures planes, des figures planes, les figures solides à trois dimensions, des figures solides, les corps sens</w:t>
      </w:r>
      <w:r w:rsidRPr="00320A86">
        <w:t>i</w:t>
      </w:r>
      <w:r w:rsidRPr="00320A86">
        <w:t>bles…</w:t>
      </w:r>
    </w:p>
    <w:p w14:paraId="4B16E2CE" w14:textId="77777777" w:rsidR="00B01930" w:rsidRPr="00320A86" w:rsidRDefault="00B01930" w:rsidP="00B01930">
      <w:pPr>
        <w:pStyle w:val="citation"/>
      </w:pPr>
      <w:r w:rsidRPr="00320A86">
        <w:t xml:space="preserve">Passons maintenant aux logoï numériques. </w:t>
      </w:r>
    </w:p>
    <w:p w14:paraId="4807DA9E" w14:textId="77777777" w:rsidR="00B01930" w:rsidRPr="00320A86" w:rsidRDefault="00B01930" w:rsidP="00B01930">
      <w:pPr>
        <w:pStyle w:val="citation"/>
      </w:pPr>
      <w:r w:rsidRPr="00320A86">
        <w:t>Les nombres, vous l’avez toutes et tous compris, produisent, lor</w:t>
      </w:r>
      <w:r w:rsidRPr="00320A86">
        <w:t>s</w:t>
      </w:r>
      <w:r w:rsidRPr="00320A86">
        <w:t>qu’on les met en relations entre eux, des proportions arithmétiques, géométr</w:t>
      </w:r>
      <w:r w:rsidRPr="00320A86">
        <w:t>i</w:t>
      </w:r>
      <w:r w:rsidRPr="00320A86">
        <w:t>ques et ha</w:t>
      </w:r>
      <w:r w:rsidRPr="00320A86">
        <w:t>r</w:t>
      </w:r>
      <w:r w:rsidRPr="00320A86">
        <w:t>moniques.</w:t>
      </w:r>
    </w:p>
    <w:p w14:paraId="705ABACF" w14:textId="77777777" w:rsidR="00B01930" w:rsidRPr="00320A86" w:rsidRDefault="00B01930" w:rsidP="00B01930">
      <w:pPr>
        <w:pStyle w:val="citation"/>
      </w:pPr>
      <w:r w:rsidRPr="00320A86">
        <w:t>Avant, permettez-moi de vous rappeler comment j’ai découvert, par hasard, l’Intelligence pure du Dieu, cet intellect immanent fondé sur les nombres et sur l’harmonie de leurs logoï, c’est-à-dire de leurs proportions et relations entre eux.</w:t>
      </w:r>
    </w:p>
    <w:p w14:paraId="63BD881D" w14:textId="77777777" w:rsidR="00B01930" w:rsidRPr="00320A86" w:rsidRDefault="00B01930" w:rsidP="00B01930">
      <w:pPr>
        <w:pStyle w:val="citation"/>
      </w:pPr>
      <w:r w:rsidRPr="00320A86">
        <w:t>Un jour où je réfléchissais à la façon de concevoir un instrument utile pour s</w:t>
      </w:r>
      <w:r w:rsidRPr="00320A86">
        <w:t>e</w:t>
      </w:r>
      <w:r w:rsidRPr="00320A86">
        <w:t>conder l’oreille, à la manière de l’équerre qui aide l’architecte dans ses calculs, je passais devant l’atelier d’un chaudronnier qui fra</w:t>
      </w:r>
      <w:r w:rsidRPr="00320A86">
        <w:t>p</w:t>
      </w:r>
      <w:r w:rsidRPr="00320A86">
        <w:t>pait avec régularité des morceaux de fer. À ma grande surprise, cela pr</w:t>
      </w:r>
      <w:r w:rsidRPr="00320A86">
        <w:t>o</w:t>
      </w:r>
      <w:r w:rsidRPr="00320A86">
        <w:t>duisait une musique répétitive et harmonieuse ! Chaque coup créait des sons diff</w:t>
      </w:r>
      <w:r w:rsidRPr="00320A86">
        <w:t>é</w:t>
      </w:r>
      <w:r w:rsidRPr="00320A86">
        <w:t>rents, certains consonants, d’autres dissonants. C</w:t>
      </w:r>
      <w:r w:rsidRPr="00320A86">
        <w:t>e</w:t>
      </w:r>
      <w:r w:rsidRPr="00320A86">
        <w:t>lui entre la quarte et la quinte sonnait mal, mais complétait les autres. J’arrêtais ma promenade et ma méditation, entrais dans l’atelier de l’artisan. Après l’avoir salué, je compris rapidement, alors qu’il reprenait les rythmes de son travail, que les sons différents étaient le fait de marteaux de poids inégal. L’un de 6 l</w:t>
      </w:r>
      <w:r w:rsidRPr="00320A86">
        <w:t>i</w:t>
      </w:r>
      <w:r w:rsidRPr="00320A86">
        <w:t>vres, l’autre de 12 livres, dans un rapport de 1/2, donnaient une octave pa</w:t>
      </w:r>
      <w:r w:rsidRPr="00320A86">
        <w:t>r</w:t>
      </w:r>
      <w:r w:rsidRPr="00320A86">
        <w:t>faite. Celui de 8 livres et celui de 12 livres, d’un rapport de 2/3, une qui</w:t>
      </w:r>
      <w:r w:rsidRPr="00320A86">
        <w:t>n</w:t>
      </w:r>
      <w:r w:rsidRPr="00320A86">
        <w:t>te. Celui de 9 livres, par rapport à celui de 12 l</w:t>
      </w:r>
      <w:r w:rsidRPr="00320A86">
        <w:t>i</w:t>
      </w:r>
      <w:r w:rsidRPr="00320A86">
        <w:t>vres, avec un rapport de 3/4, soit une quarte. À mon retour, je confirmais la découverte en suspe</w:t>
      </w:r>
      <w:r w:rsidRPr="00320A86">
        <w:t>n</w:t>
      </w:r>
      <w:r w:rsidRPr="00320A86">
        <w:t>dant des cordes de différentes longueurs lestées de poids à une pla</w:t>
      </w:r>
      <w:r w:rsidRPr="00320A86">
        <w:t>n</w:t>
      </w:r>
      <w:r w:rsidRPr="00320A86">
        <w:t>che de bois. La corde pincée livrait de même un son à l’octave avec un poids d’un demi par rapport au poids le plus lourd, un son à la quinte avec un poids de deux tiers, un son à la quarte avec un poids de trois quarts de celui du plus lourd. Je fabriquais aussitôt un in</w:t>
      </w:r>
      <w:r w:rsidRPr="00320A86">
        <w:t>s</w:t>
      </w:r>
      <w:r w:rsidRPr="00320A86">
        <w:t>trument formé d’une seule corde en boyau bien te</w:t>
      </w:r>
      <w:r w:rsidRPr="00320A86">
        <w:t>n</w:t>
      </w:r>
      <w:r w:rsidRPr="00320A86">
        <w:t>du et d’un petit taquet mobile de bois sous celle-ci, posé sur une planche un peu plus large. En dépl</w:t>
      </w:r>
      <w:r w:rsidRPr="00320A86">
        <w:t>a</w:t>
      </w:r>
      <w:r w:rsidRPr="00320A86">
        <w:t>çant le bois vers la droite ou vers la gauche, j’obtenais, soit des sons montants, soit des sons descendants et proportionnés de la même mani</w:t>
      </w:r>
      <w:r w:rsidRPr="00320A86">
        <w:t>è</w:t>
      </w:r>
      <w:r w:rsidRPr="00320A86">
        <w:t>re…</w:t>
      </w:r>
    </w:p>
    <w:p w14:paraId="791BB68B" w14:textId="77777777" w:rsidR="00B01930" w:rsidRPr="00320A86" w:rsidRDefault="00B01930" w:rsidP="00B01930">
      <w:pPr>
        <w:pStyle w:val="citation"/>
      </w:pPr>
      <w:r w:rsidRPr="00320A86">
        <w:t>Ainsi, notons le tous : les objets produisent sur terre des sons diff</w:t>
      </w:r>
      <w:r w:rsidRPr="00320A86">
        <w:t>é</w:t>
      </w:r>
      <w:r w:rsidRPr="00320A86">
        <w:t>rents, qui, selon les proportions de leur mouvement et de leur poids, do</w:t>
      </w:r>
      <w:r w:rsidRPr="00320A86">
        <w:t>n</w:t>
      </w:r>
      <w:r w:rsidRPr="00320A86">
        <w:t>nent des cons</w:t>
      </w:r>
      <w:r w:rsidRPr="00320A86">
        <w:t>o</w:t>
      </w:r>
      <w:r w:rsidRPr="00320A86">
        <w:t>nances ou des dissonances. De même, les Astres du ciel, le Soleil et la Lune, toutes les étoiles, gra</w:t>
      </w:r>
      <w:r w:rsidRPr="00320A86">
        <w:t>n</w:t>
      </w:r>
      <w:r w:rsidRPr="00320A86">
        <w:t>des en taille et en nombre, par les différences de leur vitesse et de leurs distances, e</w:t>
      </w:r>
      <w:r w:rsidRPr="00320A86">
        <w:t>n</w:t>
      </w:r>
      <w:r w:rsidRPr="00320A86">
        <w:t>tretiennent des rapports semblables à ceux des rapports musicaux sur Terre. Ils pr</w:t>
      </w:r>
      <w:r w:rsidRPr="00320A86">
        <w:t>o</w:t>
      </w:r>
      <w:r w:rsidRPr="00320A86">
        <w:t>duisent, de même que sur Terre, une musique qui émet des sons immensément grands et proportionnés de façon consonante. Près des Dieux et des Muses qui les servent, la beauté ne règne-t-elle pas ainsi totalement ? Il y a donc dans le Ciel une Musique des Sph</w:t>
      </w:r>
      <w:r w:rsidRPr="00320A86">
        <w:t>è</w:t>
      </w:r>
      <w:r w:rsidRPr="00320A86">
        <w:t xml:space="preserve">res, comme il y a une musique sur Terre ! </w:t>
      </w:r>
    </w:p>
    <w:p w14:paraId="3736F5EC" w14:textId="77777777" w:rsidR="00B01930" w:rsidRDefault="00B01930" w:rsidP="00B01930">
      <w:pPr>
        <w:pStyle w:val="citation"/>
      </w:pPr>
      <w:r w:rsidRPr="00320A86">
        <w:t>Ce sont bien les nombres qui définissent les attributs et les proportions des éche</w:t>
      </w:r>
      <w:r w:rsidRPr="00320A86">
        <w:t>l</w:t>
      </w:r>
      <w:r w:rsidRPr="00320A86">
        <w:t>les musicales du Ciel, dans le monde supralunaire de l’illimité et de l’infini du monde qui nous est inaudible, comme dans celui sublunaire, sans oublier la Lune, Terre éthérée et île où vivent les Bons et les Bie</w:t>
      </w:r>
      <w:r w:rsidRPr="00320A86">
        <w:t>n</w:t>
      </w:r>
      <w:r w:rsidRPr="00320A86">
        <w:t>heureux entre les deux Mondes. J’entends par là ceux des âmes des ho</w:t>
      </w:r>
      <w:r w:rsidRPr="00320A86">
        <w:t>m</w:t>
      </w:r>
      <w:r w:rsidRPr="00320A86">
        <w:t>mes vertueux qui sont purifiées et baignent pour l’éternité dans le Cosmos, bercées par la Musique des Sph</w:t>
      </w:r>
      <w:r w:rsidRPr="00320A86">
        <w:t>è</w:t>
      </w:r>
      <w:r w:rsidRPr="00320A86">
        <w:t>res… »</w:t>
      </w:r>
    </w:p>
    <w:p w14:paraId="5285294A" w14:textId="77777777" w:rsidR="00B01930" w:rsidRPr="00320A86" w:rsidRDefault="00B01930" w:rsidP="00B01930">
      <w:pPr>
        <w:pStyle w:val="citation"/>
      </w:pPr>
    </w:p>
    <w:p w14:paraId="598DCB75" w14:textId="77777777" w:rsidR="00B01930" w:rsidRPr="00320A86" w:rsidRDefault="00B01930" w:rsidP="00B01930">
      <w:pPr>
        <w:spacing w:before="120" w:after="120"/>
        <w:jc w:val="both"/>
      </w:pPr>
      <w:r w:rsidRPr="00320A86">
        <w:t>À ces mots le Maître désigne par son bras, d’un geste lent et circ</w:t>
      </w:r>
      <w:r w:rsidRPr="00320A86">
        <w:t>u</w:t>
      </w:r>
      <w:r w:rsidRPr="00320A86">
        <w:t>laire la voûte céleste. L’assemblée, émerveillée, regarde vers le haut.</w:t>
      </w:r>
    </w:p>
    <w:p w14:paraId="2FC31D99" w14:textId="77777777" w:rsidR="00B01930" w:rsidRDefault="00B01930" w:rsidP="00B01930">
      <w:pPr>
        <w:spacing w:before="120" w:after="120"/>
        <w:jc w:val="both"/>
      </w:pPr>
      <w:r w:rsidRPr="00320A86">
        <w:t xml:space="preserve">Soudain, un </w:t>
      </w:r>
      <w:r w:rsidRPr="00DB503D">
        <w:rPr>
          <w:i/>
        </w:rPr>
        <w:t>nomothètikos</w:t>
      </w:r>
      <w:r w:rsidRPr="00320A86">
        <w:t xml:space="preserve"> se lève et pose cette question : </w:t>
      </w:r>
    </w:p>
    <w:p w14:paraId="6B53451B" w14:textId="77777777" w:rsidR="00B01930" w:rsidRPr="00320A86" w:rsidRDefault="00B01930" w:rsidP="00B01930">
      <w:pPr>
        <w:pStyle w:val="citation"/>
      </w:pPr>
      <w:r w:rsidRPr="00320A86">
        <w:t>– Maître, permets-moi de t’interrompre… Si cette Musique des Sph</w:t>
      </w:r>
      <w:r w:rsidRPr="00320A86">
        <w:t>è</w:t>
      </w:r>
      <w:r w:rsidRPr="00320A86">
        <w:t>res exi</w:t>
      </w:r>
      <w:r w:rsidRPr="00320A86">
        <w:t>s</w:t>
      </w:r>
      <w:r w:rsidRPr="00320A86">
        <w:t>te vraiment, ne devrions-nous pas l’entendre, surtout par cette nuit d’été où l’on voit si bien la Lune et toutes les étoiles dans la Voie lactée ?</w:t>
      </w:r>
    </w:p>
    <w:p w14:paraId="748F046E" w14:textId="77777777" w:rsidR="00B01930" w:rsidRPr="00320A86" w:rsidRDefault="00B01930" w:rsidP="00B01930">
      <w:pPr>
        <w:spacing w:before="120" w:after="120"/>
        <w:jc w:val="both"/>
      </w:pPr>
      <w:r w:rsidRPr="00320A86">
        <w:t>– </w:t>
      </w:r>
      <w:r w:rsidRPr="00DB503D">
        <w:rPr>
          <w:i/>
        </w:rPr>
        <w:t>Sot</w:t>
      </w:r>
      <w:r w:rsidRPr="00320A86">
        <w:t xml:space="preserve"> ! lance l’interpelé brandissant son bâton d’olivier en raison de cette énormité, aux éclats de rires de l’auditoire.</w:t>
      </w:r>
    </w:p>
    <w:p w14:paraId="2DA9F842" w14:textId="77777777" w:rsidR="00B01930" w:rsidRDefault="00B01930" w:rsidP="00B01930">
      <w:pPr>
        <w:pStyle w:val="citation"/>
      </w:pPr>
    </w:p>
    <w:p w14:paraId="6CA5BF09" w14:textId="77777777" w:rsidR="00B01930" w:rsidRPr="00320A86" w:rsidRDefault="00B01930" w:rsidP="00B01930">
      <w:pPr>
        <w:pStyle w:val="citation"/>
      </w:pPr>
      <w:r w:rsidRPr="00320A86">
        <w:t>– Il faut sans cesse relier toutes les parties de l’Univers ! Ne vous e</w:t>
      </w:r>
      <w:r w:rsidRPr="00320A86">
        <w:t>n</w:t>
      </w:r>
      <w:r w:rsidRPr="00320A86">
        <w:t>fermez-pas dans les matières auxquelles vous avez été initiés et que vous répétez comme des litanies de l’oracle de Delphes ! La Musique des Sph</w:t>
      </w:r>
      <w:r w:rsidRPr="00320A86">
        <w:t>è</w:t>
      </w:r>
      <w:r w:rsidRPr="00320A86">
        <w:t>res a frappé vos oreilles uniqu</w:t>
      </w:r>
      <w:r w:rsidRPr="00320A86">
        <w:t>e</w:t>
      </w:r>
      <w:r w:rsidRPr="00320A86">
        <w:t>ment à l’instant où vous êtes nés ! Vous l’avez oublié ! On ne peut la concevoir que dans le monde intelligible ! Point sur Terre ! Dans le monde d’Ici-bas, très éloigné du Ciel, vous ne pouvez distinguer directement ce son par rapport au s</w:t>
      </w:r>
      <w:r w:rsidRPr="00320A86">
        <w:t>i</w:t>
      </w:r>
      <w:r w:rsidRPr="00320A86">
        <w:t>lence qui est son contraire, et surtout par rapport aux milliers de bruits de la vie sensible qui contr</w:t>
      </w:r>
      <w:r w:rsidRPr="00320A86">
        <w:t>a</w:t>
      </w:r>
      <w:r w:rsidRPr="00320A86">
        <w:t>rient ou charment nos oreilles, selon qu’ils obéissent ou non aux lois des mathématiques et des intervalles harmonieux. Le forgeron dont je pa</w:t>
      </w:r>
      <w:r w:rsidRPr="00320A86">
        <w:t>r</w:t>
      </w:r>
      <w:r w:rsidRPr="00320A86">
        <w:t>lais précédemment était indifférent à la musique qu’il faisait, en raison des bruits extérieurs et de son ignorance des nombres. La merveilleuse Mus</w:t>
      </w:r>
      <w:r w:rsidRPr="00320A86">
        <w:t>i</w:t>
      </w:r>
      <w:r w:rsidRPr="00320A86">
        <w:t>que des Sphères est réservée aux hommes qui ont été bons et justes sur cette terre, et dont les âmes ont quitté le corps pour rejoindre la Grande Prairie, dont j’ai parlé à certains, qui peuvent contempler dire</w:t>
      </w:r>
      <w:r w:rsidRPr="00320A86">
        <w:t>c</w:t>
      </w:r>
      <w:r w:rsidRPr="00320A86">
        <w:t>tement le Cosmos sous la lumière blanche qui l’irrigue ! Eux seuls pou</w:t>
      </w:r>
      <w:r w:rsidRPr="00320A86">
        <w:t>r</w:t>
      </w:r>
      <w:r w:rsidRPr="00320A86">
        <w:t>ront l’entendre dans le Ciel ! Ne soyez donc pas si impatients ! Vous restez des vivants bienhe</w:t>
      </w:r>
      <w:r w:rsidRPr="00320A86">
        <w:t>u</w:t>
      </w:r>
      <w:r w:rsidRPr="00320A86">
        <w:t>reux parmi nous au sein de l’École qui vous accueille comme une mère. Travaillez encore. Faîtes le Bien, et attendez que vos âmes ve</w:t>
      </w:r>
      <w:r w:rsidRPr="00320A86">
        <w:t>r</w:t>
      </w:r>
      <w:r w:rsidRPr="00320A86">
        <w:t>tueuses rejoignent le Ciel ! Et surtout, élevez dans chaque Cité un temple spécial aux Muses, elles qui sur terre prophétisent, nous visitent dans nos songes comme nos Morts, ainsi qu’au Ciel, chantent en chœur en accompagnant les âmes et les différentes planètes, comme de bonnes sir</w:t>
      </w:r>
      <w:r w:rsidRPr="00320A86">
        <w:t>è</w:t>
      </w:r>
      <w:r w:rsidRPr="00320A86">
        <w:t>nes…</w:t>
      </w:r>
    </w:p>
    <w:p w14:paraId="2D9EABEA" w14:textId="77777777" w:rsidR="00B01930" w:rsidRPr="00320A86" w:rsidRDefault="00B01930" w:rsidP="00B01930">
      <w:pPr>
        <w:pStyle w:val="citation"/>
      </w:pPr>
      <w:r w:rsidRPr="00320A86">
        <w:t>Je dis encore…</w:t>
      </w:r>
    </w:p>
    <w:p w14:paraId="3B35FC5C" w14:textId="77777777" w:rsidR="00B01930" w:rsidRPr="00320A86" w:rsidRDefault="00B01930" w:rsidP="00B01930">
      <w:pPr>
        <w:pStyle w:val="citation"/>
      </w:pPr>
      <w:r w:rsidRPr="00320A86">
        <w:t>Les formes sonores n’existent qu’en relation avec la forme des no</w:t>
      </w:r>
      <w:r w:rsidRPr="00320A86">
        <w:t>m</w:t>
      </w:r>
      <w:r w:rsidRPr="00320A86">
        <w:t>bres et avec les formes que les nombres créent, dans des propo</w:t>
      </w:r>
      <w:r w:rsidRPr="00320A86">
        <w:t>r</w:t>
      </w:r>
      <w:r w:rsidRPr="00320A86">
        <w:t>tions arithmétiques, géométriques ou harmoniques, formes que vous retrouvez dans l’ensemble de la Nature !</w:t>
      </w:r>
    </w:p>
    <w:p w14:paraId="211F32C9" w14:textId="77777777" w:rsidR="00B01930" w:rsidRPr="00320A86" w:rsidRDefault="00B01930" w:rsidP="00B01930">
      <w:pPr>
        <w:pStyle w:val="citation"/>
      </w:pPr>
      <w:r w:rsidRPr="00320A86">
        <w:t>Les relations entre les nombres, ou proportions, qui constituent le la</w:t>
      </w:r>
      <w:r w:rsidRPr="00320A86">
        <w:t>n</w:t>
      </w:r>
      <w:r w:rsidRPr="00320A86">
        <w:t>gage d</w:t>
      </w:r>
      <w:r w:rsidRPr="00320A86">
        <w:t>i</w:t>
      </w:r>
      <w:r w:rsidRPr="00320A86">
        <w:t>vin, sont de trois sortes. Soit arithmétiques, suivant la suite des nombres selon l’unité, soit géométriques, suivant la multiplication pr</w:t>
      </w:r>
      <w:r w:rsidRPr="00320A86">
        <w:t>o</w:t>
      </w:r>
      <w:r w:rsidRPr="00320A86">
        <w:t>gressive des nombres par 2, soit harmon</w:t>
      </w:r>
      <w:r w:rsidRPr="00320A86">
        <w:t>i</w:t>
      </w:r>
      <w:r w:rsidRPr="00320A86">
        <w:t>ques ou subcontraires (c’est-à-dire contraires à la relation arithmétique), suivant une progression impa</w:t>
      </w:r>
      <w:r w:rsidRPr="00320A86">
        <w:t>i</w:t>
      </w:r>
      <w:r w:rsidRPr="00320A86">
        <w:t>res par 3 et proportionnée.</w:t>
      </w:r>
    </w:p>
    <w:p w14:paraId="44EC08EF" w14:textId="77777777" w:rsidR="00B01930" w:rsidRPr="00320A86" w:rsidRDefault="00B01930" w:rsidP="00B01930">
      <w:pPr>
        <w:pStyle w:val="citation"/>
      </w:pPr>
      <w:r w:rsidRPr="00320A86">
        <w:t>Les relations entre les nombres sont parfaites, c’est-à-dire belles et o</w:t>
      </w:r>
      <w:r w:rsidRPr="00320A86">
        <w:t>r</w:t>
      </w:r>
      <w:r w:rsidRPr="00320A86">
        <w:t>données s</w:t>
      </w:r>
      <w:r w:rsidRPr="00320A86">
        <w:t>e</w:t>
      </w:r>
      <w:r w:rsidRPr="00320A86">
        <w:t>lon l’ordre divin, quand elles imposent la plus complète unité aux termes reliés. Chaque fois que de trois nombres, poids ou forces que</w:t>
      </w:r>
      <w:r w:rsidRPr="00320A86">
        <w:t>l</w:t>
      </w:r>
      <w:r w:rsidRPr="00320A86">
        <w:t>conques, le nombre moyen a cette propriété que ce que le premier est à lui-même, lui-même l’est au premier, et que, inversement, ce que le de</w:t>
      </w:r>
      <w:r w:rsidRPr="00320A86">
        <w:t>r</w:t>
      </w:r>
      <w:r w:rsidRPr="00320A86">
        <w:t>nier est au moyen, le moyen l’est au premier, alors le moyen peut prendre la place du premier et du dernier, le dernier et le premier à eux deux la place du moyen, permettant ainsi, par les équivalences dans les relations, de const</w:t>
      </w:r>
      <w:r w:rsidRPr="00320A86">
        <w:t>i</w:t>
      </w:r>
      <w:r w:rsidRPr="00320A86">
        <w:t>tuer une unité. Le premier terme est au second comme le second au troisième ; dans ce cas, le rapport des plus grands termes est identique au rapport des plus petits. J’appelle cette proportion “géométr</w:t>
      </w:r>
      <w:r w:rsidRPr="00320A86">
        <w:t>i</w:t>
      </w:r>
      <w:r w:rsidRPr="00320A86">
        <w:t>que”. On peut en distinguer deux autres, vous le savez aussi.</w:t>
      </w:r>
    </w:p>
    <w:p w14:paraId="2E1F9058" w14:textId="77777777" w:rsidR="00B01930" w:rsidRPr="00320A86" w:rsidRDefault="00B01930" w:rsidP="00B01930">
      <w:pPr>
        <w:pStyle w:val="citation"/>
      </w:pPr>
      <w:r w:rsidRPr="00320A86">
        <w:t>La proportion (ou médiété, ou moyen) “arithmétique”, qui consiste en ce que les trois termes sont dans un rapport analogue d’excédent, c’est-à-dire tels que la quantité dont le premier dépasse le second soit égale à ce</w:t>
      </w:r>
      <w:r w:rsidRPr="00320A86">
        <w:t>l</w:t>
      </w:r>
      <w:r w:rsidRPr="00320A86">
        <w:t>le dont le second surpasse le troisième. Dans cette propo</w:t>
      </w:r>
      <w:r w:rsidRPr="00320A86">
        <w:t>r</w:t>
      </w:r>
      <w:r w:rsidRPr="00320A86">
        <w:t>tion, le rapport des plus grands termes est plus petit et le rapport des plus petits, plus grand.</w:t>
      </w:r>
    </w:p>
    <w:p w14:paraId="0BF13971" w14:textId="77777777" w:rsidR="00B01930" w:rsidRPr="00320A86" w:rsidRDefault="00B01930" w:rsidP="00B01930">
      <w:pPr>
        <w:pStyle w:val="citation"/>
      </w:pPr>
      <w:r w:rsidRPr="00320A86">
        <w:t>Le moyen subcontraire, que j’appelle “harmonique”, existe lorsque le premier terme surpasse le second d’une fraction de lui-même ide</w:t>
      </w:r>
      <w:r w:rsidRPr="00320A86">
        <w:t>n</w:t>
      </w:r>
      <w:r w:rsidRPr="00320A86">
        <w:t>tique à la fraction de lui-même dont le troisième est surpassé par le second. Là, le rapport des plus grands te</w:t>
      </w:r>
      <w:r w:rsidRPr="00320A86">
        <w:t>r</w:t>
      </w:r>
      <w:r w:rsidRPr="00320A86">
        <w:t>mes est plus grand et celui des plus petits, plus petit.</w:t>
      </w:r>
    </w:p>
    <w:p w14:paraId="403563BD" w14:textId="77777777" w:rsidR="00B01930" w:rsidRPr="00320A86" w:rsidRDefault="00B01930" w:rsidP="00B01930">
      <w:pPr>
        <w:pStyle w:val="citation"/>
      </w:pPr>
      <w:r w:rsidRPr="00320A86">
        <w:t>Mais laissons-là en partie la science des nombres et ses multiples su</w:t>
      </w:r>
      <w:r w:rsidRPr="00320A86">
        <w:t>b</w:t>
      </w:r>
      <w:r w:rsidRPr="00320A86">
        <w:t>tilités qui constituent la paideia de notre École, que vous aimez et servez tant, comme nous tous, moi en tête ! Vous savez que l’on peut l’appliquer intégralement à la définition de la meilleure Constitution pour la Cité – je dis ceci pour les me</w:t>
      </w:r>
      <w:r w:rsidRPr="00320A86">
        <w:t>m</w:t>
      </w:r>
      <w:r w:rsidRPr="00320A86">
        <w:t>bres du Synèdrion de Crotone qui ont bien voulu nous honorer ce soir de leur présence</w:t>
      </w:r>
      <w:r>
        <w:t> </w:t>
      </w:r>
      <w:r>
        <w:rPr>
          <w:rStyle w:val="Appelnotedebasdep"/>
        </w:rPr>
        <w:footnoteReference w:id="383"/>
      </w:r>
      <w:r w:rsidRPr="00320A86">
        <w:t>. Brièv</w:t>
      </w:r>
      <w:r w:rsidRPr="00320A86">
        <w:t>e</w:t>
      </w:r>
      <w:r w:rsidRPr="00320A86">
        <w:t>ment, pour terminer mon discours devant vous, en toute h</w:t>
      </w:r>
      <w:r w:rsidRPr="00320A86">
        <w:t>u</w:t>
      </w:r>
      <w:r w:rsidRPr="00320A86">
        <w:t>milité, voyons cela de plus près.</w:t>
      </w:r>
    </w:p>
    <w:p w14:paraId="5B4032A2" w14:textId="77777777" w:rsidR="00B01930" w:rsidRPr="00320A86" w:rsidRDefault="00B01930" w:rsidP="00B01930">
      <w:pPr>
        <w:pStyle w:val="citation"/>
      </w:pPr>
      <w:r w:rsidRPr="00320A86">
        <w:t>Sur le plan civil et pénal, si l’on respecte la loi des nombres, chaque magi</w:t>
      </w:r>
      <w:r w:rsidRPr="00320A86">
        <w:t>s</w:t>
      </w:r>
      <w:r w:rsidRPr="00320A86">
        <w:t>trat de la Cité, choisi parmi les plus sages et les plus âgés, est l’égal des autres citoyens. Il doit obéir cependant aux lois divines que je viens de rappeler et, en retour, chacun lui doit le respect absolu. Un magistrat est garant des coutumes des ancêtres, des lois en cours, comme du savoir s</w:t>
      </w:r>
      <w:r w:rsidRPr="00320A86">
        <w:t>u</w:t>
      </w:r>
      <w:r w:rsidRPr="00320A86">
        <w:t>prême concernant l’ordre rationnel divin. Cela d’autant que la justice qu’il sert doit refléter les lois de l’univers : on la retrouve dans le Ciel, chez les Dieux des Grecs (c’est Thémis qui l’incarne), dans les Enfers (où elle r</w:t>
      </w:r>
      <w:r w:rsidRPr="00320A86">
        <w:t>e</w:t>
      </w:r>
      <w:r w:rsidRPr="00320A86">
        <w:t>pr</w:t>
      </w:r>
      <w:r w:rsidRPr="00320A86">
        <w:t>é</w:t>
      </w:r>
      <w:r w:rsidRPr="00320A86">
        <w:t>sentée par Dikè), et sur terre, par les lois orales et écrites.</w:t>
      </w:r>
    </w:p>
    <w:p w14:paraId="48E35D0C" w14:textId="77777777" w:rsidR="00B01930" w:rsidRPr="00320A86" w:rsidRDefault="00B01930" w:rsidP="00B01930">
      <w:pPr>
        <w:pStyle w:val="citation"/>
      </w:pPr>
      <w:r w:rsidRPr="00320A86">
        <w:t>La politique concerne donc tous les citoyens, quels que soient leurs cond</w:t>
      </w:r>
      <w:r w:rsidRPr="00320A86">
        <w:t>i</w:t>
      </w:r>
      <w:r w:rsidRPr="00320A86">
        <w:t>tions, leur pouvoir et leur richesse. Qu’ils relèvent du pair ou de l’impair, ils doivent fusio</w:t>
      </w:r>
      <w:r w:rsidRPr="00320A86">
        <w:t>n</w:t>
      </w:r>
      <w:r w:rsidRPr="00320A86">
        <w:t>ner dans le chiffre Un qui les a créés. La Cité doit former une communauté unifiée. Les magistrats donnent des ordres selon la justice divine, les seconds y obéissent, car derrière tous, il y a la loi que chacun peut comprendre s’il est initié. Pour bien go</w:t>
      </w:r>
      <w:r w:rsidRPr="00320A86">
        <w:t>u</w:t>
      </w:r>
      <w:r w:rsidRPr="00320A86">
        <w:t>verner, il faut éviter la foule, fuir l’ambition, la flatterie, l’amour de la gloire, l’étalement de la richesse, qui excite envie et j</w:t>
      </w:r>
      <w:r w:rsidRPr="00320A86">
        <w:t>a</w:t>
      </w:r>
      <w:r w:rsidRPr="00320A86">
        <w:t>lousie, donc la révolte, à laquelle est prompte la foule des ignorants. Seuls les initiés aux savoirs divins, à la cosmologie, à la science des nombres et aux formes qu’ils i</w:t>
      </w:r>
      <w:r w:rsidRPr="00320A86">
        <w:t>m</w:t>
      </w:r>
      <w:r w:rsidRPr="00320A86">
        <w:t>pulsent, telle que nous vous y initions, peuvent gouverner selon la raison des propo</w:t>
      </w:r>
      <w:r w:rsidRPr="00320A86">
        <w:t>r</w:t>
      </w:r>
      <w:r w:rsidRPr="00320A86">
        <w:t>tions et comprendre que la Science pol</w:t>
      </w:r>
      <w:r w:rsidRPr="00320A86">
        <w:t>i</w:t>
      </w:r>
      <w:r w:rsidRPr="00320A86">
        <w:t>tique de la Cité repose sur l’observation de la simultanéité de deux contraires qu’il faut conc</w:t>
      </w:r>
      <w:r w:rsidRPr="00320A86">
        <w:t>i</w:t>
      </w:r>
      <w:r w:rsidRPr="00320A86">
        <w:t>lier : le juste et l’injuste.</w:t>
      </w:r>
    </w:p>
    <w:p w14:paraId="55757A49" w14:textId="77777777" w:rsidR="00B01930" w:rsidRPr="00320A86" w:rsidRDefault="00B01930" w:rsidP="00B01930">
      <w:pPr>
        <w:pStyle w:val="citation"/>
      </w:pPr>
      <w:r w:rsidRPr="00320A86">
        <w:t>Ce serait l’anarchie sur la terre et dans chaque Cité si tout était inve</w:t>
      </w:r>
      <w:r w:rsidRPr="00320A86">
        <w:t>r</w:t>
      </w:r>
      <w:r w:rsidRPr="00320A86">
        <w:t>sé ! Tout s</w:t>
      </w:r>
      <w:r w:rsidRPr="00320A86">
        <w:t>e</w:t>
      </w:r>
      <w:r w:rsidRPr="00320A86">
        <w:t>rait alors en proie à la démesure (hubris), aux passions, à l’impiété, aux débordements, à la destruction, à l’anarchie, à la vengea</w:t>
      </w:r>
      <w:r w:rsidRPr="00320A86">
        <w:t>n</w:t>
      </w:r>
      <w:r w:rsidRPr="00320A86">
        <w:t>ce, à la mort, ne serait-ce que par la guerre entre les Cités…</w:t>
      </w:r>
    </w:p>
    <w:p w14:paraId="16E13610" w14:textId="77777777" w:rsidR="00B01930" w:rsidRPr="00320A86" w:rsidRDefault="00B01930" w:rsidP="00B01930">
      <w:pPr>
        <w:pStyle w:val="citation"/>
      </w:pPr>
      <w:r w:rsidRPr="00320A86">
        <w:t>Heureusement, il y a ce voyage initiatique auquel je vous convie tous, que l’on peut réaliser vers l’intelligence du Dieu, progressif s</w:t>
      </w:r>
      <w:r w:rsidRPr="00320A86">
        <w:t>e</w:t>
      </w:r>
      <w:r w:rsidRPr="00320A86">
        <w:t>lon les âges de la vie. Avec les lois, l’éducation physique, littéraire, civique, théorique, des enfants, des femmes, des hommes mûrs, reste le fondement de l’ordre bienheux de la Cité. Tous ces savoirs harmonisés entre eux inculquent à chacun le sentiment et la réalité de la ju</w:t>
      </w:r>
      <w:r w:rsidRPr="00320A86">
        <w:t>s</w:t>
      </w:r>
      <w:r w:rsidRPr="00320A86">
        <w:t>tice, la morale, l’équilibre que nous ressentons en nous. Pour cette ra</w:t>
      </w:r>
      <w:r w:rsidRPr="00320A86">
        <w:t>i</w:t>
      </w:r>
      <w:r w:rsidRPr="00320A86">
        <w:t>son, la confiance, la bonne foi, l’amitié doivent se réaliser dans la C</w:t>
      </w:r>
      <w:r w:rsidRPr="00320A86">
        <w:t>i</w:t>
      </w:r>
      <w:r w:rsidRPr="00320A86">
        <w:t>té, comme dans notre École, où l’harmonie règne entre maîtres, entre disciples et entre maîtres et disc</w:t>
      </w:r>
      <w:r w:rsidRPr="00320A86">
        <w:t>i</w:t>
      </w:r>
      <w:r w:rsidRPr="00320A86">
        <w:t>ples. Si tout le monde devenait roi, ou si chacun était totalement vertueux, la vie deviendrait impossible, toute Constitution serait total</w:t>
      </w:r>
      <w:r w:rsidRPr="00320A86">
        <w:t>e</w:t>
      </w:r>
      <w:r w:rsidRPr="00320A86">
        <w:t>ment inutile. Mais les hommes étant ce qu’ils sont, et les Cités ce qu’elles sont, il faut élab</w:t>
      </w:r>
      <w:r w:rsidRPr="00320A86">
        <w:t>o</w:t>
      </w:r>
      <w:r w:rsidRPr="00320A86">
        <w:t>rer une Constitution servant la justice, qui s’efforce de rendre chacun ve</w:t>
      </w:r>
      <w:r w:rsidRPr="00320A86">
        <w:t>r</w:t>
      </w:r>
      <w:r w:rsidRPr="00320A86">
        <w:t>tueux en tenant compte des inégalités entre les hommes et de l’égalité d</w:t>
      </w:r>
      <w:r w:rsidRPr="00320A86">
        <w:t>e</w:t>
      </w:r>
      <w:r w:rsidRPr="00320A86">
        <w:t>vant la Loi du Dieu qui Est ! »</w:t>
      </w:r>
    </w:p>
    <w:p w14:paraId="58E3BABC" w14:textId="77777777" w:rsidR="00B01930" w:rsidRPr="00320A86" w:rsidRDefault="00B01930" w:rsidP="00B01930">
      <w:pPr>
        <w:pStyle w:val="citation"/>
      </w:pPr>
      <w:r w:rsidRPr="00320A86">
        <w:t>À ce moment, osant l’interrompre, un politikos se lève. L’orateur, so</w:t>
      </w:r>
      <w:r w:rsidRPr="00320A86">
        <w:t>u</w:t>
      </w:r>
      <w:r w:rsidRPr="00320A86">
        <w:t>riant, écoute sa parole :</w:t>
      </w:r>
    </w:p>
    <w:p w14:paraId="337F9D9B" w14:textId="77777777" w:rsidR="00B01930" w:rsidRPr="00320A86" w:rsidRDefault="00B01930" w:rsidP="00B01930">
      <w:pPr>
        <w:pStyle w:val="citation"/>
      </w:pPr>
      <w:r w:rsidRPr="00320A86">
        <w:t>– Maître, si l’on applique la règle des trois proportions numériques e</w:t>
      </w:r>
      <w:r w:rsidRPr="00320A86">
        <w:t>x</w:t>
      </w:r>
      <w:r w:rsidRPr="00320A86">
        <w:t>posées précédemment par toi, laquelle retenir pour atteindre la meille</w:t>
      </w:r>
      <w:r w:rsidRPr="00320A86">
        <w:t>u</w:t>
      </w:r>
      <w:r w:rsidRPr="00320A86">
        <w:t>re Constitution pour la Cité ?</w:t>
      </w:r>
    </w:p>
    <w:p w14:paraId="41CE1EF2" w14:textId="77777777" w:rsidR="00B01930" w:rsidRPr="00320A86" w:rsidRDefault="00B01930" w:rsidP="00B01930">
      <w:pPr>
        <w:pStyle w:val="citation"/>
      </w:pPr>
      <w:r w:rsidRPr="00320A86">
        <w:t>– Il faut tenir compte de la réalité de chaque Cité ! Le modèle qui ga</w:t>
      </w:r>
      <w:r w:rsidRPr="00320A86">
        <w:t>r</w:t>
      </w:r>
      <w:r w:rsidRPr="00320A86">
        <w:t>de la préf</w:t>
      </w:r>
      <w:r w:rsidRPr="00320A86">
        <w:t>é</w:t>
      </w:r>
      <w:r w:rsidRPr="00320A86">
        <w:t>rence de notre École est bien sûr le respect du  logos, l’analogon harmon</w:t>
      </w:r>
      <w:r w:rsidRPr="00320A86">
        <w:t>i</w:t>
      </w:r>
      <w:r w:rsidRPr="00320A86">
        <w:t>que, car c’est celui qui s’inspire le mieux des lois du Dieu Un. La Justice doit être représentée, à l’égal de la situation de ch</w:t>
      </w:r>
      <w:r w:rsidRPr="00320A86">
        <w:t>a</w:t>
      </w:r>
      <w:r w:rsidRPr="00320A86">
        <w:t>cune des Cités en leurs inégalités fondatrices, par le triangle scalène, c’est-à-dire non is</w:t>
      </w:r>
      <w:r w:rsidRPr="00320A86">
        <w:t>o</w:t>
      </w:r>
      <w:r w:rsidRPr="00320A86">
        <w:t>cèle et non équilatéral, mais rectangle : c’est c</w:t>
      </w:r>
      <w:r w:rsidRPr="00320A86">
        <w:t>e</w:t>
      </w:r>
      <w:r w:rsidRPr="00320A86">
        <w:t>lui qui possède un angle droit. Dans ce type de figure oblongue pa</w:t>
      </w:r>
      <w:r w:rsidRPr="00320A86">
        <w:t>r</w:t>
      </w:r>
      <w:r w:rsidRPr="00320A86">
        <w:t>ticulière – que l’on appelle aussi « triangle des arpenteurs », certains d’entre vous le s</w:t>
      </w:r>
      <w:r w:rsidRPr="00320A86">
        <w:t>a</w:t>
      </w:r>
      <w:r w:rsidRPr="00320A86">
        <w:t>vent –, marquée par l’inégalité de ses côtés, l’hypoténuse (le plus grand des côtés), par exe</w:t>
      </w:r>
      <w:r w:rsidRPr="00320A86">
        <w:t>m</w:t>
      </w:r>
      <w:r w:rsidRPr="00320A86">
        <w:t>ple de 5, est égal à la somme des carrés des deux a</w:t>
      </w:r>
      <w:r w:rsidRPr="00320A86">
        <w:t>u</w:t>
      </w:r>
      <w:r w:rsidRPr="00320A86">
        <w:t>tres côtés, par exemple de 3 et de 4. Et tous vous savez aussi que l’angle droit donne le Gnomon. Cette forme symbolise l’égalité proportionnelle qui reste à introduire dans la Cité, en tenant compte du fait que « les c</w:t>
      </w:r>
      <w:r w:rsidRPr="00320A86">
        <w:t>ô</w:t>
      </w:r>
      <w:r w:rsidRPr="00320A86">
        <w:t>tés », c’est-à-dire les groupes, les citoyens en leurs qualités, leurs spéci</w:t>
      </w:r>
      <w:r w:rsidRPr="00320A86">
        <w:t>a</w:t>
      </w:r>
      <w:r w:rsidRPr="00320A86">
        <w:t>lités, leurs richesses, leurs biens et leurs défauts, sont inégaux entre eux, comme les côtés du triangle re</w:t>
      </w:r>
      <w:r w:rsidRPr="00320A86">
        <w:t>c</w:t>
      </w:r>
      <w:r w:rsidRPr="00320A86">
        <w:t>tangle scalène ! Ce qui redresse l’ensemble et établit l’égalité, c’est l’angle droit, qui représente la Justice, mais aussi les valeurs au carré de chacun des c</w:t>
      </w:r>
      <w:r w:rsidRPr="00320A86">
        <w:t>ô</w:t>
      </w:r>
      <w:r w:rsidRPr="00320A86">
        <w:t>tés, qui sont égales alors que la longueur des côtés ne l’est point.</w:t>
      </w:r>
    </w:p>
    <w:p w14:paraId="1B860960" w14:textId="77777777" w:rsidR="00B01930" w:rsidRPr="00320A86" w:rsidRDefault="00B01930" w:rsidP="00B01930">
      <w:pPr>
        <w:pStyle w:val="citation"/>
      </w:pPr>
      <w:r w:rsidRPr="00320A86">
        <w:t>Une Constitution est donc comme un Triangle rectangle dont les lignes doivent former un angle droit, dont l’une des lignes doit avoir les caract</w:t>
      </w:r>
      <w:r w:rsidRPr="00320A86">
        <w:t>é</w:t>
      </w:r>
      <w:r w:rsidRPr="00320A86">
        <w:t>ristiques de l’épitrite, c’est-à-dire qu’un des côtés dudit Triangle est co</w:t>
      </w:r>
      <w:r w:rsidRPr="00320A86">
        <w:t>m</w:t>
      </w:r>
      <w:r w:rsidRPr="00320A86">
        <w:t>posé d’un no</w:t>
      </w:r>
      <w:r w:rsidRPr="00320A86">
        <w:t>m</w:t>
      </w:r>
      <w:r w:rsidRPr="00320A86">
        <w:t>bre de plus du tiers de celui-ci (par exemple 4, est épitrite de trois !), l’autre étant de trois, et l’hypoténuse de 5, de telle sorte que la racine carrée de 5 soit égale à la racine ca</w:t>
      </w:r>
      <w:r w:rsidRPr="00320A86">
        <w:t>r</w:t>
      </w:r>
      <w:r w:rsidRPr="00320A86">
        <w:t>rée de l’épitrite (4, le carré du premier nombre pair) et à celle de l’autre côté 3. Cela fa</w:t>
      </w:r>
      <w:r w:rsidRPr="00320A86">
        <w:t>i</w:t>
      </w:r>
      <w:r w:rsidRPr="00320A86">
        <w:t>sant 25, égal à 16 + 9 ! Par ailleurs, si vous ajouter la somme de l’hypoténuse (5) à l’épitrite (4) – nombre qui est le seul formé par les mêmes nombres, soit par addition, soit par multiplication –, vous obtenez le ca</w:t>
      </w:r>
      <w:r w:rsidRPr="00320A86">
        <w:t>r</w:t>
      </w:r>
      <w:r w:rsidRPr="00320A86">
        <w:t>ré du plus petit côté (3), c’est-à-dire 9 (le carré du premier nombre impair !), le carré étant un nombre const</w:t>
      </w:r>
      <w:r w:rsidRPr="00320A86">
        <w:t>i</w:t>
      </w:r>
      <w:r w:rsidRPr="00320A86">
        <w:t>tué par un autre nombre pris un nombre de fois égal à lui-même.</w:t>
      </w:r>
    </w:p>
    <w:p w14:paraId="00226B17" w14:textId="77777777" w:rsidR="00B01930" w:rsidRPr="00320A86" w:rsidRDefault="00B01930" w:rsidP="00B01930">
      <w:pPr>
        <w:pStyle w:val="citation"/>
      </w:pPr>
      <w:r w:rsidRPr="00320A86">
        <w:t>Ces distances et limites sont donc en relations de correspondances m</w:t>
      </w:r>
      <w:r w:rsidRPr="00320A86">
        <w:t>u</w:t>
      </w:r>
      <w:r w:rsidRPr="00320A86">
        <w:t>tuelles, que nous pouvons comprendre par la raison des nombres. Il nous reste à les a</w:t>
      </w:r>
      <w:r w:rsidRPr="00320A86">
        <w:t>p</w:t>
      </w:r>
      <w:r w:rsidRPr="00320A86">
        <w:t>pliquer à la vie politique de toutes les Cités, quelles que soient leur Constitution et la forme de leurs gouvernements ou leur degré d’inégalité. Je viens de vous démontrer que l’on peut établir des relations d’égalité entre des côtés qui sont inégaux les uns par ra</w:t>
      </w:r>
      <w:r w:rsidRPr="00320A86">
        <w:t>p</w:t>
      </w:r>
      <w:r w:rsidRPr="00320A86">
        <w:t>port aux autres ! Il en est de même pour les angles : la somme des deux angles aigus du Triangle rectangle scalène est égale à l’angle droit de ce même triangle ! Nous r</w:t>
      </w:r>
      <w:r w:rsidRPr="00320A86">
        <w:t>e</w:t>
      </w:r>
      <w:r w:rsidRPr="00320A86">
        <w:t>trouvons là l’harmonie du Cosmos, du Dieu Un, car de l’inégalité, nous découvrons l’égalité, conjuguant le pair et l’impair, c’est-à-dire les contraires qui partagent toute Cité. Par ailleurs une parenthèse : dans l’organisation politique, j’ai fixé le nombre idéal des habitants d’une Cité à 5040 résidences familiales. Savez-vous pourquoi ?</w:t>
      </w:r>
    </w:p>
    <w:p w14:paraId="43730235" w14:textId="77777777" w:rsidR="00B01930" w:rsidRDefault="00B01930" w:rsidP="00B01930">
      <w:pPr>
        <w:spacing w:before="120" w:after="120"/>
        <w:jc w:val="both"/>
      </w:pPr>
    </w:p>
    <w:p w14:paraId="2E289594" w14:textId="77777777" w:rsidR="00B01930" w:rsidRPr="00320A86" w:rsidRDefault="00B01930" w:rsidP="00B01930">
      <w:pPr>
        <w:spacing w:before="120" w:after="120"/>
        <w:jc w:val="both"/>
      </w:pPr>
      <w:r w:rsidRPr="00320A86">
        <w:t xml:space="preserve">À cette demande un politikos se lève et répond : </w:t>
      </w:r>
    </w:p>
    <w:p w14:paraId="65FF2D53" w14:textId="77777777" w:rsidR="00B01930" w:rsidRPr="00320A86" w:rsidRDefault="00B01930" w:rsidP="00B01930">
      <w:pPr>
        <w:spacing w:before="120" w:after="120"/>
        <w:jc w:val="both"/>
      </w:pPr>
      <w:r w:rsidRPr="00320A86">
        <w:t>– </w:t>
      </w:r>
      <w:r w:rsidRPr="00906631">
        <w:rPr>
          <w:i/>
        </w:rPr>
        <w:t>Ce nombre est la multiplication des sept premiers nombres, Ma</w:t>
      </w:r>
      <w:r w:rsidRPr="00906631">
        <w:rPr>
          <w:i/>
        </w:rPr>
        <w:t>î</w:t>
      </w:r>
      <w:r w:rsidRPr="00906631">
        <w:rPr>
          <w:i/>
        </w:rPr>
        <w:t>tre !…</w:t>
      </w:r>
    </w:p>
    <w:p w14:paraId="097AABD6" w14:textId="77777777" w:rsidR="00B01930" w:rsidRPr="00320A86" w:rsidRDefault="00B01930" w:rsidP="00B01930">
      <w:pPr>
        <w:spacing w:before="120" w:after="120"/>
        <w:jc w:val="both"/>
      </w:pPr>
      <w:r w:rsidRPr="00320A86">
        <w:t>Et il répéta la leçon avec enthousiasme : 1 x 1 x 2 x 3 x 4 x 5 x 6 x 7 = 5040 !!!!</w:t>
      </w:r>
      <w:r>
        <w:t> </w:t>
      </w:r>
      <w:r>
        <w:rPr>
          <w:rStyle w:val="Appelnotedebasdep"/>
        </w:rPr>
        <w:footnoteReference w:id="384"/>
      </w:r>
    </w:p>
    <w:p w14:paraId="421EECAF" w14:textId="77777777" w:rsidR="00B01930" w:rsidRPr="00320A86" w:rsidRDefault="00B01930" w:rsidP="00B01930">
      <w:pPr>
        <w:spacing w:before="120" w:after="120"/>
        <w:jc w:val="both"/>
      </w:pPr>
      <w:r w:rsidRPr="00320A86">
        <w:t>– </w:t>
      </w:r>
      <w:r w:rsidRPr="00DB503D">
        <w:rPr>
          <w:i/>
        </w:rPr>
        <w:t>Excellent</w:t>
      </w:r>
      <w:r w:rsidRPr="00320A86">
        <w:t>, répondit le Maître, qui poursuivit…</w:t>
      </w:r>
    </w:p>
    <w:p w14:paraId="376ADB67" w14:textId="77777777" w:rsidR="00B01930" w:rsidRDefault="00B01930" w:rsidP="00B01930">
      <w:pPr>
        <w:pStyle w:val="citation"/>
      </w:pPr>
    </w:p>
    <w:p w14:paraId="196FD27D" w14:textId="77777777" w:rsidR="00B01930" w:rsidRDefault="00B01930" w:rsidP="00B01930">
      <w:pPr>
        <w:pStyle w:val="citation"/>
      </w:pPr>
      <w:r w:rsidRPr="00320A86">
        <w:t>– Nous rejoignons aussi, observez-le, les lois de l’harmonie musicale et ses inte</w:t>
      </w:r>
      <w:r w:rsidRPr="00320A86">
        <w:t>r</w:t>
      </w:r>
      <w:r w:rsidRPr="00320A86">
        <w:t>valles de la tierce, de la quarte, de la quinte, puis de l’octave, dans les relations n</w:t>
      </w:r>
      <w:r w:rsidRPr="00320A86">
        <w:t>u</w:t>
      </w:r>
      <w:r w:rsidRPr="00320A86">
        <w:t>mériques qui composent la musique elle-même, et en premier, celle des Sphères. C’est pour cela que la Terre est unie éternell</w:t>
      </w:r>
      <w:r w:rsidRPr="00320A86">
        <w:t>e</w:t>
      </w:r>
      <w:r w:rsidRPr="00320A86">
        <w:t>ment au Ciel, et qu’il faut faire correspondre la musique bruyante des M</w:t>
      </w:r>
      <w:r w:rsidRPr="00320A86">
        <w:t>u</w:t>
      </w:r>
      <w:r w:rsidRPr="00320A86">
        <w:t>ses, que certains d’entre vous pratiquent journe</w:t>
      </w:r>
      <w:r w:rsidRPr="00320A86">
        <w:t>l</w:t>
      </w:r>
      <w:r w:rsidRPr="00320A86">
        <w:t>lement pour trouver leur équilibre intérieur et collectif (que vous avez su déchaîner lors de vos lib</w:t>
      </w:r>
      <w:r w:rsidRPr="00320A86">
        <w:t>a</w:t>
      </w:r>
      <w:r w:rsidRPr="00320A86">
        <w:t>tions tout à l’heure, sans retenue, en mon absence !), et celle myst</w:t>
      </w:r>
      <w:r w:rsidRPr="00320A86">
        <w:t>é</w:t>
      </w:r>
      <w:r w:rsidRPr="00320A86">
        <w:t>rieuse et silencieuse des Planètes qui sont au-dessus de nous, dans l’espace s</w:t>
      </w:r>
      <w:r w:rsidRPr="00320A86">
        <w:t>u</w:t>
      </w:r>
      <w:r w:rsidRPr="00320A86">
        <w:t>blunaire, que les Sirènes du Haut d</w:t>
      </w:r>
      <w:r w:rsidRPr="00320A86">
        <w:t>é</w:t>
      </w:r>
      <w:r w:rsidRPr="00320A86">
        <w:t>ploient aussi dans leur chant aux âmes nobles et vertueuses d’Ici-Bas qui se rendent vers l’Île des Bienheureux après avoir traversé la Grande Prairie et découvert la Lumière bla</w:t>
      </w:r>
      <w:r w:rsidRPr="00320A86">
        <w:t>n</w:t>
      </w:r>
      <w:r w:rsidRPr="00320A86">
        <w:t>che ! »</w:t>
      </w:r>
    </w:p>
    <w:p w14:paraId="71EAD79B" w14:textId="77777777" w:rsidR="00B01930" w:rsidRPr="00320A86" w:rsidRDefault="00B01930" w:rsidP="00B01930">
      <w:pPr>
        <w:pStyle w:val="citation"/>
      </w:pPr>
    </w:p>
    <w:p w14:paraId="595E391D" w14:textId="77777777" w:rsidR="00B01930" w:rsidRPr="00320A86" w:rsidRDefault="00B01930" w:rsidP="00B01930">
      <w:pPr>
        <w:spacing w:before="120" w:after="120"/>
        <w:jc w:val="both"/>
      </w:pPr>
      <w:r w:rsidRPr="00320A86">
        <w:t>À ces mots, ne sentant plus sa joie intériorisée jusque-là à chaque étape d’une telle démonstration, l’assistance, debout dans l’amphithéâtre, applaudit longuement et chaleureusement la démon</w:t>
      </w:r>
      <w:r w:rsidRPr="00320A86">
        <w:t>s</w:t>
      </w:r>
      <w:r w:rsidRPr="00320A86">
        <w:t>tration du Maître qui acheva son exercice en ces termes :</w:t>
      </w:r>
    </w:p>
    <w:p w14:paraId="0EC1E548" w14:textId="77777777" w:rsidR="00B01930" w:rsidRDefault="00B01930" w:rsidP="00B01930">
      <w:pPr>
        <w:pStyle w:val="citation"/>
      </w:pPr>
    </w:p>
    <w:p w14:paraId="3F85A32B" w14:textId="77777777" w:rsidR="00B01930" w:rsidRPr="00320A86" w:rsidRDefault="00B01930" w:rsidP="00B01930">
      <w:pPr>
        <w:pStyle w:val="citation"/>
      </w:pPr>
      <w:r w:rsidRPr="00320A86">
        <w:t>« Voilà les secrets que je devais vous délivrer, que m’ont enseignés en partie, au-delà de mes réflexions et de mes propres observations, nota</w:t>
      </w:r>
      <w:r w:rsidRPr="00320A86">
        <w:t>m</w:t>
      </w:r>
      <w:r w:rsidRPr="00320A86">
        <w:t>ment les prêtres de l’ancienne Égypte, du temps de mes jeunes pérégrin</w:t>
      </w:r>
      <w:r w:rsidRPr="00320A86">
        <w:t>a</w:t>
      </w:r>
      <w:r w:rsidRPr="00320A86">
        <w:t>tions lointaines vers l’Orient… Il existe, bien sûr, autant de formes polit</w:t>
      </w:r>
      <w:r w:rsidRPr="00320A86">
        <w:t>i</w:t>
      </w:r>
      <w:r w:rsidRPr="00320A86">
        <w:t>ques, selon les Constitutions des Cités, qu’il y a de formes géométriques. Allons plus loin, en tirant cette leçon de notre vérité polit</w:t>
      </w:r>
      <w:r w:rsidRPr="00320A86">
        <w:t>i</w:t>
      </w:r>
      <w:r w:rsidRPr="00320A86">
        <w:t>que, respectueux que nous devons être de chaque gouvernement tant que ceux-ci seront re</w:t>
      </w:r>
      <w:r w:rsidRPr="00320A86">
        <w:t>s</w:t>
      </w:r>
      <w:r w:rsidRPr="00320A86">
        <w:t>pectueux de nous, de notre École, de notre savoir secret et de sa traje</w:t>
      </w:r>
      <w:r w:rsidRPr="00320A86">
        <w:t>c</w:t>
      </w:r>
      <w:r w:rsidRPr="00320A86">
        <w:t>toire pédagogique, si difficile à acquérir. Vous en s</w:t>
      </w:r>
      <w:r w:rsidRPr="00320A86">
        <w:t>a</w:t>
      </w:r>
      <w:r w:rsidRPr="00320A86">
        <w:t>vez quelque chose, puisque certains d’entre vous n’ont pas toujours la mémoire suffisante pour retenir oralement nos leçons ! La valeur de chaque homme, de ch</w:t>
      </w:r>
      <w:r w:rsidRPr="00320A86">
        <w:t>a</w:t>
      </w:r>
      <w:r w:rsidRPr="00320A86">
        <w:t>que citoyen, c’est un peu comme le périm</w:t>
      </w:r>
      <w:r w:rsidRPr="00320A86">
        <w:t>è</w:t>
      </w:r>
      <w:r w:rsidRPr="00320A86">
        <w:t>tre du Carré. L’aire du Carré, ce sont ses droits pol</w:t>
      </w:r>
      <w:r w:rsidRPr="00320A86">
        <w:t>i</w:t>
      </w:r>
      <w:r w:rsidRPr="00320A86">
        <w:t>tiques. La Justice implique que chacun n’ait ni plus ni moins de droits que sa valeur personnelle n’en impose. Nous devons donc obéir aux lois, en respectant celles de nos ancêtres, mais aussi les conditions de fonctionnement politiques, naturelles, économiques, climat</w:t>
      </w:r>
      <w:r w:rsidRPr="00320A86">
        <w:t>i</w:t>
      </w:r>
      <w:r w:rsidRPr="00320A86">
        <w:t>ques de la Cité que nous habitons, lieu principal de nos vies, au-delà de nos voyages et de nos découvertes des autres Cités. Il faut que l’aire et le périmètre corre</w:t>
      </w:r>
      <w:r w:rsidRPr="00320A86">
        <w:t>s</w:t>
      </w:r>
      <w:r w:rsidRPr="00320A86">
        <w:t>pondent et que chacun ait les droits que lui confère son propre mérite.</w:t>
      </w:r>
    </w:p>
    <w:p w14:paraId="04D18250" w14:textId="77777777" w:rsidR="00B01930" w:rsidRPr="00320A86" w:rsidRDefault="00B01930" w:rsidP="00B01930">
      <w:pPr>
        <w:pStyle w:val="citation"/>
      </w:pPr>
      <w:r w:rsidRPr="00320A86">
        <w:t>Sinon, on se situe dans l’Injustice, ce qui est néfaste pour l’équilibre harm</w:t>
      </w:r>
      <w:r w:rsidRPr="00320A86">
        <w:t>o</w:t>
      </w:r>
      <w:r w:rsidRPr="00320A86">
        <w:t>nique de la Cité. Il faut équilibrer les proportions, et non imposer une égalité commune à tous. D’autant que les hommes sans savoir, la fo</w:t>
      </w:r>
      <w:r w:rsidRPr="00320A86">
        <w:t>u</w:t>
      </w:r>
      <w:r w:rsidRPr="00320A86">
        <w:t>le innombrable et ignorante, ne pe</w:t>
      </w:r>
      <w:r w:rsidRPr="00320A86">
        <w:t>u</w:t>
      </w:r>
      <w:r w:rsidRPr="00320A86">
        <w:t>vent prétendre diriger la Cité selon leurs passions, leurs h</w:t>
      </w:r>
      <w:r w:rsidRPr="00320A86">
        <w:t>u</w:t>
      </w:r>
      <w:r w:rsidRPr="00320A86">
        <w:t>meurs d’un jour, contre des magistrats savants et sages, si ceux-ci le sont. C’est ce que ne comprennent point les partisans de certaines Cités voisines, comme Sybaris, qui veulent imposer à tous, la démocratie égalitaire par des rapports arithmétiques, sans tenir compte des talents et des valeurs de chacun. Méfions-nous donc d’eux et de tous leurs chefs démagogues qui flattent le peuple ignorant pour imposer leur propre intérêt, en bafouant leurs promesses et en le trompant inévitabl</w:t>
      </w:r>
      <w:r w:rsidRPr="00320A86">
        <w:t>e</w:t>
      </w:r>
      <w:r w:rsidRPr="00320A86">
        <w:t>ment, un jour ou l’autre, après l’avoir flatté et caressé dans le sens du poil. Nous devons rendre la Cité eudémonique et vertueuse, comme le Co</w:t>
      </w:r>
      <w:r w:rsidRPr="00320A86">
        <w:t>s</w:t>
      </w:r>
      <w:r w:rsidRPr="00320A86">
        <w:t>mos est lui-même harmonique. Cela passe par les efforts de chacun pour conna</w:t>
      </w:r>
      <w:r w:rsidRPr="00320A86">
        <w:t>î</w:t>
      </w:r>
      <w:r w:rsidRPr="00320A86">
        <w:t>tre les secrets du Monde, pour dépasser ses instincts de l’instant et ses hu</w:t>
      </w:r>
      <w:r w:rsidRPr="00320A86">
        <w:t>m</w:t>
      </w:r>
      <w:r w:rsidRPr="00320A86">
        <w:t>bles désirs strictement égoïstes et personnels. La force politique d’une Cité et d’une Con</w:t>
      </w:r>
      <w:r w:rsidRPr="00320A86">
        <w:t>s</w:t>
      </w:r>
      <w:r w:rsidRPr="00320A86">
        <w:t>titution, c’est d’établir l’équilibre entre les commandants, les plus forts, les plus sages et les meilleurs, et les commandés, les plus obéi</w:t>
      </w:r>
      <w:r w:rsidRPr="00320A86">
        <w:t>s</w:t>
      </w:r>
      <w:r w:rsidRPr="00320A86">
        <w:t>sants car les plus faibles et les moins bons, cela dans l’accord de tous, avec bonheur. Partageons tous l’harmonie de la M</w:t>
      </w:r>
      <w:r w:rsidRPr="00320A86">
        <w:t>u</w:t>
      </w:r>
      <w:r w:rsidRPr="00320A86">
        <w:t>sique des Sphères, que l’on ne peut entendre sur terre !</w:t>
      </w:r>
    </w:p>
    <w:p w14:paraId="7480FACB" w14:textId="77777777" w:rsidR="00B01930" w:rsidRPr="00320A86" w:rsidRDefault="00B01930" w:rsidP="00B01930">
      <w:pPr>
        <w:pStyle w:val="citation"/>
      </w:pPr>
      <w:r w:rsidRPr="00320A86">
        <w:t>Suivons ici-bas aussi, pour nous préparer au Grand Voyage après n</w:t>
      </w:r>
      <w:r w:rsidRPr="00320A86">
        <w:t>o</w:t>
      </w:r>
      <w:r w:rsidRPr="00320A86">
        <w:t>tre mort ph</w:t>
      </w:r>
      <w:r w:rsidRPr="00320A86">
        <w:t>y</w:t>
      </w:r>
      <w:r w:rsidRPr="00320A86">
        <w:t>sique qui voit se décomposer ou brûler nos corps, la musique qui éduque nos âmes séparées du corps et nous rend heureux. Cette comm</w:t>
      </w:r>
      <w:r w:rsidRPr="00320A86">
        <w:t>u</w:t>
      </w:r>
      <w:r w:rsidRPr="00320A86">
        <w:t>nauté de logoï, qui relie le Dieu Un, les Dieux et les hommes, doit r</w:t>
      </w:r>
      <w:r w:rsidRPr="00320A86">
        <w:t>e</w:t>
      </w:r>
      <w:r w:rsidRPr="00320A86">
        <w:t>poser sur l’amitié, sur l’amour de chacun, sur la vertu, sur le bon arra</w:t>
      </w:r>
      <w:r w:rsidRPr="00320A86">
        <w:t>n</w:t>
      </w:r>
      <w:r w:rsidRPr="00320A86">
        <w:t>gement et la bonne administration, non sur le dérèglement et les dissona</w:t>
      </w:r>
      <w:r w:rsidRPr="00320A86">
        <w:t>n</w:t>
      </w:r>
      <w:r w:rsidRPr="00320A86">
        <w:t>ces. C’est à ce prix là que nos âmes gagneront le Ciel, tout là-Haut, pour une période hors du temps.</w:t>
      </w:r>
    </w:p>
    <w:p w14:paraId="132245BE" w14:textId="77777777" w:rsidR="00B01930" w:rsidRDefault="00B01930" w:rsidP="00B01930">
      <w:pPr>
        <w:pStyle w:val="citation"/>
      </w:pPr>
      <w:r w:rsidRPr="00320A86">
        <w:t>Mais je réserve cela, pour aller plus avant, à des confidences d’un a</w:t>
      </w:r>
      <w:r w:rsidRPr="00320A86">
        <w:t>u</w:t>
      </w:r>
      <w:r w:rsidRPr="00320A86">
        <w:t>tre instant, en vous remerciant, une fois encore, de votre si chaleureuse a</w:t>
      </w:r>
      <w:r w:rsidRPr="00320A86">
        <w:t>t</w:t>
      </w:r>
      <w:r w:rsidRPr="00320A86">
        <w:t>tention, ce soir… »</w:t>
      </w:r>
    </w:p>
    <w:p w14:paraId="24DA5794" w14:textId="77777777" w:rsidR="00B01930" w:rsidRPr="00320A86" w:rsidRDefault="00B01930" w:rsidP="00B01930">
      <w:pPr>
        <w:pStyle w:val="citation"/>
      </w:pPr>
    </w:p>
    <w:p w14:paraId="675E7C2A" w14:textId="77777777" w:rsidR="00B01930" w:rsidRPr="00320A86" w:rsidRDefault="00B01930" w:rsidP="00B01930">
      <w:pPr>
        <w:spacing w:before="120" w:after="120"/>
        <w:jc w:val="both"/>
      </w:pPr>
      <w:r w:rsidRPr="00320A86">
        <w:t>Le maître se tut alors et s’éclipsa, en reculant… Avec le regret peut-être d’avoir livré quelques secrets de sa pensée ?</w:t>
      </w:r>
    </w:p>
    <w:p w14:paraId="2ECE4853" w14:textId="77777777" w:rsidR="00B01930" w:rsidRPr="00320A86" w:rsidRDefault="00B01930" w:rsidP="00B01930">
      <w:pPr>
        <w:spacing w:before="120" w:after="120"/>
        <w:jc w:val="both"/>
      </w:pPr>
      <w:r w:rsidRPr="00320A86">
        <w:t>La Lune, comme si elle l’avait écouté aussi, fut bientôt recouverte par des nuages poussés par les vents venant du large. Sans avoir a</w:t>
      </w:r>
      <w:r w:rsidRPr="00320A86">
        <w:t>p</w:t>
      </w:r>
      <w:r w:rsidRPr="00320A86">
        <w:t>plaudi cette fois-ci, l’assemblée se dispersa à pas lents, par petits groupes, sous la lumière vacillante des torches, chacun méditant en son for intérieur cette « leçon ».</w:t>
      </w:r>
    </w:p>
    <w:p w14:paraId="3AB975AA" w14:textId="77777777" w:rsidR="00B01930" w:rsidRPr="00320A86" w:rsidRDefault="00B01930" w:rsidP="00B01930">
      <w:pPr>
        <w:spacing w:before="120" w:after="120"/>
        <w:jc w:val="both"/>
      </w:pPr>
      <w:r w:rsidRPr="00320A86">
        <w:t xml:space="preserve">Désormais, le silence s’empara de l’espace « vide »… </w:t>
      </w:r>
    </w:p>
    <w:p w14:paraId="77E3C89B" w14:textId="77777777" w:rsidR="00B01930" w:rsidRPr="00320A86" w:rsidRDefault="00B01930" w:rsidP="00B01930">
      <w:pPr>
        <w:spacing w:before="120" w:after="120"/>
        <w:jc w:val="both"/>
      </w:pPr>
      <w:r w:rsidRPr="00320A86">
        <w:t>Le maître étant parti, la nuit fut encore plus noire…</w:t>
      </w:r>
    </w:p>
    <w:p w14:paraId="7893D7F1" w14:textId="77777777" w:rsidR="00B01930" w:rsidRDefault="00B01930" w:rsidP="00B01930">
      <w:pPr>
        <w:jc w:val="both"/>
      </w:pPr>
      <w:r w:rsidRPr="00320A86">
        <w:br w:type="page"/>
      </w:r>
    </w:p>
    <w:p w14:paraId="5AD03FA5" w14:textId="77777777" w:rsidR="00B01930" w:rsidRDefault="00B01930" w:rsidP="00B01930">
      <w:pPr>
        <w:jc w:val="both"/>
      </w:pPr>
    </w:p>
    <w:p w14:paraId="022689F7" w14:textId="77777777" w:rsidR="00B01930" w:rsidRDefault="00B01930" w:rsidP="00B01930">
      <w:pPr>
        <w:jc w:val="both"/>
      </w:pPr>
    </w:p>
    <w:p w14:paraId="1B878739" w14:textId="77777777" w:rsidR="00B01930" w:rsidRPr="009D4882" w:rsidRDefault="00B01930" w:rsidP="00B01930">
      <w:pPr>
        <w:spacing w:after="120"/>
        <w:ind w:firstLine="0"/>
        <w:jc w:val="center"/>
        <w:rPr>
          <w:b/>
          <w:color w:val="000080"/>
        </w:rPr>
      </w:pPr>
      <w:bookmarkStart w:id="169" w:name="Analyser_idees_pol_pt_2_texte_03"/>
      <w:r>
        <w:rPr>
          <w:b/>
          <w:color w:val="000080"/>
        </w:rPr>
        <w:t>Deuxième</w:t>
      </w:r>
      <w:r w:rsidRPr="009D4882">
        <w:rPr>
          <w:b/>
          <w:color w:val="000080"/>
        </w:rPr>
        <w:t xml:space="preserve"> partie</w:t>
      </w:r>
      <w:r w:rsidRPr="009D4882">
        <w:rPr>
          <w:b/>
          <w:color w:val="000080"/>
        </w:rPr>
        <w:br/>
      </w:r>
      <w:r>
        <w:rPr>
          <w:i/>
          <w:color w:val="000080"/>
        </w:rPr>
        <w:t>Quelques idées politiques du «passé»</w:t>
      </w:r>
    </w:p>
    <w:p w14:paraId="395B5BEB" w14:textId="77777777" w:rsidR="00B01930" w:rsidRDefault="00B01930" w:rsidP="00B01930">
      <w:pPr>
        <w:pStyle w:val="Titreniveau1"/>
        <w:rPr>
          <w:szCs w:val="36"/>
        </w:rPr>
      </w:pPr>
      <w:r>
        <w:rPr>
          <w:szCs w:val="36"/>
        </w:rPr>
        <w:t>3</w:t>
      </w:r>
    </w:p>
    <w:p w14:paraId="00E2186C" w14:textId="77777777" w:rsidR="00B01930" w:rsidRDefault="00B01930" w:rsidP="00B01930">
      <w:pPr>
        <w:jc w:val="both"/>
        <w:rPr>
          <w:szCs w:val="36"/>
        </w:rPr>
      </w:pPr>
    </w:p>
    <w:p w14:paraId="7CCF96BC" w14:textId="77777777" w:rsidR="00B01930" w:rsidRPr="00843F3E" w:rsidRDefault="00B01930" w:rsidP="00B01930">
      <w:pPr>
        <w:pStyle w:val="Titreniveau2"/>
      </w:pPr>
      <w:r>
        <w:t>“Les principes politiques</w:t>
      </w:r>
      <w:r>
        <w:br/>
        <w:t>de Charles IX,</w:t>
      </w:r>
      <w:r>
        <w:br/>
        <w:t>Roi Très-Chrétien et</w:t>
      </w:r>
      <w:r>
        <w:br/>
        <w:t>Prince de la Renaissance.”</w:t>
      </w:r>
    </w:p>
    <w:bookmarkEnd w:id="169"/>
    <w:p w14:paraId="42D6B0A5" w14:textId="77777777" w:rsidR="00B01930" w:rsidRDefault="00B01930" w:rsidP="00B01930">
      <w:pPr>
        <w:jc w:val="both"/>
        <w:rPr>
          <w:szCs w:val="36"/>
        </w:rPr>
      </w:pPr>
    </w:p>
    <w:p w14:paraId="4143832E" w14:textId="77777777" w:rsidR="00B01930" w:rsidRDefault="00B01930" w:rsidP="00B01930">
      <w:pPr>
        <w:pStyle w:val="suite"/>
      </w:pPr>
      <w:r>
        <w:t>Jean-François LABOURDETTE</w:t>
      </w:r>
    </w:p>
    <w:p w14:paraId="560C625D" w14:textId="77777777" w:rsidR="00B01930" w:rsidRDefault="00B01930" w:rsidP="00B01930">
      <w:pPr>
        <w:jc w:val="both"/>
      </w:pPr>
    </w:p>
    <w:p w14:paraId="34265DC8" w14:textId="77777777" w:rsidR="00B01930" w:rsidRPr="00320A86" w:rsidRDefault="00B01930" w:rsidP="00B01930">
      <w:pPr>
        <w:spacing w:before="120" w:after="120"/>
        <w:jc w:val="both"/>
      </w:pPr>
    </w:p>
    <w:p w14:paraId="3EE88CE2"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7A71A206" w14:textId="77777777" w:rsidR="00B01930" w:rsidRPr="00320A86" w:rsidRDefault="00B01930" w:rsidP="00B01930">
      <w:pPr>
        <w:spacing w:before="120" w:after="120"/>
        <w:jc w:val="both"/>
      </w:pPr>
      <w:r w:rsidRPr="00320A86">
        <w:t>Lorsqu’il voulut justifier sa décision de faire exécuter Coligny et ses comp</w:t>
      </w:r>
      <w:r w:rsidRPr="00320A86">
        <w:t>a</w:t>
      </w:r>
      <w:r w:rsidRPr="00320A86">
        <w:t xml:space="preserve">gnons, </w:t>
      </w:r>
      <w:r>
        <w:t>Charles IX </w:t>
      </w:r>
      <w:r>
        <w:rPr>
          <w:rStyle w:val="Appelnotedebasdep"/>
        </w:rPr>
        <w:footnoteReference w:id="385"/>
      </w:r>
      <w:r w:rsidRPr="00320A86">
        <w:t xml:space="preserve"> déclara que l’Amiral avait acquis une telle autorité sur une partie de ses sujets, qu’il ne pouvait plus se dire roi absolu, « </w:t>
      </w:r>
      <w:r w:rsidRPr="00906631">
        <w:rPr>
          <w:i/>
        </w:rPr>
        <w:t>de sorte que, s’estant arrogé une telle puissance sur mesdictz subjectz, je ne me pouvois dire Roy absolu, mais comma</w:t>
      </w:r>
      <w:r w:rsidRPr="00906631">
        <w:rPr>
          <w:i/>
        </w:rPr>
        <w:t>n</w:t>
      </w:r>
      <w:r w:rsidRPr="00906631">
        <w:rPr>
          <w:i/>
        </w:rPr>
        <w:t>dois seulement à une des partz de mon Royaume </w:t>
      </w:r>
      <w:r w:rsidRPr="00320A86">
        <w:t>». La punition qu’il lui avait infligée était juste, même s’il regrettait de n’avoir pu lui do</w:t>
      </w:r>
      <w:r w:rsidRPr="00320A86">
        <w:t>n</w:t>
      </w:r>
      <w:r w:rsidRPr="00320A86">
        <w:t>ner une forme plus légale :</w:t>
      </w:r>
    </w:p>
    <w:p w14:paraId="7461BDE8" w14:textId="77777777" w:rsidR="00B01930" w:rsidRDefault="00B01930" w:rsidP="00B01930">
      <w:pPr>
        <w:pStyle w:val="citation"/>
      </w:pPr>
    </w:p>
    <w:p w14:paraId="64BF65B0" w14:textId="77777777" w:rsidR="00B01930" w:rsidRDefault="00B01930" w:rsidP="00B01930">
      <w:pPr>
        <w:pStyle w:val="citation"/>
      </w:pPr>
      <w:r w:rsidRPr="00320A86">
        <w:t>« L’ayant veu si mal recongnoistre la grace que je luy faisois, il ne m’a esté possible de le suporter plus longuement, et me suis resolu de laisser t</w:t>
      </w:r>
      <w:r w:rsidRPr="00320A86">
        <w:t>i</w:t>
      </w:r>
      <w:r w:rsidRPr="00320A86">
        <w:t>rer le cours de ma justice, à la verité extraordinaire, et autre que je n’eusse desiré, mais telle que, en semblables personnes, il estoit necessaire de pr</w:t>
      </w:r>
      <w:r w:rsidRPr="00320A86">
        <w:t>a</w:t>
      </w:r>
      <w:r w:rsidRPr="00320A86">
        <w:t>ticquer, si je ne me feusse voullu mectre en dangier d’allumer ung no</w:t>
      </w:r>
      <w:r w:rsidRPr="00320A86">
        <w:t>u</w:t>
      </w:r>
      <w:r w:rsidRPr="00320A86">
        <w:t>veau feu dans mon royaume</w:t>
      </w:r>
      <w:r>
        <w:t> </w:t>
      </w:r>
      <w:r w:rsidRPr="00DB503D">
        <w:rPr>
          <w:rStyle w:val="Appelnotedebasdep"/>
          <w:i/>
        </w:rPr>
        <w:footnoteReference w:id="386"/>
      </w:r>
      <w:r w:rsidRPr="00320A86">
        <w:t> ».</w:t>
      </w:r>
    </w:p>
    <w:p w14:paraId="1DAD0D3F" w14:textId="77777777" w:rsidR="00B01930" w:rsidRPr="00320A86" w:rsidRDefault="00B01930" w:rsidP="00B01930">
      <w:pPr>
        <w:pStyle w:val="citation"/>
      </w:pPr>
    </w:p>
    <w:p w14:paraId="12E1EA7A" w14:textId="77777777" w:rsidR="00B01930" w:rsidRPr="00320A86" w:rsidRDefault="00B01930" w:rsidP="00B01930">
      <w:pPr>
        <w:spacing w:before="120" w:after="120"/>
        <w:jc w:val="both"/>
      </w:pPr>
      <w:r w:rsidRPr="00320A86">
        <w:t>À la reine Elisabeth, qui ne comprenait pas cette exécution so</w:t>
      </w:r>
      <w:r w:rsidRPr="00320A86">
        <w:t>m</w:t>
      </w:r>
      <w:r w:rsidRPr="00320A86">
        <w:t xml:space="preserve">maire au lieu d’une « punition exemplaire par justice »,  </w:t>
      </w:r>
      <w:r>
        <w:t>Charles IX</w:t>
      </w:r>
      <w:r w:rsidRPr="00320A86">
        <w:t xml:space="preserve"> avait répondu avec une grande fermeté. Comment faire le procès d’un homme aussi puissant que l’amiral « </w:t>
      </w:r>
      <w:r w:rsidRPr="00906631">
        <w:rPr>
          <w:i/>
        </w:rPr>
        <w:t>qui avoit trente mil hommes de pied et quatre mil chevaux tousjours prests en ce royaulme à son commandement </w:t>
      </w:r>
      <w:r w:rsidRPr="00320A86">
        <w:t>» ? Il lui avait fallu réagir dans l’urgence, car lui et ses partisans « estoient tous prests de faire sur nous la mesme exéc</w:t>
      </w:r>
      <w:r w:rsidRPr="00320A86">
        <w:t>u</w:t>
      </w:r>
      <w:r w:rsidRPr="00320A86">
        <w:t>tion qui a esté faicte sur eul</w:t>
      </w:r>
      <w:r>
        <w:t> </w:t>
      </w:r>
      <w:r>
        <w:rPr>
          <w:rStyle w:val="Appelnotedebasdep"/>
        </w:rPr>
        <w:footnoteReference w:id="387"/>
      </w:r>
      <w:r w:rsidRPr="00320A86">
        <w:t> ». D’ailleurs la reine d’Angleterre s</w:t>
      </w:r>
      <w:r w:rsidRPr="00320A86">
        <w:t>a</w:t>
      </w:r>
      <w:r w:rsidRPr="00320A86">
        <w:t>vait bien que tout le pouvoir judiciaire résidait en sa personne, qu’il était le juge s</w:t>
      </w:r>
      <w:r w:rsidRPr="00320A86">
        <w:t>u</w:t>
      </w:r>
      <w:r w:rsidRPr="00320A86">
        <w:t>prême de ses sujets et que, connaissant les crimes de l’amiral, il suffisait qu’il prononçât sa condamnation à mort pour qu’elle eût valeur légale : « </w:t>
      </w:r>
      <w:r w:rsidRPr="00906631">
        <w:rPr>
          <w:i/>
        </w:rPr>
        <w:t>n’y ayant personne au monde qui soit meilleur et plus certain juge que moy du bon traictement ou de la p</w:t>
      </w:r>
      <w:r w:rsidRPr="00906631">
        <w:rPr>
          <w:i/>
        </w:rPr>
        <w:t>u</w:t>
      </w:r>
      <w:r w:rsidRPr="00906631">
        <w:rPr>
          <w:i/>
        </w:rPr>
        <w:t>nission que je dois faire à mes propres subjectz, pour estre plus certainement info</w:t>
      </w:r>
      <w:r w:rsidRPr="00906631">
        <w:rPr>
          <w:i/>
        </w:rPr>
        <w:t>r</w:t>
      </w:r>
      <w:r w:rsidRPr="00906631">
        <w:rPr>
          <w:i/>
        </w:rPr>
        <w:t>mé que nul autre, comme celluy à qui il touche de plus près de la vér</w:t>
      </w:r>
      <w:r w:rsidRPr="00906631">
        <w:rPr>
          <w:i/>
        </w:rPr>
        <w:t>i</w:t>
      </w:r>
      <w:r w:rsidRPr="00906631">
        <w:rPr>
          <w:i/>
        </w:rPr>
        <w:t>té de leurs déportemens </w:t>
      </w:r>
      <w:r>
        <w:rPr>
          <w:rStyle w:val="Appelnotedebasdep"/>
        </w:rPr>
        <w:footnoteReference w:id="388"/>
      </w:r>
      <w:r w:rsidRPr="00320A86">
        <w:t> ». Cependant, pour achever de convai</w:t>
      </w:r>
      <w:r w:rsidRPr="00320A86">
        <w:t>n</w:t>
      </w:r>
      <w:r w:rsidRPr="00320A86">
        <w:t>cre la re</w:t>
      </w:r>
      <w:r w:rsidRPr="00320A86">
        <w:t>i</w:t>
      </w:r>
      <w:r w:rsidRPr="00320A86">
        <w:t>ne Élisabeth du bien-fondé de l’exécution des chefs protestants qu’il avait ordonnée, le Roi lui avait envoyé le jugement a posteriori prononcé contre l’amiral et ses partisans par son parlement. Mais ce n’était que pure complaisance de sa part : « </w:t>
      </w:r>
      <w:r w:rsidRPr="00906631">
        <w:rPr>
          <w:i/>
        </w:rPr>
        <w:t>encores que je ne sois t</w:t>
      </w:r>
      <w:r w:rsidRPr="00906631">
        <w:rPr>
          <w:i/>
        </w:rPr>
        <w:t>e</w:t>
      </w:r>
      <w:r w:rsidRPr="00906631">
        <w:rPr>
          <w:i/>
        </w:rPr>
        <w:t>nu randre aulcun compte à qui que ce soit de mes a</w:t>
      </w:r>
      <w:r w:rsidRPr="00906631">
        <w:rPr>
          <w:i/>
        </w:rPr>
        <w:t>c</w:t>
      </w:r>
      <w:r w:rsidRPr="00906631">
        <w:rPr>
          <w:i/>
        </w:rPr>
        <w:t>tions </w:t>
      </w:r>
      <w:r>
        <w:rPr>
          <w:rStyle w:val="Appelnotedebasdep"/>
        </w:rPr>
        <w:footnoteReference w:id="389"/>
      </w:r>
      <w:r w:rsidRPr="00320A86">
        <w:t> ».</w:t>
      </w:r>
    </w:p>
    <w:p w14:paraId="7FED13D2" w14:textId="77777777" w:rsidR="00B01930" w:rsidRPr="00320A86" w:rsidRDefault="00B01930" w:rsidP="00B01930">
      <w:pPr>
        <w:spacing w:before="120" w:after="120"/>
        <w:jc w:val="both"/>
      </w:pPr>
      <w:r w:rsidRPr="00320A86">
        <w:t xml:space="preserve">Ces affirmations étaient-elles la négation même de la théorie de la monarchie modérée qui dominait la pensée politique qui lui avait été enseignée ? En effet, les théoriciens du pouvoir politique, ceux dont </w:t>
      </w:r>
      <w:r>
        <w:t>Charles IX</w:t>
      </w:r>
      <w:r w:rsidRPr="00320A86">
        <w:t xml:space="preserve"> avait lu ou s’était fait lire les écrits : Loys Le Roy, Bernard du Haillan, ou François de Belleforest avaient célébré les vertus de modération de la monarchie française qui faisaient sa supériorité sur tous les autres régimes politiques et qui l’empêchaient de d</w:t>
      </w:r>
      <w:r w:rsidRPr="00320A86">
        <w:t>e</w:t>
      </w:r>
      <w:r w:rsidRPr="00320A86">
        <w:t>venir une tyrannie. Tous s’étaient inspirés du grand ouvrage de théorie polit</w:t>
      </w:r>
      <w:r w:rsidRPr="00320A86">
        <w:t>i</w:t>
      </w:r>
      <w:r w:rsidRPr="00320A86">
        <w:t xml:space="preserve">que, </w:t>
      </w:r>
      <w:r w:rsidRPr="00906631">
        <w:rPr>
          <w:i/>
        </w:rPr>
        <w:t>La Monarchie de France</w:t>
      </w:r>
      <w:r w:rsidRPr="00320A86">
        <w:t>, publié en 1519 par Claude de Sey</w:t>
      </w:r>
      <w:r w:rsidRPr="00320A86">
        <w:t>s</w:t>
      </w:r>
      <w:r w:rsidRPr="00320A86">
        <w:t>sel</w:t>
      </w:r>
      <w:r>
        <w:t> </w:t>
      </w:r>
      <w:r>
        <w:rPr>
          <w:rStyle w:val="Appelnotedebasdep"/>
        </w:rPr>
        <w:footnoteReference w:id="390"/>
      </w:r>
      <w:r w:rsidRPr="00320A86">
        <w:t xml:space="preserve">. </w:t>
      </w:r>
    </w:p>
    <w:p w14:paraId="451E66C2" w14:textId="77777777" w:rsidR="00B01930" w:rsidRPr="00320A86" w:rsidRDefault="00B01930" w:rsidP="00B01930">
      <w:pPr>
        <w:spacing w:before="120" w:after="120"/>
        <w:jc w:val="both"/>
      </w:pPr>
      <w:r w:rsidRPr="00320A86">
        <w:t>Celui-ci écrit que l’état monarchique « </w:t>
      </w:r>
      <w:r w:rsidRPr="00906631">
        <w:rPr>
          <w:i/>
        </w:rPr>
        <w:t>est meilleur que nul autre </w:t>
      </w:r>
      <w:r w:rsidRPr="00320A86">
        <w:t>», et de to</w:t>
      </w:r>
      <w:r w:rsidRPr="00320A86">
        <w:t>u</w:t>
      </w:r>
      <w:r w:rsidRPr="00320A86">
        <w:t>tes les monarchies, la monarchie française est la meilleure, car c’est une mona</w:t>
      </w:r>
      <w:r w:rsidRPr="00320A86">
        <w:t>r</w:t>
      </w:r>
      <w:r w:rsidRPr="00320A86">
        <w:t>chie successive, c’est-à-dire régie par une loi de succession, et non purement héréditaire : le « </w:t>
      </w:r>
      <w:r w:rsidRPr="00906631">
        <w:rPr>
          <w:i/>
        </w:rPr>
        <w:t>royaume va par succe</w:t>
      </w:r>
      <w:r w:rsidRPr="00906631">
        <w:rPr>
          <w:i/>
        </w:rPr>
        <w:t>s</w:t>
      </w:r>
      <w:r w:rsidRPr="00906631">
        <w:rPr>
          <w:i/>
        </w:rPr>
        <w:t>sion masculine, sans pouvoir tomber en main de femme, selon la loi que les Français appellent “salique”, qui est une très bonne chose. Car, tombant en ligne féminine, elle vient en main et pouvoir d’homme d’étrange nation, qui est chose pernicieuse et dangereuse </w:t>
      </w:r>
      <w:r w:rsidRPr="00320A86">
        <w:t>». Surtout, la monarchie de France est la meilleure des monarchies car « </w:t>
      </w:r>
      <w:r w:rsidRPr="00906631">
        <w:rPr>
          <w:i/>
        </w:rPr>
        <w:t>l’autorité et puissa</w:t>
      </w:r>
      <w:r w:rsidRPr="00906631">
        <w:rPr>
          <w:i/>
        </w:rPr>
        <w:t>n</w:t>
      </w:r>
      <w:r w:rsidRPr="00906631">
        <w:rPr>
          <w:i/>
        </w:rPr>
        <w:t>ce du Roi est réglée et réfrénée en France par trois freins </w:t>
      </w:r>
      <w:r w:rsidRPr="00320A86">
        <w:t>» : la Religion, la Just</w:t>
      </w:r>
      <w:r w:rsidRPr="00320A86">
        <w:t>i</w:t>
      </w:r>
      <w:r w:rsidRPr="00320A86">
        <w:t>ce et la Police. La religion « </w:t>
      </w:r>
      <w:r w:rsidRPr="00906631">
        <w:rPr>
          <w:i/>
        </w:rPr>
        <w:t>est le premier frein des rois </w:t>
      </w:r>
      <w:r w:rsidRPr="00320A86">
        <w:t>», d’autant plus que le roi de France est appelé le Très Chrétien. Le second frein réside pour l’essentiel  dans les pa</w:t>
      </w:r>
      <w:r w:rsidRPr="00320A86">
        <w:t>r</w:t>
      </w:r>
      <w:r w:rsidRPr="00320A86">
        <w:t>lements qui ont été institués afin « de réfréner la puissa</w:t>
      </w:r>
      <w:r w:rsidRPr="00320A86">
        <w:t>n</w:t>
      </w:r>
      <w:r w:rsidRPr="00320A86">
        <w:t>ce absolue dont vo</w:t>
      </w:r>
      <w:r w:rsidRPr="00320A86">
        <w:t>u</w:t>
      </w:r>
      <w:r w:rsidRPr="00320A86">
        <w:t>draient user les Rois ». Quant à la police, ce sont « </w:t>
      </w:r>
      <w:r w:rsidRPr="00906631">
        <w:rPr>
          <w:i/>
        </w:rPr>
        <w:t>plusieurs Ordonnances qui ont été faites par les Rois mêmes </w:t>
      </w:r>
      <w:r w:rsidRPr="00320A86">
        <w:t>» pour la conserv</w:t>
      </w:r>
      <w:r w:rsidRPr="00320A86">
        <w:t>a</w:t>
      </w:r>
      <w:r w:rsidRPr="00320A86">
        <w:t>tion du royaume. Elles ont été gardées depuis si longtemps « que les Princes n’entreprennent point d’y déroger ». Par conséquent, la pui</w:t>
      </w:r>
      <w:r w:rsidRPr="00320A86">
        <w:t>s</w:t>
      </w:r>
      <w:r w:rsidRPr="00320A86">
        <w:t>sance royale n’est « </w:t>
      </w:r>
      <w:r w:rsidRPr="00906631">
        <w:rPr>
          <w:i/>
        </w:rPr>
        <w:t>non totalement abs</w:t>
      </w:r>
      <w:r w:rsidRPr="00906631">
        <w:rPr>
          <w:i/>
        </w:rPr>
        <w:t>o</w:t>
      </w:r>
      <w:r w:rsidRPr="00906631">
        <w:rPr>
          <w:i/>
        </w:rPr>
        <w:t>lue, ni aussi restreinte par trop, mais réglée et réfrénée par bonnes lois, ordonnances et cout</w:t>
      </w:r>
      <w:r w:rsidRPr="00906631">
        <w:rPr>
          <w:i/>
        </w:rPr>
        <w:t>u</w:t>
      </w:r>
      <w:r w:rsidRPr="00906631">
        <w:rPr>
          <w:i/>
        </w:rPr>
        <w:t>mes, les quelles sont établies de telle sorte qu’à peine se peuvent ro</w:t>
      </w:r>
      <w:r w:rsidRPr="00906631">
        <w:rPr>
          <w:i/>
        </w:rPr>
        <w:t>m</w:t>
      </w:r>
      <w:r w:rsidRPr="00906631">
        <w:rPr>
          <w:i/>
        </w:rPr>
        <w:t>pre ou annih</w:t>
      </w:r>
      <w:r w:rsidRPr="00906631">
        <w:rPr>
          <w:i/>
        </w:rPr>
        <w:t>i</w:t>
      </w:r>
      <w:r w:rsidRPr="00906631">
        <w:rPr>
          <w:i/>
        </w:rPr>
        <w:t>ler </w:t>
      </w:r>
      <w:r w:rsidRPr="00320A86">
        <w:t>». Bien plus, « </w:t>
      </w:r>
      <w:r w:rsidRPr="00906631">
        <w:rPr>
          <w:i/>
        </w:rPr>
        <w:t>cette modération et réfrénation de la puissance a</w:t>
      </w:r>
      <w:r w:rsidRPr="00906631">
        <w:rPr>
          <w:i/>
        </w:rPr>
        <w:t>b</w:t>
      </w:r>
      <w:r w:rsidRPr="00906631">
        <w:rPr>
          <w:i/>
        </w:rPr>
        <w:t>solue des Rois est à leur honneur et profit </w:t>
      </w:r>
      <w:r w:rsidRPr="00320A86">
        <w:t>», car « </w:t>
      </w:r>
      <w:r w:rsidRPr="00906631">
        <w:rPr>
          <w:i/>
        </w:rPr>
        <w:t>lesdits trois freins et restrentifs de la puissance absolue des rois, laquelle n’en est pour ce moindre, mais d’autant est plus digne qu’elle est mieux réglée </w:t>
      </w:r>
      <w:r>
        <w:rPr>
          <w:rStyle w:val="Appelnotedebasdep"/>
        </w:rPr>
        <w:footnoteReference w:id="391"/>
      </w:r>
      <w:r w:rsidRPr="00320A86">
        <w:t xml:space="preserve"> ». </w:t>
      </w:r>
    </w:p>
    <w:p w14:paraId="3A5909E7" w14:textId="77777777" w:rsidR="00B01930" w:rsidRPr="00320A86" w:rsidRDefault="00B01930" w:rsidP="00B01930">
      <w:pPr>
        <w:spacing w:before="120" w:after="120"/>
        <w:jc w:val="both"/>
      </w:pPr>
    </w:p>
    <w:p w14:paraId="04DDAC34" w14:textId="77777777" w:rsidR="00B01930" w:rsidRPr="00320A86" w:rsidRDefault="00B01930" w:rsidP="00B01930">
      <w:pPr>
        <w:pStyle w:val="planche"/>
      </w:pPr>
      <w:bookmarkStart w:id="170" w:name="Analyser_idees_pol_pt_2_texte_03_I"/>
      <w:r w:rsidRPr="00320A86">
        <w:t>I. L’institution d’un Prince de la Renaissance</w:t>
      </w:r>
    </w:p>
    <w:bookmarkEnd w:id="170"/>
    <w:p w14:paraId="4723ECBB" w14:textId="77777777" w:rsidR="00B01930" w:rsidRDefault="00B01930" w:rsidP="00B01930">
      <w:pPr>
        <w:spacing w:before="120" w:after="120"/>
        <w:jc w:val="both"/>
      </w:pPr>
    </w:p>
    <w:p w14:paraId="483D915B"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7CFE3E93" w14:textId="77777777" w:rsidR="00B01930" w:rsidRPr="00320A86" w:rsidRDefault="00B01930" w:rsidP="00B01930">
      <w:pPr>
        <w:spacing w:before="120" w:after="120"/>
        <w:jc w:val="both"/>
      </w:pPr>
      <w:r w:rsidRPr="00320A86">
        <w:t xml:space="preserve">À l’exemple de tous les souverains de la Renaissance, </w:t>
      </w:r>
      <w:r>
        <w:t>Henri I</w:t>
      </w:r>
      <w:r w:rsidRPr="00320A86">
        <w:t>I avait choisi des humanistes comme précepteurs de ses fils : Pierre D</w:t>
      </w:r>
      <w:r w:rsidRPr="00320A86">
        <w:t>a</w:t>
      </w:r>
      <w:r w:rsidRPr="00320A86">
        <w:t xml:space="preserve">nès, brillant helléniste, professeur de grec au Collège royal, pour le dauphin François, et Jacques Amyot pour ses deux puînés, le futur </w:t>
      </w:r>
      <w:r>
        <w:t>Charles IX</w:t>
      </w:r>
      <w:r w:rsidRPr="00320A86">
        <w:t xml:space="preserve"> et le futur </w:t>
      </w:r>
      <w:r>
        <w:t>Henri I</w:t>
      </w:r>
      <w:r w:rsidRPr="00320A86">
        <w:t>II. En général, la nomination d’un pr</w:t>
      </w:r>
      <w:r w:rsidRPr="00320A86">
        <w:t>é</w:t>
      </w:r>
      <w:r w:rsidRPr="00320A86">
        <w:t>cepteur n’intervenait pas avant l’âge de sept ans, moment où les pri</w:t>
      </w:r>
      <w:r w:rsidRPr="00320A86">
        <w:t>n</w:t>
      </w:r>
      <w:r w:rsidRPr="00320A86">
        <w:t>ces quittaient les gouvernantes et passaient aux hommes. Ce ne fut pas le cas pour les fils d’</w:t>
      </w:r>
      <w:r>
        <w:t>Henri I</w:t>
      </w:r>
      <w:r w:rsidRPr="00320A86">
        <w:t xml:space="preserve">I, car le futur </w:t>
      </w:r>
      <w:r>
        <w:t>François I</w:t>
      </w:r>
      <w:r w:rsidRPr="00320A86">
        <w:t xml:space="preserve">I n’avait que trois ans au moment de la nomination de Danès et, dans sa dédicace à </w:t>
      </w:r>
      <w:r>
        <w:t>Cha</w:t>
      </w:r>
      <w:r>
        <w:t>r</w:t>
      </w:r>
      <w:r>
        <w:t>les IX</w:t>
      </w:r>
      <w:r w:rsidRPr="00320A86">
        <w:t xml:space="preserve"> de ses </w:t>
      </w:r>
      <w:r w:rsidRPr="00906631">
        <w:rPr>
          <w:i/>
        </w:rPr>
        <w:t>Œuvres morales</w:t>
      </w:r>
      <w:r w:rsidRPr="00320A86">
        <w:t xml:space="preserve"> en 1572, Jacques Amyot écrit qu’il avait eu « </w:t>
      </w:r>
      <w:r w:rsidRPr="00906631">
        <w:rPr>
          <w:i/>
        </w:rPr>
        <w:t>ce grand heur que d’estre mis auprès de vous dès vostre première enfance, que vous n’aviez guères que quatre ans, pour vous acheminer à la cognoissance de Dieu et des lettres </w:t>
      </w:r>
      <w:r w:rsidRPr="00320A86">
        <w:t>». Les contemp</w:t>
      </w:r>
      <w:r w:rsidRPr="00320A86">
        <w:t>o</w:t>
      </w:r>
      <w:r w:rsidRPr="00320A86">
        <w:t>rains s’accordent à faire l’éloge d’Amyot : « </w:t>
      </w:r>
      <w:r w:rsidRPr="00906631">
        <w:rPr>
          <w:i/>
        </w:rPr>
        <w:t>c’estoit un très-grand sçavant personnage en grec et latin, tesmoings les belles et éloquentes tradu</w:t>
      </w:r>
      <w:r w:rsidRPr="00906631">
        <w:rPr>
          <w:i/>
        </w:rPr>
        <w:t>c</w:t>
      </w:r>
      <w:r w:rsidRPr="00906631">
        <w:rPr>
          <w:i/>
        </w:rPr>
        <w:t>tions qu’il a faites de Plutarque </w:t>
      </w:r>
      <w:r w:rsidRPr="00320A86">
        <w:t>», et il « </w:t>
      </w:r>
      <w:r w:rsidRPr="00906631">
        <w:rPr>
          <w:i/>
        </w:rPr>
        <w:t>nourrit très bien » le Roi </w:t>
      </w:r>
      <w:r w:rsidRPr="00906631">
        <w:rPr>
          <w:rStyle w:val="Appelnotedebasdep"/>
          <w:i/>
        </w:rPr>
        <w:footnoteReference w:id="392"/>
      </w:r>
      <w:r w:rsidRPr="00906631">
        <w:rPr>
          <w:i/>
        </w:rPr>
        <w:t xml:space="preserve"> (Brantôme). Charles IX eut beaucoup d’estime et même d’affection pour lui, et il l’appelait toujours « son maistre </w:t>
      </w:r>
      <w:r w:rsidRPr="00320A86">
        <w:t>». Aussi, dès son avènement, en fit-il son grand aumônier : il lui accorda ensu</w:t>
      </w:r>
      <w:r w:rsidRPr="00320A86">
        <w:t>i</w:t>
      </w:r>
      <w:r w:rsidRPr="00320A86">
        <w:t>te de nombreux bénéfices ecclésiastiques et le nomma à l’évêché d’Auxerre en 1570, à l’âge de cinquante-huit ans.</w:t>
      </w:r>
    </w:p>
    <w:p w14:paraId="40B38A88" w14:textId="77777777" w:rsidR="00B01930" w:rsidRPr="00320A86" w:rsidRDefault="00B01930" w:rsidP="00B01930">
      <w:pPr>
        <w:spacing w:before="120" w:after="120"/>
        <w:jc w:val="both"/>
      </w:pPr>
      <w:r w:rsidRPr="00320A86">
        <w:t>Dans sa dédicace à son élève, il lui indique quel était le plan d’études qu’il avait conçu pour lui et qui s’inscrivait dans la tradition de l’éducation humaniste que délivraient alors les nombreux ouvrages intitulés Miroir des princes ou Inst</w:t>
      </w:r>
      <w:r w:rsidRPr="00320A86">
        <w:t>i</w:t>
      </w:r>
      <w:r w:rsidRPr="00320A86">
        <w:t>tution des Princes :</w:t>
      </w:r>
    </w:p>
    <w:p w14:paraId="42D66A6F" w14:textId="77777777" w:rsidR="00B01930" w:rsidRDefault="00B01930" w:rsidP="00B01930">
      <w:pPr>
        <w:pStyle w:val="citation"/>
      </w:pPr>
    </w:p>
    <w:p w14:paraId="36BDF4CC" w14:textId="77777777" w:rsidR="00B01930" w:rsidRDefault="00B01930" w:rsidP="00B01930">
      <w:pPr>
        <w:pStyle w:val="citation"/>
      </w:pPr>
      <w:r w:rsidRPr="00320A86">
        <w:t>« Je me mis à penser quels autheurs anciens seroient plus idoines et plus propres à vostre estat pour vous proposer à lire quand vous seriez en aage d’y pouvoir pre</w:t>
      </w:r>
      <w:r w:rsidRPr="00320A86">
        <w:t>n</w:t>
      </w:r>
      <w:r w:rsidRPr="00320A86">
        <w:t>dre quelque goust. Et pour ce qu’il me sembloit, qu’après les Sai</w:t>
      </w:r>
      <w:r w:rsidRPr="00320A86">
        <w:t>n</w:t>
      </w:r>
      <w:r w:rsidRPr="00320A86">
        <w:t>tes Lettres, la plus belle et la plus digne lecture que l’on sçauroit présenter à un jeune Prince estoit les Vies de Plutarque, je me mis à reveoir ce que j’en avois commencé à traduire en no</w:t>
      </w:r>
      <w:r w:rsidRPr="00320A86">
        <w:t>s</w:t>
      </w:r>
      <w:r w:rsidRPr="00320A86">
        <w:t>tre langue par le commandement du feu grand Roy François, mon premier bienfai</w:t>
      </w:r>
      <w:r w:rsidRPr="00320A86">
        <w:t>c</w:t>
      </w:r>
      <w:r w:rsidRPr="00320A86">
        <w:t>teur que Dieu absolve, et parachever l’œuvre e</w:t>
      </w:r>
      <w:r w:rsidRPr="00320A86">
        <w:t>n</w:t>
      </w:r>
      <w:r w:rsidRPr="00320A86">
        <w:t>tier estant à vostre service</w:t>
      </w:r>
      <w:r>
        <w:t> </w:t>
      </w:r>
      <w:r w:rsidRPr="00DB503D">
        <w:rPr>
          <w:rStyle w:val="Appelnotedebasdep"/>
          <w:i/>
        </w:rPr>
        <w:footnoteReference w:id="393"/>
      </w:r>
      <w:r w:rsidRPr="00320A86">
        <w:t> ».</w:t>
      </w:r>
    </w:p>
    <w:p w14:paraId="30651319" w14:textId="77777777" w:rsidR="00B01930" w:rsidRPr="00320A86" w:rsidRDefault="00B01930" w:rsidP="00B01930">
      <w:pPr>
        <w:pStyle w:val="citation"/>
      </w:pPr>
    </w:p>
    <w:p w14:paraId="309A6985" w14:textId="77777777" w:rsidR="00B01930" w:rsidRPr="00320A86" w:rsidRDefault="00B01930" w:rsidP="00B01930">
      <w:pPr>
        <w:spacing w:before="120" w:after="120"/>
        <w:jc w:val="both"/>
      </w:pPr>
      <w:r w:rsidRPr="00320A86">
        <w:t xml:space="preserve">Son précepteur le fit d’abord travailler sur ce livre où il pouvait trouver des modèles de souverains et d’hommes de guerre. </w:t>
      </w:r>
      <w:r>
        <w:t>Charles IX</w:t>
      </w:r>
      <w:r w:rsidRPr="00320A86">
        <w:t xml:space="preserve"> fit son livre de chevet de la belle et célèbre édition de 1567 des Vies parallèles</w:t>
      </w:r>
      <w:r>
        <w:t> </w:t>
      </w:r>
      <w:r>
        <w:rPr>
          <w:rStyle w:val="Appelnotedebasdep"/>
        </w:rPr>
        <w:footnoteReference w:id="394"/>
      </w:r>
      <w:r w:rsidRPr="00320A86">
        <w:t> :</w:t>
      </w:r>
    </w:p>
    <w:p w14:paraId="2ECED913" w14:textId="77777777" w:rsidR="00B01930" w:rsidRDefault="00B01930" w:rsidP="00B01930">
      <w:pPr>
        <w:pStyle w:val="citation"/>
      </w:pPr>
      <w:r>
        <w:t>« Depuis que l’â</w:t>
      </w:r>
      <w:r w:rsidRPr="00320A86">
        <w:t>ge et l’usage vous eurent apporté la suffisance de lire, et quelque jugement naturel, vous ne vouliez lire un autre livre », écrit e</w:t>
      </w:r>
      <w:r w:rsidRPr="00320A86">
        <w:t>n</w:t>
      </w:r>
      <w:r w:rsidRPr="00320A86">
        <w:t>core Amyot à son élève dans sa dédicace</w:t>
      </w:r>
      <w:r>
        <w:t> </w:t>
      </w:r>
      <w:r w:rsidRPr="00DB503D">
        <w:rPr>
          <w:rStyle w:val="Appelnotedebasdep"/>
          <w:i/>
        </w:rPr>
        <w:footnoteReference w:id="395"/>
      </w:r>
      <w:r w:rsidRPr="00320A86">
        <w:t>. »</w:t>
      </w:r>
    </w:p>
    <w:p w14:paraId="506A8BDD" w14:textId="77777777" w:rsidR="00B01930" w:rsidRDefault="00B01930" w:rsidP="00B01930">
      <w:pPr>
        <w:spacing w:before="120" w:after="120"/>
        <w:jc w:val="both"/>
      </w:pPr>
    </w:p>
    <w:p w14:paraId="22846E96" w14:textId="77777777" w:rsidR="00B01930" w:rsidRPr="00320A86" w:rsidRDefault="00B01930" w:rsidP="00B01930">
      <w:pPr>
        <w:spacing w:before="120" w:after="120"/>
        <w:jc w:val="both"/>
      </w:pPr>
      <w:r w:rsidRPr="00320A86">
        <w:t>Le Roi se faisait lire aussi des extraits des Œuvres morales et m</w:t>
      </w:r>
      <w:r w:rsidRPr="00320A86">
        <w:t>e</w:t>
      </w:r>
      <w:r w:rsidRPr="00320A86">
        <w:t>slées de Plutarque, parues en 1572, dont Amyot avait fait la tradu</w:t>
      </w:r>
      <w:r w:rsidRPr="00320A86">
        <w:t>c</w:t>
      </w:r>
      <w:r w:rsidRPr="00320A86">
        <w:t>tion. Dans son Epître dédicatoire, Amyot s’adressait ainsi à son souv</w:t>
      </w:r>
      <w:r w:rsidRPr="00320A86">
        <w:t>e</w:t>
      </w:r>
      <w:r w:rsidRPr="00320A86">
        <w:t xml:space="preserve">rain : </w:t>
      </w:r>
    </w:p>
    <w:p w14:paraId="4D93270A" w14:textId="77777777" w:rsidR="00B01930" w:rsidRDefault="00B01930" w:rsidP="00B01930">
      <w:pPr>
        <w:pStyle w:val="citation"/>
      </w:pPr>
      <w:r w:rsidRPr="00320A86">
        <w:t>« C’est pour vous que je l’ay entreprins, et à vous seul je le voue et dédie, avecques l’humble service de tout le reste de ma vie […] pour te</w:t>
      </w:r>
      <w:r w:rsidRPr="00320A86">
        <w:t>s</w:t>
      </w:r>
      <w:r w:rsidRPr="00320A86">
        <w:t>moigner à la postérité et à ceulx qui n’ont pas cet heur de vous c</w:t>
      </w:r>
      <w:r w:rsidRPr="00320A86">
        <w:t>o</w:t>
      </w:r>
      <w:r w:rsidRPr="00320A86">
        <w:t>gnoistre familièrement, que nostre seigneur a mis en vous une singulière bonté, e</w:t>
      </w:r>
      <w:r w:rsidRPr="00320A86">
        <w:t>n</w:t>
      </w:r>
      <w:r w:rsidRPr="00320A86">
        <w:t>cline d’elle-mesme à aimer, honorer et estimer toutes choses vertue</w:t>
      </w:r>
      <w:r w:rsidRPr="00320A86">
        <w:t>u</w:t>
      </w:r>
      <w:r w:rsidRPr="00320A86">
        <w:t>ses</w:t>
      </w:r>
      <w:r>
        <w:t> </w:t>
      </w:r>
      <w:r w:rsidRPr="00DB503D">
        <w:rPr>
          <w:rStyle w:val="Appelnotedebasdep"/>
          <w:i/>
        </w:rPr>
        <w:footnoteReference w:id="396"/>
      </w:r>
      <w:r w:rsidRPr="00320A86">
        <w:t> ».</w:t>
      </w:r>
    </w:p>
    <w:p w14:paraId="214D8D77" w14:textId="77777777" w:rsidR="00B01930" w:rsidRPr="00320A86" w:rsidRDefault="00B01930" w:rsidP="00B01930">
      <w:pPr>
        <w:pStyle w:val="citation"/>
      </w:pPr>
    </w:p>
    <w:p w14:paraId="3738D81C" w14:textId="77777777" w:rsidR="00B01930" w:rsidRPr="00320A86" w:rsidRDefault="00B01930" w:rsidP="00B01930">
      <w:pPr>
        <w:spacing w:before="120" w:after="120"/>
        <w:jc w:val="both"/>
      </w:pPr>
      <w:r w:rsidRPr="00320A86">
        <w:t xml:space="preserve"> Même si l’on peut mettre en doute que les traductions de versions de Cic</w:t>
      </w:r>
      <w:r w:rsidRPr="00320A86">
        <w:t>é</w:t>
      </w:r>
      <w:r w:rsidRPr="00320A86">
        <w:t xml:space="preserve">ron que l’on trouve à la Bibliothèque nationale soient de la main de </w:t>
      </w:r>
      <w:r>
        <w:t>Charles IX</w:t>
      </w:r>
      <w:r w:rsidRPr="00320A86">
        <w:t>, cela ne veut pas dire pour autant qu’Amyot ne l’ait pas fait travailler sur des te</w:t>
      </w:r>
      <w:r w:rsidRPr="00320A86">
        <w:t>x</w:t>
      </w:r>
      <w:r w:rsidRPr="00320A86">
        <w:t>tes de Cicéron, qui est recommandé dans toutes les Institutions de princes pour les former à l’éloquence. « </w:t>
      </w:r>
      <w:r w:rsidRPr="00906631">
        <w:rPr>
          <w:i/>
        </w:rPr>
        <w:t>Entre les poëtes, il chérit Daurat pour les vers l</w:t>
      </w:r>
      <w:r w:rsidRPr="00906631">
        <w:rPr>
          <w:i/>
        </w:rPr>
        <w:t>a</w:t>
      </w:r>
      <w:r w:rsidRPr="00906631">
        <w:rPr>
          <w:i/>
        </w:rPr>
        <w:t>tins </w:t>
      </w:r>
      <w:r w:rsidRPr="00320A86">
        <w:t>», écrit Papyre Masson, son biographe</w:t>
      </w:r>
      <w:r>
        <w:t>.</w:t>
      </w:r>
      <w:r w:rsidRPr="00320A86">
        <w:rPr>
          <w:vertAlign w:val="superscript"/>
        </w:rPr>
        <w:t>.</w:t>
      </w:r>
      <w:r w:rsidRPr="00320A86">
        <w:t xml:space="preserve"> Sans doute Amyot lui donna-t-il quelques n</w:t>
      </w:r>
      <w:r w:rsidRPr="00320A86">
        <w:t>o</w:t>
      </w:r>
      <w:r w:rsidRPr="00320A86">
        <w:t>tions de grec, mais sa formation dans les langues anciennes s’arrêta là. Roi à l’âge de 10 ans, son initiation aux belles lettres fut sans doute sacrifiée à l’apprentissage du métier de roi. En revanche, fils d’une Médicis, il parlait italien. Il faut cependant abandonner une idée r</w:t>
      </w:r>
      <w:r w:rsidRPr="00320A86">
        <w:t>e</w:t>
      </w:r>
      <w:r w:rsidRPr="00320A86">
        <w:t>çue : dans l’intimité, la famille royale ne conversait pas en italien, mais toujours en français. Le secrétaire de l’ambassadeur de Florence en porte témoignage : dans une audience, le Roi avait engagé la conversation en italien, mais il s’était arrêté en lui disant : « </w:t>
      </w:r>
      <w:r w:rsidRPr="00906631">
        <w:rPr>
          <w:i/>
        </w:rPr>
        <w:t>Je suis désolé de ne pas parler assez bien l’italien pour pouvoir vous expr</w:t>
      </w:r>
      <w:r w:rsidRPr="00906631">
        <w:rPr>
          <w:i/>
        </w:rPr>
        <w:t>i</w:t>
      </w:r>
      <w:r w:rsidRPr="00906631">
        <w:rPr>
          <w:i/>
        </w:rPr>
        <w:t>mer mon idée </w:t>
      </w:r>
      <w:r w:rsidRPr="00320A86">
        <w:t>». Son interlocuteur lui avait répondu qu’il pouvait cont</w:t>
      </w:r>
      <w:r w:rsidRPr="00320A86">
        <w:t>i</w:t>
      </w:r>
      <w:r w:rsidRPr="00320A86">
        <w:t>nuer en français et qu’il le comprendrait</w:t>
      </w:r>
      <w:r>
        <w:t> </w:t>
      </w:r>
      <w:r>
        <w:rPr>
          <w:rStyle w:val="Appelnotedebasdep"/>
        </w:rPr>
        <w:footnoteReference w:id="397"/>
      </w:r>
      <w:r w:rsidRPr="00320A86">
        <w:t>.</w:t>
      </w:r>
    </w:p>
    <w:p w14:paraId="1AC787C3" w14:textId="77777777" w:rsidR="00B01930" w:rsidRPr="00320A86" w:rsidRDefault="00B01930" w:rsidP="00B01930">
      <w:pPr>
        <w:spacing w:before="120" w:after="120"/>
        <w:jc w:val="both"/>
      </w:pPr>
      <w:r w:rsidRPr="00320A86">
        <w:t xml:space="preserve">Ce n’est pas en vain qu’Amyot répétait à son élève que l’histoire est la « maistresse des rois » : </w:t>
      </w:r>
    </w:p>
    <w:p w14:paraId="73AFF24B" w14:textId="77777777" w:rsidR="00B01930" w:rsidRDefault="00B01930" w:rsidP="00B01930">
      <w:pPr>
        <w:pStyle w:val="citation"/>
      </w:pPr>
    </w:p>
    <w:p w14:paraId="3FEF18C3" w14:textId="77777777" w:rsidR="00B01930" w:rsidRDefault="00B01930" w:rsidP="00B01930">
      <w:pPr>
        <w:pStyle w:val="citation"/>
      </w:pPr>
      <w:r w:rsidRPr="00320A86">
        <w:t>« Je dis qu’elle est de tout poinct nécessaire aux rois […] pour ce qu’estant le propre subject de l’histoire de traiter de toutes hautes mati</w:t>
      </w:r>
      <w:r w:rsidRPr="00320A86">
        <w:t>è</w:t>
      </w:r>
      <w:r w:rsidRPr="00320A86">
        <w:t>res, […] elle leur peut enseigner sans peine la meilleure partie de ce qui est r</w:t>
      </w:r>
      <w:r w:rsidRPr="00320A86">
        <w:t>e</w:t>
      </w:r>
      <w:r w:rsidRPr="00320A86">
        <w:t>quis à leur office pour bien régir et gouverner les peuples que Dieu a so</w:t>
      </w:r>
      <w:r w:rsidRPr="00320A86">
        <w:t>u</w:t>
      </w:r>
      <w:r w:rsidRPr="00320A86">
        <w:t>mis à leur obéissance […] L’histoire ne leur flatte rien, ains [mais] leur met à descouvert devant les yeux les fautes et vices de ceulx qui en gra</w:t>
      </w:r>
      <w:r w:rsidRPr="00320A86">
        <w:t>n</w:t>
      </w:r>
      <w:r w:rsidRPr="00320A86">
        <w:t>deur de fortune ont esté semblables à eux</w:t>
      </w:r>
      <w:r>
        <w:t> </w:t>
      </w:r>
      <w:r w:rsidRPr="00DB503D">
        <w:rPr>
          <w:rStyle w:val="Appelnotedebasdep"/>
          <w:i/>
        </w:rPr>
        <w:footnoteReference w:id="398"/>
      </w:r>
      <w:r w:rsidRPr="00320A86">
        <w:t xml:space="preserve"> ». </w:t>
      </w:r>
    </w:p>
    <w:p w14:paraId="5295D1DF" w14:textId="77777777" w:rsidR="00B01930" w:rsidRPr="00320A86" w:rsidRDefault="00B01930" w:rsidP="00B01930">
      <w:pPr>
        <w:pStyle w:val="citation"/>
      </w:pPr>
    </w:p>
    <w:p w14:paraId="58A13A77" w14:textId="77777777" w:rsidR="00B01930" w:rsidRPr="00320A86" w:rsidRDefault="00B01930" w:rsidP="00B01930">
      <w:pPr>
        <w:spacing w:before="120" w:after="120"/>
        <w:jc w:val="both"/>
      </w:pPr>
      <w:r w:rsidRPr="00320A86">
        <w:t xml:space="preserve">Cette prééminence de l’histoire dans la formation politique des princes lui fut aussi distillée par ces théoriciens qui lui soumirent leurs œuvres. Dans la préface de ses  mémoires et recherches, dédiées à </w:t>
      </w:r>
      <w:r>
        <w:t>Charles IX</w:t>
      </w:r>
      <w:r w:rsidRPr="00320A86">
        <w:t>, Jean du Tillet</w:t>
      </w:r>
      <w:r>
        <w:t> </w:t>
      </w:r>
      <w:r>
        <w:rPr>
          <w:rStyle w:val="Appelnotedebasdep"/>
        </w:rPr>
        <w:footnoteReference w:id="399"/>
      </w:r>
      <w:r w:rsidRPr="00320A86">
        <w:t xml:space="preserve"> exaltait les bienfaits de l’histoire : </w:t>
      </w:r>
    </w:p>
    <w:p w14:paraId="3C4CDAFF" w14:textId="77777777" w:rsidR="00B01930" w:rsidRDefault="00B01930" w:rsidP="00B01930">
      <w:pPr>
        <w:pStyle w:val="citation"/>
      </w:pPr>
    </w:p>
    <w:p w14:paraId="6B7A3476" w14:textId="77777777" w:rsidR="00B01930" w:rsidRDefault="00B01930" w:rsidP="00B01930">
      <w:pPr>
        <w:pStyle w:val="citation"/>
      </w:pPr>
      <w:r w:rsidRPr="00320A86">
        <w:t>« Sire, les escrits des choses passées,  mesmement [surtout] domest</w:t>
      </w:r>
      <w:r w:rsidRPr="00320A86">
        <w:t>i</w:t>
      </w:r>
      <w:r w:rsidRPr="00320A86">
        <w:t>ques, sont non seulement très-utiles, mais aussi très-nécessaires, tant aux rois &amp; princes souverains qu’à leurs sujets. Car, comme dit Polybe, les hommes n’ont ch</w:t>
      </w:r>
      <w:r w:rsidRPr="00320A86">
        <w:t>e</w:t>
      </w:r>
      <w:r w:rsidRPr="00320A86">
        <w:t xml:space="preserve">min plus aisé pour la conduite de leur vie </w:t>
      </w:r>
      <w:r>
        <w:t>que la connoissance du passé ».</w:t>
      </w:r>
    </w:p>
    <w:p w14:paraId="4A3B8C2D" w14:textId="77777777" w:rsidR="00B01930" w:rsidRPr="00320A86" w:rsidRDefault="00B01930" w:rsidP="00B01930">
      <w:pPr>
        <w:pStyle w:val="citation"/>
      </w:pPr>
    </w:p>
    <w:p w14:paraId="697D772E" w14:textId="77777777" w:rsidR="00B01930" w:rsidRPr="00320A86" w:rsidRDefault="00B01930" w:rsidP="00B01930">
      <w:pPr>
        <w:spacing w:before="120" w:after="120"/>
        <w:jc w:val="both"/>
      </w:pPr>
      <w:r w:rsidRPr="00320A86">
        <w:t xml:space="preserve">Dans l’institution de </w:t>
      </w:r>
      <w:r>
        <w:t>Charles IX</w:t>
      </w:r>
      <w:r w:rsidRPr="00320A86">
        <w:t>, Amyot, qui publierait plus tard un Projet de l’éloquence royale, accordait une place de choix à la rhétor</w:t>
      </w:r>
      <w:r w:rsidRPr="00320A86">
        <w:t>i</w:t>
      </w:r>
      <w:r w:rsidRPr="00320A86">
        <w:t>que : « </w:t>
      </w:r>
      <w:r w:rsidRPr="00906631">
        <w:rPr>
          <w:i/>
        </w:rPr>
        <w:t>Aussi n’y a- t-il rien tel que de sçavoir par bien dire manier une multitude d’hommes, chatouiller les cueurs, maistriser les volo</w:t>
      </w:r>
      <w:r w:rsidRPr="00906631">
        <w:rPr>
          <w:i/>
        </w:rPr>
        <w:t>n</w:t>
      </w:r>
      <w:r w:rsidRPr="00906631">
        <w:rPr>
          <w:i/>
        </w:rPr>
        <w:t>tés &amp; passions, voire les pousser &amp; retenir à son plaisir &amp;, par m</w:t>
      </w:r>
      <w:r w:rsidRPr="00906631">
        <w:rPr>
          <w:i/>
        </w:rPr>
        <w:t>a</w:t>
      </w:r>
      <w:r w:rsidRPr="00906631">
        <w:rPr>
          <w:i/>
        </w:rPr>
        <w:t>nière de dire, en porter l’esperon &amp; la bride pendus au bout de sa langue </w:t>
      </w:r>
      <w:r w:rsidRPr="00320A86">
        <w:t>». Il ajoutait : il « </w:t>
      </w:r>
      <w:r w:rsidRPr="00906631">
        <w:rPr>
          <w:i/>
        </w:rPr>
        <w:t>me suffira de dire que si l’éloquence est royne de to</w:t>
      </w:r>
      <w:r w:rsidRPr="00906631">
        <w:rPr>
          <w:i/>
        </w:rPr>
        <w:t>u</w:t>
      </w:r>
      <w:r w:rsidRPr="00906631">
        <w:rPr>
          <w:i/>
        </w:rPr>
        <w:t>tes choses, ainsi que quelque poëte l’a laissé par escript, il n’y a Roy, tant grand &amp; puissant, qui ne doibve désirer de l’avoir pour sa comp</w:t>
      </w:r>
      <w:r w:rsidRPr="00906631">
        <w:rPr>
          <w:i/>
        </w:rPr>
        <w:t>a</w:t>
      </w:r>
      <w:r w:rsidRPr="00906631">
        <w:rPr>
          <w:i/>
        </w:rPr>
        <w:t>gne </w:t>
      </w:r>
      <w:r>
        <w:rPr>
          <w:rStyle w:val="Appelnotedebasdep"/>
        </w:rPr>
        <w:footnoteReference w:id="400"/>
      </w:r>
      <w:r w:rsidRPr="00320A86">
        <w:t> ». La leçon porta : Brantôme reconnaît que son préce</w:t>
      </w:r>
      <w:r w:rsidRPr="00320A86">
        <w:t>p</w:t>
      </w:r>
      <w:r w:rsidRPr="00320A86">
        <w:t>teur « </w:t>
      </w:r>
      <w:r w:rsidRPr="00906631">
        <w:rPr>
          <w:i/>
        </w:rPr>
        <w:t>y avoit bien opéré aussi, pour luy apprendre le bon, orné et él</w:t>
      </w:r>
      <w:r w:rsidRPr="00906631">
        <w:rPr>
          <w:i/>
        </w:rPr>
        <w:t>o</w:t>
      </w:r>
      <w:r w:rsidRPr="00906631">
        <w:rPr>
          <w:i/>
        </w:rPr>
        <w:t>quent parler </w:t>
      </w:r>
      <w:r w:rsidRPr="00320A86">
        <w:t xml:space="preserve">». Tous les contemporains admirèrent l’éloquence de </w:t>
      </w:r>
      <w:r>
        <w:t>Charles IX</w:t>
      </w:r>
      <w:r w:rsidRPr="00320A86">
        <w:t> : il fut « </w:t>
      </w:r>
      <w:r w:rsidRPr="00906631">
        <w:rPr>
          <w:i/>
        </w:rPr>
        <w:t>fort éloquent, et parloit bravement et hard</w:t>
      </w:r>
      <w:r w:rsidRPr="00906631">
        <w:rPr>
          <w:i/>
        </w:rPr>
        <w:t>i</w:t>
      </w:r>
      <w:r w:rsidRPr="00906631">
        <w:rPr>
          <w:i/>
        </w:rPr>
        <w:t>ment </w:t>
      </w:r>
      <w:r w:rsidRPr="00320A86">
        <w:t>». Aussi « </w:t>
      </w:r>
      <w:r w:rsidRPr="00906631">
        <w:rPr>
          <w:i/>
        </w:rPr>
        <w:t>les grands seigneurs estrangers qui venoient vers luy, et ambassadeurs qui l’arraisonnoient </w:t>
      </w:r>
      <w:r w:rsidRPr="00320A86">
        <w:t>» étaient très admiratifs de son éloquence car Charles, « </w:t>
      </w:r>
      <w:r w:rsidRPr="00906631">
        <w:rPr>
          <w:i/>
        </w:rPr>
        <w:t>monstrant une majesté et contenance asse</w:t>
      </w:r>
      <w:r w:rsidRPr="00906631">
        <w:rPr>
          <w:i/>
        </w:rPr>
        <w:t>u</w:t>
      </w:r>
      <w:r w:rsidRPr="00906631">
        <w:rPr>
          <w:i/>
        </w:rPr>
        <w:t>rée, les e</w:t>
      </w:r>
      <w:r w:rsidRPr="00906631">
        <w:rPr>
          <w:i/>
        </w:rPr>
        <w:t>s</w:t>
      </w:r>
      <w:r w:rsidRPr="00906631">
        <w:rPr>
          <w:i/>
        </w:rPr>
        <w:t>coutoient fort bien la teste un peu penchante […] et l’œil bas ; et puis après avoir tout ouy, il respondoit fort pertinemment et de belle éloquence, si [si bien] qu’il en ravissoit tous ces messieurs, et s’en partoient de luy avec grande adm</w:t>
      </w:r>
      <w:r w:rsidRPr="00906631">
        <w:rPr>
          <w:i/>
        </w:rPr>
        <w:t>i</w:t>
      </w:r>
      <w:r w:rsidRPr="00906631">
        <w:rPr>
          <w:i/>
        </w:rPr>
        <w:t>ration </w:t>
      </w:r>
      <w:r>
        <w:rPr>
          <w:rStyle w:val="Appelnotedebasdep"/>
        </w:rPr>
        <w:footnoteReference w:id="401"/>
      </w:r>
      <w:r w:rsidRPr="00320A86">
        <w:t> ». Ce dernier trait, de ne pas regarder ses interlocuteurs en face, accrédita beaucoup le se</w:t>
      </w:r>
      <w:r w:rsidRPr="00320A86">
        <w:t>n</w:t>
      </w:r>
      <w:r w:rsidRPr="00320A86">
        <w:t>timent de sa fausseté.</w:t>
      </w:r>
    </w:p>
    <w:p w14:paraId="0D5221F1" w14:textId="77777777" w:rsidR="00B01930" w:rsidRPr="00320A86" w:rsidRDefault="00B01930" w:rsidP="00B01930">
      <w:pPr>
        <w:spacing w:before="120" w:after="120"/>
        <w:jc w:val="both"/>
      </w:pPr>
      <w:r w:rsidRPr="00320A86">
        <w:t xml:space="preserve">À la demande de Catherine de Médicis, alors qu’en 1562, </w:t>
      </w:r>
      <w:r>
        <w:t>Cha</w:t>
      </w:r>
      <w:r>
        <w:t>r</w:t>
      </w:r>
      <w:r>
        <w:t>les IX</w:t>
      </w:r>
      <w:r w:rsidRPr="00320A86">
        <w:t xml:space="preserve"> n’était que dans la troisième année de son règne et qu’il n’était pas encore majeur, Ro</w:t>
      </w:r>
      <w:r w:rsidRPr="00320A86">
        <w:t>n</w:t>
      </w:r>
      <w:r w:rsidRPr="00320A86">
        <w:t>sard composa son discours, l’Institution pour l’adolescence du Roi. Rien de très original : le poème de Ronsard s’inscrit dans la tradition de ces Miroirs et Inst</w:t>
      </w:r>
      <w:r w:rsidRPr="00320A86">
        <w:t>i</w:t>
      </w:r>
      <w:r w:rsidRPr="00320A86">
        <w:t>tutions des princes qui foisonnent au XVI</w:t>
      </w:r>
      <w:r w:rsidRPr="00320A86">
        <w:rPr>
          <w:vertAlign w:val="superscript"/>
        </w:rPr>
        <w:t>e</w:t>
      </w:r>
      <w:r w:rsidRPr="00320A86">
        <w:t xml:space="preserve"> siècle, décrivant l’idéal du prince chrétien et h</w:t>
      </w:r>
      <w:r w:rsidRPr="00320A86">
        <w:t>u</w:t>
      </w:r>
      <w:r w:rsidRPr="00320A86">
        <w:t>maniste. Retenons seulement qu’un Roi devait cultiver les lettres et les sciences, car « </w:t>
      </w:r>
      <w:r w:rsidRPr="00906631">
        <w:rPr>
          <w:i/>
        </w:rPr>
        <w:t>les Princes mieux nés n’estiment leur vertu proc</w:t>
      </w:r>
      <w:r w:rsidRPr="00906631">
        <w:rPr>
          <w:i/>
        </w:rPr>
        <w:t>é</w:t>
      </w:r>
      <w:r w:rsidRPr="00906631">
        <w:rPr>
          <w:i/>
        </w:rPr>
        <w:t>der ni de sang ni de glaive pointu », mais plutôt des « beaux Métiers qui des Muses pr</w:t>
      </w:r>
      <w:r w:rsidRPr="00906631">
        <w:rPr>
          <w:i/>
        </w:rPr>
        <w:t>o</w:t>
      </w:r>
      <w:r w:rsidRPr="00906631">
        <w:rPr>
          <w:i/>
        </w:rPr>
        <w:t>cèdent </w:t>
      </w:r>
      <w:r w:rsidRPr="00320A86">
        <w:t>» ; c’est par là qu’il pourra acquérir l’art de bien parler, connaître l’histoire et la musique, l’art de la « </w:t>
      </w:r>
      <w:r w:rsidRPr="00906631">
        <w:rPr>
          <w:i/>
        </w:rPr>
        <w:t>physionomie, afin de mieux savoir juger de leurs sujets seulement à les voir </w:t>
      </w:r>
      <w:r w:rsidRPr="00320A86">
        <w:t>», car pour un souverain l’éloquence et la connaissance des hommes sont deux qualités essentielles.</w:t>
      </w:r>
    </w:p>
    <w:p w14:paraId="22ECC231" w14:textId="77777777" w:rsidR="00B01930" w:rsidRPr="00320A86" w:rsidRDefault="00B01930" w:rsidP="00B01930">
      <w:pPr>
        <w:spacing w:before="120" w:after="120"/>
        <w:jc w:val="both"/>
      </w:pPr>
      <w:r w:rsidRPr="00320A86">
        <w:t>Le protestant Jean de Serres, que l’on ne peut accuser de compla</w:t>
      </w:r>
      <w:r w:rsidRPr="00320A86">
        <w:t>i</w:t>
      </w:r>
      <w:r w:rsidRPr="00320A86">
        <w:t>sance e</w:t>
      </w:r>
      <w:r w:rsidRPr="00320A86">
        <w:t>n</w:t>
      </w:r>
      <w:r w:rsidRPr="00320A86">
        <w:t xml:space="preserve">vers </w:t>
      </w:r>
      <w:r>
        <w:t>Charles IX</w:t>
      </w:r>
      <w:r w:rsidRPr="00320A86">
        <w:t>, reconnaît : « </w:t>
      </w:r>
      <w:r w:rsidRPr="00906631">
        <w:rPr>
          <w:i/>
        </w:rPr>
        <w:t>Il exprimoit en bons termes ses conceptions, et avoit la parole aisée &amp; agréable ; aimoit la Musique et la Poësie : nous avons veu d’assez bons vers François de sa f</w:t>
      </w:r>
      <w:r w:rsidRPr="00906631">
        <w:rPr>
          <w:i/>
        </w:rPr>
        <w:t>a</w:t>
      </w:r>
      <w:r w:rsidRPr="00906631">
        <w:rPr>
          <w:i/>
        </w:rPr>
        <w:t>çon </w:t>
      </w:r>
      <w:r>
        <w:rPr>
          <w:rStyle w:val="Appelnotedebasdep"/>
        </w:rPr>
        <w:footnoteReference w:id="402"/>
      </w:r>
      <w:r w:rsidRPr="00320A86">
        <w:t> ». Son biographe Papyre Masson écrit qu’il « aimoit la poésie, et bien souvent prenoit plaisir à faire des vers qu’il envoyoit à son poëte, M. Ronsard ». Et quand ce dernier lui envoyait des siens, la facture lui en était si agréable  « </w:t>
      </w:r>
      <w:r w:rsidRPr="00906631">
        <w:rPr>
          <w:i/>
        </w:rPr>
        <w:t>que bien souvent il passoit une gra</w:t>
      </w:r>
      <w:r w:rsidRPr="00906631">
        <w:rPr>
          <w:i/>
        </w:rPr>
        <w:t>n</w:t>
      </w:r>
      <w:r w:rsidRPr="00906631">
        <w:rPr>
          <w:i/>
        </w:rPr>
        <w:t>de partie de la nuict à lire ou faire réciter ses vers, à quoy il employoit volontiers Amadis Jamin, Estienne le Roy, abbé de Sainct-Laurent, maistre de la musique de sa chambre, et quelques autres de ses serviteurs domest</w:t>
      </w:r>
      <w:r w:rsidRPr="00906631">
        <w:rPr>
          <w:i/>
        </w:rPr>
        <w:t>i</w:t>
      </w:r>
      <w:r w:rsidRPr="00906631">
        <w:rPr>
          <w:i/>
        </w:rPr>
        <w:t>ques. Et non seulement prenoit plaisir à ouyr la poésie bien faite, ains avoit encore l’esprit si gentil qu’il en jugeoit fort he</w:t>
      </w:r>
      <w:r w:rsidRPr="00906631">
        <w:rPr>
          <w:i/>
        </w:rPr>
        <w:t>u</w:t>
      </w:r>
      <w:r w:rsidRPr="00906631">
        <w:rPr>
          <w:i/>
        </w:rPr>
        <w:t>reusement </w:t>
      </w:r>
      <w:r>
        <w:rPr>
          <w:rStyle w:val="Appelnotedebasdep"/>
        </w:rPr>
        <w:footnoteReference w:id="403"/>
      </w:r>
      <w:r w:rsidRPr="00320A86">
        <w:t> ».</w:t>
      </w:r>
    </w:p>
    <w:p w14:paraId="6FE288A5" w14:textId="77777777" w:rsidR="00B01930" w:rsidRPr="00320A86" w:rsidRDefault="00B01930" w:rsidP="00B01930">
      <w:pPr>
        <w:spacing w:before="120" w:after="120"/>
        <w:jc w:val="both"/>
      </w:pPr>
      <w:r w:rsidRPr="00320A86">
        <w:t>Brantôme s’étonne que Ronsard n’ait recueilli que « </w:t>
      </w:r>
      <w:r w:rsidRPr="00906631">
        <w:rPr>
          <w:i/>
        </w:rPr>
        <w:t>quelque petit eschanti</w:t>
      </w:r>
      <w:r w:rsidRPr="00906631">
        <w:rPr>
          <w:i/>
        </w:rPr>
        <w:t>l</w:t>
      </w:r>
      <w:r w:rsidRPr="00906631">
        <w:rPr>
          <w:i/>
        </w:rPr>
        <w:t>lon </w:t>
      </w:r>
      <w:r w:rsidRPr="00320A86">
        <w:t>» de ses poésies, « </w:t>
      </w:r>
      <w:r w:rsidRPr="00906631">
        <w:rPr>
          <w:i/>
        </w:rPr>
        <w:t>car il a bien plus composé que cela, et surtout des quatrains, qu’il faisoit fort gentiment, prestement et i</w:t>
      </w:r>
      <w:r w:rsidRPr="00906631">
        <w:rPr>
          <w:i/>
        </w:rPr>
        <w:t>m</w:t>
      </w:r>
      <w:r w:rsidRPr="00906631">
        <w:rPr>
          <w:i/>
        </w:rPr>
        <w:t>promptu, sans songer, co</w:t>
      </w:r>
      <w:r w:rsidRPr="00906631">
        <w:rPr>
          <w:i/>
        </w:rPr>
        <w:t>m</w:t>
      </w:r>
      <w:r w:rsidRPr="00906631">
        <w:rPr>
          <w:i/>
        </w:rPr>
        <w:t>me j’en ay veu plusieurs, qu’il daignoit bien quelquefois monstrer à ses plus privez en sortant de son cab</w:t>
      </w:r>
      <w:r w:rsidRPr="00906631">
        <w:rPr>
          <w:i/>
        </w:rPr>
        <w:t>i</w:t>
      </w:r>
      <w:r w:rsidRPr="00906631">
        <w:rPr>
          <w:i/>
        </w:rPr>
        <w:t>net </w:t>
      </w:r>
      <w:r w:rsidRPr="00320A86">
        <w:t>». Il échangeait des vers avec l’un de ses secrétaires « fort honne</w:t>
      </w:r>
      <w:r w:rsidRPr="00320A86">
        <w:t>s</w:t>
      </w:r>
      <w:r w:rsidRPr="00320A86">
        <w:t>te homme et bon compagnon, qui estoit fort heureux à en faire et re</w:t>
      </w:r>
      <w:r w:rsidRPr="00320A86">
        <w:t>n</w:t>
      </w:r>
      <w:r w:rsidRPr="00320A86">
        <w:t>contrer de très-bons et plaisans qu’il adressoit au Roy ; et le Roy au</w:t>
      </w:r>
      <w:r w:rsidRPr="00320A86">
        <w:t>s</w:t>
      </w:r>
      <w:r w:rsidRPr="00320A86">
        <w:t>si-tost attaqué se défendoit, disant qu’il y alloit de son honneur s’il ne respondoit de mesme ». Quand le temps ne se prêtait pas aux exerc</w:t>
      </w:r>
      <w:r w:rsidRPr="00320A86">
        <w:t>i</w:t>
      </w:r>
      <w:r w:rsidRPr="00320A86">
        <w:t>ces de plein air qu’il ad</w:t>
      </w:r>
      <w:r w:rsidRPr="00320A86">
        <w:t>o</w:t>
      </w:r>
      <w:r w:rsidRPr="00320A86">
        <w:t>rait, « </w:t>
      </w:r>
      <w:r w:rsidRPr="00906631">
        <w:rPr>
          <w:i/>
        </w:rPr>
        <w:t>il envoyoit quérir messieurs les poëtes en son cabinet, et là passoit son temps avec eux, et prenoit ce temps-là à propos […] Entre autres poëtes qu’il aymoit le plus, estoient me</w:t>
      </w:r>
      <w:r w:rsidRPr="00906631">
        <w:rPr>
          <w:i/>
        </w:rPr>
        <w:t>s</w:t>
      </w:r>
      <w:r w:rsidRPr="00906631">
        <w:rPr>
          <w:i/>
        </w:rPr>
        <w:t>sieurs de Ronsard, Dorat et Baïf, lesquels il vouloit tousjours qu’ils composassent quelque chose ; et, quand ils le luy apportoient, il se plaisoit fort à la lire, et les en récompensoit </w:t>
      </w:r>
      <w:r w:rsidRPr="00320A86">
        <w:t>». Brantôme s’étonnait même que son « </w:t>
      </w:r>
      <w:r w:rsidRPr="00906631">
        <w:rPr>
          <w:i/>
        </w:rPr>
        <w:t>maître </w:t>
      </w:r>
      <w:r w:rsidRPr="00320A86">
        <w:t>» Amyot, son favori Retz et son secrétaire d’</w:t>
      </w:r>
      <w:r>
        <w:t>État</w:t>
      </w:r>
      <w:r w:rsidRPr="00320A86">
        <w:t xml:space="preserve"> préféré Vill</w:t>
      </w:r>
      <w:r w:rsidRPr="00320A86">
        <w:t>e</w:t>
      </w:r>
      <w:r w:rsidRPr="00320A86">
        <w:t>roy n’aient pas « </w:t>
      </w:r>
      <w:r w:rsidRPr="00906631">
        <w:rPr>
          <w:i/>
        </w:rPr>
        <w:t>fait imprimer et mis en lumière ce beau livre de la chasse et vénerie qu’il a composé </w:t>
      </w:r>
      <w:r>
        <w:rPr>
          <w:rStyle w:val="Appelnotedebasdep"/>
        </w:rPr>
        <w:footnoteReference w:id="404"/>
      </w:r>
      <w:r w:rsidRPr="00320A86">
        <w:t xml:space="preserve">, </w:t>
      </w:r>
      <w:r w:rsidRPr="00906631">
        <w:rPr>
          <w:i/>
        </w:rPr>
        <w:t>dans lequel il y a des advis et secrets que jamais v</w:t>
      </w:r>
      <w:r w:rsidRPr="00906631">
        <w:rPr>
          <w:i/>
        </w:rPr>
        <w:t>e</w:t>
      </w:r>
      <w:r w:rsidRPr="00906631">
        <w:rPr>
          <w:i/>
        </w:rPr>
        <w:t>neur n’a sceu ny pu atteindre, ainsi que j’en ouys discourir quelquefois audit mareschal de Raiz de que</w:t>
      </w:r>
      <w:r w:rsidRPr="00906631">
        <w:rPr>
          <w:i/>
        </w:rPr>
        <w:t>l</w:t>
      </w:r>
      <w:r w:rsidRPr="00906631">
        <w:rPr>
          <w:i/>
        </w:rPr>
        <w:t>ques très-rares traits qui sont là-dedans descrits avec un très-beau et très-éloquent langage ; pour le  moins ce livre serviroit et do</w:t>
      </w:r>
      <w:r w:rsidRPr="00906631">
        <w:rPr>
          <w:i/>
        </w:rPr>
        <w:t>n</w:t>
      </w:r>
      <w:r w:rsidRPr="00906631">
        <w:rPr>
          <w:i/>
        </w:rPr>
        <w:t>neroit à la post</w:t>
      </w:r>
      <w:r w:rsidRPr="00906631">
        <w:rPr>
          <w:i/>
        </w:rPr>
        <w:t>é</w:t>
      </w:r>
      <w:r w:rsidRPr="00906631">
        <w:rPr>
          <w:i/>
        </w:rPr>
        <w:t>rité admiration de ce roy, pour éternelle mémoire qu’il avoit esté un roy fort pa</w:t>
      </w:r>
      <w:r w:rsidRPr="00906631">
        <w:rPr>
          <w:i/>
        </w:rPr>
        <w:t>r</w:t>
      </w:r>
      <w:r w:rsidRPr="00906631">
        <w:rPr>
          <w:i/>
        </w:rPr>
        <w:t>fait et universel </w:t>
      </w:r>
      <w:r>
        <w:rPr>
          <w:rStyle w:val="Appelnotedebasdep"/>
        </w:rPr>
        <w:footnoteReference w:id="405"/>
      </w:r>
      <w:r w:rsidRPr="00320A86">
        <w:t> ».</w:t>
      </w:r>
    </w:p>
    <w:p w14:paraId="60A120A5" w14:textId="77777777" w:rsidR="00B01930" w:rsidRPr="00320A86" w:rsidRDefault="00B01930" w:rsidP="00B01930">
      <w:pPr>
        <w:spacing w:before="120" w:after="120"/>
        <w:jc w:val="both"/>
      </w:pPr>
      <w:r w:rsidRPr="00320A86">
        <w:t>La musique nous dit Brantôme, avait également un tel attrait pour le Roi que, « </w:t>
      </w:r>
      <w:r w:rsidRPr="00906631">
        <w:rPr>
          <w:i/>
        </w:rPr>
        <w:t>pendant la messe, il se levoit bien souvent et s’en alloit chanter au lettrier [l</w:t>
      </w:r>
      <w:r w:rsidRPr="00906631">
        <w:rPr>
          <w:i/>
        </w:rPr>
        <w:t>u</w:t>
      </w:r>
      <w:r w:rsidRPr="00906631">
        <w:rPr>
          <w:i/>
        </w:rPr>
        <w:t>trin] avec ses chantres et se mettoit parmy eulx et chantoit la taille et le dessus fort bien et aimoit ses chantres </w:t>
      </w:r>
      <w:r>
        <w:rPr>
          <w:rStyle w:val="Appelnotedebasdep"/>
        </w:rPr>
        <w:footnoteReference w:id="406"/>
      </w:r>
      <w:r w:rsidRPr="00320A86">
        <w:t> ». Et son prédicateur et biographe Sorbin de Sainte Foy s’écrie :</w:t>
      </w:r>
    </w:p>
    <w:p w14:paraId="206E39C7" w14:textId="77777777" w:rsidR="00B01930" w:rsidRDefault="00B01930" w:rsidP="00B01930">
      <w:pPr>
        <w:pStyle w:val="citation"/>
      </w:pPr>
    </w:p>
    <w:p w14:paraId="3FAB46FB" w14:textId="77777777" w:rsidR="00B01930" w:rsidRDefault="00B01930" w:rsidP="00B01930">
      <w:pPr>
        <w:pStyle w:val="citation"/>
      </w:pPr>
      <w:r w:rsidRPr="00320A86">
        <w:t>« Dieu ! Qu’il aimoit la musique, fust aux instrumens ou aux voix h</w:t>
      </w:r>
      <w:r w:rsidRPr="00320A86">
        <w:t>u</w:t>
      </w:r>
      <w:r w:rsidRPr="00320A86">
        <w:t>maines ; et surtout luy estoit aggréable la musique, principalement celle d’un des plus rares m</w:t>
      </w:r>
      <w:r w:rsidRPr="00320A86">
        <w:t>u</w:t>
      </w:r>
      <w:r w:rsidRPr="00320A86">
        <w:t>siciens de ce temps, nommé Orlando</w:t>
      </w:r>
      <w:r>
        <w:t> </w:t>
      </w:r>
      <w:r>
        <w:rPr>
          <w:rStyle w:val="Appelnotedebasdep"/>
        </w:rPr>
        <w:footnoteReference w:id="407"/>
      </w:r>
      <w:r w:rsidRPr="00320A86">
        <w:t>, serviteur au duc de Bavières, de qui la mus</w:t>
      </w:r>
      <w:r w:rsidRPr="00320A86">
        <w:t>i</w:t>
      </w:r>
      <w:r w:rsidRPr="00320A86">
        <w:t>que luy plaisoit si très tant qu’à peine en pouvoit-il gouster d’autre pour luy estre de tous poincts aggréable. Entre toutes les voix il aimoit celle de maistre Estienne le Roy, abbé susdit de Sainct-Laurent, qu’il chérissoit uniqu</w:t>
      </w:r>
      <w:r w:rsidRPr="00320A86">
        <w:t>e</w:t>
      </w:r>
      <w:r w:rsidRPr="00320A86">
        <w:t>ment et constituoit juge de tout ce qui se présentoit de bon en musique, et non en vain, à dire vray. Aussi est-il ve</w:t>
      </w:r>
      <w:r w:rsidRPr="00320A86">
        <w:t>r</w:t>
      </w:r>
      <w:r w:rsidRPr="00320A86">
        <w:t>tueux et aimable, doué de la plus belle voix de nostre temps et du plus adextre usage d’icelle</w:t>
      </w:r>
      <w:r>
        <w:t> </w:t>
      </w:r>
      <w:r w:rsidRPr="00DB503D">
        <w:rPr>
          <w:rStyle w:val="Appelnotedebasdep"/>
          <w:i/>
        </w:rPr>
        <w:footnoteReference w:id="408"/>
      </w:r>
      <w:r w:rsidRPr="00320A86">
        <w:t> ».</w:t>
      </w:r>
    </w:p>
    <w:p w14:paraId="28CEF429" w14:textId="77777777" w:rsidR="00B01930" w:rsidRPr="00320A86" w:rsidRDefault="00B01930" w:rsidP="00B01930">
      <w:pPr>
        <w:pStyle w:val="citation"/>
      </w:pPr>
    </w:p>
    <w:p w14:paraId="26798EBB" w14:textId="77777777" w:rsidR="00B01930" w:rsidRPr="00320A86" w:rsidRDefault="00B01930" w:rsidP="00B01930">
      <w:pPr>
        <w:spacing w:before="120" w:after="120"/>
        <w:jc w:val="both"/>
      </w:pPr>
      <w:r w:rsidRPr="00320A86">
        <w:t xml:space="preserve">Les poètes de la Renaissance considéraient en effet la musique comme le complément indispensable de la poésie. Jean-Antoine de Baïf s’était assuré la collaboration de Joachim Thibaut de Courville. Tous deux conçurent le projet d’une compagnie de lettrés et d’artistes qui s’efforceraient de concilier les deux arts. Ils le soumirent au petit-fils de </w:t>
      </w:r>
      <w:r>
        <w:t>François I</w:t>
      </w:r>
      <w:r w:rsidRPr="00320A86">
        <w:rPr>
          <w:vertAlign w:val="superscript"/>
        </w:rPr>
        <w:t>er</w:t>
      </w:r>
      <w:r w:rsidRPr="00320A86">
        <w:t xml:space="preserve"> qui l’accueillit avec enthousia</w:t>
      </w:r>
      <w:r w:rsidRPr="00320A86">
        <w:t>s</w:t>
      </w:r>
      <w:r w:rsidRPr="00320A86">
        <w:t xml:space="preserve">me. Il en sortit la création d’une Académie Françoise de poésie et de musique. Dans les lettres patentes de sa création, </w:t>
      </w:r>
      <w:r>
        <w:t>Charles IX</w:t>
      </w:r>
      <w:r w:rsidRPr="00320A86">
        <w:t xml:space="preserve"> évoquait l’exemple de son grand-père, auquel il avait voué une grande admiration : « </w:t>
      </w:r>
      <w:r w:rsidRPr="00906631">
        <w:rPr>
          <w:i/>
        </w:rPr>
        <w:t>Comme nous avons toujours eu en singulière recommandation, à l’exemple de très-bonne &amp; louable mémoire le Roy François, nostre ayeul, que Dieu absolve, de voir par tout ce</w:t>
      </w:r>
      <w:r w:rsidRPr="00906631">
        <w:rPr>
          <w:i/>
        </w:rPr>
        <w:t>s</w:t>
      </w:r>
      <w:r w:rsidRPr="00906631">
        <w:rPr>
          <w:i/>
        </w:rPr>
        <w:t>tuy nostre royaume les lettres et la science florir &amp; mesmement [surtout] en no</w:t>
      </w:r>
      <w:r w:rsidRPr="00906631">
        <w:rPr>
          <w:i/>
        </w:rPr>
        <w:t>s</w:t>
      </w:r>
      <w:r w:rsidRPr="00906631">
        <w:rPr>
          <w:i/>
        </w:rPr>
        <w:t>tre ville de Paris </w:t>
      </w:r>
      <w:r w:rsidRPr="00320A86">
        <w:t>», il avait décidé de dresser « </w:t>
      </w:r>
      <w:r w:rsidRPr="00906631">
        <w:rPr>
          <w:i/>
        </w:rPr>
        <w:t>à la manière des Anciens, une Académie ou Compagnie, composée tant de Compositeurs, de Chantres et Joueurs d’instrumens de la musique que d’honnestes Auditeurs d’icelle </w:t>
      </w:r>
      <w:r w:rsidRPr="00320A86">
        <w:t>», qui entretiendraient les premiers par leurs dons. Le Roi voulut non seul</w:t>
      </w:r>
      <w:r w:rsidRPr="00320A86">
        <w:t>e</w:t>
      </w:r>
      <w:r w:rsidRPr="00320A86">
        <w:t>ment en être le Protecteur, mais aussi le premier Auditeur : « </w:t>
      </w:r>
      <w:r w:rsidRPr="00906631">
        <w:rPr>
          <w:i/>
        </w:rPr>
        <w:t>pour a</w:t>
      </w:r>
      <w:r w:rsidRPr="00906631">
        <w:rPr>
          <w:i/>
        </w:rPr>
        <w:t>f</w:t>
      </w:r>
      <w:r w:rsidRPr="00906631">
        <w:rPr>
          <w:i/>
        </w:rPr>
        <w:t>firmer hautement nostre intention que ladicte Académie soit suivie &amp; honorée des plus grands, nous avons libéralement accepté et acce</w:t>
      </w:r>
      <w:r w:rsidRPr="00906631">
        <w:rPr>
          <w:i/>
        </w:rPr>
        <w:t>p</w:t>
      </w:r>
      <w:r w:rsidRPr="00906631">
        <w:rPr>
          <w:i/>
        </w:rPr>
        <w:t>tons le surnom de Protecteur et premier A</w:t>
      </w:r>
      <w:r w:rsidRPr="00906631">
        <w:rPr>
          <w:i/>
        </w:rPr>
        <w:t>u</w:t>
      </w:r>
      <w:r w:rsidRPr="00906631">
        <w:rPr>
          <w:i/>
        </w:rPr>
        <w:t>diteur d’icelle, parce que nous voulons &amp; entendons que tous les exercices qui s’y feront soyent à l’honneur &amp; accroissement de nostre estat &amp; à l’ornement du nom du peuple françois </w:t>
      </w:r>
      <w:r w:rsidRPr="00320A86">
        <w:t>».</w:t>
      </w:r>
    </w:p>
    <w:p w14:paraId="20655A80" w14:textId="77777777" w:rsidR="00B01930" w:rsidRPr="00320A86" w:rsidRDefault="00B01930" w:rsidP="00B01930">
      <w:pPr>
        <w:spacing w:before="120" w:after="120"/>
        <w:jc w:val="both"/>
      </w:pPr>
      <w:r w:rsidRPr="00320A86">
        <w:t>Ce serait une « </w:t>
      </w:r>
      <w:r w:rsidRPr="00906631">
        <w:rPr>
          <w:i/>
        </w:rPr>
        <w:t>escole ou pépinière d’où se retireroient un jour poëtes et m</w:t>
      </w:r>
      <w:r w:rsidRPr="00906631">
        <w:rPr>
          <w:i/>
        </w:rPr>
        <w:t>u</w:t>
      </w:r>
      <w:r w:rsidRPr="00906631">
        <w:rPr>
          <w:i/>
        </w:rPr>
        <w:t>siciens instruits &amp; dressés par bon art </w:t>
      </w:r>
      <w:r w:rsidRPr="00320A86">
        <w:t>». Il remerciait les « </w:t>
      </w:r>
      <w:r w:rsidRPr="004844B3">
        <w:rPr>
          <w:i/>
        </w:rPr>
        <w:t>entrepreneurs </w:t>
      </w:r>
      <w:r w:rsidRPr="00320A86">
        <w:t>» de l’Académie d’avoir pendant trois années cons</w:t>
      </w:r>
      <w:r w:rsidRPr="00320A86">
        <w:t>é</w:t>
      </w:r>
      <w:r w:rsidRPr="00320A86">
        <w:t>cutives, « </w:t>
      </w:r>
      <w:r w:rsidRPr="004844B3">
        <w:rPr>
          <w:i/>
        </w:rPr>
        <w:t>avec grand’estude &amp; labeur assidu, unanimement travaillé pour l’avancement du langage françois &amp; remettre sus tant la façon de la poésie, que la mesure et règlement de la mus</w:t>
      </w:r>
      <w:r w:rsidRPr="004844B3">
        <w:rPr>
          <w:i/>
        </w:rPr>
        <w:t>i</w:t>
      </w:r>
      <w:r w:rsidRPr="004844B3">
        <w:rPr>
          <w:i/>
        </w:rPr>
        <w:t>que anciennement usitée par les Grecs &amp; les Romains, au temps que ces deux nations estoient florissantes </w:t>
      </w:r>
      <w:r w:rsidRPr="00320A86">
        <w:t>». Aussi choisit-il les premiers académiciens, a</w:t>
      </w:r>
      <w:r w:rsidRPr="00320A86">
        <w:t>p</w:t>
      </w:r>
      <w:r w:rsidRPr="00320A86">
        <w:t>p</w:t>
      </w:r>
      <w:r w:rsidRPr="00320A86">
        <w:t>e</w:t>
      </w:r>
      <w:r w:rsidRPr="00320A86">
        <w:t>lés « </w:t>
      </w:r>
      <w:r w:rsidRPr="004844B3">
        <w:rPr>
          <w:i/>
        </w:rPr>
        <w:t>Académiques </w:t>
      </w:r>
      <w:r w:rsidRPr="00320A86">
        <w:t>», parmi les poètes de la Pléiade : Jean Dorat, Pierre de Ro</w:t>
      </w:r>
      <w:r w:rsidRPr="00320A86">
        <w:t>n</w:t>
      </w:r>
      <w:r w:rsidRPr="00320A86">
        <w:t>sard, Amadis Jamyn, Etienne Jodelle, Rémy Belleau et Po</w:t>
      </w:r>
      <w:r w:rsidRPr="00320A86">
        <w:t>n</w:t>
      </w:r>
      <w:r w:rsidRPr="00320A86">
        <w:t>tus de Thiard</w:t>
      </w:r>
      <w:r>
        <w:t> </w:t>
      </w:r>
      <w:r>
        <w:rPr>
          <w:rStyle w:val="Appelnotedebasdep"/>
        </w:rPr>
        <w:footnoteReference w:id="409"/>
      </w:r>
      <w:r w:rsidRPr="00320A86">
        <w:t xml:space="preserve">. </w:t>
      </w:r>
    </w:p>
    <w:p w14:paraId="6B4DADAC" w14:textId="77777777" w:rsidR="00B01930" w:rsidRPr="00320A86" w:rsidRDefault="00B01930" w:rsidP="00B01930">
      <w:pPr>
        <w:spacing w:before="120" w:after="120"/>
        <w:jc w:val="both"/>
      </w:pPr>
      <w:r>
        <w:br w:type="page"/>
      </w:r>
    </w:p>
    <w:p w14:paraId="1E0CA323" w14:textId="77777777" w:rsidR="00B01930" w:rsidRPr="00320A86" w:rsidRDefault="00B01930" w:rsidP="00B01930">
      <w:pPr>
        <w:pStyle w:val="planche"/>
      </w:pPr>
      <w:bookmarkStart w:id="171" w:name="Analyser_idees_pol_pt_2_texte_03_II"/>
      <w:r w:rsidRPr="00320A86">
        <w:t>II. La monarchie que l’on a enseignée</w:t>
      </w:r>
      <w:r>
        <w:br/>
      </w:r>
      <w:r w:rsidRPr="00320A86">
        <w:t xml:space="preserve">à </w:t>
      </w:r>
      <w:r>
        <w:t>Charles IX</w:t>
      </w:r>
    </w:p>
    <w:bookmarkEnd w:id="171"/>
    <w:p w14:paraId="65DB2EBC" w14:textId="77777777" w:rsidR="00B01930" w:rsidRDefault="00B01930" w:rsidP="00B01930">
      <w:pPr>
        <w:spacing w:before="120" w:after="120"/>
        <w:jc w:val="both"/>
      </w:pPr>
    </w:p>
    <w:p w14:paraId="249CC4E8"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2D3AAD42" w14:textId="77777777" w:rsidR="00B01930" w:rsidRDefault="00B01930" w:rsidP="00B01930">
      <w:pPr>
        <w:spacing w:before="120" w:after="120"/>
        <w:jc w:val="both"/>
      </w:pPr>
      <w:r w:rsidRPr="00320A86">
        <w:t xml:space="preserve">Ces théoriciens et historiens ne furent pas directement associés à l’éducation de </w:t>
      </w:r>
      <w:r>
        <w:t>Charles IX</w:t>
      </w:r>
      <w:r w:rsidRPr="00320A86">
        <w:t>, mais leurs écrits contribuèrent à sa form</w:t>
      </w:r>
      <w:r w:rsidRPr="00320A86">
        <w:t>a</w:t>
      </w:r>
      <w:r w:rsidRPr="00320A86">
        <w:t>tion politique. Bernard du Haillan et Loys le Roy furent des théor</w:t>
      </w:r>
      <w:r w:rsidRPr="00320A86">
        <w:t>i</w:t>
      </w:r>
      <w:r w:rsidRPr="00320A86">
        <w:t>ciens du pouvoir politique, disciples avérés de Claude de Seyssel, François de Belleforest</w:t>
      </w:r>
      <w:r>
        <w:t> </w:t>
      </w:r>
      <w:r>
        <w:rPr>
          <w:rStyle w:val="Appelnotedebasdep"/>
        </w:rPr>
        <w:footnoteReference w:id="410"/>
      </w:r>
      <w:r w:rsidRPr="00320A86">
        <w:t>, historien et poète, Jean du Tillet, Etienne Pasquier</w:t>
      </w:r>
      <w:r>
        <w:t> </w:t>
      </w:r>
      <w:r>
        <w:rPr>
          <w:rStyle w:val="Appelnotedebasdep"/>
        </w:rPr>
        <w:footnoteReference w:id="411"/>
      </w:r>
      <w:r w:rsidRPr="00320A86">
        <w:t>, Antoine Loisel</w:t>
      </w:r>
      <w:r>
        <w:t> </w:t>
      </w:r>
      <w:r>
        <w:rPr>
          <w:rStyle w:val="Appelnotedebasdep"/>
        </w:rPr>
        <w:footnoteReference w:id="412"/>
      </w:r>
      <w:r w:rsidRPr="00320A86">
        <w:t>, érudits et historiens des instit</w:t>
      </w:r>
      <w:r w:rsidRPr="00320A86">
        <w:t>u</w:t>
      </w:r>
      <w:r w:rsidRPr="00320A86">
        <w:t>tions de la monarchie française.</w:t>
      </w:r>
    </w:p>
    <w:p w14:paraId="3F158090" w14:textId="77777777" w:rsidR="00B01930" w:rsidRPr="00320A86" w:rsidRDefault="00B01930" w:rsidP="00B01930">
      <w:pPr>
        <w:spacing w:before="120" w:after="120"/>
        <w:jc w:val="both"/>
      </w:pPr>
      <w:r>
        <w:br w:type="page"/>
      </w:r>
      <w:r w:rsidRPr="00320A86">
        <w:t>C’est à la demande du Roi que Bernard du Haillan</w:t>
      </w:r>
      <w:r>
        <w:t> </w:t>
      </w:r>
      <w:r>
        <w:rPr>
          <w:rStyle w:val="Appelnotedebasdep"/>
        </w:rPr>
        <w:footnoteReference w:id="413"/>
      </w:r>
      <w:r w:rsidRPr="00320A86">
        <w:t xml:space="preserve"> avait entr</w:t>
      </w:r>
      <w:r w:rsidRPr="00320A86">
        <w:t>e</w:t>
      </w:r>
      <w:r w:rsidRPr="00320A86">
        <w:t>pris d’écrire une grande histoire de France. Il lui en avait déjà donné un modèle « </w:t>
      </w:r>
      <w:r w:rsidRPr="004844B3">
        <w:rPr>
          <w:i/>
        </w:rPr>
        <w:t>en un petit Traitté, intitulé Promesse et Desseing de l’Histoire de France, qu’à vostre m</w:t>
      </w:r>
      <w:r w:rsidRPr="004844B3">
        <w:rPr>
          <w:i/>
        </w:rPr>
        <w:t>a</w:t>
      </w:r>
      <w:r w:rsidRPr="004844B3">
        <w:rPr>
          <w:i/>
        </w:rPr>
        <w:t>jesté, ci devant, j’ai fait voir à Amboise </w:t>
      </w:r>
      <w:r w:rsidRPr="00320A86">
        <w:t>». En 1570, il avait franchi une nouvelle étape en publiant De l’estat et succez des affaires de France, et en le lui dédiant « </w:t>
      </w:r>
      <w:r w:rsidRPr="004844B3">
        <w:rPr>
          <w:i/>
        </w:rPr>
        <w:t>pour en icelui vous monstrer un patron de la gran’pièce de l’histoire de Fra</w:t>
      </w:r>
      <w:r w:rsidRPr="004844B3">
        <w:rPr>
          <w:i/>
        </w:rPr>
        <w:t>n</w:t>
      </w:r>
      <w:r w:rsidRPr="004844B3">
        <w:rPr>
          <w:i/>
        </w:rPr>
        <w:t>ce, qu’il vous a pleu me commander de rédiger par escrit </w:t>
      </w:r>
      <w:r w:rsidRPr="00320A86">
        <w:t>». Il y tra</w:t>
      </w:r>
      <w:r w:rsidRPr="00320A86">
        <w:t>i</w:t>
      </w:r>
      <w:r w:rsidRPr="00320A86">
        <w:t>tait « </w:t>
      </w:r>
      <w:r w:rsidRPr="004844B3">
        <w:rPr>
          <w:i/>
        </w:rPr>
        <w:t>des affa</w:t>
      </w:r>
      <w:r w:rsidRPr="004844B3">
        <w:rPr>
          <w:i/>
        </w:rPr>
        <w:t>i</w:t>
      </w:r>
      <w:r w:rsidRPr="004844B3">
        <w:rPr>
          <w:i/>
        </w:rPr>
        <w:t>res de France, des déportemens &amp; actions des Rois vos prédécesseurs, &amp; de leurs belles Constitutions </w:t>
      </w:r>
      <w:r w:rsidRPr="00320A86">
        <w:t xml:space="preserve">». Comme </w:t>
      </w:r>
      <w:r>
        <w:t>Cha</w:t>
      </w:r>
      <w:r>
        <w:t>r</w:t>
      </w:r>
      <w:r>
        <w:t>les IX</w:t>
      </w:r>
      <w:r w:rsidRPr="00320A86">
        <w:t xml:space="preserve"> aimait « la lecture de la vie de ceux ausquels vous avez succ</w:t>
      </w:r>
      <w:r w:rsidRPr="00320A86">
        <w:t>é</w:t>
      </w:r>
      <w:r w:rsidRPr="00320A86">
        <w:t>dé », et prenait « </w:t>
      </w:r>
      <w:r w:rsidRPr="004844B3">
        <w:rPr>
          <w:i/>
        </w:rPr>
        <w:t>plaisir à lire les appartenances à ceste Histoire, vous tro</w:t>
      </w:r>
      <w:r w:rsidRPr="004844B3">
        <w:rPr>
          <w:i/>
        </w:rPr>
        <w:t>u</w:t>
      </w:r>
      <w:r w:rsidRPr="004844B3">
        <w:rPr>
          <w:i/>
        </w:rPr>
        <w:t>verez en cest’œuvre de quoi vous contenter </w:t>
      </w:r>
      <w:r w:rsidRPr="00320A86">
        <w:t>». Il ne lui cachait pas quelle était sa conception de la monarchie française, une monarchie limitée par des lois : ce traité lui ferait voir « </w:t>
      </w:r>
      <w:r w:rsidRPr="004844B3">
        <w:rPr>
          <w:i/>
        </w:rPr>
        <w:t>en quoi, comment, &amp; combien de façons de gouvernement ce Royaume est composé, encor que ce soit une Mona</w:t>
      </w:r>
      <w:r w:rsidRPr="004844B3">
        <w:rPr>
          <w:i/>
        </w:rPr>
        <w:t>r</w:t>
      </w:r>
      <w:r w:rsidRPr="004844B3">
        <w:rPr>
          <w:i/>
        </w:rPr>
        <w:t>chie ; comment la majesté et puissance des Rois est limitée par bonnes loix qu’eux-mesmes ont faites, &amp; ausquelles ils se sont voulus soumettre </w:t>
      </w:r>
      <w:r w:rsidRPr="00320A86">
        <w:t>». Il avait bon espoir que « </w:t>
      </w:r>
      <w:r w:rsidRPr="004844B3">
        <w:rPr>
          <w:i/>
        </w:rPr>
        <w:t>Vostre Majesté, f</w:t>
      </w:r>
      <w:r w:rsidRPr="004844B3">
        <w:rPr>
          <w:i/>
        </w:rPr>
        <w:t>a</w:t>
      </w:r>
      <w:r w:rsidRPr="004844B3">
        <w:rPr>
          <w:i/>
        </w:rPr>
        <w:t>vorable &amp; libérale envers les bonnes lettres &amp; le travail de ceux qui suent après la description de vos Histoires, que cet ouvrage lui  a</w:t>
      </w:r>
      <w:r w:rsidRPr="004844B3">
        <w:rPr>
          <w:i/>
        </w:rPr>
        <w:t>g</w:t>
      </w:r>
      <w:r w:rsidRPr="004844B3">
        <w:rPr>
          <w:i/>
        </w:rPr>
        <w:t>gréerait ; &amp; s’il vous plaist le tant favoriser, que de le faire lire en vostre présence, vous y aurez un singulier contentement, attendant la pl</w:t>
      </w:r>
      <w:r w:rsidRPr="004844B3">
        <w:rPr>
          <w:i/>
        </w:rPr>
        <w:t>é</w:t>
      </w:r>
      <w:r w:rsidRPr="004844B3">
        <w:rPr>
          <w:i/>
        </w:rPr>
        <w:t>nitude de l’Histoire que je vous ferai voir dans peu d’années </w:t>
      </w:r>
      <w:r>
        <w:rPr>
          <w:rStyle w:val="Appelnotedebasdep"/>
        </w:rPr>
        <w:footnoteReference w:id="414"/>
      </w:r>
      <w:r w:rsidRPr="00320A86">
        <w:t> ».</w:t>
      </w:r>
    </w:p>
    <w:p w14:paraId="36F1E802" w14:textId="77777777" w:rsidR="00B01930" w:rsidRPr="00320A86" w:rsidRDefault="00B01930" w:rsidP="00B01930">
      <w:pPr>
        <w:spacing w:before="120" w:after="120"/>
        <w:jc w:val="both"/>
      </w:pPr>
      <w:r w:rsidRPr="00320A86">
        <w:t>Catherine de Médicis avait commandé à Loys le Roy « </w:t>
      </w:r>
      <w:r w:rsidRPr="00F60B5F">
        <w:rPr>
          <w:i/>
        </w:rPr>
        <w:t>de revoir &amp; continuer les Annales de France </w:t>
      </w:r>
      <w:r w:rsidRPr="00320A86">
        <w:t>». Il reconnaissait que ce n’était « </w:t>
      </w:r>
      <w:r w:rsidRPr="00F60B5F">
        <w:rPr>
          <w:i/>
        </w:rPr>
        <w:t>petite entreprinse de vouloir redresser Annales tant mal digérées que sont celles de France </w:t>
      </w:r>
      <w:r w:rsidRPr="00320A86">
        <w:t>». Aussi lui dédia-t-il ses Considérations sur l’Histoire Françoise</w:t>
      </w:r>
      <w:r>
        <w:t> </w:t>
      </w:r>
      <w:r>
        <w:rPr>
          <w:rStyle w:val="Appelnotedebasdep"/>
        </w:rPr>
        <w:footnoteReference w:id="415"/>
      </w:r>
      <w:r w:rsidRPr="00320A86">
        <w:t>, en « </w:t>
      </w:r>
      <w:r w:rsidRPr="00F60B5F">
        <w:rPr>
          <w:i/>
        </w:rPr>
        <w:t>attendant donc meilleure commodité d’entreprendre l’œuvre entière, suyvant vostre commandement, a</w:t>
      </w:r>
      <w:r w:rsidRPr="00F60B5F">
        <w:rPr>
          <w:i/>
        </w:rPr>
        <w:t>u</w:t>
      </w:r>
      <w:r w:rsidRPr="00F60B5F">
        <w:rPr>
          <w:i/>
        </w:rPr>
        <w:t>quel je doy toute obéissance </w:t>
      </w:r>
      <w:r w:rsidRPr="00320A86">
        <w:t>». Suit un bel éloge de la Reine mère qui avait su conduire la barque de la monarchie à travers les écueils pe</w:t>
      </w:r>
      <w:r w:rsidRPr="00320A86">
        <w:t>n</w:t>
      </w:r>
      <w:r w:rsidRPr="00320A86">
        <w:t>dant la m</w:t>
      </w:r>
      <w:r w:rsidRPr="00320A86">
        <w:t>i</w:t>
      </w:r>
      <w:r w:rsidRPr="00320A86">
        <w:t>norité de son fils, et lui donner une bonne « </w:t>
      </w:r>
      <w:r w:rsidRPr="00F60B5F">
        <w:rPr>
          <w:i/>
        </w:rPr>
        <w:t>nourriture </w:t>
      </w:r>
      <w:r w:rsidRPr="00320A86">
        <w:t>» : elle ne serait pas se</w:t>
      </w:r>
      <w:r w:rsidRPr="00320A86">
        <w:t>u</w:t>
      </w:r>
      <w:r w:rsidRPr="00320A86">
        <w:t>lement louée par les historiens « </w:t>
      </w:r>
      <w:r w:rsidRPr="00F60B5F">
        <w:rPr>
          <w:i/>
        </w:rPr>
        <w:t>pour ces rares &amp; excellentes vertus, mais aussi par la bonne &amp; saincte nourriture qu’avez donnée au Roy vostre filz, qui est à présent, ès meurs, es le</w:t>
      </w:r>
      <w:r w:rsidRPr="00F60B5F">
        <w:rPr>
          <w:i/>
        </w:rPr>
        <w:t>t</w:t>
      </w:r>
      <w:r w:rsidRPr="00F60B5F">
        <w:rPr>
          <w:i/>
        </w:rPr>
        <w:t>tres, &amp; es armes, l’accoustumant dès sa première je</w:t>
      </w:r>
      <w:r w:rsidRPr="00F60B5F">
        <w:rPr>
          <w:i/>
        </w:rPr>
        <w:t>u</w:t>
      </w:r>
      <w:r w:rsidRPr="00F60B5F">
        <w:rPr>
          <w:i/>
        </w:rPr>
        <w:t>nesse en l’expérience des affaires, &amp; luy faisant veoir tout le royaume, jusques aux dernières frontières de son obéissance, au merveilleux content</w:t>
      </w:r>
      <w:r w:rsidRPr="00F60B5F">
        <w:rPr>
          <w:i/>
        </w:rPr>
        <w:t>e</w:t>
      </w:r>
      <w:r w:rsidRPr="00F60B5F">
        <w:rPr>
          <w:i/>
        </w:rPr>
        <w:t>ment des su</w:t>
      </w:r>
      <w:r w:rsidRPr="00F60B5F">
        <w:rPr>
          <w:i/>
        </w:rPr>
        <w:t>b</w:t>
      </w:r>
      <w:r w:rsidRPr="00F60B5F">
        <w:rPr>
          <w:i/>
        </w:rPr>
        <w:t>jectz, qui l’ont receu par où il passoit avec incroiable amour &amp; honneur </w:t>
      </w:r>
      <w:r>
        <w:rPr>
          <w:rStyle w:val="Appelnotedebasdep"/>
        </w:rPr>
        <w:footnoteReference w:id="416"/>
      </w:r>
      <w:r w:rsidRPr="00320A86">
        <w:t> ».</w:t>
      </w:r>
    </w:p>
    <w:p w14:paraId="795E6A71" w14:textId="77777777" w:rsidR="00B01930" w:rsidRPr="00320A86" w:rsidRDefault="00B01930" w:rsidP="00B01930">
      <w:pPr>
        <w:spacing w:before="120" w:after="120"/>
        <w:jc w:val="both"/>
      </w:pPr>
      <w:r w:rsidRPr="00320A86">
        <w:t xml:space="preserve">Avec la permission de </w:t>
      </w:r>
      <w:r>
        <w:t>Henri I</w:t>
      </w:r>
      <w:r w:rsidRPr="00320A86">
        <w:t xml:space="preserve">I, père de </w:t>
      </w:r>
      <w:r>
        <w:t>Charles IX</w:t>
      </w:r>
      <w:r w:rsidRPr="00320A86">
        <w:t>, Jean du Tillet, greffier du parlement de Paris, avait entrepris des recherches sur l’histoire et les institutions du royaume, « </w:t>
      </w:r>
      <w:r w:rsidRPr="00F60B5F">
        <w:rPr>
          <w:i/>
        </w:rPr>
        <w:t>aiant avec très-grand l</w:t>
      </w:r>
      <w:r w:rsidRPr="00F60B5F">
        <w:rPr>
          <w:i/>
        </w:rPr>
        <w:t>a</w:t>
      </w:r>
      <w:r w:rsidRPr="00F60B5F">
        <w:rPr>
          <w:i/>
        </w:rPr>
        <w:t>beur &amp; despense, depuis mon institution en mon estat feuilletté &amp; leu les registres de vostre parlement, recerché les l</w:t>
      </w:r>
      <w:r w:rsidRPr="00F60B5F">
        <w:rPr>
          <w:i/>
        </w:rPr>
        <w:t>i</w:t>
      </w:r>
      <w:r w:rsidRPr="00F60B5F">
        <w:rPr>
          <w:i/>
        </w:rPr>
        <w:t>brairies &amp; titres de plusieurs églises de vostre royaume, &amp; par permission du feu roy vo</w:t>
      </w:r>
      <w:r w:rsidRPr="00F60B5F">
        <w:rPr>
          <w:i/>
        </w:rPr>
        <w:t>s</w:t>
      </w:r>
      <w:r w:rsidRPr="00F60B5F">
        <w:rPr>
          <w:i/>
        </w:rPr>
        <w:t>tre père eu l’entrée au thrésor de vos chartres, veu le tout par son commandement, &amp; eu sur ce sa déclaration, qu’il porteroit les frais &amp; réco</w:t>
      </w:r>
      <w:r w:rsidRPr="00F60B5F">
        <w:rPr>
          <w:i/>
        </w:rPr>
        <w:t>m</w:t>
      </w:r>
      <w:r w:rsidRPr="00F60B5F">
        <w:rPr>
          <w:i/>
        </w:rPr>
        <w:t>penses de mes aiddes en grand nombre pour tel œuvre », il avait entrepris de « recueillir par forme d’histoire &amp; ordre de règne toutes les querelles des trois lignées des rois de France avec leurs voisins […] Et si je vis, je poursuivray &amp; parachèveray ce qui touche les trois estats et ordre de justice de vostre royaume, pour repr</w:t>
      </w:r>
      <w:r w:rsidRPr="00F60B5F">
        <w:rPr>
          <w:i/>
        </w:rPr>
        <w:t>é</w:t>
      </w:r>
      <w:r w:rsidRPr="00F60B5F">
        <w:rPr>
          <w:i/>
        </w:rPr>
        <w:t>senter à vostre majesté (comme en un miroir) le passé depuis que vostre e</w:t>
      </w:r>
      <w:r w:rsidRPr="00F60B5F">
        <w:rPr>
          <w:i/>
        </w:rPr>
        <w:t>m</w:t>
      </w:r>
      <w:r w:rsidRPr="00F60B5F">
        <w:rPr>
          <w:i/>
        </w:rPr>
        <w:t>pire est très chrestien, afin qu’ayez dequoy tirer le bien du mal par l’expérience de plus de mil ans </w:t>
      </w:r>
      <w:r w:rsidRPr="00320A86">
        <w:t>». Comme il n’était pas sûr d’achever cette œuvre de longue haleine, il lui avait dédié ses  Mémoires et R</w:t>
      </w:r>
      <w:r w:rsidRPr="00320A86">
        <w:t>e</w:t>
      </w:r>
      <w:r w:rsidRPr="00320A86">
        <w:t>cherches qui ne p</w:t>
      </w:r>
      <w:r w:rsidRPr="00320A86">
        <w:t>a</w:t>
      </w:r>
      <w:r w:rsidRPr="00320A86">
        <w:t>rurent qu’en 1578, après la mort de l’auteur et du dédicataire : « </w:t>
      </w:r>
      <w:r w:rsidRPr="00F60B5F">
        <w:rPr>
          <w:i/>
        </w:rPr>
        <w:t>Sire, je pense ne devoir différer à vous présenter ce recueil amplifié, duquel s’il vous plaist pre</w:t>
      </w:r>
      <w:r w:rsidRPr="00F60B5F">
        <w:rPr>
          <w:i/>
        </w:rPr>
        <w:t>n</w:t>
      </w:r>
      <w:r w:rsidRPr="00F60B5F">
        <w:rPr>
          <w:i/>
        </w:rPr>
        <w:t>dre le loisir d’entendre la lecture, vous tirerez en ce qui vous est le plus proche, un préparatif pour bien commander vos sujets qui fera que vous aurez le reste ci après par le menu </w:t>
      </w:r>
      <w:r>
        <w:rPr>
          <w:rStyle w:val="Appelnotedebasdep"/>
        </w:rPr>
        <w:footnoteReference w:id="417"/>
      </w:r>
      <w:r>
        <w:t> ».</w:t>
      </w:r>
    </w:p>
    <w:p w14:paraId="36266976" w14:textId="77777777" w:rsidR="00B01930" w:rsidRDefault="00B01930" w:rsidP="00B01930">
      <w:pPr>
        <w:spacing w:before="120" w:after="120"/>
        <w:jc w:val="both"/>
      </w:pPr>
      <w:r w:rsidRPr="00320A86">
        <w:t xml:space="preserve">François de Belleforest avait présenté au petit </w:t>
      </w:r>
      <w:r>
        <w:t>Charles IX</w:t>
      </w:r>
      <w:r w:rsidRPr="00320A86">
        <w:t xml:space="preserve"> le pr</w:t>
      </w:r>
      <w:r w:rsidRPr="00320A86">
        <w:t>e</w:t>
      </w:r>
      <w:r w:rsidRPr="00320A86">
        <w:t>mier volume des Histoires tragiques, qu’il avait traduites de l’Italien Matteo Bandello : « </w:t>
      </w:r>
      <w:r w:rsidRPr="00F60B5F">
        <w:rPr>
          <w:i/>
        </w:rPr>
        <w:t>durant l’enfance de vostre majesté, je vous pr</w:t>
      </w:r>
      <w:r w:rsidRPr="00F60B5F">
        <w:rPr>
          <w:i/>
        </w:rPr>
        <w:t>é</w:t>
      </w:r>
      <w:r w:rsidRPr="00F60B5F">
        <w:rPr>
          <w:i/>
        </w:rPr>
        <w:t>sentay un livre extraict de l’Italien du Bandel, lequel a esté receu de chacun pour le seul esgard que Charles le tenoit couvert de sa f</w:t>
      </w:r>
      <w:r w:rsidRPr="00F60B5F">
        <w:rPr>
          <w:i/>
        </w:rPr>
        <w:t>a</w:t>
      </w:r>
      <w:r w:rsidRPr="00F60B5F">
        <w:rPr>
          <w:i/>
        </w:rPr>
        <w:t>veur </w:t>
      </w:r>
      <w:r>
        <w:rPr>
          <w:rStyle w:val="Appelnotedebasdep"/>
        </w:rPr>
        <w:footnoteReference w:id="418"/>
      </w:r>
      <w:r w:rsidRPr="00320A86">
        <w:t> », écrit-il au Roi en 1568 dans sa dédicace  de l’Histoire des neuf rois qui ont eu le nom de Charles. Ce succès auprès de l’enfant Roi l’avait encouragé à lui présenter un ouvrage historique : « </w:t>
      </w:r>
      <w:r w:rsidRPr="00F60B5F">
        <w:rPr>
          <w:i/>
        </w:rPr>
        <w:t>je pris la hardiesse, Sire, de toucher plus hault, &amp; faire service plus rema</w:t>
      </w:r>
      <w:r w:rsidRPr="00F60B5F">
        <w:rPr>
          <w:i/>
        </w:rPr>
        <w:t>r</w:t>
      </w:r>
      <w:r w:rsidRPr="00F60B5F">
        <w:rPr>
          <w:i/>
        </w:rPr>
        <w:t>quable à celuy à qui je le doy avec toute obéissance. Je recueillÿ pour lors les Rois voz prédéce</w:t>
      </w:r>
      <w:r w:rsidRPr="00F60B5F">
        <w:rPr>
          <w:i/>
        </w:rPr>
        <w:t>s</w:t>
      </w:r>
      <w:r w:rsidRPr="00F60B5F">
        <w:rPr>
          <w:i/>
        </w:rPr>
        <w:t>seurs, lesquels ont esté honorez du sacré nom que vostre majesté porte […] C’est l’occasion que choisissant ce seul suject pour en dresser une histoire, j’ay ramassé le plus exquis &amp; singulier de leur vie, pour l’offrir à ce bien-heureux &amp; aimé de Dieu, lequel à présent gouverne le royaume des François ». Il proposa à Charles IX une refonte des Annales de France </w:t>
      </w:r>
      <w:r>
        <w:rPr>
          <w:rStyle w:val="Appelnotedebasdep"/>
        </w:rPr>
        <w:footnoteReference w:id="419"/>
      </w:r>
      <w:r>
        <w:t> :</w:t>
      </w:r>
    </w:p>
    <w:p w14:paraId="7AA8A9CF" w14:textId="77777777" w:rsidR="00B01930" w:rsidRPr="00320A86" w:rsidRDefault="00B01930" w:rsidP="00B01930">
      <w:pPr>
        <w:spacing w:before="120" w:after="120"/>
        <w:jc w:val="both"/>
      </w:pPr>
    </w:p>
    <w:p w14:paraId="33875127" w14:textId="77777777" w:rsidR="00B01930" w:rsidRPr="00320A86" w:rsidRDefault="00B01930" w:rsidP="00B01930">
      <w:pPr>
        <w:pStyle w:val="citation"/>
      </w:pPr>
      <w:r w:rsidRPr="00320A86">
        <w:t>« Vostre majesté cognoissant vostre très humble sujet &amp; serviteur, &amp; vous plaisant m’employer en vostre service, il taschera de faire lors le ju</w:t>
      </w:r>
      <w:r w:rsidRPr="00320A86">
        <w:t>s</w:t>
      </w:r>
      <w:r w:rsidRPr="00320A86">
        <w:t>te accomplissement de celle histoire Françoise si mal bastie par les Ann</w:t>
      </w:r>
      <w:r w:rsidRPr="00320A86">
        <w:t>a</w:t>
      </w:r>
      <w:r w:rsidRPr="00320A86">
        <w:t>listes, &amp; peu heureusement traitée en vostre langue. Laquelle estant des plus parfaictes, douces, &amp; éloquentes que l’on sçache, e</w:t>
      </w:r>
      <w:r w:rsidRPr="00320A86">
        <w:t>s</w:t>
      </w:r>
      <w:r w:rsidRPr="00320A86">
        <w:t>gallant presque le Grec &amp; le Latin souhaitée de toutes nations, &amp; capable de toute scie</w:t>
      </w:r>
      <w:r w:rsidRPr="00320A86">
        <w:t>n</w:t>
      </w:r>
      <w:r w:rsidRPr="00320A86">
        <w:t>ce, on luy feroit tort, si avec sa douceur &amp; perfection, on ne contentoit les d</w:t>
      </w:r>
      <w:r w:rsidRPr="00320A86">
        <w:t>é</w:t>
      </w:r>
      <w:r w:rsidRPr="00320A86">
        <w:t>sirs des François par le discours bien dressé, véritable, &amp; sainement r</w:t>
      </w:r>
      <w:r w:rsidRPr="00320A86">
        <w:t>e</w:t>
      </w:r>
      <w:r w:rsidRPr="00320A86">
        <w:t>cueilly des faicts de leurs ancestres, puis que c’est ainsi que la mémoire des hommes illustres est faite immortelle. C’est donc à vostre majesté, S</w:t>
      </w:r>
      <w:r w:rsidRPr="00320A86">
        <w:t>i</w:t>
      </w:r>
      <w:r w:rsidRPr="00320A86">
        <w:t>re, à me commander</w:t>
      </w:r>
      <w:r>
        <w:t> </w:t>
      </w:r>
      <w:r>
        <w:rPr>
          <w:rStyle w:val="Appelnotedebasdep"/>
        </w:rPr>
        <w:footnoteReference w:id="420"/>
      </w:r>
      <w:r w:rsidRPr="00320A86">
        <w:t xml:space="preserve"> ». </w:t>
      </w:r>
    </w:p>
    <w:p w14:paraId="69410ED2" w14:textId="77777777" w:rsidR="00B01930" w:rsidRPr="00320A86" w:rsidRDefault="00B01930" w:rsidP="00B01930">
      <w:pPr>
        <w:spacing w:before="120" w:after="120"/>
        <w:jc w:val="both"/>
      </w:pPr>
    </w:p>
    <w:p w14:paraId="7FE27D54" w14:textId="77777777" w:rsidR="00B01930" w:rsidRPr="00320A86" w:rsidRDefault="00B01930" w:rsidP="00B01930">
      <w:pPr>
        <w:pStyle w:val="planche"/>
      </w:pPr>
      <w:bookmarkStart w:id="172" w:name="Analyser_idees_pol_pt_2_texte_03_III"/>
      <w:r>
        <w:t>III. Le roi de France,</w:t>
      </w:r>
      <w:r>
        <w:br/>
      </w:r>
      <w:r w:rsidRPr="00320A86">
        <w:t>« empereur en son royaume »</w:t>
      </w:r>
    </w:p>
    <w:bookmarkEnd w:id="172"/>
    <w:p w14:paraId="2EEF0710" w14:textId="77777777" w:rsidR="00B01930" w:rsidRDefault="00B01930" w:rsidP="00B01930">
      <w:pPr>
        <w:spacing w:before="120" w:after="120"/>
        <w:jc w:val="both"/>
      </w:pPr>
    </w:p>
    <w:p w14:paraId="22EEBAEB"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3B859580" w14:textId="77777777" w:rsidR="00B01930" w:rsidRPr="00320A86" w:rsidRDefault="00B01930" w:rsidP="00B01930">
      <w:pPr>
        <w:spacing w:before="120" w:after="120"/>
        <w:jc w:val="both"/>
      </w:pPr>
      <w:r w:rsidRPr="00320A86">
        <w:t>Tous s’accordent à dire que le roi de France porte le plus beau nom que pui</w:t>
      </w:r>
      <w:r w:rsidRPr="00320A86">
        <w:t>s</w:t>
      </w:r>
      <w:r w:rsidRPr="00320A86">
        <w:t>se porter un roi chrétien, celui de Roi Très Chrétien : « </w:t>
      </w:r>
      <w:r w:rsidRPr="00F60B5F">
        <w:rPr>
          <w:i/>
        </w:rPr>
        <w:t>Il n’y a Roy Chrestien qui ait un plus beau nom que le Roy de France, car il s’appelle Très-Chrestien, &amp; fils aisné de l’Eglise, qui sont noms pr</w:t>
      </w:r>
      <w:r w:rsidRPr="00F60B5F">
        <w:rPr>
          <w:i/>
        </w:rPr>
        <w:t>o</w:t>
      </w:r>
      <w:r w:rsidRPr="00F60B5F">
        <w:rPr>
          <w:i/>
        </w:rPr>
        <w:t>pres &amp; affectez à luy seul </w:t>
      </w:r>
      <w:r>
        <w:rPr>
          <w:rStyle w:val="Appelnotedebasdep"/>
        </w:rPr>
        <w:footnoteReference w:id="421"/>
      </w:r>
      <w:r w:rsidRPr="00320A86">
        <w:t> ». « </w:t>
      </w:r>
      <w:r w:rsidRPr="00F60B5F">
        <w:rPr>
          <w:i/>
        </w:rPr>
        <w:t>Le plus honorable titre que puisse avoir un prince ou estat est celui de Très-chrestien </w:t>
      </w:r>
      <w:r>
        <w:rPr>
          <w:rStyle w:val="Appelnotedebasdep"/>
        </w:rPr>
        <w:footnoteReference w:id="422"/>
      </w:r>
      <w:r w:rsidRPr="00320A86">
        <w:t> ». Parce qu’il est le fils aîné de l’Eglise, le roi de France tient le pr</w:t>
      </w:r>
      <w:r w:rsidRPr="00320A86">
        <w:t>e</w:t>
      </w:r>
      <w:r w:rsidRPr="00320A86">
        <w:t>mier rang parmi les princes de la Chrétienté, et mérite la préséance sur eux : « </w:t>
      </w:r>
      <w:r w:rsidRPr="00F60B5F">
        <w:rPr>
          <w:i/>
        </w:rPr>
        <w:t>les droits de primogéniture luy appartiennent, comme au fils aisné &amp; Très-Chrestien de l’Eglise, &amp; comme le plus ancien &amp; le plus digne à la prérogative, assemblant les autres Roys &amp; Princes ausquels il doibt estre préféré, &amp; assis d</w:t>
      </w:r>
      <w:r w:rsidRPr="00F60B5F">
        <w:rPr>
          <w:i/>
        </w:rPr>
        <w:t>e</w:t>
      </w:r>
      <w:r w:rsidRPr="00F60B5F">
        <w:rPr>
          <w:i/>
        </w:rPr>
        <w:t>vant eux au plus haut lieu </w:t>
      </w:r>
      <w:r>
        <w:rPr>
          <w:rStyle w:val="Appelnotedebasdep"/>
        </w:rPr>
        <w:footnoteReference w:id="423"/>
      </w:r>
      <w:r w:rsidRPr="00320A86">
        <w:t> ». Cette « précédence », la monarchie française la doit aussi à son ancienneté : elle « </w:t>
      </w:r>
      <w:r w:rsidRPr="00F60B5F">
        <w:rPr>
          <w:i/>
        </w:rPr>
        <w:t>a desja demeuré  près de douze cens ans soubs le gouvernement Royal en telle réputation, que le Roy d’icelle jusques à présent a esté tenu pour le premier de la Chrestienté, luy cédans les autres Roys la prérogative d’honneur, &amp; préférence de dignité sans difficulté </w:t>
      </w:r>
      <w:r>
        <w:rPr>
          <w:rStyle w:val="Appelnotedebasdep"/>
        </w:rPr>
        <w:footnoteReference w:id="424"/>
      </w:r>
      <w:r w:rsidRPr="00320A86">
        <w:t xml:space="preserve"> ». </w:t>
      </w:r>
    </w:p>
    <w:p w14:paraId="0EC517F6" w14:textId="77777777" w:rsidR="00B01930" w:rsidRPr="00320A86" w:rsidRDefault="00B01930" w:rsidP="00B01930">
      <w:pPr>
        <w:spacing w:before="120" w:after="120"/>
        <w:jc w:val="both"/>
      </w:pPr>
      <w:r w:rsidRPr="00320A86">
        <w:t>Le roi de France ne tient son pouvoir que de Dieu : « </w:t>
      </w:r>
      <w:r w:rsidRPr="00F60B5F">
        <w:rPr>
          <w:i/>
        </w:rPr>
        <w:t>Il est notoire que les roys de France ne tiennent estat &amp; temporel que de Dieu, &amp; ne recognoissent autre supérieur en terre </w:t>
      </w:r>
      <w:r>
        <w:rPr>
          <w:rStyle w:val="Appelnotedebasdep"/>
        </w:rPr>
        <w:footnoteReference w:id="425"/>
      </w:r>
      <w:r w:rsidRPr="00320A86">
        <w:t> ». Par conséquent, contra</w:t>
      </w:r>
      <w:r w:rsidRPr="00320A86">
        <w:t>i</w:t>
      </w:r>
      <w:r w:rsidRPr="00320A86">
        <w:t>rement à d’autres royaumes et principautés, il n’est ni vassal ni trib</w:t>
      </w:r>
      <w:r w:rsidRPr="00320A86">
        <w:t>u</w:t>
      </w:r>
      <w:r w:rsidRPr="00320A86">
        <w:t>taire du Saint-Siège, ou de l’Empereur : « </w:t>
      </w:r>
      <w:r w:rsidRPr="00F60B5F">
        <w:rPr>
          <w:i/>
        </w:rPr>
        <w:t>le Roy de France n’est Va</w:t>
      </w:r>
      <w:r w:rsidRPr="00F60B5F">
        <w:rPr>
          <w:i/>
        </w:rPr>
        <w:t>s</w:t>
      </w:r>
      <w:r w:rsidRPr="00F60B5F">
        <w:rPr>
          <w:i/>
        </w:rPr>
        <w:t>sal, sujet, ny tributaire de l’Eglise Romaine, aussi ne l’est-il de l’Empire ny de l’Empereur &amp; ne tient rien d’eux où il ne puisse estre justitiable de vicaires dudit Empire, ains tient son Royaume de juste &amp; souverain droit de possession sans recognoistre aucun. Par le tesmo</w:t>
      </w:r>
      <w:r w:rsidRPr="00F60B5F">
        <w:rPr>
          <w:i/>
        </w:rPr>
        <w:t>i</w:t>
      </w:r>
      <w:r w:rsidRPr="00F60B5F">
        <w:rPr>
          <w:i/>
        </w:rPr>
        <w:t>gnage de plusieurs autheurs le Roy de France est Empereur en son Royaume </w:t>
      </w:r>
      <w:r>
        <w:rPr>
          <w:rStyle w:val="Appelnotedebasdep"/>
        </w:rPr>
        <w:footnoteReference w:id="426"/>
      </w:r>
      <w:r w:rsidRPr="00320A86">
        <w:t> ». Du Haillan va même jusqu’à écrire, que certains can</w:t>
      </w:r>
      <w:r w:rsidRPr="00320A86">
        <w:t>o</w:t>
      </w:r>
      <w:r w:rsidRPr="00320A86">
        <w:t>nistes affirment que le roi de Fra</w:t>
      </w:r>
      <w:r w:rsidRPr="00320A86">
        <w:t>n</w:t>
      </w:r>
      <w:r w:rsidRPr="00320A86">
        <w:t>ce, ne reconnaissant « </w:t>
      </w:r>
      <w:r w:rsidRPr="00F60B5F">
        <w:rPr>
          <w:i/>
        </w:rPr>
        <w:t>rien de plus grand que soy après Dieu </w:t>
      </w:r>
      <w:r w:rsidRPr="00320A86">
        <w:t>», il ne reconnaît non seulement aucun s</w:t>
      </w:r>
      <w:r w:rsidRPr="00320A86">
        <w:t>u</w:t>
      </w:r>
      <w:r w:rsidRPr="00320A86">
        <w:t>périeur en la « </w:t>
      </w:r>
      <w:r w:rsidRPr="00F60B5F">
        <w:rPr>
          <w:i/>
        </w:rPr>
        <w:t>temporalité </w:t>
      </w:r>
      <w:r w:rsidRPr="00320A86">
        <w:t>», mais aussi « en la spiritualité, estant en c</w:t>
      </w:r>
      <w:r w:rsidRPr="00320A86">
        <w:t>e</w:t>
      </w:r>
      <w:r w:rsidRPr="00320A86">
        <w:t>la seul souverain Prince en l’Europe</w:t>
      </w:r>
      <w:r>
        <w:t> </w:t>
      </w:r>
      <w:r>
        <w:rPr>
          <w:rStyle w:val="Appelnotedebasdep"/>
        </w:rPr>
        <w:footnoteReference w:id="427"/>
      </w:r>
      <w:r w:rsidRPr="00320A86">
        <w:t> ».</w:t>
      </w:r>
    </w:p>
    <w:p w14:paraId="3A34DE48" w14:textId="77777777" w:rsidR="00B01930" w:rsidRPr="00320A86" w:rsidRDefault="00B01930" w:rsidP="00B01930">
      <w:pPr>
        <w:spacing w:before="120" w:after="120"/>
        <w:jc w:val="both"/>
      </w:pPr>
      <w:r w:rsidRPr="00320A86">
        <w:t>Ce qui revient à dire qu’il exerce son autorité sur l’église gallicane. Le gall</w:t>
      </w:r>
      <w:r w:rsidRPr="00320A86">
        <w:t>i</w:t>
      </w:r>
      <w:r w:rsidRPr="00320A86">
        <w:t>can du Tillet va jusqu’à déplorer le temps où le roi de France était le seul adm</w:t>
      </w:r>
      <w:r w:rsidRPr="00320A86">
        <w:t>i</w:t>
      </w:r>
      <w:r w:rsidRPr="00320A86">
        <w:t>nistrateur de l’église Gallicane, car les abus y ont été introduits par la mainmise des papes :</w:t>
      </w:r>
    </w:p>
    <w:p w14:paraId="1940468D" w14:textId="77777777" w:rsidR="00B01930" w:rsidRPr="00320A86" w:rsidRDefault="00B01930" w:rsidP="00B01930">
      <w:pPr>
        <w:pStyle w:val="citation"/>
      </w:pPr>
      <w:r w:rsidRPr="00320A86">
        <w:t>« Combien qu’aux seuls Prélats &amp; ministres de l’Eglise soit commise la spiritual</w:t>
      </w:r>
      <w:r w:rsidRPr="00320A86">
        <w:t>i</w:t>
      </w:r>
      <w:r w:rsidRPr="00320A86">
        <w:t>té, qui est la plus digne charge du salut des ames, &amp; interdite aux Rois &amp; Princes temporels, toutesfois en leur domination temporelle est comprise toute la police publique, de laquelle la pr</w:t>
      </w:r>
      <w:r w:rsidRPr="00320A86">
        <w:t>e</w:t>
      </w:r>
      <w:r w:rsidRPr="00320A86">
        <w:t>mière part est la protection, garde &amp; conservation de l’ordre &amp; discipline de l’estat Eccl</w:t>
      </w:r>
      <w:r w:rsidRPr="00320A86">
        <w:t>é</w:t>
      </w:r>
      <w:r w:rsidRPr="00320A86">
        <w:t>siastique de leur Potentat […] Tant qu’en France l’Eglise a esté gouve</w:t>
      </w:r>
      <w:r w:rsidRPr="00320A86">
        <w:t>r</w:t>
      </w:r>
      <w:r w:rsidRPr="00320A86">
        <w:t>née &amp; policée sous l’authorité des Rois Très-Chrestiens, &amp; non sous celle des Papes, elle a esté approchante de la première &amp; Apostolique [Église], &amp; la moins &amp; plus tard corrompue que nulle autre. Le mal depuis advenu est procédé quand la puissance absoluë desdits Papes a esté r</w:t>
      </w:r>
      <w:r w:rsidRPr="00320A86">
        <w:t>e</w:t>
      </w:r>
      <w:r w:rsidRPr="00320A86">
        <w:t>ceuë ou endurée en ce Royaume. Le moyen de ce bon gouvernement estoit qu’en cedit Royaume les deux jurisdictions, Ecclésiastique &amp; temporelle, e</w:t>
      </w:r>
      <w:r w:rsidRPr="00320A86">
        <w:t>s</w:t>
      </w:r>
      <w:r w:rsidRPr="00320A86">
        <w:t>toient par ensemble concordablement administrées, sous &amp; par l’authorité de</w:t>
      </w:r>
      <w:r w:rsidRPr="00320A86">
        <w:t>s</w:t>
      </w:r>
      <w:r w:rsidRPr="00320A86">
        <w:t>dits Roys</w:t>
      </w:r>
      <w:r>
        <w:t> </w:t>
      </w:r>
      <w:r>
        <w:rPr>
          <w:rStyle w:val="Appelnotedebasdep"/>
        </w:rPr>
        <w:footnoteReference w:id="428"/>
      </w:r>
      <w:r w:rsidRPr="00320A86">
        <w:t> ».</w:t>
      </w:r>
    </w:p>
    <w:p w14:paraId="51DF5342" w14:textId="77777777" w:rsidR="00B01930" w:rsidRPr="00320A86" w:rsidRDefault="00B01930" w:rsidP="00B01930">
      <w:pPr>
        <w:spacing w:before="120" w:after="120"/>
        <w:jc w:val="both"/>
      </w:pPr>
    </w:p>
    <w:p w14:paraId="7F89E21D" w14:textId="77777777" w:rsidR="00B01930" w:rsidRPr="00320A86" w:rsidRDefault="00B01930" w:rsidP="00B01930">
      <w:pPr>
        <w:pStyle w:val="planche"/>
      </w:pPr>
      <w:bookmarkStart w:id="173" w:name="Analyser_idees_pol_pt_2_texte_03_IV"/>
      <w:r w:rsidRPr="00320A86">
        <w:t>IV. Une monarchie</w:t>
      </w:r>
      <w:r>
        <w:br/>
      </w:r>
      <w:r w:rsidRPr="00320A86">
        <w:t>réglée depuis des siècles par la loi</w:t>
      </w:r>
    </w:p>
    <w:bookmarkEnd w:id="173"/>
    <w:p w14:paraId="67B47C40" w14:textId="77777777" w:rsidR="00B01930" w:rsidRDefault="00B01930" w:rsidP="00B01930">
      <w:pPr>
        <w:spacing w:before="120" w:after="120"/>
        <w:jc w:val="both"/>
      </w:pPr>
    </w:p>
    <w:p w14:paraId="120F9E10"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7C2F741F" w14:textId="77777777" w:rsidR="00B01930" w:rsidRPr="00320A86" w:rsidRDefault="00B01930" w:rsidP="00B01930">
      <w:pPr>
        <w:spacing w:before="120" w:after="120"/>
        <w:jc w:val="both"/>
      </w:pPr>
      <w:r w:rsidRPr="00320A86">
        <w:t>« </w:t>
      </w:r>
      <w:r w:rsidRPr="00F60B5F">
        <w:rPr>
          <w:i/>
        </w:rPr>
        <w:t>Il est certain </w:t>
      </w:r>
      <w:r w:rsidRPr="00320A86">
        <w:t>», écrit Etienne Pasquier, « </w:t>
      </w:r>
      <w:r w:rsidRPr="00F60B5F">
        <w:rPr>
          <w:i/>
        </w:rPr>
        <w:t>que le fondement de to</w:t>
      </w:r>
      <w:r w:rsidRPr="00F60B5F">
        <w:rPr>
          <w:i/>
        </w:rPr>
        <w:t>u</w:t>
      </w:r>
      <w:r w:rsidRPr="00F60B5F">
        <w:rPr>
          <w:i/>
        </w:rPr>
        <w:t>te Rép</w:t>
      </w:r>
      <w:r w:rsidRPr="00F60B5F">
        <w:rPr>
          <w:i/>
        </w:rPr>
        <w:t>u</w:t>
      </w:r>
      <w:r w:rsidRPr="00F60B5F">
        <w:rPr>
          <w:i/>
        </w:rPr>
        <w:t>blique, c’est la loy, je ne diray point fondement, je dy que c’est l’ame sans l</w:t>
      </w:r>
      <w:r w:rsidRPr="00F60B5F">
        <w:rPr>
          <w:i/>
        </w:rPr>
        <w:t>a</w:t>
      </w:r>
      <w:r w:rsidRPr="00F60B5F">
        <w:rPr>
          <w:i/>
        </w:rPr>
        <w:t>quelle la République ne peut avoir vie </w:t>
      </w:r>
      <w:r>
        <w:rPr>
          <w:rStyle w:val="Appelnotedebasdep"/>
        </w:rPr>
        <w:footnoteReference w:id="429"/>
      </w:r>
      <w:r w:rsidRPr="00320A86">
        <w:t> ». Ce qui fait la grandeur et la solidité des institutions de la monarchie de Fra</w:t>
      </w:r>
      <w:r w:rsidRPr="00320A86">
        <w:t>n</w:t>
      </w:r>
      <w:r w:rsidRPr="00320A86">
        <w:t>ce, c’est leur « </w:t>
      </w:r>
      <w:r w:rsidRPr="00F60B5F">
        <w:rPr>
          <w:i/>
        </w:rPr>
        <w:t>antiquité </w:t>
      </w:r>
      <w:r w:rsidRPr="00320A86">
        <w:t>». Elle les doit à la « </w:t>
      </w:r>
      <w:r w:rsidRPr="00F60B5F">
        <w:rPr>
          <w:i/>
        </w:rPr>
        <w:t>race de Capet </w:t>
      </w:r>
      <w:r w:rsidRPr="00320A86">
        <w:t xml:space="preserve">». </w:t>
      </w:r>
    </w:p>
    <w:p w14:paraId="4386BED3" w14:textId="77777777" w:rsidR="00B01930" w:rsidRDefault="00B01930" w:rsidP="00B01930">
      <w:pPr>
        <w:pStyle w:val="citation"/>
      </w:pPr>
    </w:p>
    <w:p w14:paraId="23537E58" w14:textId="77777777" w:rsidR="00B01930" w:rsidRDefault="00B01930" w:rsidP="00B01930">
      <w:pPr>
        <w:pStyle w:val="citation"/>
      </w:pPr>
      <w:r w:rsidRPr="00320A86">
        <w:t>« C’est celle là qui luy a donné les loix civiles &amp; politiques, qui luy a formé les membres d’un Estat bien solide &amp; composé, qui a affermy son édifice commencé par les autres deux races, qui a fait les Parlements s</w:t>
      </w:r>
      <w:r w:rsidRPr="00320A86">
        <w:t>é</w:t>
      </w:r>
      <w:r w:rsidRPr="00320A86">
        <w:t>dentaires pour la ju</w:t>
      </w:r>
      <w:r w:rsidRPr="00320A86">
        <w:t>s</w:t>
      </w:r>
      <w:r w:rsidRPr="00320A86">
        <w:t>tice, &amp; créé les autres jurisdiction. […] C’est celle là qui a créé les conseils de divers noms, &amp; bref qui a fait toutes ces belles Ordonnances, Edits &amp; autres excellentes constit</w:t>
      </w:r>
      <w:r w:rsidRPr="00320A86">
        <w:t>u</w:t>
      </w:r>
      <w:r w:rsidRPr="00320A86">
        <w:t>tions qui décorent &amp; soustiennent cet Estat, &amp; qui le rendent en soy fort &amp; admirable aux E</w:t>
      </w:r>
      <w:r w:rsidRPr="00320A86">
        <w:t>s</w:t>
      </w:r>
      <w:r w:rsidRPr="00320A86">
        <w:t>trangers</w:t>
      </w:r>
      <w:r>
        <w:t> </w:t>
      </w:r>
      <w:r w:rsidRPr="00DB503D">
        <w:rPr>
          <w:rStyle w:val="Appelnotedebasdep"/>
          <w:i/>
        </w:rPr>
        <w:footnoteReference w:id="430"/>
      </w:r>
      <w:r w:rsidRPr="00320A86">
        <w:t> ».</w:t>
      </w:r>
    </w:p>
    <w:p w14:paraId="5522B9B4" w14:textId="77777777" w:rsidR="00B01930" w:rsidRPr="00320A86" w:rsidRDefault="00B01930" w:rsidP="00B01930">
      <w:pPr>
        <w:pStyle w:val="citation"/>
      </w:pPr>
    </w:p>
    <w:p w14:paraId="303B1006" w14:textId="77777777" w:rsidR="00B01930" w:rsidRPr="00320A86" w:rsidRDefault="00B01930" w:rsidP="00B01930">
      <w:pPr>
        <w:spacing w:before="120" w:after="120"/>
        <w:jc w:val="both"/>
      </w:pPr>
      <w:r w:rsidRPr="00320A86">
        <w:t>Comme Claude de Seyssel, tous estiment que, de toutes les mona</w:t>
      </w:r>
      <w:r w:rsidRPr="00320A86">
        <w:t>r</w:t>
      </w:r>
      <w:r w:rsidRPr="00320A86">
        <w:t>chies, la « </w:t>
      </w:r>
      <w:r w:rsidRPr="00F60B5F">
        <w:rPr>
          <w:i/>
        </w:rPr>
        <w:t>Monarchie de France </w:t>
      </w:r>
      <w:r w:rsidRPr="00320A86">
        <w:t>» est la meilleure grâce à sa loi de succession : « </w:t>
      </w:r>
      <w:r w:rsidRPr="00F60B5F">
        <w:rPr>
          <w:i/>
        </w:rPr>
        <w:t>il est certain que la longue expérience a monstré estre meilleur, &amp; plus seur, que le Royaume de France, sans forme d’élection, aille tousjours de masle en masle, au plus prochain du l</w:t>
      </w:r>
      <w:r w:rsidRPr="00F60B5F">
        <w:rPr>
          <w:i/>
        </w:rPr>
        <w:t>i</w:t>
      </w:r>
      <w:r w:rsidRPr="00F60B5F">
        <w:rPr>
          <w:i/>
        </w:rPr>
        <w:t>gnage, tellement que le Roy ne meurt jamais, comme on dit, &amp; que les puisnez soient honnestement apanagez </w:t>
      </w:r>
      <w:r>
        <w:rPr>
          <w:rStyle w:val="Appelnotedebasdep"/>
        </w:rPr>
        <w:footnoteReference w:id="431"/>
      </w:r>
      <w:r w:rsidRPr="00320A86">
        <w:t> ».</w:t>
      </w:r>
    </w:p>
    <w:p w14:paraId="64E283A7" w14:textId="77777777" w:rsidR="00B01930" w:rsidRPr="00320A86" w:rsidRDefault="00B01930" w:rsidP="00B01930">
      <w:pPr>
        <w:spacing w:before="120" w:after="120"/>
        <w:jc w:val="both"/>
      </w:pPr>
      <w:r w:rsidRPr="00320A86">
        <w:t xml:space="preserve">Par conséquent ce n’est pas une monarchie purement héréditaire, mais c’est une monarchie successive, réglée par une loi de succession qui fait de lui l’usufruitier et non le propriétaire de son royaume, sinon ce serait une monarchie seigneuriale : </w:t>
      </w:r>
    </w:p>
    <w:p w14:paraId="60E196D3" w14:textId="77777777" w:rsidR="00B01930" w:rsidRDefault="00B01930" w:rsidP="00B01930">
      <w:pPr>
        <w:pStyle w:val="citation"/>
      </w:pPr>
    </w:p>
    <w:p w14:paraId="496411D7" w14:textId="77777777" w:rsidR="00B01930" w:rsidRDefault="00B01930" w:rsidP="00B01930">
      <w:pPr>
        <w:pStyle w:val="citation"/>
      </w:pPr>
      <w:r w:rsidRPr="00320A86">
        <w:t>« Si jamais ordre polititc fust sainement &amp; sainctement observé en quelque Rép</w:t>
      </w:r>
      <w:r w:rsidRPr="00320A86">
        <w:t>u</w:t>
      </w:r>
      <w:r w:rsidRPr="00320A86">
        <w:t>blique que ce soit, je puis dire franchement &amp; est vray, que c’est en nostre Monarchie, car nos anciens recognoissans, que combien qu’entre les trois espèces de Républ</w:t>
      </w:r>
      <w:r w:rsidRPr="00320A86">
        <w:t>i</w:t>
      </w:r>
      <w:r w:rsidRPr="00320A86">
        <w:t>ques, il n’en ayt point de plus digne &amp; excellente que la Royauté, &amp; encore Royauté qui vient par droict successif en ligne masculine, &amp; mesm</w:t>
      </w:r>
      <w:r w:rsidRPr="00320A86">
        <w:t>e</w:t>
      </w:r>
      <w:r w:rsidRPr="00320A86">
        <w:t>ment [surtout] à l’aisné, toutes particularitez qui se trouvent en nostre Estat</w:t>
      </w:r>
      <w:r>
        <w:t> </w:t>
      </w:r>
      <w:r w:rsidRPr="00DB503D">
        <w:rPr>
          <w:rStyle w:val="Appelnotedebasdep"/>
          <w:i/>
        </w:rPr>
        <w:footnoteReference w:id="432"/>
      </w:r>
      <w:r w:rsidRPr="00320A86">
        <w:t> » (Étie</w:t>
      </w:r>
      <w:r w:rsidRPr="00320A86">
        <w:t>n</w:t>
      </w:r>
      <w:r w:rsidRPr="00320A86">
        <w:t>ne Pasquier).</w:t>
      </w:r>
    </w:p>
    <w:p w14:paraId="1F0D423E" w14:textId="77777777" w:rsidR="00B01930" w:rsidRPr="00320A86" w:rsidRDefault="00B01930" w:rsidP="00B01930">
      <w:pPr>
        <w:pStyle w:val="citation"/>
      </w:pPr>
    </w:p>
    <w:p w14:paraId="5AB315E5" w14:textId="77777777" w:rsidR="00B01930" w:rsidRPr="00320A86" w:rsidRDefault="00B01930" w:rsidP="00B01930">
      <w:pPr>
        <w:spacing w:before="120" w:after="120"/>
        <w:jc w:val="both"/>
      </w:pPr>
      <w:r w:rsidRPr="00320A86">
        <w:t>Par cette loi, le roi de France détient la pleine souveraineté avant le sacre. Jean du Tillet relève qu’après la consécration du Roi, l’archevêque de Reims s’adresse à lui en ces termes : « </w:t>
      </w:r>
      <w:r w:rsidRPr="00F60B5F">
        <w:rPr>
          <w:i/>
        </w:rPr>
        <w:t>Sois stable, &amp; retiens doresnavant l’estat, lequel as tenu jusques à présent par la succession de ton père, de droict héréditaire, délégué par l’autorité de Dieu tout-puissant </w:t>
      </w:r>
      <w:r>
        <w:rPr>
          <w:rStyle w:val="Appelnotedebasdep"/>
        </w:rPr>
        <w:footnoteReference w:id="433"/>
      </w:r>
      <w:r w:rsidRPr="00320A86">
        <w:t> ». Du Haillan va plus loin en laïcisant quas</w:t>
      </w:r>
      <w:r w:rsidRPr="00320A86">
        <w:t>i</w:t>
      </w:r>
      <w:r w:rsidRPr="00320A86">
        <w:t>ment la monarchie, faisant du sacre une simple cérémonie : « </w:t>
      </w:r>
      <w:r w:rsidRPr="00F60B5F">
        <w:rPr>
          <w:i/>
        </w:rPr>
        <w:t>Le Roy ne laisse pas d’estre Roy, sans le couronnement &amp; Sacre, qui sont cér</w:t>
      </w:r>
      <w:r w:rsidRPr="00F60B5F">
        <w:rPr>
          <w:i/>
        </w:rPr>
        <w:t>é</w:t>
      </w:r>
      <w:r w:rsidRPr="00F60B5F">
        <w:rPr>
          <w:i/>
        </w:rPr>
        <w:t>monies pleines de révérence, concernans seulement l’approbation p</w:t>
      </w:r>
      <w:r w:rsidRPr="00F60B5F">
        <w:rPr>
          <w:i/>
        </w:rPr>
        <w:t>u</w:t>
      </w:r>
      <w:r w:rsidRPr="00F60B5F">
        <w:rPr>
          <w:i/>
        </w:rPr>
        <w:t>blique, non l’essence de la souveraineté </w:t>
      </w:r>
      <w:r>
        <w:rPr>
          <w:rStyle w:val="Appelnotedebasdep"/>
        </w:rPr>
        <w:footnoteReference w:id="434"/>
      </w:r>
      <w:r w:rsidRPr="00320A86">
        <w:t> ».</w:t>
      </w:r>
    </w:p>
    <w:p w14:paraId="235BD613" w14:textId="77777777" w:rsidR="00B01930" w:rsidRPr="00320A86" w:rsidRDefault="00B01930" w:rsidP="00B01930">
      <w:pPr>
        <w:spacing w:before="120" w:after="120"/>
        <w:jc w:val="both"/>
      </w:pPr>
      <w:r w:rsidRPr="00320A86">
        <w:t>Cette loi de succession procure aussi à la monarchie française deux autres avantages essentiels : elle interdit tout partage du royaume, comme cela était arrivé au temps des Mérovingiens, et elle prononce l’exclusion des femmes. A</w:t>
      </w:r>
      <w:r w:rsidRPr="00320A86">
        <w:t>n</w:t>
      </w:r>
      <w:r w:rsidRPr="00320A86">
        <w:t>toine Loisel abonde dans ce sens : le Royaume « </w:t>
      </w:r>
      <w:r w:rsidRPr="00F60B5F">
        <w:rPr>
          <w:i/>
        </w:rPr>
        <w:t>ne tombe point en partage e</w:t>
      </w:r>
      <w:r w:rsidRPr="00F60B5F">
        <w:rPr>
          <w:i/>
        </w:rPr>
        <w:t>n</w:t>
      </w:r>
      <w:r w:rsidRPr="00F60B5F">
        <w:rPr>
          <w:i/>
        </w:rPr>
        <w:t>tre frères </w:t>
      </w:r>
      <w:r w:rsidRPr="00320A86">
        <w:t>», et « </w:t>
      </w:r>
      <w:r w:rsidRPr="00F60B5F">
        <w:rPr>
          <w:i/>
        </w:rPr>
        <w:t>les puisnez n’y peuvent pas seulement demander leur légitime […] Ce droict d’aisnesse &amp; d’individuité a principalement esté gardé en France non seulement pour le Royaume, mais aussi pour les principaux fiefs d’iceluy, &amp; ceux qui en ont écrit anciennement l’appellent, Morem Francorum </w:t>
      </w:r>
      <w:r>
        <w:rPr>
          <w:rStyle w:val="Appelnotedebasdep"/>
        </w:rPr>
        <w:footnoteReference w:id="435"/>
      </w:r>
      <w:r w:rsidRPr="00320A86">
        <w:t> ». Car dans le cas des apanages, leur dévolution suit la loi salique : à l’extinction des mâles, ils font retour à la Couronne.</w:t>
      </w:r>
    </w:p>
    <w:p w14:paraId="15304F40" w14:textId="77777777" w:rsidR="00B01930" w:rsidRPr="00320A86" w:rsidRDefault="00B01930" w:rsidP="00B01930">
      <w:pPr>
        <w:spacing w:before="120" w:after="120"/>
        <w:jc w:val="both"/>
      </w:pPr>
      <w:r w:rsidRPr="00320A86">
        <w:t>Tous se félicitent de l’exclusion des femmes de la succession au trône. Du Haillan estime que « </w:t>
      </w:r>
      <w:r w:rsidRPr="00F60B5F">
        <w:rPr>
          <w:i/>
        </w:rPr>
        <w:t>le plus beau privilège du Royaume de France, c’est que les femmes ny les masles descendans d’elles, ne succèdent point à la Couronne d’iceluy. Ce que nous attribuons à la loy Salique </w:t>
      </w:r>
      <w:r>
        <w:rPr>
          <w:rStyle w:val="Appelnotedebasdep"/>
        </w:rPr>
        <w:footnoteReference w:id="436"/>
      </w:r>
      <w:r w:rsidRPr="00320A86">
        <w:t> ». Antoine Loisel l’appelle la Loy des François, car elle impose « </w:t>
      </w:r>
      <w:r w:rsidRPr="00F60B5F">
        <w:rPr>
          <w:i/>
        </w:rPr>
        <w:t>que nostre royaume est masculin, que les femmes en estoient excluses &amp; ne tomboit point en quenouille […] ce qui estoit escrit long-temps avant que l’on en fit querelle au Roy Philippes de V</w:t>
      </w:r>
      <w:r w:rsidRPr="00F60B5F">
        <w:rPr>
          <w:i/>
        </w:rPr>
        <w:t>a</w:t>
      </w:r>
      <w:r w:rsidRPr="00F60B5F">
        <w:rPr>
          <w:i/>
        </w:rPr>
        <w:t>lois </w:t>
      </w:r>
      <w:r>
        <w:rPr>
          <w:rStyle w:val="Appelnotedebasdep"/>
        </w:rPr>
        <w:footnoteReference w:id="437"/>
      </w:r>
      <w:r w:rsidRPr="00320A86">
        <w:t> ». Le royaume ne peut ainsi tomber en des mains étrang</w:t>
      </w:r>
      <w:r w:rsidRPr="00320A86">
        <w:t>è</w:t>
      </w:r>
      <w:r w:rsidRPr="00320A86">
        <w:t>res</w:t>
      </w:r>
      <w:r>
        <w:t> </w:t>
      </w:r>
      <w:r>
        <w:rPr>
          <w:rStyle w:val="Appelnotedebasdep"/>
        </w:rPr>
        <w:footnoteReference w:id="438"/>
      </w:r>
      <w:r w:rsidRPr="00320A86">
        <w:t>.</w:t>
      </w:r>
    </w:p>
    <w:p w14:paraId="795D1480" w14:textId="77777777" w:rsidR="00B01930" w:rsidRPr="00320A86" w:rsidRDefault="00B01930" w:rsidP="00B01930">
      <w:pPr>
        <w:spacing w:before="120" w:after="120"/>
        <w:jc w:val="both"/>
      </w:pPr>
      <w:r w:rsidRPr="00320A86">
        <w:t>La justice est la pierre angulaire du pouvoir absolu du Roi, pui</w:t>
      </w:r>
      <w:r w:rsidRPr="00320A86">
        <w:t>s</w:t>
      </w:r>
      <w:r w:rsidRPr="00320A86">
        <w:t>qu’il a été établi par Dieu pour la rendre à ses sujets. Antoine Loisel écrit : « </w:t>
      </w:r>
      <w:r w:rsidRPr="00F60B5F">
        <w:rPr>
          <w:i/>
        </w:rPr>
        <w:t>il n’y a que le Roy ou autre Prince souverain qui ayent la vraye puissance de commander, &amp; la propriété de la Justice </w:t>
      </w:r>
      <w:r w:rsidRPr="00320A86">
        <w:t xml:space="preserve">». Mais, étant donné les dimensions du royaume, le Roi ne peut rendre lui-même la justice comme Saint Louis sous son chêne : </w:t>
      </w:r>
    </w:p>
    <w:p w14:paraId="02E872EE" w14:textId="77777777" w:rsidR="00B01930" w:rsidRDefault="00B01930" w:rsidP="00B01930">
      <w:pPr>
        <w:pStyle w:val="citation"/>
      </w:pPr>
    </w:p>
    <w:p w14:paraId="2A8DD4D3" w14:textId="77777777" w:rsidR="00B01930" w:rsidRDefault="00B01930" w:rsidP="00B01930">
      <w:pPr>
        <w:pStyle w:val="citation"/>
      </w:pPr>
      <w:r w:rsidRPr="00320A86">
        <w:t>« Il est contraint d’en commettre la simple administration aux Magi</w:t>
      </w:r>
      <w:r w:rsidRPr="00320A86">
        <w:t>s</w:t>
      </w:r>
      <w:r w:rsidRPr="00320A86">
        <w:t>trats, en ret</w:t>
      </w:r>
      <w:r w:rsidRPr="00320A86">
        <w:t>e</w:t>
      </w:r>
      <w:r w:rsidRPr="00320A86">
        <w:t>nant tousjours par devers soy la propriété. Aussi est-ce le plus beau &amp; principal fleuron de sa Couronne, la plus haute, voire la plus div</w:t>
      </w:r>
      <w:r w:rsidRPr="00320A86">
        <w:t>i</w:t>
      </w:r>
      <w:r w:rsidRPr="00320A86">
        <w:t>ne partie de sa puissance, qui e</w:t>
      </w:r>
      <w:r w:rsidRPr="00320A86">
        <w:t>m</w:t>
      </w:r>
      <w:r w:rsidRPr="00320A86">
        <w:t>porte pouvoir sur la vie &amp; sur les biens de tous ses Subjects, pouvoir non tyrannique ny desréglé, mais m</w:t>
      </w:r>
      <w:r w:rsidRPr="00320A86">
        <w:t>e</w:t>
      </w:r>
      <w:r w:rsidRPr="00320A86">
        <w:t>suré par la Justice qui est la fin principale pour laquelle les Rois sont e</w:t>
      </w:r>
      <w:r w:rsidRPr="00320A86">
        <w:t>s</w:t>
      </w:r>
      <w:r w:rsidRPr="00320A86">
        <w:t>tablis</w:t>
      </w:r>
      <w:r>
        <w:t> </w:t>
      </w:r>
      <w:r w:rsidRPr="00DB503D">
        <w:rPr>
          <w:rStyle w:val="Appelnotedebasdep"/>
          <w:i/>
        </w:rPr>
        <w:footnoteReference w:id="439"/>
      </w:r>
      <w:r w:rsidRPr="00320A86">
        <w:t> ».</w:t>
      </w:r>
    </w:p>
    <w:p w14:paraId="1E2A7D9F" w14:textId="77777777" w:rsidR="00B01930" w:rsidRPr="00320A86" w:rsidRDefault="00B01930" w:rsidP="00B01930">
      <w:pPr>
        <w:pStyle w:val="citation"/>
      </w:pPr>
    </w:p>
    <w:p w14:paraId="5F21F482" w14:textId="77777777" w:rsidR="00B01930" w:rsidRPr="00320A86" w:rsidRDefault="00B01930" w:rsidP="00B01930">
      <w:pPr>
        <w:spacing w:before="120" w:after="120"/>
        <w:jc w:val="both"/>
      </w:pPr>
      <w:r w:rsidRPr="00320A86">
        <w:t>Étienne Pasquier reconnaît que le pouvoir de justice implique que le Roi d</w:t>
      </w:r>
      <w:r w:rsidRPr="00320A86">
        <w:t>é</w:t>
      </w:r>
      <w:r w:rsidRPr="00320A86">
        <w:t>tienne celui de faire des lois : en France, « </w:t>
      </w:r>
      <w:r w:rsidRPr="00F60B5F">
        <w:rPr>
          <w:i/>
        </w:rPr>
        <w:t>les loix prennent pour source et or</w:t>
      </w:r>
      <w:r w:rsidRPr="00F60B5F">
        <w:rPr>
          <w:i/>
        </w:rPr>
        <w:t>i</w:t>
      </w:r>
      <w:r w:rsidRPr="00F60B5F">
        <w:rPr>
          <w:i/>
        </w:rPr>
        <w:t>gine du Roy, comme les eaux du grand Océan </w:t>
      </w:r>
      <w:r w:rsidRPr="00320A86">
        <w:t>». Mais il introduit une nuance qui limite singulièrement le pouvoir a</w:t>
      </w:r>
      <w:r w:rsidRPr="00320A86">
        <w:t>b</w:t>
      </w:r>
      <w:r w:rsidRPr="00320A86">
        <w:t>solu. Elles doivent passer par les cours « </w:t>
      </w:r>
      <w:r w:rsidRPr="00F60B5F">
        <w:rPr>
          <w:i/>
        </w:rPr>
        <w:t>souveraines </w:t>
      </w:r>
      <w:r w:rsidRPr="00320A86">
        <w:t>» pour qu’elles trouvent leur légitimié et leur application : « </w:t>
      </w:r>
      <w:r w:rsidRPr="00F60B5F">
        <w:rPr>
          <w:i/>
        </w:rPr>
        <w:t>toutefois si n’ont-elles vogué entre nous, qu’elle n’ayent passé premièrement par l’alambic, &amp; de la Cour de Parlement, &amp; de la Chambre des Comptes, &amp; de la Cour des Aides, selon la diversité de leurs fonctions </w:t>
      </w:r>
      <w:r>
        <w:rPr>
          <w:rStyle w:val="Appelnotedebasdep"/>
        </w:rPr>
        <w:footnoteReference w:id="440"/>
      </w:r>
      <w:r w:rsidRPr="00320A86">
        <w:t> ».</w:t>
      </w:r>
    </w:p>
    <w:p w14:paraId="34ADFE76" w14:textId="77777777" w:rsidR="00B01930" w:rsidRPr="00320A86" w:rsidRDefault="00B01930" w:rsidP="00B01930">
      <w:pPr>
        <w:spacing w:before="120" w:after="120"/>
        <w:jc w:val="both"/>
      </w:pPr>
      <w:r w:rsidRPr="00320A86">
        <w:t>La « </w:t>
      </w:r>
      <w:r w:rsidRPr="00F60B5F">
        <w:rPr>
          <w:i/>
        </w:rPr>
        <w:t>Monarchie de France </w:t>
      </w:r>
      <w:r w:rsidRPr="00320A86">
        <w:t>» est par conséquent une monarchie modérée. Loys Le Roy, reprenant la théorie des trois freins de Seyssel, écrit : « </w:t>
      </w:r>
      <w:r w:rsidRPr="00E87B69">
        <w:rPr>
          <w:i/>
        </w:rPr>
        <w:t>à fin que le Monarque, en puissance tant immense, n’en o</w:t>
      </w:r>
      <w:r w:rsidRPr="00E87B69">
        <w:rPr>
          <w:i/>
        </w:rPr>
        <w:t>r</w:t>
      </w:r>
      <w:r w:rsidRPr="00E87B69">
        <w:rPr>
          <w:i/>
        </w:rPr>
        <w:t>gueillisse oultre mesure, dev</w:t>
      </w:r>
      <w:r w:rsidRPr="00E87B69">
        <w:rPr>
          <w:i/>
        </w:rPr>
        <w:t>e</w:t>
      </w:r>
      <w:r w:rsidRPr="00E87B69">
        <w:rPr>
          <w:i/>
        </w:rPr>
        <w:t>nant tyran insupportable, il convient modérer son authorité par la crainte de Dieu, révérence de justice, &amp; observation de bonnes loix &amp; anciennes coustumes du pais </w:t>
      </w:r>
      <w:r>
        <w:rPr>
          <w:rStyle w:val="Appelnotedebasdep"/>
        </w:rPr>
        <w:footnoteReference w:id="441"/>
      </w:r>
      <w:r w:rsidRPr="00320A86">
        <w:t> ». Étie</w:t>
      </w:r>
      <w:r w:rsidRPr="00320A86">
        <w:t>n</w:t>
      </w:r>
      <w:r w:rsidRPr="00320A86">
        <w:t>ne Pasquier estime que cela est d’autant plus remarquable que ce sont les Rois eux-mêmes, qui ont voulu ainsi tempérer leur pouvoir : « </w:t>
      </w:r>
      <w:r w:rsidRPr="00E87B69">
        <w:rPr>
          <w:i/>
        </w:rPr>
        <w:t>ils voulurent apporter ceste attrempance à leur Souveraineté, de ne do</w:t>
      </w:r>
      <w:r w:rsidRPr="00E87B69">
        <w:rPr>
          <w:i/>
        </w:rPr>
        <w:t>n</w:t>
      </w:r>
      <w:r w:rsidRPr="00E87B69">
        <w:rPr>
          <w:i/>
        </w:rPr>
        <w:t>ner cours à leurs loix qu’elles n’eussent esté auparavant vérifiées par ces trois Compagnies so</w:t>
      </w:r>
      <w:r w:rsidRPr="00E87B69">
        <w:rPr>
          <w:i/>
        </w:rPr>
        <w:t>u</w:t>
      </w:r>
      <w:r w:rsidRPr="00E87B69">
        <w:rPr>
          <w:i/>
        </w:rPr>
        <w:t>veraines, chacune en droict soy </w:t>
      </w:r>
      <w:r>
        <w:rPr>
          <w:rStyle w:val="Appelnotedebasdep"/>
        </w:rPr>
        <w:footnoteReference w:id="442"/>
      </w:r>
      <w:r w:rsidRPr="00320A86">
        <w:t> ».</w:t>
      </w:r>
    </w:p>
    <w:p w14:paraId="1207C98A" w14:textId="77777777" w:rsidR="00B01930" w:rsidRPr="00320A86" w:rsidRDefault="00B01930" w:rsidP="00B01930">
      <w:pPr>
        <w:spacing w:before="120" w:after="120"/>
        <w:jc w:val="both"/>
      </w:pPr>
      <w:r w:rsidRPr="00320A86">
        <w:t xml:space="preserve">François de Belleforest partage ce point du vue : </w:t>
      </w:r>
    </w:p>
    <w:p w14:paraId="4FCB7059" w14:textId="77777777" w:rsidR="00B01930" w:rsidRDefault="00B01930" w:rsidP="00B01930">
      <w:pPr>
        <w:pStyle w:val="citation"/>
      </w:pPr>
    </w:p>
    <w:p w14:paraId="4AA1EF88" w14:textId="77777777" w:rsidR="00B01930" w:rsidRDefault="00B01930" w:rsidP="00B01930">
      <w:pPr>
        <w:pStyle w:val="citation"/>
      </w:pPr>
      <w:r w:rsidRPr="00320A86">
        <w:t>« Je dis qu’il y a des limites en la puissance Royale, par lesquels on luy borne son authorité, affin que la puissance de tout faire n’engendrast tyrannie, qui est la mortelle ennemie, &amp; de l’estat public, &amp; de la gra</w:t>
      </w:r>
      <w:r w:rsidRPr="00320A86">
        <w:t>n</w:t>
      </w:r>
      <w:r w:rsidRPr="00320A86">
        <w:t>deur Royale, &amp; des libertés de la république […] Car les Roys venants à se ga</w:t>
      </w:r>
      <w:r w:rsidRPr="00320A86">
        <w:t>s</w:t>
      </w:r>
      <w:r w:rsidRPr="00320A86">
        <w:t>ter &amp; dépraver, ou abusants de leur souveraineté, aussi a l’on pou</w:t>
      </w:r>
      <w:r w:rsidRPr="00320A86">
        <w:t>r</w:t>
      </w:r>
      <w:r w:rsidRPr="00320A86">
        <w:t>veu à ce desreiglement, &amp; cerché, &amp; tro</w:t>
      </w:r>
      <w:r w:rsidRPr="00320A86">
        <w:t>u</w:t>
      </w:r>
      <w:r w:rsidRPr="00320A86">
        <w:t>vé des freins pour dompter ceste puissance &amp; authorité absolue, ou pour obvier aux malheurs qui pe</w:t>
      </w:r>
      <w:r w:rsidRPr="00320A86">
        <w:t>u</w:t>
      </w:r>
      <w:r w:rsidRPr="00320A86">
        <w:t>vent survenir és minoritez ou maladies des Princes, quoy que nonobstant ces moyens l’authorité Royale demeure en son entier, non du tout absolue, ny de tant restrainte que le pouvoir luy soit osté, mais modestement contenue par la saincteté des loix, des coustumes &amp; ordonnances anciennes, que les Roys ne peuvent anichiler, comme estans nées avec leur couronne, de so</w:t>
      </w:r>
      <w:r w:rsidRPr="00320A86">
        <w:t>r</w:t>
      </w:r>
      <w:r w:rsidRPr="00320A86">
        <w:t>te que par l’abolissement d’icelles ce seroit causer l’altération de la co</w:t>
      </w:r>
      <w:r w:rsidRPr="00320A86">
        <w:t>u</w:t>
      </w:r>
      <w:r w:rsidRPr="00320A86">
        <w:t>ronne, &amp; majesté du Royaume. Or les trois points par le</w:t>
      </w:r>
      <w:r w:rsidRPr="00320A86">
        <w:t>s</w:t>
      </w:r>
      <w:r w:rsidRPr="00320A86">
        <w:t>quels ceste royauté est, &amp; a de tout temps esté tenue en devoir en Gaule, &amp; depuis e</w:t>
      </w:r>
      <w:r w:rsidRPr="00320A86">
        <w:t>n</w:t>
      </w:r>
      <w:r w:rsidRPr="00320A86">
        <w:t>tre les Roys Francs-Gauloys sont la Religion, la Justice, &amp; la Police, qui sont les plus solides fondemens qu’on puisse poser pour establir quelque grande pui</w:t>
      </w:r>
      <w:r w:rsidRPr="00320A86">
        <w:t>s</w:t>
      </w:r>
      <w:r w:rsidRPr="00320A86">
        <w:t>sance</w:t>
      </w:r>
      <w:r>
        <w:t> </w:t>
      </w:r>
      <w:r w:rsidRPr="00DB503D">
        <w:rPr>
          <w:rStyle w:val="Appelnotedebasdep"/>
          <w:i/>
        </w:rPr>
        <w:footnoteReference w:id="443"/>
      </w:r>
      <w:r w:rsidRPr="00320A86">
        <w:t> ».</w:t>
      </w:r>
    </w:p>
    <w:p w14:paraId="416F0F25" w14:textId="77777777" w:rsidR="00B01930" w:rsidRPr="00320A86" w:rsidRDefault="00B01930" w:rsidP="00B01930">
      <w:pPr>
        <w:pStyle w:val="citation"/>
      </w:pPr>
    </w:p>
    <w:p w14:paraId="5CA4D701" w14:textId="77777777" w:rsidR="00B01930" w:rsidRPr="00320A86" w:rsidRDefault="00B01930" w:rsidP="00B01930">
      <w:pPr>
        <w:spacing w:before="120" w:after="120"/>
        <w:jc w:val="both"/>
      </w:pPr>
      <w:r w:rsidRPr="00320A86">
        <w:t>Dans sa définition de la monarchie de France, du Haillan va encore plus loin que Seyssel, Le Roy et Belleforest : il en fait un régime pol</w:t>
      </w:r>
      <w:r w:rsidRPr="00320A86">
        <w:t>i</w:t>
      </w:r>
      <w:r w:rsidRPr="00320A86">
        <w:t>tique mixte, lor</w:t>
      </w:r>
      <w:r w:rsidRPr="00320A86">
        <w:t>s</w:t>
      </w:r>
      <w:r w:rsidRPr="00320A86">
        <w:t>qu’il affirme que la France « </w:t>
      </w:r>
      <w:r w:rsidRPr="00E87B69">
        <w:rPr>
          <w:i/>
        </w:rPr>
        <w:t>est composée de trois façons de gouvernement ; Monarchie, Aristocratie, Démocratie </w:t>
      </w:r>
      <w:r w:rsidRPr="00320A86">
        <w:t>». Certes le Roi « </w:t>
      </w:r>
      <w:r w:rsidRPr="00E87B69">
        <w:rPr>
          <w:i/>
        </w:rPr>
        <w:t>est le Monarque, souv</w:t>
      </w:r>
      <w:r w:rsidRPr="00E87B69">
        <w:rPr>
          <w:i/>
        </w:rPr>
        <w:t>e</w:t>
      </w:r>
      <w:r w:rsidRPr="00E87B69">
        <w:rPr>
          <w:i/>
        </w:rPr>
        <w:t>rain, &amp; absolu, aymé, révéré, craint &amp; obéy </w:t>
      </w:r>
      <w:r w:rsidRPr="00320A86">
        <w:t>», mais « </w:t>
      </w:r>
      <w:r w:rsidRPr="00E87B69">
        <w:rPr>
          <w:i/>
        </w:rPr>
        <w:t>bien qu’il ait toute pui</w:t>
      </w:r>
      <w:r w:rsidRPr="00E87B69">
        <w:rPr>
          <w:i/>
        </w:rPr>
        <w:t>s</w:t>
      </w:r>
      <w:r w:rsidRPr="00E87B69">
        <w:rPr>
          <w:i/>
        </w:rPr>
        <w:t>sance &amp; authorité de commander, &amp; faire ce qu’il veut, si est-ce que ceste grande &amp; souv</w:t>
      </w:r>
      <w:r w:rsidRPr="00E87B69">
        <w:rPr>
          <w:i/>
        </w:rPr>
        <w:t>e</w:t>
      </w:r>
      <w:r w:rsidRPr="00E87B69">
        <w:rPr>
          <w:i/>
        </w:rPr>
        <w:t>raine liberté est reiglée, limitée &amp; bridée par bonnes loix &amp; ordo</w:t>
      </w:r>
      <w:r w:rsidRPr="00E87B69">
        <w:rPr>
          <w:i/>
        </w:rPr>
        <w:t>n</w:t>
      </w:r>
      <w:r w:rsidRPr="00E87B69">
        <w:rPr>
          <w:i/>
        </w:rPr>
        <w:t>nances, &amp; par la multitude &amp; diversité des officiers qui sont tant près de sa pe</w:t>
      </w:r>
      <w:r w:rsidRPr="00E87B69">
        <w:rPr>
          <w:i/>
        </w:rPr>
        <w:t>r</w:t>
      </w:r>
      <w:r w:rsidRPr="00E87B69">
        <w:rPr>
          <w:i/>
        </w:rPr>
        <w:t>sonne, qu’establis en divers lieux de son Royaume, ne luy estant tout permis, ains seulement ce qui est juste &amp; raisonnable, &amp; prescrit par les ordonnances, &amp; par l’advis de son conseil </w:t>
      </w:r>
      <w:r>
        <w:rPr>
          <w:rStyle w:val="Appelnotedebasdep"/>
        </w:rPr>
        <w:footnoteReference w:id="444"/>
      </w:r>
      <w:r w:rsidRPr="00320A86">
        <w:t> ».</w:t>
      </w:r>
    </w:p>
    <w:p w14:paraId="3AD93607" w14:textId="77777777" w:rsidR="00B01930" w:rsidRPr="00320A86" w:rsidRDefault="00B01930" w:rsidP="00B01930">
      <w:pPr>
        <w:spacing w:before="120" w:after="120"/>
        <w:jc w:val="both"/>
      </w:pPr>
      <w:r w:rsidRPr="00320A86">
        <w:t xml:space="preserve">Or cette modération, pour ne pas dire ce contrôle, du pouvoir royal s’exerce surtout par le droit de remontrance qu’il a accordé à ces Cours. </w:t>
      </w:r>
    </w:p>
    <w:p w14:paraId="39FA7D44" w14:textId="77777777" w:rsidR="00B01930" w:rsidRDefault="00B01930" w:rsidP="00B01930">
      <w:pPr>
        <w:pStyle w:val="citation"/>
      </w:pPr>
    </w:p>
    <w:p w14:paraId="59A4618F" w14:textId="77777777" w:rsidR="00B01930" w:rsidRPr="00320A86" w:rsidRDefault="00B01930" w:rsidP="00B01930">
      <w:pPr>
        <w:pStyle w:val="citation"/>
      </w:pPr>
      <w:r w:rsidRPr="00320A86">
        <w:t>« Tous ceux qui ont voulu fonder la liberté d’une République bien o</w:t>
      </w:r>
      <w:r w:rsidRPr="00320A86">
        <w:t>r</w:t>
      </w:r>
      <w:r w:rsidRPr="00320A86">
        <w:t>données ont estimé que c’estoit lors que l’opinion du souverain Magistrat estoit attre</w:t>
      </w:r>
      <w:r w:rsidRPr="00320A86">
        <w:t>m</w:t>
      </w:r>
      <w:r w:rsidRPr="00320A86">
        <w:t>pée par les remonstrances de plusieurs personnes d’honneur, estant constituées en estat pour cest effect, &amp; quand en contr’eschange, ces plusieurs estoient controllez par la présence, commandement &amp; M</w:t>
      </w:r>
      <w:r w:rsidRPr="00320A86">
        <w:t>a</w:t>
      </w:r>
      <w:r w:rsidRPr="00320A86">
        <w:t>jesté de leur Prince. Et vrayment qui voudra sainement discourir sur le fait de no</w:t>
      </w:r>
      <w:r w:rsidRPr="00320A86">
        <w:t>s</w:t>
      </w:r>
      <w:r w:rsidRPr="00320A86">
        <w:t>tre Monarchie, il se</w:t>
      </w:r>
      <w:r w:rsidRPr="00320A86">
        <w:t>m</w:t>
      </w:r>
      <w:r w:rsidRPr="00320A86">
        <w:t>ble que cet ordre ait esté quelques-fois très-estroictement observé entre nous par le moyen du Parlement. Qui est la cause pour laquelle quelques estrangers discourans dessus nostre Républ</w:t>
      </w:r>
      <w:r w:rsidRPr="00320A86">
        <w:t>i</w:t>
      </w:r>
      <w:r w:rsidRPr="00320A86">
        <w:t>que, ont estimé que de cette commune police, qui estoit comme metoye</w:t>
      </w:r>
      <w:r w:rsidRPr="00320A86">
        <w:t>n</w:t>
      </w:r>
      <w:r w:rsidRPr="00320A86">
        <w:t xml:space="preserve">ne entre le Roy &amp; le peuple, dépendoit toute la grandeur de la </w:t>
      </w:r>
      <w:r>
        <w:t>Fra</w:t>
      </w:r>
      <w:r>
        <w:t>n</w:t>
      </w:r>
      <w:r>
        <w:t>ce </w:t>
      </w:r>
      <w:r>
        <w:rPr>
          <w:rStyle w:val="Appelnotedebasdep"/>
        </w:rPr>
        <w:footnoteReference w:id="445"/>
      </w:r>
      <w:r w:rsidRPr="00320A86">
        <w:t> ». (Pasquier)</w:t>
      </w:r>
    </w:p>
    <w:p w14:paraId="123F8C36" w14:textId="77777777" w:rsidR="00B01930" w:rsidRPr="00320A86" w:rsidRDefault="00B01930" w:rsidP="00B01930">
      <w:pPr>
        <w:spacing w:before="120" w:after="120"/>
        <w:jc w:val="both"/>
      </w:pPr>
      <w:r>
        <w:br w:type="page"/>
      </w:r>
    </w:p>
    <w:p w14:paraId="2AF29E41" w14:textId="77777777" w:rsidR="00B01930" w:rsidRPr="00320A86" w:rsidRDefault="00B01930" w:rsidP="00B01930">
      <w:pPr>
        <w:pStyle w:val="planche"/>
      </w:pPr>
      <w:bookmarkStart w:id="174" w:name="Analyser_idees_pol_pt_2_texte_03_V"/>
      <w:r w:rsidRPr="00320A86">
        <w:t xml:space="preserve">V. Est-ce à dire que le roi de </w:t>
      </w:r>
      <w:r>
        <w:t>France</w:t>
      </w:r>
      <w:r>
        <w:br/>
      </w:r>
      <w:r w:rsidRPr="00320A86">
        <w:t>n’est pas un roi absolu ?</w:t>
      </w:r>
    </w:p>
    <w:bookmarkEnd w:id="174"/>
    <w:p w14:paraId="38ADE4A7" w14:textId="77777777" w:rsidR="00B01930" w:rsidRDefault="00B01930" w:rsidP="00B01930">
      <w:pPr>
        <w:spacing w:before="120" w:after="120"/>
        <w:jc w:val="both"/>
      </w:pPr>
    </w:p>
    <w:p w14:paraId="0229A7A0" w14:textId="77777777" w:rsidR="00B01930" w:rsidRDefault="00B01930" w:rsidP="00B01930">
      <w:pPr>
        <w:pStyle w:val="citation"/>
      </w:pPr>
      <w:r w:rsidRPr="00700CE7">
        <w:t>« </w:t>
      </w:r>
      <w:r w:rsidRPr="00700CE7">
        <w:rPr>
          <w:rStyle w:val="Grillecouleur-Accent1Car"/>
          <w:i w:val="0"/>
          <w:vertAlign w:val="baseline"/>
        </w:rPr>
        <w:t>Il n’y a celuy de nous qui ne recognoisse avec toute dévotion &amp; h</w:t>
      </w:r>
      <w:r w:rsidRPr="00700CE7">
        <w:rPr>
          <w:rStyle w:val="Grillecouleur-Accent1Car"/>
          <w:i w:val="0"/>
          <w:vertAlign w:val="baseline"/>
        </w:rPr>
        <w:t>u</w:t>
      </w:r>
      <w:r w:rsidRPr="00700CE7">
        <w:rPr>
          <w:rStyle w:val="Grillecouleur-Accent1Car"/>
          <w:i w:val="0"/>
          <w:vertAlign w:val="baseline"/>
        </w:rPr>
        <w:t>milité, en nos Roys pareille grandeur, authorité &amp; prééminence qu’en tous autres Princes souv</w:t>
      </w:r>
      <w:r w:rsidRPr="00700CE7">
        <w:rPr>
          <w:rStyle w:val="Grillecouleur-Accent1Car"/>
          <w:i w:val="0"/>
          <w:vertAlign w:val="baseline"/>
        </w:rPr>
        <w:t>e</w:t>
      </w:r>
      <w:r w:rsidRPr="00700CE7">
        <w:rPr>
          <w:rStyle w:val="Grillecouleur-Accent1Car"/>
          <w:i w:val="0"/>
          <w:vertAlign w:val="baseline"/>
        </w:rPr>
        <w:t>rains </w:t>
      </w:r>
      <w:r>
        <w:rPr>
          <w:rStyle w:val="Appelnotedebasdep"/>
        </w:rPr>
        <w:footnoteReference w:id="446"/>
      </w:r>
      <w:r w:rsidRPr="00320A86">
        <w:t> </w:t>
      </w:r>
      <w:r w:rsidRPr="00700CE7">
        <w:t>» (Pasquier).</w:t>
      </w:r>
    </w:p>
    <w:p w14:paraId="13104725" w14:textId="77777777" w:rsidR="00B01930" w:rsidRPr="00320A86" w:rsidRDefault="00B01930" w:rsidP="00B01930">
      <w:pPr>
        <w:spacing w:before="120" w:after="120"/>
        <w:jc w:val="both"/>
      </w:pPr>
    </w:p>
    <w:p w14:paraId="72861BC0"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1DE38645" w14:textId="77777777" w:rsidR="00B01930" w:rsidRPr="00320A86" w:rsidRDefault="00B01930" w:rsidP="00B01930">
      <w:pPr>
        <w:spacing w:before="120" w:after="120"/>
        <w:jc w:val="both"/>
      </w:pPr>
      <w:r w:rsidRPr="00320A86">
        <w:t xml:space="preserve">Du Haillan, qui est allé le plus loin dans le contrôle du pouvoir royal, en se contredisant se défend d’avoir nié le pouvoir absolu du Roi : </w:t>
      </w:r>
    </w:p>
    <w:p w14:paraId="3CA2BFBC" w14:textId="77777777" w:rsidR="00B01930" w:rsidRDefault="00B01930" w:rsidP="00B01930">
      <w:pPr>
        <w:pStyle w:val="citation"/>
      </w:pPr>
      <w:r w:rsidRPr="00320A86">
        <w:t>« Nous ne disons point que la France soit un Estat composé de trois f</w:t>
      </w:r>
      <w:r w:rsidRPr="00320A86">
        <w:t>a</w:t>
      </w:r>
      <w:r w:rsidRPr="00320A86">
        <w:t>çons de gouvernement, ny divisé en trois, en puissance absolue &amp; esga</w:t>
      </w:r>
      <w:r w:rsidRPr="00320A86">
        <w:t>l</w:t>
      </w:r>
      <w:r w:rsidRPr="00320A86">
        <w:t>le, chacune ayant la sienne, mais nous disons seulement qu’il semble qu’il le soit, veu les authoritez des trois Estats, tous toutesfois soubzmis à la pui</w:t>
      </w:r>
      <w:r w:rsidRPr="00320A86">
        <w:t>s</w:t>
      </w:r>
      <w:r w:rsidRPr="00320A86">
        <w:t>sance du Souverain, qui est le Roy, de laquelle ils tirent la leur, co</w:t>
      </w:r>
      <w:r w:rsidRPr="00320A86">
        <w:t>m</w:t>
      </w:r>
      <w:r w:rsidRPr="00320A86">
        <w:t>me nous tirons du Soleil la clarté que nous voyons &amp; y a bien grande différe</w:t>
      </w:r>
      <w:r w:rsidRPr="00320A86">
        <w:t>n</w:t>
      </w:r>
      <w:r w:rsidRPr="00320A86">
        <w:t>ce entre sembler &amp; estre. Car il n’y a nulle doubte qu’il ne soit abs</w:t>
      </w:r>
      <w:r w:rsidRPr="00320A86">
        <w:t>o</w:t>
      </w:r>
      <w:r w:rsidRPr="00320A86">
        <w:t>lument Royal, Monarchique, &amp; Souverain, accompagné de toutes les ma</w:t>
      </w:r>
      <w:r w:rsidRPr="00320A86">
        <w:t>r</w:t>
      </w:r>
      <w:r w:rsidRPr="00320A86">
        <w:t>ques d’absolue puissance &amp; de souveraineté, qu’on peut désirer ou former en un Mona</w:t>
      </w:r>
      <w:r w:rsidRPr="00320A86">
        <w:t>r</w:t>
      </w:r>
      <w:r w:rsidRPr="00320A86">
        <w:t>que ».</w:t>
      </w:r>
    </w:p>
    <w:p w14:paraId="4AA271C1" w14:textId="77777777" w:rsidR="00B01930" w:rsidRPr="00320A86" w:rsidRDefault="00B01930" w:rsidP="00B01930">
      <w:pPr>
        <w:pStyle w:val="citation"/>
      </w:pPr>
    </w:p>
    <w:p w14:paraId="54F2C683" w14:textId="77777777" w:rsidR="00B01930" w:rsidRPr="00320A86" w:rsidRDefault="00B01930" w:rsidP="00B01930">
      <w:pPr>
        <w:spacing w:before="120" w:after="120"/>
        <w:jc w:val="both"/>
      </w:pPr>
      <w:r w:rsidRPr="00320A86">
        <w:t>Il dénonce des « </w:t>
      </w:r>
      <w:r w:rsidRPr="00E87B69">
        <w:rPr>
          <w:i/>
        </w:rPr>
        <w:t>escrivains bien hardis </w:t>
      </w:r>
      <w:r>
        <w:rPr>
          <w:rStyle w:val="Appelnotedebasdep"/>
        </w:rPr>
        <w:footnoteReference w:id="447"/>
      </w:r>
      <w:r w:rsidRPr="00320A86">
        <w:t xml:space="preserve">, </w:t>
      </w:r>
      <w:r w:rsidRPr="00E87B69">
        <w:rPr>
          <w:i/>
        </w:rPr>
        <w:t>&amp; qui donnent à tort ou à travers leur jugement sur toutes choses, qui ont escrit, que c’est cr</w:t>
      </w:r>
      <w:r w:rsidRPr="00E87B69">
        <w:rPr>
          <w:i/>
        </w:rPr>
        <w:t>i</w:t>
      </w:r>
      <w:r w:rsidRPr="00E87B69">
        <w:rPr>
          <w:i/>
        </w:rPr>
        <w:t>me de lèze majesté, de dire que l’Estat de la France fust composé de trois choses publiques […] comme si ceste opinion qui a esté dite &amp; pensée par tant de bons &amp; fidèles serv</w:t>
      </w:r>
      <w:r w:rsidRPr="00E87B69">
        <w:rPr>
          <w:i/>
        </w:rPr>
        <w:t>i</w:t>
      </w:r>
      <w:r w:rsidRPr="00E87B69">
        <w:rPr>
          <w:i/>
        </w:rPr>
        <w:t>teurs de nos Roys, diminuoit en rien leur authorité, grandeur, &amp; puissance, qui est absolue &amp; souvera</w:t>
      </w:r>
      <w:r w:rsidRPr="00E87B69">
        <w:rPr>
          <w:i/>
        </w:rPr>
        <w:t>i</w:t>
      </w:r>
      <w:r w:rsidRPr="00E87B69">
        <w:rPr>
          <w:i/>
        </w:rPr>
        <w:t>ne, qu’il n’y a jamais eu monarchie en laquelle les Roys l’ayt eue se</w:t>
      </w:r>
      <w:r w:rsidRPr="00E87B69">
        <w:rPr>
          <w:i/>
        </w:rPr>
        <w:t>m</w:t>
      </w:r>
      <w:r w:rsidRPr="00E87B69">
        <w:rPr>
          <w:i/>
        </w:rPr>
        <w:t>blable </w:t>
      </w:r>
      <w:r>
        <w:rPr>
          <w:rStyle w:val="Appelnotedebasdep"/>
        </w:rPr>
        <w:footnoteReference w:id="448"/>
      </w:r>
      <w:r w:rsidRPr="00320A86">
        <w:t> ».</w:t>
      </w:r>
    </w:p>
    <w:p w14:paraId="00B681C9" w14:textId="77777777" w:rsidR="00B01930" w:rsidRPr="00320A86" w:rsidRDefault="00B01930" w:rsidP="00B01930">
      <w:pPr>
        <w:spacing w:before="120" w:after="120"/>
        <w:jc w:val="both"/>
      </w:pPr>
      <w:r w:rsidRPr="00320A86">
        <w:t>Les théoriciens, en effet, estiment que ces freins ne font que re</w:t>
      </w:r>
      <w:r w:rsidRPr="00320A86">
        <w:t>n</w:t>
      </w:r>
      <w:r w:rsidRPr="00320A86">
        <w:t>forcer le pouvoir absolu du Roi</w:t>
      </w:r>
      <w:r>
        <w:t> </w:t>
      </w:r>
      <w:r>
        <w:rPr>
          <w:rStyle w:val="Appelnotedebasdep"/>
        </w:rPr>
        <w:footnoteReference w:id="449"/>
      </w:r>
      <w:r w:rsidRPr="00320A86">
        <w:t> : « </w:t>
      </w:r>
      <w:r w:rsidRPr="00E87B69">
        <w:rPr>
          <w:i/>
        </w:rPr>
        <w:t>Non que pour ceci nos Roys ayent estimé se mettre sous la tutelle d’autruy, mais réduisant par ce moyen leur puissance absolue sous la civilité de la loy </w:t>
      </w:r>
      <w:r w:rsidRPr="00320A86">
        <w:t>», ils ont conservé leur grandeur depuis onze cents ans ju</w:t>
      </w:r>
      <w:r w:rsidRPr="00320A86">
        <w:t>s</w:t>
      </w:r>
      <w:r w:rsidRPr="00320A86">
        <w:t>qu’à aujourd’hui, et cela a produit « </w:t>
      </w:r>
      <w:r w:rsidRPr="00E87B69">
        <w:rPr>
          <w:i/>
        </w:rPr>
        <w:t>tel fruict, que tout ainsy qu’il n’y a eu peuple au monde tant obeï</w:t>
      </w:r>
      <w:r w:rsidRPr="00E87B69">
        <w:rPr>
          <w:i/>
        </w:rPr>
        <w:t>s</w:t>
      </w:r>
      <w:r w:rsidRPr="00E87B69">
        <w:rPr>
          <w:i/>
        </w:rPr>
        <w:t>sant à son Roy que le François par le passé ; aussi ne se trouvèrent jamais Princes tant débonnaires &amp; favorables envers leurs s</w:t>
      </w:r>
      <w:r w:rsidRPr="00E87B69">
        <w:rPr>
          <w:i/>
        </w:rPr>
        <w:t>u</w:t>
      </w:r>
      <w:r w:rsidRPr="00E87B69">
        <w:rPr>
          <w:i/>
        </w:rPr>
        <w:t>jets que nos Roys, n’y ayant chose qui ne les ait tant unis en cest entre-las de volontez que ce lien général de la France, ce grand &amp; général Parl</w:t>
      </w:r>
      <w:r w:rsidRPr="00E87B69">
        <w:rPr>
          <w:i/>
        </w:rPr>
        <w:t>e</w:t>
      </w:r>
      <w:r w:rsidRPr="00E87B69">
        <w:rPr>
          <w:i/>
        </w:rPr>
        <w:t>ment, ainsi comme mesme sont contraints de confesser les estrangers, discourans sur nostre Estat </w:t>
      </w:r>
      <w:r w:rsidRPr="00320A86">
        <w:t>». Et Pasquier fait l’éloge du droit de r</w:t>
      </w:r>
      <w:r w:rsidRPr="00320A86">
        <w:t>e</w:t>
      </w:r>
      <w:r w:rsidRPr="00320A86">
        <w:t>montrance, qui ne fait que renfo</w:t>
      </w:r>
      <w:r w:rsidRPr="00320A86">
        <w:t>r</w:t>
      </w:r>
      <w:r w:rsidRPr="00320A86">
        <w:t>cer le pouvoir du Roi, car il ne consiste pas à le contrôler, mais à le conseiller : « </w:t>
      </w:r>
      <w:r w:rsidRPr="00E87B69">
        <w:rPr>
          <w:i/>
        </w:rPr>
        <w:t>je dis que nous sommes recevables, non pas à nous opposer, non à disputer, non à controller la volonté de nostre Prince, ains à luy faire nos très hu</w:t>
      </w:r>
      <w:r w:rsidRPr="00E87B69">
        <w:rPr>
          <w:i/>
        </w:rPr>
        <w:t>m</w:t>
      </w:r>
      <w:r w:rsidRPr="00E87B69">
        <w:rPr>
          <w:i/>
        </w:rPr>
        <w:t>bles remon</w:t>
      </w:r>
      <w:r w:rsidRPr="00E87B69">
        <w:rPr>
          <w:i/>
        </w:rPr>
        <w:t>s</w:t>
      </w:r>
      <w:r w:rsidRPr="00E87B69">
        <w:rPr>
          <w:i/>
        </w:rPr>
        <w:t>trances en justice </w:t>
      </w:r>
      <w:r w:rsidRPr="00320A86">
        <w:t>». À Rome, « </w:t>
      </w:r>
      <w:r w:rsidRPr="00E87B69">
        <w:rPr>
          <w:i/>
        </w:rPr>
        <w:t>l’Empereur disoit, Pour autant que je le veux, il est juste. Nos Roys d’une parole plus douce et civile, disent, Pour ce qu’il est juste, nous le voulons </w:t>
      </w:r>
      <w:r>
        <w:rPr>
          <w:rStyle w:val="Appelnotedebasdep"/>
        </w:rPr>
        <w:footnoteReference w:id="450"/>
      </w:r>
      <w:r w:rsidRPr="00320A86">
        <w:t> ».</w:t>
      </w:r>
    </w:p>
    <w:p w14:paraId="749DA899" w14:textId="77777777" w:rsidR="00B01930" w:rsidRPr="00320A86" w:rsidRDefault="00B01930" w:rsidP="00B01930">
      <w:pPr>
        <w:spacing w:before="120" w:after="120"/>
        <w:jc w:val="both"/>
      </w:pPr>
    </w:p>
    <w:p w14:paraId="5F59F8B5" w14:textId="77777777" w:rsidR="00B01930" w:rsidRPr="00320A86" w:rsidRDefault="00B01930" w:rsidP="00B01930">
      <w:pPr>
        <w:pStyle w:val="planche"/>
      </w:pPr>
      <w:bookmarkStart w:id="175" w:name="Analyser_idees_pol_pt_2_texte_03_VI"/>
      <w:r>
        <w:t>VI. Les Cours « souveraines »,</w:t>
      </w:r>
      <w:r>
        <w:br/>
      </w:r>
      <w:r w:rsidRPr="00320A86">
        <w:t>pierres d’achoppement du pouvoir absolu</w:t>
      </w:r>
    </w:p>
    <w:bookmarkEnd w:id="175"/>
    <w:p w14:paraId="19A71830" w14:textId="77777777" w:rsidR="00B01930" w:rsidRDefault="00B01930" w:rsidP="00B01930">
      <w:pPr>
        <w:spacing w:before="120" w:after="120"/>
        <w:jc w:val="both"/>
      </w:pPr>
    </w:p>
    <w:p w14:paraId="3A57BA83"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529AFB98" w14:textId="77777777" w:rsidR="00B01930" w:rsidRPr="00320A86" w:rsidRDefault="00B01930" w:rsidP="00B01930">
      <w:pPr>
        <w:spacing w:before="120" w:after="120"/>
        <w:jc w:val="both"/>
      </w:pPr>
      <w:r w:rsidRPr="00320A86">
        <w:t>Les Cours souveraines, sont les gardiennes des constitutions [inst</w:t>
      </w:r>
      <w:r w:rsidRPr="00320A86">
        <w:t>i</w:t>
      </w:r>
      <w:r w:rsidRPr="00320A86">
        <w:t>tutions] françaises. Et le Parlement joue un rôle essentiel dans le contrôle de la puissance royale. Étienne Pasquier affirme que le pa</w:t>
      </w:r>
      <w:r w:rsidRPr="00320A86">
        <w:t>r</w:t>
      </w:r>
      <w:r w:rsidRPr="00320A86">
        <w:t>lement de Paris a été « </w:t>
      </w:r>
      <w:r w:rsidRPr="00E87B69">
        <w:rPr>
          <w:i/>
        </w:rPr>
        <w:t>de toute ancienneté </w:t>
      </w:r>
      <w:r w:rsidRPr="00320A86">
        <w:t>» et est « </w:t>
      </w:r>
      <w:r w:rsidRPr="00E87B69">
        <w:rPr>
          <w:i/>
        </w:rPr>
        <w:t>la pierre fond</w:t>
      </w:r>
      <w:r w:rsidRPr="00E87B69">
        <w:rPr>
          <w:i/>
        </w:rPr>
        <w:t>a</w:t>
      </w:r>
      <w:r w:rsidRPr="00E87B69">
        <w:rPr>
          <w:i/>
        </w:rPr>
        <w:t>mentale de la conservation de nostre Estat </w:t>
      </w:r>
      <w:r>
        <w:rPr>
          <w:rStyle w:val="Appelnotedebasdep"/>
        </w:rPr>
        <w:footnoteReference w:id="451"/>
      </w:r>
      <w:r w:rsidRPr="00320A86">
        <w:t> ». Comme il peut arriver « </w:t>
      </w:r>
      <w:r w:rsidRPr="00E87B69">
        <w:rPr>
          <w:i/>
        </w:rPr>
        <w:t>que la Couronne tombe és mains d’un Prince foible &amp; imbécille, ilz [nos anciens] establirent un perpétuel &amp; général Conseil par la France, que l’on appella Parlement, non pour servir de controlle à nos Roys, ains par les humbles remonstrances duquel, se passoient les confirmations des affaires générales, &amp; l’establissement non seul</w:t>
      </w:r>
      <w:r w:rsidRPr="00E87B69">
        <w:rPr>
          <w:i/>
        </w:rPr>
        <w:t>e</w:t>
      </w:r>
      <w:r w:rsidRPr="00E87B69">
        <w:rPr>
          <w:i/>
        </w:rPr>
        <w:t>ment dans Paris, ville capitale de France, mais qui plus dans le P</w:t>
      </w:r>
      <w:r w:rsidRPr="00E87B69">
        <w:rPr>
          <w:i/>
        </w:rPr>
        <w:t>a</w:t>
      </w:r>
      <w:r w:rsidRPr="00E87B69">
        <w:rPr>
          <w:i/>
        </w:rPr>
        <w:t>lais, séjour ancien de nos Roys, pour mon</w:t>
      </w:r>
      <w:r w:rsidRPr="00E87B69">
        <w:rPr>
          <w:i/>
        </w:rPr>
        <w:t>s</w:t>
      </w:r>
      <w:r w:rsidRPr="00E87B69">
        <w:rPr>
          <w:i/>
        </w:rPr>
        <w:t>trer combien les effects de ceste compagnie estoient augustes, sacrez &amp; vénérable </w:t>
      </w:r>
      <w:r w:rsidRPr="00320A86">
        <w:t>». Et il obse</w:t>
      </w:r>
      <w:r w:rsidRPr="00320A86">
        <w:t>r</w:t>
      </w:r>
      <w:r w:rsidRPr="00320A86">
        <w:t>ve que, lors des obsèques royales, alors que tous les autres off</w:t>
      </w:r>
      <w:r w:rsidRPr="00320A86">
        <w:t>i</w:t>
      </w:r>
      <w:r w:rsidRPr="00320A86">
        <w:t>ciers sont en deuil, cette Cour « souveraine » est « </w:t>
      </w:r>
      <w:r w:rsidRPr="00E87B69">
        <w:rPr>
          <w:i/>
        </w:rPr>
        <w:t>revestue de ses robbes d’escarlate, pour monstrer que la Majesté de la Couronne, qui réside en Justice, ne meurt jamais, ores que nos Roys soient mortels, de là vient que nous ne voyons nulle loi ayant vogue en France, qu’elle ne soit emologuée par la Cour </w:t>
      </w:r>
      <w:r w:rsidRPr="00320A86">
        <w:t>».</w:t>
      </w:r>
    </w:p>
    <w:p w14:paraId="1EB2E56A" w14:textId="77777777" w:rsidR="00B01930" w:rsidRPr="00320A86" w:rsidRDefault="00B01930" w:rsidP="00B01930">
      <w:pPr>
        <w:spacing w:before="120" w:after="120"/>
        <w:jc w:val="both"/>
      </w:pPr>
      <w:r w:rsidRPr="00320A86">
        <w:t>Étienne Pasquier va encore plus loin lorsqu’il affirme que le Pa</w:t>
      </w:r>
      <w:r w:rsidRPr="00320A86">
        <w:t>r</w:t>
      </w:r>
      <w:r w:rsidRPr="00320A86">
        <w:t xml:space="preserve">lement a droit de regard sur les affaires d’État, ce que contesterait formellement </w:t>
      </w:r>
      <w:r>
        <w:t>Charles IX</w:t>
      </w:r>
      <w:r w:rsidRPr="00320A86">
        <w:t>, comme tous ses prédécesseurs et succe</w:t>
      </w:r>
      <w:r w:rsidRPr="00320A86">
        <w:t>s</w:t>
      </w:r>
      <w:r w:rsidRPr="00320A86">
        <w:t>seurs</w:t>
      </w:r>
      <w:r>
        <w:t xml:space="preserve"> : </w:t>
      </w:r>
      <w:r w:rsidRPr="00320A86">
        <w:t>« </w:t>
      </w:r>
      <w:r w:rsidRPr="00E87B69">
        <w:rPr>
          <w:i/>
        </w:rPr>
        <w:t>Et bien que quelques-uns veuillent dire que les affaires d’Estat n’ayent rien de commun avec vous [les magistrats du parl</w:t>
      </w:r>
      <w:r w:rsidRPr="00E87B69">
        <w:rPr>
          <w:i/>
        </w:rPr>
        <w:t>e</w:t>
      </w:r>
      <w:r w:rsidRPr="00E87B69">
        <w:rPr>
          <w:i/>
        </w:rPr>
        <w:t>ment de Paris], toutesfois jamais paix ou traité d’importance, n’eust authorité entre nous, qu’il n’ait esté vérifié par ceste Cour, comme mesme nous le voyons avoir esté observé de fraische mémoire, lors que nostre Roy [Henri III] s’achemina au royaume de Polongne </w:t>
      </w:r>
      <w:r>
        <w:rPr>
          <w:rStyle w:val="Appelnotedebasdep"/>
        </w:rPr>
        <w:footnoteReference w:id="452"/>
      </w:r>
      <w:r w:rsidRPr="00320A86">
        <w:t> ».</w:t>
      </w:r>
    </w:p>
    <w:p w14:paraId="5017DC43" w14:textId="77777777" w:rsidR="00B01930" w:rsidRPr="00320A86" w:rsidRDefault="00B01930" w:rsidP="00B01930">
      <w:pPr>
        <w:spacing w:before="120" w:after="120"/>
        <w:jc w:val="both"/>
      </w:pPr>
      <w:r w:rsidRPr="00320A86">
        <w:t>Il ne nie pas pour autant la « </w:t>
      </w:r>
      <w:r w:rsidRPr="00E87B69">
        <w:rPr>
          <w:i/>
        </w:rPr>
        <w:t>grandeur, authorité &amp; prééminence </w:t>
      </w:r>
      <w:r w:rsidRPr="00320A86">
        <w:t>» de nos rois. Leur autorité est d’autant plus grande que ce sont eux « </w:t>
      </w:r>
      <w:r w:rsidRPr="00E87B69">
        <w:rPr>
          <w:i/>
        </w:rPr>
        <w:t>qui voulurent a</w:t>
      </w:r>
      <w:r w:rsidRPr="00E87B69">
        <w:rPr>
          <w:i/>
        </w:rPr>
        <w:t>p</w:t>
      </w:r>
      <w:r w:rsidRPr="00E87B69">
        <w:rPr>
          <w:i/>
        </w:rPr>
        <w:t>porter ceste attrempance à leur Souveraineté, de ne donner cours à leurs loix qu’elles n’eussent esté auparavant vérifiées par ces trois Compagnies souvera</w:t>
      </w:r>
      <w:r w:rsidRPr="00E87B69">
        <w:rPr>
          <w:i/>
        </w:rPr>
        <w:t>i</w:t>
      </w:r>
      <w:r w:rsidRPr="00E87B69">
        <w:rPr>
          <w:i/>
        </w:rPr>
        <w:t>nes, chacune en droict soy </w:t>
      </w:r>
      <w:r w:rsidRPr="00320A86">
        <w:t>». Le droit de remontrance qu’ils ont accordé à leurs Cours « </w:t>
      </w:r>
      <w:r w:rsidRPr="00E87B69">
        <w:rPr>
          <w:i/>
        </w:rPr>
        <w:t>souveraines </w:t>
      </w:r>
      <w:r w:rsidRPr="00320A86">
        <w:t>» ne fait que renforcer leur pouvoir. Il regrette que le roi de France s’en affranchisse de plus en plus : « </w:t>
      </w:r>
      <w:r w:rsidRPr="00E87B69">
        <w:rPr>
          <w:i/>
        </w:rPr>
        <w:t>nos Roys prennoient ordinairement leurs humbles remonstrances en payement : pour cela en estoient-ils moins obeïs par leurs subjects ? Au contraire par ceste correspo</w:t>
      </w:r>
      <w:r w:rsidRPr="00E87B69">
        <w:rPr>
          <w:i/>
        </w:rPr>
        <w:t>n</w:t>
      </w:r>
      <w:r w:rsidRPr="00E87B69">
        <w:rPr>
          <w:i/>
        </w:rPr>
        <w:t>dance &amp; entrelas de la puissance du Roy avec les très-humbles r</w:t>
      </w:r>
      <w:r w:rsidRPr="00E87B69">
        <w:rPr>
          <w:i/>
        </w:rPr>
        <w:t>e</w:t>
      </w:r>
      <w:r w:rsidRPr="00E87B69">
        <w:rPr>
          <w:i/>
        </w:rPr>
        <w:t>monstrances de ces trois Comp</w:t>
      </w:r>
      <w:r w:rsidRPr="00E87B69">
        <w:rPr>
          <w:i/>
        </w:rPr>
        <w:t>a</w:t>
      </w:r>
      <w:r w:rsidRPr="00E87B69">
        <w:rPr>
          <w:i/>
        </w:rPr>
        <w:t>gnies, chacun demeuroit content, nos Roys en bien commandant, le peuple en bien obéissant </w:t>
      </w:r>
      <w:r>
        <w:rPr>
          <w:rStyle w:val="Appelnotedebasdep"/>
        </w:rPr>
        <w:footnoteReference w:id="453"/>
      </w:r>
      <w:r w:rsidRPr="00320A86">
        <w:t xml:space="preserve"> ». </w:t>
      </w:r>
    </w:p>
    <w:p w14:paraId="3E69DE7E" w14:textId="77777777" w:rsidR="00B01930" w:rsidRPr="00320A86" w:rsidRDefault="00B01930" w:rsidP="00B01930">
      <w:pPr>
        <w:spacing w:before="120" w:after="120"/>
        <w:jc w:val="both"/>
      </w:pPr>
    </w:p>
    <w:p w14:paraId="7E894DAE" w14:textId="77777777" w:rsidR="00B01930" w:rsidRPr="00320A86" w:rsidRDefault="00B01930" w:rsidP="00B01930">
      <w:pPr>
        <w:pStyle w:val="planche"/>
      </w:pPr>
      <w:bookmarkStart w:id="176" w:name="Analyser_idees_pol_pt_2_texte_03_VII"/>
      <w:r w:rsidRPr="00320A86">
        <w:t>VII. L’affirmation du pouvoir absolu</w:t>
      </w:r>
      <w:r>
        <w:br/>
      </w:r>
      <w:r w:rsidRPr="00320A86">
        <w:t xml:space="preserve">du Roi par </w:t>
      </w:r>
      <w:r>
        <w:t>Charles IX </w:t>
      </w:r>
      <w:r>
        <w:rPr>
          <w:rStyle w:val="Appelnotedebasdep"/>
        </w:rPr>
        <w:footnoteReference w:id="454"/>
      </w:r>
    </w:p>
    <w:bookmarkEnd w:id="176"/>
    <w:p w14:paraId="7475F81B" w14:textId="77777777" w:rsidR="00B01930" w:rsidRDefault="00B01930" w:rsidP="00B01930">
      <w:pPr>
        <w:spacing w:before="120" w:after="120"/>
        <w:jc w:val="both"/>
      </w:pPr>
    </w:p>
    <w:p w14:paraId="6CBC1339"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063A75CF" w14:textId="77777777" w:rsidR="00B01930" w:rsidRPr="00320A86" w:rsidRDefault="00B01930" w:rsidP="00B01930">
      <w:pPr>
        <w:spacing w:before="120" w:after="120"/>
        <w:jc w:val="both"/>
      </w:pPr>
      <w:r w:rsidRPr="00320A86">
        <w:t xml:space="preserve">Le mardi 17 août 1563, </w:t>
      </w:r>
      <w:r>
        <w:t>Charles IX</w:t>
      </w:r>
      <w:r w:rsidRPr="00320A86">
        <w:t>, qui avait accompli sa treizième année depuis le 27 juin, déclara sa majorité dans le parlement de Rouen, mettant fin ainsi au gouvernement de sa mère Catherine de Médicis. Cette déclaration venait après l’édit de pacification du 19 mars 1563, connu sous le  nom de paix d’Amboise, consacrant la fin de la première guerre civile. Or le parlement de Paris lui adressa ses protestations, car il estimait qu’un acte de cette importance ne pouvait être fait que devant lui. Le Roi écouta « </w:t>
      </w:r>
      <w:r w:rsidRPr="00E87B69">
        <w:rPr>
          <w:i/>
        </w:rPr>
        <w:t>bien au long et bénign</w:t>
      </w:r>
      <w:r w:rsidRPr="00E87B69">
        <w:rPr>
          <w:i/>
        </w:rPr>
        <w:t>e</w:t>
      </w:r>
      <w:r w:rsidRPr="00E87B69">
        <w:rPr>
          <w:i/>
        </w:rPr>
        <w:t>ment </w:t>
      </w:r>
      <w:r w:rsidRPr="00320A86">
        <w:t>» les remontrances que lui apporta une délégation du parlement, à la tête de laquelle se trouvait son premier président, Christophe de Thou. E</w:t>
      </w:r>
      <w:r w:rsidRPr="00320A86">
        <w:t>l</w:t>
      </w:r>
      <w:r w:rsidRPr="00320A86">
        <w:t>les furent e</w:t>
      </w:r>
      <w:r w:rsidRPr="00320A86">
        <w:t>n</w:t>
      </w:r>
      <w:r w:rsidRPr="00320A86">
        <w:t>suite « </w:t>
      </w:r>
      <w:r w:rsidRPr="00E87B69">
        <w:rPr>
          <w:i/>
        </w:rPr>
        <w:t>mûrement délibérées </w:t>
      </w:r>
      <w:r w:rsidRPr="00320A86">
        <w:t>» dans son Conseil.</w:t>
      </w:r>
    </w:p>
    <w:p w14:paraId="0BC642AB" w14:textId="77777777" w:rsidR="00B01930" w:rsidRPr="00320A86" w:rsidRDefault="00B01930" w:rsidP="00B01930">
      <w:pPr>
        <w:spacing w:before="120" w:after="120"/>
        <w:jc w:val="both"/>
      </w:pPr>
      <w:r>
        <w:t>Charles IX</w:t>
      </w:r>
      <w:r w:rsidRPr="00320A86">
        <w:t xml:space="preserve"> leur répondit avec une grande fermeté, et cette réponse fonda d</w:t>
      </w:r>
      <w:r w:rsidRPr="00320A86">
        <w:t>é</w:t>
      </w:r>
      <w:r w:rsidRPr="00320A86">
        <w:t>sormais l’attitude qu’il adopterait envers les prétentions du Parlement de part</w:t>
      </w:r>
      <w:r w:rsidRPr="00320A86">
        <w:t>a</w:t>
      </w:r>
      <w:r w:rsidRPr="00320A86">
        <w:t>ger le droit de justice avec le souverain. D’ailleurs, le Roi, comme ses prédéce</w:t>
      </w:r>
      <w:r w:rsidRPr="00320A86">
        <w:t>s</w:t>
      </w:r>
      <w:r w:rsidRPr="00320A86">
        <w:t>seurs et ses successeurs, n’admit jamais que les Parlements, Chambres des Comptes et Cours des Aides, s’intitulassent Cours souveraines, ce qualificatif étant réservé au m</w:t>
      </w:r>
      <w:r w:rsidRPr="00320A86">
        <w:t>o</w:t>
      </w:r>
      <w:r w:rsidRPr="00320A86">
        <w:t>narque, seul détenteur de la souveraineté : à ses yeux ce ne sont que des Cours de justice.</w:t>
      </w:r>
    </w:p>
    <w:p w14:paraId="4FF86400" w14:textId="77777777" w:rsidR="00B01930" w:rsidRPr="00320A86" w:rsidRDefault="00B01930" w:rsidP="00B01930">
      <w:pPr>
        <w:spacing w:before="120" w:after="120"/>
        <w:jc w:val="both"/>
      </w:pPr>
      <w:r w:rsidRPr="00320A86">
        <w:t>Le Roi, s’adressant de nouveau aux députés du Parlement, leur o</w:t>
      </w:r>
      <w:r w:rsidRPr="00320A86">
        <w:t>r</w:t>
      </w:r>
      <w:r w:rsidRPr="00320A86">
        <w:t>donna de ne plus se mêler d’autres affaires que de rendre la justice que les rois de France leur avait déléguée, qu’il ne partageait null</w:t>
      </w:r>
      <w:r w:rsidRPr="00320A86">
        <w:t>e</w:t>
      </w:r>
      <w:r w:rsidRPr="00320A86">
        <w:t>ment avec eux, et de ne plus se mêler des affaires d’</w:t>
      </w:r>
      <w:r>
        <w:t>État</w:t>
      </w:r>
      <w:r w:rsidRPr="00320A86">
        <w:t> : « </w:t>
      </w:r>
      <w:r w:rsidRPr="00E87B69">
        <w:rPr>
          <w:i/>
        </w:rPr>
        <w:t>je vous veux dire, afin que ne continuez plus à faire comme vous avez acco</w:t>
      </w:r>
      <w:r w:rsidRPr="00E87B69">
        <w:rPr>
          <w:i/>
        </w:rPr>
        <w:t>u</w:t>
      </w:r>
      <w:r w:rsidRPr="00E87B69">
        <w:rPr>
          <w:i/>
        </w:rPr>
        <w:t>tumé en ma Minorité de vous mêler de ce qui ne vous appa</w:t>
      </w:r>
      <w:r w:rsidRPr="00E87B69">
        <w:rPr>
          <w:i/>
        </w:rPr>
        <w:t>r</w:t>
      </w:r>
      <w:r w:rsidRPr="00E87B69">
        <w:rPr>
          <w:i/>
        </w:rPr>
        <w:t>tient, et ne devez ; et qu’à cette heure que je suis en ma Majorité, je ne veux plus que vous vous mêliez que de faire bonne et brève Justice à mes s</w:t>
      </w:r>
      <w:r w:rsidRPr="00E87B69">
        <w:rPr>
          <w:i/>
        </w:rPr>
        <w:t>u</w:t>
      </w:r>
      <w:r w:rsidRPr="00E87B69">
        <w:rPr>
          <w:i/>
        </w:rPr>
        <w:t>jets </w:t>
      </w:r>
      <w:r w:rsidRPr="00320A86">
        <w:t>». Il insistait sur le fait qu’ils n’étaient que les délégués de sa ju</w:t>
      </w:r>
      <w:r w:rsidRPr="00320A86">
        <w:t>s</w:t>
      </w:r>
      <w:r w:rsidRPr="00320A86">
        <w:t>tice, « </w:t>
      </w:r>
      <w:r w:rsidRPr="00E87B69">
        <w:rPr>
          <w:i/>
        </w:rPr>
        <w:t>car les Rois mes prédécesseurs ne vous ont mis au lieu que vous êtes tous, que pour cet effet, afin que leur conscience en fût d</w:t>
      </w:r>
      <w:r w:rsidRPr="00E87B69">
        <w:rPr>
          <w:i/>
        </w:rPr>
        <w:t>é</w:t>
      </w:r>
      <w:r w:rsidRPr="00E87B69">
        <w:rPr>
          <w:i/>
        </w:rPr>
        <w:t>chargée devant Dieu, et que leurs sujets vécussent en plus grande s</w:t>
      </w:r>
      <w:r w:rsidRPr="00E87B69">
        <w:rPr>
          <w:i/>
        </w:rPr>
        <w:t>û</w:t>
      </w:r>
      <w:r w:rsidRPr="00E87B69">
        <w:rPr>
          <w:i/>
        </w:rPr>
        <w:t>reté, sous leur obéissance </w:t>
      </w:r>
      <w:r w:rsidRPr="00320A86">
        <w:t>». Ces magistrats étaient tombés dans l’erreur de croire qu’ils étaient ses « </w:t>
      </w:r>
      <w:r w:rsidRPr="00E87B69">
        <w:rPr>
          <w:i/>
        </w:rPr>
        <w:t>tuteurs </w:t>
      </w:r>
      <w:r w:rsidRPr="00320A86">
        <w:t>», les « </w:t>
      </w:r>
      <w:r w:rsidRPr="00E87B69">
        <w:rPr>
          <w:i/>
        </w:rPr>
        <w:t>protecteurs du royaume », et les « conservateurs de sa ville de Paris </w:t>
      </w:r>
      <w:r w:rsidRPr="00320A86">
        <w:t>». Il leur co</w:t>
      </w:r>
      <w:r w:rsidRPr="00320A86">
        <w:t>m</w:t>
      </w:r>
      <w:r w:rsidRPr="00320A86">
        <w:t>mandait « qu’ainsi que du temps des Rois mes père et grand-père », ils n’aient à se mêler que de Justice,</w:t>
      </w:r>
      <w:r>
        <w:t xml:space="preserve"> </w:t>
      </w:r>
      <w:r w:rsidRPr="00320A86">
        <w:t>« </w:t>
      </w:r>
      <w:r w:rsidRPr="00E87B69">
        <w:rPr>
          <w:i/>
        </w:rPr>
        <w:t>faisant comme avez fait depuis que vous êtes fait à croire qu’étiez mes tuteurs, vous trouverez que je vous ferai connaître que ne l’êtes point, mais mes serviteurs et sujets, que je veux que m’obéissez à ce que je vous command</w:t>
      </w:r>
      <w:r w:rsidRPr="00E87B69">
        <w:rPr>
          <w:i/>
        </w:rPr>
        <w:t>e</w:t>
      </w:r>
      <w:r w:rsidRPr="00E87B69">
        <w:rPr>
          <w:i/>
        </w:rPr>
        <w:t>rai </w:t>
      </w:r>
      <w:r>
        <w:rPr>
          <w:rStyle w:val="Appelnotedebasdep"/>
        </w:rPr>
        <w:footnoteReference w:id="455"/>
      </w:r>
      <w:r w:rsidRPr="00320A86">
        <w:t> ».</w:t>
      </w:r>
    </w:p>
    <w:p w14:paraId="07213197" w14:textId="77777777" w:rsidR="00B01930" w:rsidRPr="00320A86" w:rsidRDefault="00B01930" w:rsidP="00B01930">
      <w:pPr>
        <w:spacing w:before="120" w:after="120"/>
        <w:jc w:val="both"/>
      </w:pPr>
      <w:r w:rsidRPr="00320A86">
        <w:t>En revanche, il ne leur déniait nullement le droit de remontrance, car comme tous les magistrats, ceux des parlements étaient ses conseillers, mais il n’admettait pas qu’ils prétendissent exercer sur lui une quelconque tutelle : « </w:t>
      </w:r>
      <w:r w:rsidRPr="00E87B69">
        <w:rPr>
          <w:i/>
        </w:rPr>
        <w:t>quand je vous commanderai quelque chose, si vous y trouvez aucune [que</w:t>
      </w:r>
      <w:r w:rsidRPr="00E87B69">
        <w:rPr>
          <w:i/>
        </w:rPr>
        <w:t>l</w:t>
      </w:r>
      <w:r w:rsidRPr="00E87B69">
        <w:rPr>
          <w:i/>
        </w:rPr>
        <w:t>que] difficulté pour ne l’entendre, je trouverai toujours bon que m’en fassiez remontrance, comme aviez accoutumé faire aux Rois mes prédécesseurs, et non comme mes go</w:t>
      </w:r>
      <w:r w:rsidRPr="00E87B69">
        <w:rPr>
          <w:i/>
        </w:rPr>
        <w:t>u</w:t>
      </w:r>
      <w:r w:rsidRPr="00E87B69">
        <w:rPr>
          <w:i/>
        </w:rPr>
        <w:t>verneurs, et après me les avoir faites, ayant ouï ma volonté, sans plus de réplique y obéir. Et si faites ainsi, vous me trouverez aussi bon et doux Roi en vos endroits qu’en eûtes jamais </w:t>
      </w:r>
      <w:r w:rsidRPr="00320A86">
        <w:t xml:space="preserve">». </w:t>
      </w:r>
      <w:r>
        <w:t>Charles IX</w:t>
      </w:r>
      <w:r w:rsidRPr="00320A86">
        <w:t xml:space="preserve"> n’avait donc pas jugé rec</w:t>
      </w:r>
      <w:r w:rsidRPr="00320A86">
        <w:t>e</w:t>
      </w:r>
      <w:r w:rsidRPr="00320A86">
        <w:t>vables celles que le parlement de Paris lui avait adressées et il avait ordonné aux magistrats de les enregistrer sans d</w:t>
      </w:r>
      <w:r w:rsidRPr="00320A86">
        <w:t>é</w:t>
      </w:r>
      <w:r w:rsidRPr="00320A86">
        <w:t>lai : « </w:t>
      </w:r>
      <w:r w:rsidRPr="00E87B69">
        <w:rPr>
          <w:i/>
        </w:rPr>
        <w:t>J’ai entendu vos remontrances, et comme ont accoutumé mes prédécesseurs Roi de les prendre de bonne part, et après les avoir e</w:t>
      </w:r>
      <w:r w:rsidRPr="00E87B69">
        <w:rPr>
          <w:i/>
        </w:rPr>
        <w:t>n</w:t>
      </w:r>
      <w:r w:rsidRPr="00E87B69">
        <w:rPr>
          <w:i/>
        </w:rPr>
        <w:t>tendues, vous commander leur volonté, j’en fais de même, m’assurant que ne failliez à m’obéir aussi bien comme vous avez a</w:t>
      </w:r>
      <w:r w:rsidRPr="00E87B69">
        <w:rPr>
          <w:i/>
        </w:rPr>
        <w:t>c</w:t>
      </w:r>
      <w:r w:rsidRPr="00E87B69">
        <w:rPr>
          <w:i/>
        </w:rPr>
        <w:t>coutumés fa</w:t>
      </w:r>
      <w:r w:rsidRPr="00E87B69">
        <w:rPr>
          <w:i/>
        </w:rPr>
        <w:t>i</w:t>
      </w:r>
      <w:r w:rsidRPr="00E87B69">
        <w:rPr>
          <w:i/>
        </w:rPr>
        <w:t>re les Rois mes père et grand-père </w:t>
      </w:r>
      <w:r>
        <w:rPr>
          <w:rStyle w:val="Appelnotedebasdep"/>
        </w:rPr>
        <w:footnoteReference w:id="456"/>
      </w:r>
      <w:r w:rsidRPr="00320A86">
        <w:t> ».</w:t>
      </w:r>
    </w:p>
    <w:p w14:paraId="1F781C50" w14:textId="77777777" w:rsidR="00B01930" w:rsidRPr="00320A86" w:rsidRDefault="00B01930" w:rsidP="00B01930">
      <w:pPr>
        <w:spacing w:before="120" w:after="120"/>
        <w:jc w:val="both"/>
      </w:pPr>
      <w:r w:rsidRPr="00320A86">
        <w:t>Le Parlement ne s’était pas contenté de la réponse du Roi, aussi lui adressa-t-il de nouvelles remontrances, auxquelles il répliqua avec une fermeté a</w:t>
      </w:r>
      <w:r w:rsidRPr="00320A86">
        <w:t>c</w:t>
      </w:r>
      <w:r w:rsidRPr="00320A86">
        <w:t>crue,</w:t>
      </w:r>
      <w:r>
        <w:t xml:space="preserve"> </w:t>
      </w:r>
      <w:r w:rsidRPr="00320A86">
        <w:t>tellement lui-même et ses conseillers furent « </w:t>
      </w:r>
      <w:r w:rsidRPr="00E87B69">
        <w:rPr>
          <w:i/>
        </w:rPr>
        <w:t>fâchés de ces longueurs et remises affectées qui semblaient ravaler l’autorité du Prince et rehausser celle du Pa</w:t>
      </w:r>
      <w:r w:rsidRPr="00E87B69">
        <w:rPr>
          <w:i/>
        </w:rPr>
        <w:t>r</w:t>
      </w:r>
      <w:r w:rsidRPr="00E87B69">
        <w:rPr>
          <w:i/>
        </w:rPr>
        <w:t>lement </w:t>
      </w:r>
      <w:r w:rsidRPr="00320A86">
        <w:t>». Par l’arrêt pris en son conseil privé, le 24 septembre 1563, « sans avoir égard au jugement et partage ainsi fait par ma dite Cour », le Roi l’avait « </w:t>
      </w:r>
      <w:r w:rsidRPr="00E87B69">
        <w:rPr>
          <w:i/>
        </w:rPr>
        <w:t>cassé, révoqué et mit au néant, le déclarant nul, et comme donné par des gens au</w:t>
      </w:r>
      <w:r w:rsidRPr="00E87B69">
        <w:rPr>
          <w:i/>
        </w:rPr>
        <w:t>x</w:t>
      </w:r>
      <w:r w:rsidRPr="00E87B69">
        <w:rPr>
          <w:i/>
        </w:rPr>
        <w:t>quels la connaissance des choses de l’</w:t>
      </w:r>
      <w:r>
        <w:rPr>
          <w:i/>
        </w:rPr>
        <w:t>État</w:t>
      </w:r>
      <w:r w:rsidRPr="00E87B69">
        <w:rPr>
          <w:i/>
        </w:rPr>
        <w:t xml:space="preserve"> de ce Royaume n’appartient a</w:t>
      </w:r>
      <w:r w:rsidRPr="00E87B69">
        <w:rPr>
          <w:i/>
        </w:rPr>
        <w:t>u</w:t>
      </w:r>
      <w:r w:rsidRPr="00E87B69">
        <w:rPr>
          <w:i/>
        </w:rPr>
        <w:t>c</w:t>
      </w:r>
      <w:r w:rsidRPr="00E87B69">
        <w:rPr>
          <w:i/>
        </w:rPr>
        <w:t>u</w:t>
      </w:r>
      <w:r w:rsidRPr="00E87B69">
        <w:rPr>
          <w:i/>
        </w:rPr>
        <w:t>nement, a ordonné et ordonna que la dite ordonnance du dit mois d’août sera lue et publiée à huis ouvert et enregistrée en la dite Cour, sans aucune adjon</w:t>
      </w:r>
      <w:r w:rsidRPr="00E87B69">
        <w:rPr>
          <w:i/>
        </w:rPr>
        <w:t>c</w:t>
      </w:r>
      <w:r w:rsidRPr="00E87B69">
        <w:rPr>
          <w:i/>
        </w:rPr>
        <w:t>tion, diminution ni modification quelconque </w:t>
      </w:r>
      <w:r w:rsidRPr="00320A86">
        <w:t>». Tous les présidents et conseillers, « </w:t>
      </w:r>
      <w:r w:rsidRPr="00E87B69">
        <w:rPr>
          <w:i/>
        </w:rPr>
        <w:t>non excusés de maladie ou légit</w:t>
      </w:r>
      <w:r w:rsidRPr="00E87B69">
        <w:rPr>
          <w:i/>
        </w:rPr>
        <w:t>i</w:t>
      </w:r>
      <w:r w:rsidRPr="00E87B69">
        <w:rPr>
          <w:i/>
        </w:rPr>
        <w:t>me empêchement </w:t>
      </w:r>
      <w:r w:rsidRPr="00320A86">
        <w:t>», devraient être présents « </w:t>
      </w:r>
      <w:r w:rsidRPr="00E87B69">
        <w:rPr>
          <w:i/>
        </w:rPr>
        <w:t>sur peine aux défaillants de suspension de leurs offices </w:t>
      </w:r>
      <w:r w:rsidRPr="00320A86">
        <w:t>». Il leur était défendu, « </w:t>
      </w:r>
      <w:r w:rsidRPr="00E87B69">
        <w:rPr>
          <w:i/>
        </w:rPr>
        <w:t>au surplus, que, pour l’avenir, ils n’aient à mettre en dispute, ni autrement op</w:t>
      </w:r>
      <w:r w:rsidRPr="00E87B69">
        <w:rPr>
          <w:i/>
        </w:rPr>
        <w:t>i</w:t>
      </w:r>
      <w:r w:rsidRPr="00E87B69">
        <w:rPr>
          <w:i/>
        </w:rPr>
        <w:t>ner ni délibérer sur les Edits et ordonnances qui seront faites et émanées de sa dite majesté de chose qui appartient à l’état de ce Royaume, mêmement [su</w:t>
      </w:r>
      <w:r w:rsidRPr="00E87B69">
        <w:rPr>
          <w:i/>
        </w:rPr>
        <w:t>r</w:t>
      </w:r>
      <w:r w:rsidRPr="00E87B69">
        <w:rPr>
          <w:i/>
        </w:rPr>
        <w:t>tout] après avoir fait remontrance </w:t>
      </w:r>
      <w:r>
        <w:rPr>
          <w:rStyle w:val="Appelnotedebasdep"/>
        </w:rPr>
        <w:footnoteReference w:id="457"/>
      </w:r>
      <w:r w:rsidRPr="00320A86">
        <w:t> ».</w:t>
      </w:r>
    </w:p>
    <w:p w14:paraId="5DE2F437" w14:textId="77777777" w:rsidR="00B01930" w:rsidRPr="00320A86" w:rsidRDefault="00B01930" w:rsidP="00B01930">
      <w:pPr>
        <w:spacing w:before="120" w:after="120"/>
        <w:jc w:val="both"/>
      </w:pPr>
      <w:r w:rsidRPr="00320A86">
        <w:t xml:space="preserve">Huit ans plus tard, après l’édit de pacification de Saint-Germain qu’il espérait durable, </w:t>
      </w:r>
      <w:r>
        <w:t>Charles IX</w:t>
      </w:r>
      <w:r w:rsidRPr="00320A86">
        <w:t>, presque âgé de 21 ans, prit en mains les rênes de son go</w:t>
      </w:r>
      <w:r w:rsidRPr="00320A86">
        <w:t>u</w:t>
      </w:r>
      <w:r w:rsidRPr="00320A86">
        <w:t>vernement. Il tint alors un lit de justice en son parlement de Paris, le 11 mars 1571. Il s’adressa à sa Cour dans des termes semblables à ceux de 1563</w:t>
      </w:r>
      <w:r>
        <w:t> </w:t>
      </w:r>
      <w:r>
        <w:rPr>
          <w:rStyle w:val="Appelnotedebasdep"/>
        </w:rPr>
        <w:footnoteReference w:id="458"/>
      </w:r>
      <w:r w:rsidRPr="00320A86">
        <w:t>. Une nouvelle fois, il préc</w:t>
      </w:r>
      <w:r w:rsidRPr="00320A86">
        <w:t>i</w:t>
      </w:r>
      <w:r w:rsidRPr="00320A86">
        <w:t>sait les limites des attributions du Parlement : administrer la justice du Roi, vérifier ses Édits et autres déclarations, et ne se mêler en rien des affaires d’État :</w:t>
      </w:r>
    </w:p>
    <w:p w14:paraId="66BFC2F0" w14:textId="77777777" w:rsidR="00B01930" w:rsidRDefault="00B01930" w:rsidP="00B01930">
      <w:pPr>
        <w:pStyle w:val="citation"/>
      </w:pPr>
    </w:p>
    <w:p w14:paraId="65A64CAC" w14:textId="77777777" w:rsidR="00B01930" w:rsidRDefault="00B01930" w:rsidP="00B01930">
      <w:pPr>
        <w:pStyle w:val="citation"/>
      </w:pPr>
      <w:r w:rsidRPr="00320A86">
        <w:t>« Au demeurant, je vous commande de garder estroictement mes Edicts &amp; Ordo</w:t>
      </w:r>
      <w:r w:rsidRPr="00320A86">
        <w:t>n</w:t>
      </w:r>
      <w:r w:rsidRPr="00320A86">
        <w:t>nances, &amp; pensez que je vous ay mis en ce lieu pour obeïr à mes loix, non pour leur commander ni les mespriser. Si, sur la vérific</w:t>
      </w:r>
      <w:r w:rsidRPr="00320A86">
        <w:t>a</w:t>
      </w:r>
      <w:r w:rsidRPr="00320A86">
        <w:t>tion des Edicts ou autres Lettres que je vous envoyray, vous trouvez diff</w:t>
      </w:r>
      <w:r w:rsidRPr="00320A86">
        <w:t>i</w:t>
      </w:r>
      <w:r w:rsidRPr="00320A86">
        <w:t>culté sur laquelle arrestiez qu’il me faille faire r</w:t>
      </w:r>
      <w:r w:rsidRPr="00320A86">
        <w:t>e</w:t>
      </w:r>
      <w:r w:rsidRPr="00320A86">
        <w:t>montrances, faictes les sans user de longueur, je les orray [entendrai] tousjours v</w:t>
      </w:r>
      <w:r w:rsidRPr="00320A86">
        <w:t>o</w:t>
      </w:r>
      <w:r w:rsidRPr="00320A86">
        <w:t>lontiers, mais aussi je veux que, vous ayant après déclaré mon intention, vous y obei</w:t>
      </w:r>
      <w:r w:rsidRPr="00320A86">
        <w:t>s</w:t>
      </w:r>
      <w:r w:rsidRPr="00320A86">
        <w:t>siez sans entrer en dispute avec moy, qui suis vostre Roy &amp; Maistre, qui congnois mieux que vous que se doit &amp; peut faire pour le bien &amp; nécessité de mon Estat. Des affaires duquel je ne veux souffrir que e</w:t>
      </w:r>
      <w:r w:rsidRPr="00320A86">
        <w:t>n</w:t>
      </w:r>
      <w:r w:rsidRPr="00320A86">
        <w:t>trepreniez congnoissance, laquelle je réserve à moy seul. Parquoy regardez à vous contenir modestement dedans les bornes de voz Estats qui sont establis seulement pour l’administration de la Justice, correction des crimes, &amp; fa</w:t>
      </w:r>
      <w:r w:rsidRPr="00320A86">
        <w:t>i</w:t>
      </w:r>
      <w:r w:rsidRPr="00320A86">
        <w:t>re observer mes Edicts &amp; Ordonnances. Obeissans à mes command</w:t>
      </w:r>
      <w:r w:rsidRPr="00320A86">
        <w:t>e</w:t>
      </w:r>
      <w:r w:rsidRPr="00320A86">
        <w:t>mens, j’auray occasion de me louër de vous, &amp; vous gratifier des ho</w:t>
      </w:r>
      <w:r w:rsidRPr="00320A86">
        <w:t>n</w:t>
      </w:r>
      <w:r w:rsidRPr="00320A86">
        <w:t>neurs &amp; loyers condignes à voz mérites. Qui les mesprisera ne devra trouver e</w:t>
      </w:r>
      <w:r w:rsidRPr="00320A86">
        <w:t>s</w:t>
      </w:r>
      <w:r w:rsidRPr="00320A86">
        <w:t>trange s’il tombe en mon indignation ».</w:t>
      </w:r>
    </w:p>
    <w:p w14:paraId="37D85A5F" w14:textId="77777777" w:rsidR="00B01930" w:rsidRPr="00320A86" w:rsidRDefault="00B01930" w:rsidP="00B01930">
      <w:pPr>
        <w:pStyle w:val="citation"/>
      </w:pPr>
    </w:p>
    <w:p w14:paraId="020FB9F8" w14:textId="77777777" w:rsidR="00B01930" w:rsidRPr="00320A86" w:rsidRDefault="00B01930" w:rsidP="00B01930">
      <w:pPr>
        <w:spacing w:before="120" w:after="120"/>
        <w:jc w:val="both"/>
      </w:pPr>
      <w:r w:rsidRPr="00320A86">
        <w:t>Cependant il admettait que, comme tous ses autres officiers, les magistrats de sa Cour de Parlement jouassent un rôle de Conseil :</w:t>
      </w:r>
    </w:p>
    <w:p w14:paraId="305E0F33" w14:textId="77777777" w:rsidR="00B01930" w:rsidRDefault="00B01930" w:rsidP="00B01930">
      <w:pPr>
        <w:pStyle w:val="citation"/>
      </w:pPr>
    </w:p>
    <w:p w14:paraId="2379E289" w14:textId="77777777" w:rsidR="00B01930" w:rsidRDefault="00B01930" w:rsidP="00B01930">
      <w:pPr>
        <w:pStyle w:val="citation"/>
      </w:pPr>
      <w:r w:rsidRPr="00320A86">
        <w:t>« J’ordonne à vous Présidents, de vous assembler avec quatre Consei</w:t>
      </w:r>
      <w:r w:rsidRPr="00320A86">
        <w:t>l</w:t>
      </w:r>
      <w:r w:rsidRPr="00320A86">
        <w:t>lers de ma Cour, tels qu’elle députera à tels jours &amp; heure extr</w:t>
      </w:r>
      <w:r w:rsidRPr="00320A86">
        <w:t>a</w:t>
      </w:r>
      <w:r w:rsidRPr="00320A86">
        <w:t>ordinaire que vous adv</w:t>
      </w:r>
      <w:r w:rsidRPr="00320A86">
        <w:t>i</w:t>
      </w:r>
      <w:r w:rsidRPr="00320A86">
        <w:t>serez, &amp; au lieu que bon vous semblera, soit en ce Palais ou l’une de vos maisons, et ensemble regarder ce que jugerez e</w:t>
      </w:r>
      <w:r w:rsidRPr="00320A86">
        <w:t>x</w:t>
      </w:r>
      <w:r w:rsidRPr="00320A86">
        <w:t>pédient pour le bien de ma Justice &amp; réformation des abus qui s’y co</w:t>
      </w:r>
      <w:r w:rsidRPr="00320A86">
        <w:t>m</w:t>
      </w:r>
      <w:r w:rsidRPr="00320A86">
        <w:t>mettent, dont vous dresserez mémoires &amp; articles que vous m’envoyrez le plus prom</w:t>
      </w:r>
      <w:r w:rsidRPr="00320A86">
        <w:t>p</w:t>
      </w:r>
      <w:r w:rsidRPr="00320A86">
        <w:t>tement que faire se pourra</w:t>
      </w:r>
      <w:r>
        <w:t> </w:t>
      </w:r>
      <w:r w:rsidRPr="00DB503D">
        <w:rPr>
          <w:rStyle w:val="Appelnotedebasdep"/>
          <w:i/>
        </w:rPr>
        <w:footnoteReference w:id="459"/>
      </w:r>
      <w:r w:rsidRPr="00320A86">
        <w:t> ».</w:t>
      </w:r>
    </w:p>
    <w:p w14:paraId="15F4656F" w14:textId="77777777" w:rsidR="00B01930" w:rsidRPr="00320A86" w:rsidRDefault="00B01930" w:rsidP="00B01930">
      <w:pPr>
        <w:pStyle w:val="citation"/>
      </w:pPr>
    </w:p>
    <w:p w14:paraId="5BE4079F" w14:textId="77777777" w:rsidR="00B01930" w:rsidRPr="00320A86" w:rsidRDefault="00B01930" w:rsidP="00B01930">
      <w:pPr>
        <w:spacing w:before="120" w:after="120"/>
        <w:jc w:val="both"/>
      </w:pPr>
      <w:r w:rsidRPr="00320A86">
        <w:t xml:space="preserve">Entre-temps, la correspondance que </w:t>
      </w:r>
      <w:r>
        <w:t>Charles IX</w:t>
      </w:r>
      <w:r w:rsidRPr="00320A86">
        <w:t xml:space="preserve"> échangea avec le premier président du parlement de Paris, Christophe de Thou, est émaillée d’avertissements aux magistrats pour les exhorter à rester dans leur devoir de juges et à ne </w:t>
      </w:r>
      <w:r>
        <w:t>pas entrer dans les affaires d’É</w:t>
      </w:r>
      <w:r w:rsidRPr="00320A86">
        <w:t>tat</w:t>
      </w:r>
      <w:r>
        <w:t> </w:t>
      </w:r>
      <w:r>
        <w:rPr>
          <w:rStyle w:val="Appelnotedebasdep"/>
        </w:rPr>
        <w:footnoteReference w:id="460"/>
      </w:r>
      <w:r w:rsidRPr="00320A86">
        <w:t>, compétence exclusive du so</w:t>
      </w:r>
      <w:r w:rsidRPr="00320A86">
        <w:t>u</w:t>
      </w:r>
      <w:r w:rsidRPr="00320A86">
        <w:t>verain. Le 1</w:t>
      </w:r>
      <w:r w:rsidRPr="00320A86">
        <w:rPr>
          <w:vertAlign w:val="superscript"/>
        </w:rPr>
        <w:t xml:space="preserve">er </w:t>
      </w:r>
      <w:r w:rsidRPr="00320A86">
        <w:t>septembre 1569, le Roi écrivait au président de Thou, pour qu’il fît libérer le président Senn</w:t>
      </w:r>
      <w:r w:rsidRPr="00320A86">
        <w:t>e</w:t>
      </w:r>
      <w:r w:rsidRPr="00320A86">
        <w:t>ton, emprisonné à la Conciergerie par le Parlement, pour son admini</w:t>
      </w:r>
      <w:r w:rsidRPr="00320A86">
        <w:t>s</w:t>
      </w:r>
      <w:r w:rsidRPr="00320A86">
        <w:t>tration pendant son gouvernement à Metz, car il ne d</w:t>
      </w:r>
      <w:r w:rsidRPr="00320A86">
        <w:t>e</w:t>
      </w:r>
      <w:r w:rsidRPr="00320A86">
        <w:t>vait en répondre qu’à lui seul, sinon ce serait empiéter sur la souveraineté roy</w:t>
      </w:r>
      <w:r w:rsidRPr="00320A86">
        <w:t>a</w:t>
      </w:r>
      <w:r w:rsidRPr="00320A86">
        <w:t xml:space="preserve">le : </w:t>
      </w:r>
    </w:p>
    <w:p w14:paraId="560556B9" w14:textId="77777777" w:rsidR="00B01930" w:rsidRDefault="00B01930" w:rsidP="00B01930">
      <w:pPr>
        <w:pStyle w:val="citation"/>
      </w:pPr>
    </w:p>
    <w:p w14:paraId="25DCC9A1" w14:textId="77777777" w:rsidR="00B01930" w:rsidRDefault="00B01930" w:rsidP="00B01930">
      <w:pPr>
        <w:pStyle w:val="citation"/>
      </w:pPr>
      <w:r w:rsidRPr="00320A86">
        <w:t>« J’ay esté adverty que l’on a mis prisonnier en la conciergerie le pr</w:t>
      </w:r>
      <w:r w:rsidRPr="00320A86">
        <w:t>é</w:t>
      </w:r>
      <w:r w:rsidRPr="00320A86">
        <w:t>sident Senneton, lequel l’on veult aujourdhuy rechercher de plusieurs ch</w:t>
      </w:r>
      <w:r w:rsidRPr="00320A86">
        <w:t>o</w:t>
      </w:r>
      <w:r w:rsidRPr="00320A86">
        <w:t>ses qui ont esté par luy faictes à Metz pendant qu’il y a exercé l’estat de président, Et par mesme moyen rechercher les déportemens et administr</w:t>
      </w:r>
      <w:r w:rsidRPr="00320A86">
        <w:t>a</w:t>
      </w:r>
      <w:r w:rsidRPr="00320A86">
        <w:t>tion de ceux qui ont eu charge au gouvern</w:t>
      </w:r>
      <w:r w:rsidRPr="00320A86">
        <w:t>e</w:t>
      </w:r>
      <w:r w:rsidRPr="00320A86">
        <w:t>ment dudict Metz, Et pour ce que je ne veux ny entendz que l’on touche en façon du monde à ce faict ny que ma Court de Parlement en pre</w:t>
      </w:r>
      <w:r w:rsidRPr="00320A86">
        <w:t>i</w:t>
      </w:r>
      <w:r w:rsidRPr="00320A86">
        <w:t>gne aucune congnoissance, J’ay voulu vous escrire la présente pour vous dire et ordonner bien expressément que vous n’ayez à souffrir ledict Senneton estre r</w:t>
      </w:r>
      <w:r w:rsidRPr="00320A86">
        <w:t>e</w:t>
      </w:r>
      <w:r w:rsidRPr="00320A86">
        <w:t>cherché des choses susdictes en quelque sorte que ce soyt desquelles il a à respondre à moy seul ainsi qu’il feist lors de son r</w:t>
      </w:r>
      <w:r w:rsidRPr="00320A86">
        <w:t>e</w:t>
      </w:r>
      <w:r w:rsidRPr="00320A86">
        <w:t>tour dudict Metz, voulant que vous ayez à m’envoyer incontinant les interrogatoires qui luy ont esté faictz ju</w:t>
      </w:r>
      <w:r w:rsidRPr="00320A86">
        <w:t>s</w:t>
      </w:r>
      <w:r w:rsidRPr="00320A86">
        <w:t>ques icy affin que je les voye et congnoisse à la vérité ce dont l’on le veult r</w:t>
      </w:r>
      <w:r w:rsidRPr="00320A86">
        <w:t>e</w:t>
      </w:r>
      <w:r w:rsidRPr="00320A86">
        <w:t>chercher</w:t>
      </w:r>
      <w:r>
        <w:t> </w:t>
      </w:r>
      <w:r w:rsidRPr="00DB503D">
        <w:rPr>
          <w:rStyle w:val="Appelnotedebasdep"/>
          <w:i/>
        </w:rPr>
        <w:footnoteReference w:id="461"/>
      </w:r>
      <w:r w:rsidRPr="00320A86">
        <w:t> ».</w:t>
      </w:r>
    </w:p>
    <w:p w14:paraId="222FF7D6" w14:textId="77777777" w:rsidR="00B01930" w:rsidRPr="00320A86" w:rsidRDefault="00B01930" w:rsidP="00B01930">
      <w:pPr>
        <w:pStyle w:val="citation"/>
      </w:pPr>
    </w:p>
    <w:p w14:paraId="2543981F" w14:textId="77777777" w:rsidR="00B01930" w:rsidRPr="00320A86" w:rsidRDefault="00B01930" w:rsidP="00B01930">
      <w:pPr>
        <w:spacing w:before="120" w:after="120"/>
        <w:jc w:val="both"/>
      </w:pPr>
      <w:r>
        <w:t>Charles IX</w:t>
      </w:r>
      <w:r w:rsidRPr="00320A86">
        <w:t xml:space="preserve"> dénonça constamment les initiatives de son parlement de Paris qui empiétait sur son autorité souveraine. Ne retenons qu’un exemple où il lui reprochait d’avoir fait des édits et des ordonnances sans l’avoir averti préal</w:t>
      </w:r>
      <w:r w:rsidRPr="00320A86">
        <w:t>a</w:t>
      </w:r>
      <w:r w:rsidRPr="00320A86">
        <w:t>blement. Il écrivait à Christophe de Thou, le 5 octobre 1569 :</w:t>
      </w:r>
    </w:p>
    <w:p w14:paraId="2D2FACC3" w14:textId="77777777" w:rsidR="00B01930" w:rsidRPr="00320A86" w:rsidRDefault="00B01930" w:rsidP="00B01930">
      <w:pPr>
        <w:pStyle w:val="citation"/>
      </w:pPr>
      <w:r w:rsidRPr="00320A86">
        <w:t>« Monsieur le président, il s’est donné en ma cour de parlement depuis quelques temps en ça plusieurs arrêts, et fait autres ordonnances, lesque</w:t>
      </w:r>
      <w:r w:rsidRPr="00320A86">
        <w:t>l</w:t>
      </w:r>
      <w:r w:rsidRPr="00320A86">
        <w:t>les je crois bien n’avoir été à d’autre intention que pour le bien de mon service. Néanmoins, d’autant que les dits arrêts semblent plus toucher à l’état qu’à l’administration de la justice qui est comm</w:t>
      </w:r>
      <w:r w:rsidRPr="00320A86">
        <w:t>i</w:t>
      </w:r>
      <w:r w:rsidRPr="00320A86">
        <w:t>se à ma dite cour, et qu’en telles choses il écherrait bien m’en avertir avant qu’elles fussent p</w:t>
      </w:r>
      <w:r w:rsidRPr="00320A86">
        <w:t>u</w:t>
      </w:r>
      <w:r w:rsidRPr="00320A86">
        <w:t>bliées et mises en lumière pour y i</w:t>
      </w:r>
      <w:r w:rsidRPr="00320A86">
        <w:t>n</w:t>
      </w:r>
      <w:r w:rsidRPr="00320A86">
        <w:t>terposer mon jugement, selon que, pour tous les avis que j’ai de toutes les parts de mon royaume, je le puis faire mieux que tout autre, je vous veux bien dire que je ne trouve auc</w:t>
      </w:r>
      <w:r w:rsidRPr="00320A86">
        <w:t>u</w:t>
      </w:r>
      <w:r w:rsidRPr="00320A86">
        <w:t>nement bon que aussi librement ma cour de parlement ait fait les dits a</w:t>
      </w:r>
      <w:r w:rsidRPr="00320A86">
        <w:t>r</w:t>
      </w:r>
      <w:r w:rsidRPr="00320A86">
        <w:t>rêts et ordonnances, et à cette cause, je vous prie que dorénavant vous t</w:t>
      </w:r>
      <w:r w:rsidRPr="00320A86">
        <w:t>e</w:t>
      </w:r>
      <w:r w:rsidRPr="00320A86">
        <w:t>nez main que telles choses ne se fassent plus, et que, quand la délibér</w:t>
      </w:r>
      <w:r w:rsidRPr="00320A86">
        <w:t>a</w:t>
      </w:r>
      <w:r w:rsidRPr="00320A86">
        <w:t>tion en aura été prise, l’on m’en avertisse avant que d’en prendre une finale conclusion, pour en faire entendre à ma dite cour ce que je jugerai s’en devoir faire. A</w:t>
      </w:r>
      <w:r w:rsidRPr="00320A86">
        <w:t>u</w:t>
      </w:r>
      <w:r w:rsidRPr="00320A86">
        <w:t>trement, vous pourrez assurer ceux de ma dite cour que je ferai rompre et casser ce que, en telles choses, ils auront fait et arrêté sans m’en ave</w:t>
      </w:r>
      <w:r w:rsidRPr="00320A86">
        <w:t>r</w:t>
      </w:r>
      <w:r w:rsidRPr="00320A86">
        <w:t>tir</w:t>
      </w:r>
      <w:r>
        <w:t> </w:t>
      </w:r>
      <w:r w:rsidRPr="00DB503D">
        <w:rPr>
          <w:rStyle w:val="Appelnotedebasdep"/>
          <w:i/>
        </w:rPr>
        <w:footnoteReference w:id="462"/>
      </w:r>
      <w:r w:rsidRPr="00320A86">
        <w:t> ».</w:t>
      </w:r>
    </w:p>
    <w:p w14:paraId="190383F8" w14:textId="77777777" w:rsidR="00B01930" w:rsidRPr="00320A86" w:rsidRDefault="00B01930" w:rsidP="00B01930">
      <w:pPr>
        <w:spacing w:before="120" w:after="120"/>
        <w:jc w:val="both"/>
      </w:pPr>
    </w:p>
    <w:p w14:paraId="36EA6D61" w14:textId="77777777" w:rsidR="00B01930" w:rsidRPr="00320A86" w:rsidRDefault="00B01930" w:rsidP="00B01930">
      <w:pPr>
        <w:pStyle w:val="planche"/>
      </w:pPr>
      <w:bookmarkStart w:id="177" w:name="Analyser_idees_pol_pt_2_texte_03_VIII"/>
      <w:r w:rsidRPr="00320A86">
        <w:t>VIII. Le Roi en son conseil</w:t>
      </w:r>
    </w:p>
    <w:bookmarkEnd w:id="177"/>
    <w:p w14:paraId="5A72E320" w14:textId="77777777" w:rsidR="00B01930" w:rsidRDefault="00B01930" w:rsidP="00B01930">
      <w:pPr>
        <w:spacing w:before="120" w:after="120"/>
        <w:jc w:val="both"/>
      </w:pPr>
    </w:p>
    <w:p w14:paraId="04802802"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438B7EFC" w14:textId="77777777" w:rsidR="00B01930" w:rsidRPr="00320A86" w:rsidRDefault="00B01930" w:rsidP="00B01930">
      <w:pPr>
        <w:spacing w:before="120" w:after="120"/>
        <w:jc w:val="both"/>
      </w:pPr>
      <w:r w:rsidRPr="00320A86">
        <w:t>Comme la monarchie française est un gouvernement « </w:t>
      </w:r>
      <w:r w:rsidRPr="00E87B69">
        <w:rPr>
          <w:i/>
        </w:rPr>
        <w:t>raisonnable </w:t>
      </w:r>
      <w:r w:rsidRPr="00320A86">
        <w:t xml:space="preserve">», le Roi est tenu de prendre conseil, et </w:t>
      </w:r>
      <w:r>
        <w:t>Charles IX</w:t>
      </w:r>
      <w:r w:rsidRPr="00320A86">
        <w:t xml:space="preserve"> n’y a jamais manqué</w:t>
      </w:r>
      <w:r>
        <w:t> </w:t>
      </w:r>
      <w:r>
        <w:rPr>
          <w:rStyle w:val="Appelnotedebasdep"/>
        </w:rPr>
        <w:footnoteReference w:id="463"/>
      </w:r>
      <w:r w:rsidRPr="00320A86">
        <w:t>. Il n’avait pris sa décision de déclarer sa majorité dans le parlement de Rouen qu’après avoir demandé l’avis de son Conseil. En s’adressant à la délégation du parl</w:t>
      </w:r>
      <w:r w:rsidRPr="00320A86">
        <w:t>e</w:t>
      </w:r>
      <w:r w:rsidRPr="00320A86">
        <w:t>ment de Paris, il lui dit : « </w:t>
      </w:r>
      <w:r w:rsidRPr="00E87B69">
        <w:rPr>
          <w:i/>
        </w:rPr>
        <w:t>afin que voyez que je ne fais rien de si grande impo</w:t>
      </w:r>
      <w:r w:rsidRPr="00E87B69">
        <w:rPr>
          <w:i/>
        </w:rPr>
        <w:t>r</w:t>
      </w:r>
      <w:r w:rsidRPr="00E87B69">
        <w:rPr>
          <w:i/>
        </w:rPr>
        <w:t>tance sans mon conseil, je veux que vous les oyez tous opiner, et qu’ils vous d</w:t>
      </w:r>
      <w:r w:rsidRPr="00E87B69">
        <w:rPr>
          <w:i/>
        </w:rPr>
        <w:t>i</w:t>
      </w:r>
      <w:r w:rsidRPr="00E87B69">
        <w:rPr>
          <w:i/>
        </w:rPr>
        <w:t>sent si ce n’a été par leur avis que j’ai fait ainsi que j’ai connu que mes affaires le requ</w:t>
      </w:r>
      <w:r w:rsidRPr="00E87B69">
        <w:rPr>
          <w:i/>
        </w:rPr>
        <w:t>é</w:t>
      </w:r>
      <w:r w:rsidRPr="00E87B69">
        <w:rPr>
          <w:i/>
        </w:rPr>
        <w:t>raient, n’étant obligé de faire cette déclaration que où il me plaît, comme ont fait les autres Rois </w:t>
      </w:r>
      <w:r w:rsidRPr="00320A86">
        <w:t>». Et se tournant vers son Conseil : « </w:t>
      </w:r>
      <w:r w:rsidRPr="00E87B69">
        <w:rPr>
          <w:i/>
        </w:rPr>
        <w:t>Je vous prie, Me</w:t>
      </w:r>
      <w:r w:rsidRPr="00E87B69">
        <w:rPr>
          <w:i/>
        </w:rPr>
        <w:t>s</w:t>
      </w:r>
      <w:r w:rsidRPr="00E87B69">
        <w:rPr>
          <w:i/>
        </w:rPr>
        <w:t>sieurs dire devant eux, comme tous m’avez conseillé ce qu’en ai fait </w:t>
      </w:r>
      <w:r w:rsidRPr="00320A86">
        <w:t>», et d’abord au cardinal de Bourbon : « </w:t>
      </w:r>
      <w:r w:rsidRPr="00E87B69">
        <w:rPr>
          <w:i/>
        </w:rPr>
        <w:t>Mon cousin, commencez à dire, en présence des dits d</w:t>
      </w:r>
      <w:r w:rsidRPr="00E87B69">
        <w:rPr>
          <w:i/>
        </w:rPr>
        <w:t>é</w:t>
      </w:r>
      <w:r w:rsidRPr="00E87B69">
        <w:rPr>
          <w:i/>
        </w:rPr>
        <w:t>putés, que la dite ordonnance avoit été faite par leur conseil et avis, comme très nécessaire et utile au bien de ce royaume </w:t>
      </w:r>
      <w:r w:rsidRPr="00320A86">
        <w:t>». Ce que fit le prélat, su</w:t>
      </w:r>
      <w:r w:rsidRPr="00320A86">
        <w:t>i</w:t>
      </w:r>
      <w:r w:rsidRPr="00320A86">
        <w:t>vis par les autres membres du Conseil</w:t>
      </w:r>
      <w:r>
        <w:t> </w:t>
      </w:r>
      <w:r>
        <w:rPr>
          <w:rStyle w:val="Appelnotedebasdep"/>
        </w:rPr>
        <w:footnoteReference w:id="464"/>
      </w:r>
      <w:r w:rsidRPr="00320A86">
        <w:t xml:space="preserve">. Pour décider de la guerre avec l’Espagne en juillet-août 1572, </w:t>
      </w:r>
      <w:r>
        <w:t>Charles IX</w:t>
      </w:r>
      <w:r w:rsidRPr="00320A86">
        <w:t xml:space="preserve"> avait réuni son Conseil à plusieurs reprises. Il avait même demandé à chacun de ses membres de lui adresser par écrit leur avis sur cette question de la guerre ou de la paix avec le roi d’</w:t>
      </w:r>
      <w:r>
        <w:t>Espagne </w:t>
      </w:r>
      <w:r>
        <w:rPr>
          <w:rStyle w:val="Appelnotedebasdep"/>
        </w:rPr>
        <w:footnoteReference w:id="465"/>
      </w:r>
      <w:r w:rsidRPr="00320A86">
        <w:t xml:space="preserve">. </w:t>
      </w:r>
    </w:p>
    <w:p w14:paraId="59937478" w14:textId="77777777" w:rsidR="00B01930" w:rsidRPr="00320A86" w:rsidRDefault="00B01930" w:rsidP="00B01930">
      <w:pPr>
        <w:spacing w:before="120" w:after="120"/>
        <w:jc w:val="both"/>
      </w:pPr>
      <w:r w:rsidRPr="00320A86">
        <w:t>Le Roi fait appel parfois, lorsqu’une décision très importante doit être prise, à un conseil élargi aux personnes les plus influentes de son royaume, comme des présidents et conseillers des parlements, dont il s’était auparavant assuré la fid</w:t>
      </w:r>
      <w:r w:rsidRPr="00320A86">
        <w:t>é</w:t>
      </w:r>
      <w:r w:rsidRPr="00320A86">
        <w:t>lité à la couronne. Au début de son règne, alors que les menaces de guerre civile se précisaient, il avait « </w:t>
      </w:r>
      <w:r w:rsidRPr="00E87B69">
        <w:rPr>
          <w:i/>
        </w:rPr>
        <w:t>fait assembler tout mon Conseil en ce lieu, &amp; un bon nombre des plus notables &amp; recommandables Présidens &amp; Conseillers de toutes noz Cours de Parlement, tant en sçavoir &amp; doctrine que probité de mœurs […], &amp; d’iceux pris advis &amp; conseil sur l’estat des affaires &amp; troubles de mon Royaume, &amp; sur le moyen d’y remédier prompt</w:t>
      </w:r>
      <w:r w:rsidRPr="00E87B69">
        <w:rPr>
          <w:i/>
        </w:rPr>
        <w:t>e</w:t>
      </w:r>
      <w:r w:rsidRPr="00E87B69">
        <w:rPr>
          <w:i/>
        </w:rPr>
        <w:t>ment </w:t>
      </w:r>
      <w:r>
        <w:rPr>
          <w:rStyle w:val="Appelnotedebasdep"/>
        </w:rPr>
        <w:footnoteReference w:id="466"/>
      </w:r>
      <w:r w:rsidRPr="00320A86">
        <w:t> ».</w:t>
      </w:r>
    </w:p>
    <w:p w14:paraId="08E80127" w14:textId="77777777" w:rsidR="00B01930" w:rsidRPr="00320A86" w:rsidRDefault="00B01930" w:rsidP="00B01930">
      <w:pPr>
        <w:spacing w:before="120" w:after="120"/>
        <w:jc w:val="both"/>
      </w:pPr>
      <w:r w:rsidRPr="00320A86">
        <w:t>Avant de décider d’accorder son édit de pacification de Saint-Germain, il ne se contenta pas de consulter son conseil, mais il prit l’avis de nombreux notables du royaume, notamment de ses gouve</w:t>
      </w:r>
      <w:r w:rsidRPr="00320A86">
        <w:t>r</w:t>
      </w:r>
      <w:r w:rsidRPr="00320A86">
        <w:t>neurs et lieutenants généraux des provi</w:t>
      </w:r>
      <w:r w:rsidRPr="00320A86">
        <w:t>n</w:t>
      </w:r>
      <w:r w:rsidRPr="00320A86">
        <w:t>ces, et de ses capitaines. Tous avaient été unanimes sur la nécessité de parvenir à une pacification négociée si l’on voulait éviter la ruine complète du roya</w:t>
      </w:r>
      <w:r w:rsidRPr="00320A86">
        <w:t>u</w:t>
      </w:r>
      <w:r w:rsidRPr="00320A86">
        <w:t>me :</w:t>
      </w:r>
      <w:r>
        <w:t xml:space="preserve"> </w:t>
      </w:r>
      <w:r w:rsidRPr="00320A86">
        <w:t>« </w:t>
      </w:r>
      <w:r w:rsidRPr="00E87B69">
        <w:rPr>
          <w:i/>
        </w:rPr>
        <w:t>je n’ay trouvé aucun de tous ceulx de mond. conseil, de quelque estat et qualité qu’ilz feussent, ny mesmes des gentilzhommes et aultres capp</w:t>
      </w:r>
      <w:r w:rsidRPr="00E87B69">
        <w:rPr>
          <w:i/>
        </w:rPr>
        <w:t>i</w:t>
      </w:r>
      <w:r w:rsidRPr="00E87B69">
        <w:rPr>
          <w:i/>
        </w:rPr>
        <w:t>taines particu</w:t>
      </w:r>
      <w:r w:rsidRPr="00E87B69">
        <w:rPr>
          <w:i/>
        </w:rPr>
        <w:t>l</w:t>
      </w:r>
      <w:r w:rsidRPr="00E87B69">
        <w:rPr>
          <w:i/>
        </w:rPr>
        <w:t>liers de mon Royaulme, qui n’ayent esté tous d’une mesme voix d’advis que je debvois penser plus qu’à chose du monde de remectre l’unyon et le repoz parmy mes subjectz </w:t>
      </w:r>
      <w:r>
        <w:rPr>
          <w:rStyle w:val="Appelnotedebasdep"/>
        </w:rPr>
        <w:footnoteReference w:id="467"/>
      </w:r>
      <w:r w:rsidRPr="00320A86">
        <w:t> ».</w:t>
      </w:r>
    </w:p>
    <w:p w14:paraId="4780FBAD" w14:textId="77777777" w:rsidR="00B01930" w:rsidRPr="00320A86" w:rsidRDefault="00B01930" w:rsidP="00B01930">
      <w:pPr>
        <w:spacing w:before="120" w:after="120"/>
        <w:jc w:val="both"/>
      </w:pPr>
      <w:r w:rsidRPr="00320A86">
        <w:t>Lorsque, quelques mois avant sa mort, à la fin de 1573, il résolut de procéder à la réformation de son royaume, il avait prévu de réunir un Conseil élargi à ses gouverneurs et lieutenants généraux de provi</w:t>
      </w:r>
      <w:r w:rsidRPr="00320A86">
        <w:t>n</w:t>
      </w:r>
      <w:r w:rsidRPr="00320A86">
        <w:t>ce, d’abord à Compiègne</w:t>
      </w:r>
      <w:r>
        <w:t> </w:t>
      </w:r>
      <w:r>
        <w:rPr>
          <w:rStyle w:val="Appelnotedebasdep"/>
        </w:rPr>
        <w:footnoteReference w:id="468"/>
      </w:r>
      <w:r w:rsidRPr="00320A86">
        <w:t>, puis à Saint-Germain-en-Laye, pour « </w:t>
      </w:r>
      <w:r w:rsidRPr="00E87B69">
        <w:rPr>
          <w:i/>
        </w:rPr>
        <w:t>pourveoir aux desordres que les divisions et guerres civiles ont ca</w:t>
      </w:r>
      <w:r w:rsidRPr="00E87B69">
        <w:rPr>
          <w:i/>
        </w:rPr>
        <w:t>u</w:t>
      </w:r>
      <w:r w:rsidRPr="00E87B69">
        <w:rPr>
          <w:i/>
        </w:rPr>
        <w:t>sé en mon Royaume, me descharger de despences et r</w:t>
      </w:r>
      <w:r w:rsidRPr="00E87B69">
        <w:rPr>
          <w:i/>
        </w:rPr>
        <w:t>e</w:t>
      </w:r>
      <w:r w:rsidRPr="00E87B69">
        <w:rPr>
          <w:i/>
        </w:rPr>
        <w:t>trancher ce qui se peut pour d’autant soulager mon peuple et remettre sus l’integrité de la justice et n’obmettre aucune chose qui puisse servir au bien et repos de mes subjetz </w:t>
      </w:r>
      <w:r>
        <w:rPr>
          <w:rStyle w:val="Appelnotedebasdep"/>
        </w:rPr>
        <w:footnoteReference w:id="469"/>
      </w:r>
      <w:r w:rsidRPr="00320A86">
        <w:t> ».</w:t>
      </w:r>
    </w:p>
    <w:p w14:paraId="3A43F2C4" w14:textId="77777777" w:rsidR="00B01930" w:rsidRPr="00320A86" w:rsidRDefault="00B01930" w:rsidP="00B01930">
      <w:pPr>
        <w:jc w:val="both"/>
      </w:pPr>
    </w:p>
    <w:p w14:paraId="5BC517A7" w14:textId="77777777" w:rsidR="00B01930" w:rsidRPr="00320A86" w:rsidRDefault="00B01930" w:rsidP="00B01930">
      <w:pPr>
        <w:pStyle w:val="planche"/>
      </w:pPr>
      <w:bookmarkStart w:id="178" w:name="Analyser_idees_pol_pt_2_texte_03_IX"/>
      <w:r w:rsidRPr="00320A86">
        <w:t>IX. Roi Très-Ch</w:t>
      </w:r>
      <w:r>
        <w:t>rétien,</w:t>
      </w:r>
      <w:r>
        <w:br/>
      </w:r>
      <w:r w:rsidRPr="00320A86">
        <w:t xml:space="preserve"> mais « empereur en son royaume »</w:t>
      </w:r>
    </w:p>
    <w:bookmarkEnd w:id="178"/>
    <w:p w14:paraId="33294254" w14:textId="77777777" w:rsidR="00B01930" w:rsidRDefault="00B01930" w:rsidP="00B01930">
      <w:pPr>
        <w:jc w:val="both"/>
      </w:pPr>
    </w:p>
    <w:p w14:paraId="50E25021"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1528E3FF" w14:textId="77777777" w:rsidR="00B01930" w:rsidRPr="00320A86" w:rsidRDefault="00B01930" w:rsidP="00B01930">
      <w:pPr>
        <w:spacing w:before="120" w:after="120"/>
        <w:jc w:val="both"/>
      </w:pPr>
      <w:r>
        <w:t>Charles IX</w:t>
      </w:r>
      <w:r w:rsidRPr="00320A86">
        <w:t xml:space="preserve"> avait le sentiment de sa grandeur et des devoirs qu’elle lui imp</w:t>
      </w:r>
      <w:r w:rsidRPr="00320A86">
        <w:t>o</w:t>
      </w:r>
      <w:r w:rsidRPr="00320A86">
        <w:t>sait : il était du devoir d’un prince « </w:t>
      </w:r>
      <w:r w:rsidRPr="00E87B69">
        <w:rPr>
          <w:i/>
        </w:rPr>
        <w:t>que Dieu a faict sy grant que je suis », de « tenir son estat en sûreté </w:t>
      </w:r>
      <w:r w:rsidRPr="00320A86">
        <w:t>», « </w:t>
      </w:r>
      <w:r w:rsidRPr="00E87B69">
        <w:rPr>
          <w:i/>
        </w:rPr>
        <w:t>et hors de l’injure de ceulx qui auroient mauvaise vollunté </w:t>
      </w:r>
      <w:r w:rsidRPr="00320A86">
        <w:t>», sinon ce serait m’estimer « indigne du lieu que je tiens</w:t>
      </w:r>
      <w:r>
        <w:t> </w:t>
      </w:r>
      <w:r>
        <w:rPr>
          <w:rStyle w:val="Appelnotedebasdep"/>
        </w:rPr>
        <w:footnoteReference w:id="470"/>
      </w:r>
      <w:r w:rsidRPr="00320A86">
        <w:t> ». Aussi d</w:t>
      </w:r>
      <w:r w:rsidRPr="00320A86">
        <w:t>é</w:t>
      </w:r>
      <w:r w:rsidRPr="00320A86">
        <w:t>fendit-il avec énergie cette prééminence, en exigeant d’avoir, après l’Empereur, la préséance [ou « </w:t>
      </w:r>
      <w:r w:rsidRPr="00E87B69">
        <w:rPr>
          <w:i/>
        </w:rPr>
        <w:t>précédence </w:t>
      </w:r>
      <w:r w:rsidRPr="00320A86">
        <w:t>»] sur tous les autres princes de la Chrétienté et par conséquent celle de ses ambassadeurs, après celui de l’Empereur. Or, lors des cérémonies officielles, avec parfois le consentement tacite du Pape, les a</w:t>
      </w:r>
      <w:r w:rsidRPr="00320A86">
        <w:t>m</w:t>
      </w:r>
      <w:r w:rsidRPr="00320A86">
        <w:t xml:space="preserve">bassadeurs du Roi catholique le lui contestaient à la Cour pontificale, sous le prétexte que ses domaines d’Amérique faisaient de </w:t>
      </w:r>
      <w:r>
        <w:t>Philippe I</w:t>
      </w:r>
      <w:r w:rsidRPr="00320A86">
        <w:t>I un Empereur vi</w:t>
      </w:r>
      <w:r w:rsidRPr="00320A86">
        <w:t>r</w:t>
      </w:r>
      <w:r w:rsidRPr="00320A86">
        <w:t>tuel. En 1565, le conflit s’était tellement envenimé que l’ambassadeur Villepar</w:t>
      </w:r>
      <w:r w:rsidRPr="00320A86">
        <w:t>i</w:t>
      </w:r>
      <w:r w:rsidRPr="00320A86">
        <w:t>sis, avec l’aveu de son maître, avait menacé de quitter Rome</w:t>
      </w:r>
      <w:r>
        <w:t> </w:t>
      </w:r>
      <w:r>
        <w:rPr>
          <w:rStyle w:val="Appelnotedebasdep"/>
        </w:rPr>
        <w:footnoteReference w:id="471"/>
      </w:r>
      <w:r w:rsidRPr="00320A86">
        <w:t>. Tout au long de son règne, conse</w:t>
      </w:r>
      <w:r w:rsidRPr="00320A86">
        <w:t>r</w:t>
      </w:r>
      <w:r w:rsidRPr="00320A86">
        <w:t xml:space="preserve">ver la précédence fut une lutte permanente. Dans l’instruction que </w:t>
      </w:r>
      <w:r>
        <w:t>Cha</w:t>
      </w:r>
      <w:r>
        <w:t>r</w:t>
      </w:r>
      <w:r>
        <w:t>les IX</w:t>
      </w:r>
      <w:r w:rsidRPr="00320A86">
        <w:t xml:space="preserve"> remit en 1566 au comte de Tournon, successeur de Vill</w:t>
      </w:r>
      <w:r w:rsidRPr="00320A86">
        <w:t>e</w:t>
      </w:r>
      <w:r w:rsidRPr="00320A86">
        <w:t>parisis, décédé à Rome, l’un des articles essentiels était-il de veiller jalous</w:t>
      </w:r>
      <w:r w:rsidRPr="00320A86">
        <w:t>e</w:t>
      </w:r>
      <w:r w:rsidRPr="00320A86">
        <w:t>ment à la préséance de la France sur l’Espagne, et de déjouer to</w:t>
      </w:r>
      <w:r w:rsidRPr="00320A86">
        <w:t>u</w:t>
      </w:r>
      <w:r w:rsidRPr="00320A86">
        <w:t>tes les manœuvres des Espagnols : « </w:t>
      </w:r>
      <w:r w:rsidRPr="00E87B69">
        <w:rPr>
          <w:i/>
        </w:rPr>
        <w:t>sur touttes choses il regardera de</w:t>
      </w:r>
      <w:r w:rsidRPr="00E87B69">
        <w:rPr>
          <w:i/>
        </w:rPr>
        <w:t>x</w:t>
      </w:r>
      <w:r w:rsidRPr="00E87B69">
        <w:rPr>
          <w:i/>
        </w:rPr>
        <w:t>trement à se conserver son rang de précédence, assistant tousjours en toutes assemblées et cérémonies […] où les ambassadeurs des princes seront appeliez ou auront à se trouver, y prenant et gardant tousjours les lieu et place de l’ambassadeur de France qui est la première après celle de l’Empereur </w:t>
      </w:r>
      <w:r w:rsidRPr="00320A86">
        <w:t>». Sinon le Roi lui commandait « </w:t>
      </w:r>
      <w:r w:rsidRPr="00E87B69">
        <w:rPr>
          <w:i/>
        </w:rPr>
        <w:t>de se l</w:t>
      </w:r>
      <w:r w:rsidRPr="00E87B69">
        <w:rPr>
          <w:i/>
        </w:rPr>
        <w:t>i</w:t>
      </w:r>
      <w:r w:rsidRPr="00E87B69">
        <w:rPr>
          <w:i/>
        </w:rPr>
        <w:t>centier et prendre congé de sadicte saincteté et de monter so</w:t>
      </w:r>
      <w:r w:rsidRPr="00E87B69">
        <w:rPr>
          <w:i/>
        </w:rPr>
        <w:t>u</w:t>
      </w:r>
      <w:r w:rsidRPr="00E87B69">
        <w:rPr>
          <w:i/>
        </w:rPr>
        <w:t>dain à cheval pour s’en retourner devers luy </w:t>
      </w:r>
      <w:r>
        <w:rPr>
          <w:rStyle w:val="Appelnotedebasdep"/>
        </w:rPr>
        <w:footnoteReference w:id="472"/>
      </w:r>
      <w:r w:rsidRPr="00320A86">
        <w:t xml:space="preserve"> ». </w:t>
      </w:r>
    </w:p>
    <w:p w14:paraId="5CBF7797" w14:textId="77777777" w:rsidR="00B01930" w:rsidRPr="00320A86" w:rsidRDefault="00B01930" w:rsidP="00B01930">
      <w:pPr>
        <w:spacing w:before="120" w:after="120"/>
        <w:jc w:val="both"/>
      </w:pPr>
      <w:r w:rsidRPr="00320A86">
        <w:t>Dans la tradition de la monarchie française, il n’admettait aucune intrusion du Saint-Siège dans ses affaires : il était bien « </w:t>
      </w:r>
      <w:r w:rsidRPr="00E87B69">
        <w:rPr>
          <w:i/>
        </w:rPr>
        <w:t>empereur en son royaume </w:t>
      </w:r>
      <w:r>
        <w:rPr>
          <w:rStyle w:val="Appelnotedebasdep"/>
        </w:rPr>
        <w:footnoteReference w:id="473"/>
      </w:r>
      <w:r w:rsidRPr="00320A86">
        <w:t> ». Pendant tout son règne, il s’opposa fermement à l’introduction des décrets du concile de Trente, qui remettaient en question les privilèg</w:t>
      </w:r>
      <w:r>
        <w:t>es de sa Couronne et ceux de l’É</w:t>
      </w:r>
      <w:r w:rsidRPr="00320A86">
        <w:t>glise gallicane : il n’avait jamais « </w:t>
      </w:r>
      <w:r w:rsidRPr="00E87B69">
        <w:rPr>
          <w:i/>
        </w:rPr>
        <w:t>pensé à l’establissement dudict Concile » dans son royaume, car il n’avait « aucun nerf qui tendist a telle rés</w:t>
      </w:r>
      <w:r w:rsidRPr="00E87B69">
        <w:rPr>
          <w:i/>
        </w:rPr>
        <w:t>o</w:t>
      </w:r>
      <w:r w:rsidRPr="00E87B69">
        <w:rPr>
          <w:i/>
        </w:rPr>
        <w:t>lution </w:t>
      </w:r>
      <w:r>
        <w:rPr>
          <w:rStyle w:val="Appelnotedebasdep"/>
        </w:rPr>
        <w:footnoteReference w:id="474"/>
      </w:r>
      <w:r w:rsidRPr="00320A86">
        <w:t> ». En diverses occasions, il défendit les droits qu’il avait à la nomination aux bénéfices ecclésiastiques, notamment en 1570 et en 1572. Il n’admettait pas de voir ainsi son autorité bafouée : « </w:t>
      </w:r>
      <w:r w:rsidRPr="00E87B69">
        <w:rPr>
          <w:i/>
        </w:rPr>
        <w:t>je ne me puis ta</w:t>
      </w:r>
      <w:r w:rsidRPr="00E87B69">
        <w:rPr>
          <w:i/>
        </w:rPr>
        <w:t>i</w:t>
      </w:r>
      <w:r w:rsidRPr="00E87B69">
        <w:rPr>
          <w:i/>
        </w:rPr>
        <w:t>re ny louer de l’expedition que Sadicte Saincteté en a faicte au prej</w:t>
      </w:r>
      <w:r w:rsidRPr="00E87B69">
        <w:rPr>
          <w:i/>
        </w:rPr>
        <w:t>u</w:t>
      </w:r>
      <w:r w:rsidRPr="00E87B69">
        <w:rPr>
          <w:i/>
        </w:rPr>
        <w:t>dice de mon auctorité, ce que je veulx que vous luy remonstriez si vi</w:t>
      </w:r>
      <w:r w:rsidRPr="00E87B69">
        <w:rPr>
          <w:i/>
        </w:rPr>
        <w:t>f</w:t>
      </w:r>
      <w:r w:rsidRPr="00E87B69">
        <w:rPr>
          <w:i/>
        </w:rPr>
        <w:t>vement de ma part qu’elle se dispose à revocquer et mectre à neant ». Il ne pourrait se « laisser despoullier de telle sorte des droictz qui m’appartiennent </w:t>
      </w:r>
      <w:r>
        <w:rPr>
          <w:rStyle w:val="Appelnotedebasdep"/>
        </w:rPr>
        <w:footnoteReference w:id="475"/>
      </w:r>
      <w:r w:rsidRPr="00320A86">
        <w:t xml:space="preserve"> ». </w:t>
      </w:r>
      <w:r>
        <w:t>Charles IX</w:t>
      </w:r>
      <w:r w:rsidRPr="00320A86">
        <w:t xml:space="preserve"> ne supportait pas davantage que ses sujets fussent appelés à Rome devant le tribunal de l’Inquisition. L’envoi co</w:t>
      </w:r>
      <w:r w:rsidRPr="00320A86">
        <w:t>m</w:t>
      </w:r>
      <w:r w:rsidRPr="00320A86">
        <w:t>me ambassadeur de l’un de ses meilleurs ministres, Paul de Foix, entraîna une vive tension avec le Saint-Siège qui voulait le traduire devant le Saint-Office pour crime d’hérésie. Le Roi en avait été très mécontent : « </w:t>
      </w:r>
      <w:r w:rsidRPr="00E87B69">
        <w:rPr>
          <w:i/>
        </w:rPr>
        <w:t>j’en fais une recha</w:t>
      </w:r>
      <w:r w:rsidRPr="00E87B69">
        <w:rPr>
          <w:i/>
        </w:rPr>
        <w:t>r</w:t>
      </w:r>
      <w:r w:rsidRPr="00E87B69">
        <w:rPr>
          <w:i/>
        </w:rPr>
        <w:t>ge si vifve à Sa Sainteté et en ay parlé si ouvertement au Nonce qu’elle a pard</w:t>
      </w:r>
      <w:r w:rsidRPr="00E87B69">
        <w:rPr>
          <w:i/>
        </w:rPr>
        <w:t>e</w:t>
      </w:r>
      <w:r w:rsidRPr="00E87B69">
        <w:rPr>
          <w:i/>
        </w:rPr>
        <w:t>çà, que je veux croire qu’elle changera d’opinion, comme aussi, en tous cas, je ne suis pas deliberé de permettre que mes Ministres reçoivent pour mon service un tel affront </w:t>
      </w:r>
      <w:r>
        <w:rPr>
          <w:rStyle w:val="Appelnotedebasdep"/>
        </w:rPr>
        <w:footnoteReference w:id="476"/>
      </w:r>
      <w:r w:rsidRPr="00320A86">
        <w:t> ».</w:t>
      </w:r>
    </w:p>
    <w:p w14:paraId="385BC069" w14:textId="77777777" w:rsidR="00B01930" w:rsidRPr="00320A86" w:rsidRDefault="00B01930" w:rsidP="00B01930">
      <w:pPr>
        <w:spacing w:before="120" w:after="120"/>
        <w:jc w:val="both"/>
      </w:pPr>
      <w:r w:rsidRPr="00320A86">
        <w:t xml:space="preserve">Il est vrai que, pendant tout son règne, le refus de </w:t>
      </w:r>
      <w:r>
        <w:t>Charles IX</w:t>
      </w:r>
      <w:r w:rsidRPr="00320A86">
        <w:t xml:space="preserve"> de s’aligner sur la politique pontificale lui valut des relations conflictue</w:t>
      </w:r>
      <w:r w:rsidRPr="00320A86">
        <w:t>l</w:t>
      </w:r>
      <w:r w:rsidRPr="00320A86">
        <w:t>les avec le Saint-Siège. Aux yeux de la papauté, le vrai défenseur de l’Église était désormais le Roi C</w:t>
      </w:r>
      <w:r w:rsidRPr="00320A86">
        <w:t>a</w:t>
      </w:r>
      <w:r w:rsidRPr="00320A86">
        <w:t>tholique, estimant que le roi de France, accusé de compromission avec les hérétiques et avec les inf</w:t>
      </w:r>
      <w:r w:rsidRPr="00320A86">
        <w:t>i</w:t>
      </w:r>
      <w:r w:rsidRPr="00320A86">
        <w:t>dèles, ne l’était plus</w:t>
      </w:r>
      <w:r>
        <w:t> </w:t>
      </w:r>
      <w:r>
        <w:rPr>
          <w:rStyle w:val="Appelnotedebasdep"/>
        </w:rPr>
        <w:footnoteReference w:id="477"/>
      </w:r>
      <w:r w:rsidRPr="00320A86">
        <w:t>. Tous les édits de pacification  pr</w:t>
      </w:r>
      <w:r w:rsidRPr="00320A86">
        <w:t>o</w:t>
      </w:r>
      <w:r w:rsidRPr="00320A86">
        <w:t xml:space="preserve">mulgués par </w:t>
      </w:r>
      <w:r>
        <w:t>Charles IX</w:t>
      </w:r>
      <w:r w:rsidRPr="00320A86">
        <w:t xml:space="preserve"> pour mettre fin aux guerres civiles étaient conda</w:t>
      </w:r>
      <w:r w:rsidRPr="00320A86">
        <w:t>m</w:t>
      </w:r>
      <w:r w:rsidRPr="00320A86">
        <w:t>nés par Rome. À l’annonce de la paix de Saint-Germain que lui fit son amba</w:t>
      </w:r>
      <w:r w:rsidRPr="00320A86">
        <w:t>s</w:t>
      </w:r>
      <w:r w:rsidRPr="00320A86">
        <w:t>s</w:t>
      </w:r>
      <w:r w:rsidRPr="00320A86">
        <w:t>a</w:t>
      </w:r>
      <w:r w:rsidRPr="00320A86">
        <w:t xml:space="preserve">deur, le pape </w:t>
      </w:r>
      <w:r>
        <w:t>Pie </w:t>
      </w:r>
      <w:r w:rsidRPr="00320A86">
        <w:t>V réussit à contenir sa colère, mais « </w:t>
      </w:r>
      <w:r w:rsidRPr="00E87B69">
        <w:rPr>
          <w:i/>
        </w:rPr>
        <w:t>Sa Sainceté me dict esp</w:t>
      </w:r>
      <w:r w:rsidRPr="00E87B69">
        <w:rPr>
          <w:i/>
        </w:rPr>
        <w:t>é</w:t>
      </w:r>
      <w:r w:rsidRPr="00E87B69">
        <w:rPr>
          <w:i/>
        </w:rPr>
        <w:t>rer tousjours beaucoup de la valleur, religion et piété de Sa Majesté, qu’elle se promectoit que Dieu ne l’abandonneroit j</w:t>
      </w:r>
      <w:r w:rsidRPr="00E87B69">
        <w:rPr>
          <w:i/>
        </w:rPr>
        <w:t>a</w:t>
      </w:r>
      <w:r w:rsidRPr="00E87B69">
        <w:rPr>
          <w:i/>
        </w:rPr>
        <w:t>mais, mais qu’elle craignoit qu’elle n’eust esté mal conseillée </w:t>
      </w:r>
      <w:r>
        <w:rPr>
          <w:rStyle w:val="Appelnotedebasdep"/>
        </w:rPr>
        <w:footnoteReference w:id="478"/>
      </w:r>
      <w:r w:rsidRPr="00320A86">
        <w:t> ». En prenant pour prétexte les malheureux tro</w:t>
      </w:r>
      <w:r w:rsidRPr="00320A86">
        <w:t>u</w:t>
      </w:r>
      <w:r w:rsidRPr="00320A86">
        <w:t>bles de son royaume, son refus obstiné d’entrer dans la Ligue chrétienne contre l’empire ott</w:t>
      </w:r>
      <w:r w:rsidRPr="00320A86">
        <w:t>o</w:t>
      </w:r>
      <w:r w:rsidRPr="00320A86">
        <w:t>man n’était pas moins choquant aux yeux du Pape : « </w:t>
      </w:r>
      <w:r w:rsidRPr="00E87B69">
        <w:rPr>
          <w:i/>
        </w:rPr>
        <w:t>Je luy ay repr</w:t>
      </w:r>
      <w:r w:rsidRPr="00E87B69">
        <w:rPr>
          <w:i/>
        </w:rPr>
        <w:t>é</w:t>
      </w:r>
      <w:r w:rsidRPr="00E87B69">
        <w:rPr>
          <w:i/>
        </w:rPr>
        <w:t>senté l’estat de mon royaume comme il est à la vérité, lui faisant congnoi</w:t>
      </w:r>
      <w:r w:rsidRPr="00E87B69">
        <w:rPr>
          <w:i/>
        </w:rPr>
        <w:t>s</w:t>
      </w:r>
      <w:r w:rsidRPr="00E87B69">
        <w:rPr>
          <w:i/>
        </w:rPr>
        <w:t>tre comme je suis contraint entrer en bien grandes despenses pour achever de le ne</w:t>
      </w:r>
      <w:r w:rsidRPr="00E87B69">
        <w:rPr>
          <w:i/>
        </w:rPr>
        <w:t>t</w:t>
      </w:r>
      <w:r w:rsidRPr="00E87B69">
        <w:rPr>
          <w:i/>
        </w:rPr>
        <w:t>toyer de toute rébellion, […] ne pouvant et n’estant conseillé penser à autres desseings jusques à ce que j’aye entièrement remis mon estat comme il appa</w:t>
      </w:r>
      <w:r w:rsidRPr="00E87B69">
        <w:rPr>
          <w:i/>
        </w:rPr>
        <w:t>r</w:t>
      </w:r>
      <w:r w:rsidRPr="00E87B69">
        <w:rPr>
          <w:i/>
        </w:rPr>
        <w:t>tient </w:t>
      </w:r>
      <w:r>
        <w:rPr>
          <w:rStyle w:val="Appelnotedebasdep"/>
        </w:rPr>
        <w:footnoteReference w:id="479"/>
      </w:r>
      <w:r w:rsidRPr="00320A86">
        <w:t xml:space="preserve"> ». </w:t>
      </w:r>
    </w:p>
    <w:p w14:paraId="32F14CD8" w14:textId="77777777" w:rsidR="00B01930" w:rsidRPr="00320A86" w:rsidRDefault="00B01930" w:rsidP="00B01930">
      <w:pPr>
        <w:spacing w:before="120" w:after="120"/>
        <w:jc w:val="both"/>
      </w:pPr>
      <w:r w:rsidRPr="00320A86">
        <w:t xml:space="preserve">Le pape ne condamnait pas moins les alliances du Très-Chrétien avec les princes protestants. Après la paix de Saint-Germain, </w:t>
      </w:r>
      <w:r>
        <w:t>Cha</w:t>
      </w:r>
      <w:r>
        <w:t>r</w:t>
      </w:r>
      <w:r>
        <w:t>les IX</w:t>
      </w:r>
      <w:r w:rsidRPr="00320A86">
        <w:t xml:space="preserve"> décida de r</w:t>
      </w:r>
      <w:r w:rsidRPr="00320A86">
        <w:t>e</w:t>
      </w:r>
      <w:r w:rsidRPr="00320A86">
        <w:t>nouer les alliances de son grand-père et de son père avec les princes du Saint-Empire pour contrer les ambitions hégém</w:t>
      </w:r>
      <w:r w:rsidRPr="00320A86">
        <w:t>o</w:t>
      </w:r>
      <w:r w:rsidRPr="00320A86">
        <w:t>niques de la maison d’Autriche. Il avait envoyé vers eux son favori le comte de Retz pour leur assurer qu’il n’y avait « </w:t>
      </w:r>
      <w:r w:rsidRPr="00E87B69">
        <w:rPr>
          <w:i/>
        </w:rPr>
        <w:t>Prince en la Chre</w:t>
      </w:r>
      <w:r w:rsidRPr="00E87B69">
        <w:rPr>
          <w:i/>
        </w:rPr>
        <w:t>s</w:t>
      </w:r>
      <w:r w:rsidRPr="00E87B69">
        <w:rPr>
          <w:i/>
        </w:rPr>
        <w:t>tienté de l’amitié duquel ilz se doibvent plus prome</w:t>
      </w:r>
      <w:r w:rsidRPr="00E87B69">
        <w:rPr>
          <w:i/>
        </w:rPr>
        <w:t>c</w:t>
      </w:r>
      <w:r w:rsidRPr="00E87B69">
        <w:rPr>
          <w:i/>
        </w:rPr>
        <w:t>tre que de la myenne </w:t>
      </w:r>
      <w:r>
        <w:rPr>
          <w:rStyle w:val="Appelnotedebasdep"/>
        </w:rPr>
        <w:footnoteReference w:id="480"/>
      </w:r>
      <w:r w:rsidRPr="00320A86">
        <w:t> ». Il n’avait pas hésité à conclure une alliance avec l’hérétique Elisabeth d’Angleterre, qu’il aurait aimé renforcer par un mariage avec l’un de ses frères, le duc d’Anjou ou le duc d’Alençon, qu’il lui proposa successivement, « considérant qu’il n’y a rien qui lye plus estroictement, nourrisse et entretienne davantaige la paix et am</w:t>
      </w:r>
      <w:r w:rsidRPr="00320A86">
        <w:t>i</w:t>
      </w:r>
      <w:r w:rsidRPr="00320A86">
        <w:t>tyé entre les roys et grandz princes que le mariage et les alliances qui se font des ungs avec les aultres</w:t>
      </w:r>
      <w:r>
        <w:t> </w:t>
      </w:r>
      <w:r>
        <w:rPr>
          <w:rStyle w:val="Appelnotedebasdep"/>
        </w:rPr>
        <w:footnoteReference w:id="481"/>
      </w:r>
      <w:r w:rsidRPr="00320A86">
        <w:t> ».</w:t>
      </w:r>
    </w:p>
    <w:p w14:paraId="6E1DC5FE" w14:textId="77777777" w:rsidR="00B01930" w:rsidRPr="00320A86" w:rsidRDefault="00B01930" w:rsidP="00B01930">
      <w:pPr>
        <w:spacing w:before="120" w:after="120"/>
        <w:jc w:val="both"/>
      </w:pPr>
      <w:r>
        <w:t>Charles IX</w:t>
      </w:r>
      <w:r w:rsidRPr="00320A86">
        <w:t xml:space="preserve"> était en revanche indigné que l’on pût le soupçonner de faillir à ses devoirs de fils aîné de l’Eglise. Il n’avait « </w:t>
      </w:r>
      <w:r w:rsidRPr="00E87B69">
        <w:rPr>
          <w:i/>
        </w:rPr>
        <w:t>rien plus à cœur que de se conserver le nom de filz aisné de l’Église que ses pr</w:t>
      </w:r>
      <w:r w:rsidRPr="00E87B69">
        <w:rPr>
          <w:i/>
        </w:rPr>
        <w:t>é</w:t>
      </w:r>
      <w:r w:rsidRPr="00E87B69">
        <w:rPr>
          <w:i/>
        </w:rPr>
        <w:t>décesseurs luy ont de si long temps acquis, à l’imitation desquelz il n’espargnera jamais et la puissance que Dieu luy a donnée ny sa pr</w:t>
      </w:r>
      <w:r w:rsidRPr="00E87B69">
        <w:rPr>
          <w:i/>
        </w:rPr>
        <w:t>o</w:t>
      </w:r>
      <w:r w:rsidRPr="00E87B69">
        <w:rPr>
          <w:i/>
        </w:rPr>
        <w:t>pre personne pour le soustenement de ce Saint Siège, base et fond</w:t>
      </w:r>
      <w:r w:rsidRPr="00E87B69">
        <w:rPr>
          <w:i/>
        </w:rPr>
        <w:t>e</w:t>
      </w:r>
      <w:r w:rsidRPr="00E87B69">
        <w:rPr>
          <w:i/>
        </w:rPr>
        <w:t>ment de la républicque chrestienne </w:t>
      </w:r>
      <w:r>
        <w:rPr>
          <w:rStyle w:val="Appelnotedebasdep"/>
        </w:rPr>
        <w:footnoteReference w:id="482"/>
      </w:r>
      <w:r w:rsidRPr="00320A86">
        <w:t> ». Le Roi Très-Chrétien n’avait pas de leçons d’orthodoxie à recevoir de qui que ce soit : « </w:t>
      </w:r>
      <w:r w:rsidRPr="00E87B69">
        <w:rPr>
          <w:i/>
        </w:rPr>
        <w:t>mes a</w:t>
      </w:r>
      <w:r w:rsidRPr="00E87B69">
        <w:rPr>
          <w:i/>
        </w:rPr>
        <w:t>c</w:t>
      </w:r>
      <w:r w:rsidRPr="00E87B69">
        <w:rPr>
          <w:i/>
        </w:rPr>
        <w:t>tions ont esté telles depuis dix ans qu’elles doibvent avoir satisfaict tous ceulx qui n’ont regardé qu’à la conservation de la Religion C</w:t>
      </w:r>
      <w:r w:rsidRPr="00E87B69">
        <w:rPr>
          <w:i/>
        </w:rPr>
        <w:t>a</w:t>
      </w:r>
      <w:r w:rsidRPr="00E87B69">
        <w:rPr>
          <w:i/>
        </w:rPr>
        <w:t>tholicque en son entier, pour laquelle ung chacun sçait qu’il n’y a prince en la chrestienté qui aye tant combattu et tenté tant de hazards que moy </w:t>
      </w:r>
      <w:r>
        <w:rPr>
          <w:rStyle w:val="Appelnotedebasdep"/>
        </w:rPr>
        <w:footnoteReference w:id="483"/>
      </w:r>
      <w:r w:rsidRPr="00320A86">
        <w:t> ».</w:t>
      </w:r>
    </w:p>
    <w:p w14:paraId="0741A513" w14:textId="77777777" w:rsidR="00B01930" w:rsidRPr="00320A86" w:rsidRDefault="00B01930" w:rsidP="00B01930">
      <w:pPr>
        <w:spacing w:before="120" w:after="120"/>
        <w:jc w:val="both"/>
      </w:pPr>
      <w:r w:rsidRPr="00320A86">
        <w:t>D’ailleurs, ce n’est pas parce qu’il voulait tolérer une autre religion que la sienne dans son royaume qu’il accordait des édits de pacific</w:t>
      </w:r>
      <w:r w:rsidRPr="00320A86">
        <w:t>a</w:t>
      </w:r>
      <w:r w:rsidRPr="00320A86">
        <w:t>tion aux réformés, mais afin de soulager les misères de son « </w:t>
      </w:r>
      <w:r w:rsidRPr="00E87B69">
        <w:rPr>
          <w:i/>
        </w:rPr>
        <w:t>pauvre peuple </w:t>
      </w:r>
      <w:r w:rsidRPr="00320A86">
        <w:t>» et de rétablir la concorde entre ses sujets « </w:t>
      </w:r>
      <w:r w:rsidRPr="00E87B69">
        <w:rPr>
          <w:i/>
        </w:rPr>
        <w:t>par la voie de la douceur </w:t>
      </w:r>
      <w:r w:rsidRPr="00320A86">
        <w:t>». Faisant sien l’adage du Saint-Empire, cujus regio, ejus r</w:t>
      </w:r>
      <w:r w:rsidRPr="00320A86">
        <w:t>e</w:t>
      </w:r>
      <w:r w:rsidRPr="00320A86">
        <w:t>ligio, son objectif final était de les réunir sous une même foi par souci de l’unité du royaume, et de l’affermissement de son État. La pacific</w:t>
      </w:r>
      <w:r w:rsidRPr="00320A86">
        <w:t>a</w:t>
      </w:r>
      <w:r w:rsidRPr="00320A86">
        <w:t>tion de Saint-Germain se ferait au bénéfice de la religion cath</w:t>
      </w:r>
      <w:r w:rsidRPr="00320A86">
        <w:t>o</w:t>
      </w:r>
      <w:r w:rsidRPr="00320A86">
        <w:t>lique, car il « </w:t>
      </w:r>
      <w:r w:rsidRPr="00E87B69">
        <w:rPr>
          <w:i/>
        </w:rPr>
        <w:t>n’y va pas moings que de la perte d’ung si grand et florissant estat que cestuicy ; lequel demourant en son entier et estant remis en sa première splendeur pourra, après que Dieu aura réuny les cœurs de mesd subjectz, estre encores employé pour l’accroissement et au</w:t>
      </w:r>
      <w:r w:rsidRPr="00E87B69">
        <w:rPr>
          <w:i/>
        </w:rPr>
        <w:t>g</w:t>
      </w:r>
      <w:r w:rsidRPr="00E87B69">
        <w:rPr>
          <w:i/>
        </w:rPr>
        <w:t>mentation de nostre foy et religion catholicque </w:t>
      </w:r>
      <w:r>
        <w:rPr>
          <w:rStyle w:val="Appelnotedebasdep"/>
        </w:rPr>
        <w:footnoteReference w:id="484"/>
      </w:r>
      <w:r w:rsidRPr="00320A86">
        <w:t> ».</w:t>
      </w:r>
    </w:p>
    <w:p w14:paraId="7C6690DB" w14:textId="77777777" w:rsidR="00B01930" w:rsidRPr="00320A86" w:rsidRDefault="00B01930" w:rsidP="00B01930">
      <w:pPr>
        <w:spacing w:before="120" w:after="120"/>
        <w:jc w:val="both"/>
      </w:pPr>
      <w:r w:rsidRPr="00320A86">
        <w:t>Le mariage de sa sœur Marguerite avec Henri de Bourbon, roi de Navarre, qui « </w:t>
      </w:r>
      <w:r w:rsidRPr="00E87B69">
        <w:rPr>
          <w:i/>
        </w:rPr>
        <w:t>promect beaucoup de fruict à toute la Chretienté </w:t>
      </w:r>
      <w:r w:rsidRPr="00320A86">
        <w:t>», était le meilleur moyen d’opérer la conversion des huguenots, par l’exemple que ce dernier pourrait leur donner, car il est « </w:t>
      </w:r>
      <w:r w:rsidRPr="00E87B69">
        <w:rPr>
          <w:i/>
        </w:rPr>
        <w:t>jeune et d’un naturel ployable et bien adonné </w:t>
      </w:r>
      <w:r w:rsidRPr="00320A86">
        <w:t>», et dont on peut se promettre « </w:t>
      </w:r>
      <w:r w:rsidRPr="00E87B69">
        <w:rPr>
          <w:i/>
        </w:rPr>
        <w:t>que Dieu luy fera la grace de recevoir les sainctz admone</w:t>
      </w:r>
      <w:r w:rsidRPr="00E87B69">
        <w:rPr>
          <w:i/>
        </w:rPr>
        <w:t>s</w:t>
      </w:r>
      <w:r w:rsidRPr="00E87B69">
        <w:rPr>
          <w:i/>
        </w:rPr>
        <w:t>tations qui luy seront ordinairement faictz et par le moien d’iceulx recognoistre et embrasser la vraye religion </w:t>
      </w:r>
      <w:r>
        <w:rPr>
          <w:rStyle w:val="Appelnotedebasdep"/>
        </w:rPr>
        <w:footnoteReference w:id="485"/>
      </w:r>
      <w:r w:rsidRPr="00320A86">
        <w:t> ». Ce mariage était le meilleur moyen d’assurer la paix et le triomphe de la religion catholique dans son royaume.</w:t>
      </w:r>
    </w:p>
    <w:p w14:paraId="05D0224A" w14:textId="77777777" w:rsidR="00B01930" w:rsidRPr="00320A86" w:rsidRDefault="00B01930" w:rsidP="00B01930">
      <w:pPr>
        <w:spacing w:before="120" w:after="120"/>
        <w:jc w:val="both"/>
      </w:pPr>
      <w:r w:rsidRPr="00320A86">
        <w:t xml:space="preserve">Après la Saint-Barthélemy, </w:t>
      </w:r>
      <w:r>
        <w:t>Charles IX</w:t>
      </w:r>
      <w:r w:rsidRPr="00320A86">
        <w:t xml:space="preserve"> n’hésita plus à proclamer que sa pol</w:t>
      </w:r>
      <w:r w:rsidRPr="00320A86">
        <w:t>i</w:t>
      </w:r>
      <w:r w:rsidRPr="00320A86">
        <w:t>tique de concorde n’avait eu qu’un seul objectif : réunir ses sujets sous une m</w:t>
      </w:r>
      <w:r w:rsidRPr="00320A86">
        <w:t>ê</w:t>
      </w:r>
      <w:r w:rsidRPr="00320A86">
        <w:t>me religion, la sienne, garante de la paix civile dans son royaume. Il tirait la leçon de son échec : le Roi ne voulait plus t</w:t>
      </w:r>
      <w:r w:rsidRPr="00320A86">
        <w:t>o</w:t>
      </w:r>
      <w:r w:rsidRPr="00320A86">
        <w:t>lérer l’exercice de deux religions dans son royaume, qui avait été la source de tous ses malheurs, « </w:t>
      </w:r>
      <w:r w:rsidRPr="00E87B69">
        <w:rPr>
          <w:i/>
        </w:rPr>
        <w:t>ayant esprouvé que jamais les disco</w:t>
      </w:r>
      <w:r w:rsidRPr="00E87B69">
        <w:rPr>
          <w:i/>
        </w:rPr>
        <w:t>r</w:t>
      </w:r>
      <w:r w:rsidRPr="00E87B69">
        <w:rPr>
          <w:i/>
        </w:rPr>
        <w:t>des et guerres civiles ne cesseront en ung estat où il y aura diversité de religion et qu’il est impossible à un roy maintenir en ung mesme royaulme ceste répugnance de religion, qu’il ne perde la bienveilla</w:t>
      </w:r>
      <w:r w:rsidRPr="00E87B69">
        <w:rPr>
          <w:i/>
        </w:rPr>
        <w:t>n</w:t>
      </w:r>
      <w:r w:rsidRPr="00E87B69">
        <w:rPr>
          <w:i/>
        </w:rPr>
        <w:t>ce et obéi</w:t>
      </w:r>
      <w:r w:rsidRPr="00E87B69">
        <w:rPr>
          <w:i/>
        </w:rPr>
        <w:t>s</w:t>
      </w:r>
      <w:r w:rsidRPr="00E87B69">
        <w:rPr>
          <w:i/>
        </w:rPr>
        <w:t>sance de ses subjectz ; voire que ceux qui seront de religion répugnante à la sienne ne desirent en leur cœur  que changement de roy et estat </w:t>
      </w:r>
      <w:r>
        <w:rPr>
          <w:rStyle w:val="Appelnotedebasdep"/>
        </w:rPr>
        <w:footnoteReference w:id="486"/>
      </w:r>
      <w:r w:rsidRPr="00320A86">
        <w:t> ».</w:t>
      </w:r>
    </w:p>
    <w:p w14:paraId="1CC026C2" w14:textId="77777777" w:rsidR="00B01930" w:rsidRPr="00320A86" w:rsidRDefault="00B01930" w:rsidP="00B01930">
      <w:pPr>
        <w:jc w:val="both"/>
      </w:pPr>
      <w:r>
        <w:br w:type="page"/>
      </w:r>
    </w:p>
    <w:p w14:paraId="129BAAF5" w14:textId="77777777" w:rsidR="00B01930" w:rsidRPr="00320A86" w:rsidRDefault="00B01930" w:rsidP="00B01930">
      <w:pPr>
        <w:pStyle w:val="planche"/>
      </w:pPr>
      <w:bookmarkStart w:id="179" w:name="Analyser_idees_pol_pt_2_texte_03_X"/>
      <w:r w:rsidRPr="00320A86">
        <w:t xml:space="preserve">X. </w:t>
      </w:r>
      <w:r>
        <w:t>Charles IX</w:t>
      </w:r>
      <w:r w:rsidRPr="00320A86">
        <w:t xml:space="preserve"> et la raison d’État</w:t>
      </w:r>
    </w:p>
    <w:bookmarkEnd w:id="179"/>
    <w:p w14:paraId="78FA419B" w14:textId="77777777" w:rsidR="00B01930" w:rsidRDefault="00B01930" w:rsidP="00B01930">
      <w:pPr>
        <w:jc w:val="both"/>
      </w:pPr>
    </w:p>
    <w:p w14:paraId="33B3D7E3"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156DED9E" w14:textId="77777777" w:rsidR="00B01930" w:rsidRPr="00320A86" w:rsidRDefault="00B01930" w:rsidP="00B01930">
      <w:pPr>
        <w:spacing w:before="120" w:after="120"/>
        <w:jc w:val="both"/>
      </w:pPr>
      <w:r w:rsidRPr="00320A86">
        <w:t>Avant même que Giovanni Botero n’inventât le concept de raison d’État</w:t>
      </w:r>
      <w:r>
        <w:t> </w:t>
      </w:r>
      <w:r>
        <w:rPr>
          <w:rStyle w:val="Appelnotedebasdep"/>
        </w:rPr>
        <w:footnoteReference w:id="487"/>
      </w:r>
      <w:r w:rsidRPr="00320A86">
        <w:rPr>
          <w:vertAlign w:val="superscript"/>
        </w:rPr>
        <w:t>,</w:t>
      </w:r>
      <w:r w:rsidRPr="00320A86">
        <w:t xml:space="preserve"> les souverains ne s’étaient pas privés depuis des siècles de pratiquer le réalisme politique en faisant bon marché de la morale. Parmi les rois de France, ne ret</w:t>
      </w:r>
      <w:r w:rsidRPr="00320A86">
        <w:t>e</w:t>
      </w:r>
      <w:r w:rsidRPr="00320A86">
        <w:t xml:space="preserve">nons que les noms de </w:t>
      </w:r>
      <w:r>
        <w:t>Philippe I</w:t>
      </w:r>
      <w:r w:rsidRPr="00320A86">
        <w:t xml:space="preserve">V le Bel et de </w:t>
      </w:r>
      <w:r>
        <w:t>Louis X</w:t>
      </w:r>
      <w:r w:rsidRPr="00320A86">
        <w:t xml:space="preserve">I. Le propre aïeul de </w:t>
      </w:r>
      <w:r>
        <w:t>Cha</w:t>
      </w:r>
      <w:r>
        <w:t>r</w:t>
      </w:r>
      <w:r>
        <w:t>les IX</w:t>
      </w:r>
      <w:r w:rsidRPr="00320A86">
        <w:t>, pour recouvrer sa liberté, n’hésita pas à se parjurer en ne respectant pas le traité de M</w:t>
      </w:r>
      <w:r w:rsidRPr="00320A86">
        <w:t>a</w:t>
      </w:r>
      <w:r w:rsidRPr="00320A86">
        <w:t>drid par lequel il abandonnait le duché de Bourgogne à Cha</w:t>
      </w:r>
      <w:r w:rsidRPr="00320A86">
        <w:t>r</w:t>
      </w:r>
      <w:r w:rsidRPr="00320A86">
        <w:t xml:space="preserve">les Quint, et à condamner ses fils à demeurer en otages prisonniers en Espagne. </w:t>
      </w:r>
      <w:r>
        <w:t>Charles IX</w:t>
      </w:r>
      <w:r w:rsidRPr="00320A86">
        <w:t xml:space="preserve"> n’échappa à la règle.</w:t>
      </w:r>
    </w:p>
    <w:p w14:paraId="35418B2F" w14:textId="77777777" w:rsidR="00B01930" w:rsidRPr="00320A86" w:rsidRDefault="00B01930" w:rsidP="00B01930">
      <w:pPr>
        <w:spacing w:before="120" w:after="120"/>
        <w:jc w:val="both"/>
      </w:pPr>
      <w:r w:rsidRPr="00320A86">
        <w:t xml:space="preserve">Lorsqu’il dénonçait le soutien que certains princes protestants du Saint-Empire apportaient à ses sujets rebelles, </w:t>
      </w:r>
      <w:r>
        <w:t>Charles IX</w:t>
      </w:r>
      <w:r w:rsidRPr="00320A86">
        <w:t xml:space="preserve"> s’adressait à l’Électeur palatin en ces termes : « </w:t>
      </w:r>
      <w:r w:rsidRPr="00E87B69">
        <w:rPr>
          <w:i/>
        </w:rPr>
        <w:t>c’est chose aliénée d’un sage pri</w:t>
      </w:r>
      <w:r w:rsidRPr="00E87B69">
        <w:rPr>
          <w:i/>
        </w:rPr>
        <w:t>n</w:t>
      </w:r>
      <w:r w:rsidRPr="00E87B69">
        <w:rPr>
          <w:i/>
        </w:rPr>
        <w:t>ce, favorizer les rebelles d’ung aultre, d’estre aucteur et fomantateur de tant de calamitez et de pitiez que peult amener une telle guerre, se déclarer de guayeté de cueur ennemy mortel d’ung de qui on ne r</w:t>
      </w:r>
      <w:r w:rsidRPr="00E87B69">
        <w:rPr>
          <w:i/>
        </w:rPr>
        <w:t>e</w:t>
      </w:r>
      <w:r w:rsidRPr="00E87B69">
        <w:rPr>
          <w:i/>
        </w:rPr>
        <w:t>ceut jamais que plaisirs et offices d’amytié </w:t>
      </w:r>
      <w:r>
        <w:rPr>
          <w:rStyle w:val="Appelnotedebasdep"/>
        </w:rPr>
        <w:footnoteReference w:id="488"/>
      </w:r>
      <w:r w:rsidRPr="00320A86">
        <w:t xml:space="preserve"> ». Mais lui-même faisait preuve de réalisme politique en soutenant la rébellion des Gueux des Pays-Bas contre son beau-frère et allié </w:t>
      </w:r>
      <w:r>
        <w:t>Philippe I</w:t>
      </w:r>
      <w:r w:rsidRPr="00320A86">
        <w:t xml:space="preserve">I : </w:t>
      </w:r>
    </w:p>
    <w:p w14:paraId="2E855A2D" w14:textId="77777777" w:rsidR="00B01930" w:rsidRDefault="00B01930" w:rsidP="00B01930">
      <w:pPr>
        <w:pStyle w:val="citation"/>
      </w:pPr>
    </w:p>
    <w:p w14:paraId="4CE12A7E" w14:textId="77777777" w:rsidR="00B01930" w:rsidRDefault="00B01930" w:rsidP="00B01930">
      <w:pPr>
        <w:pStyle w:val="citation"/>
      </w:pPr>
      <w:r w:rsidRPr="00320A86">
        <w:t>« J’ay faict equipper ès portz et havres de mon Royaulme ung bon nombre de vai</w:t>
      </w:r>
      <w:r w:rsidRPr="00320A86">
        <w:t>s</w:t>
      </w:r>
      <w:r w:rsidRPr="00320A86">
        <w:t>seaulx de façon que j’ay dressé une armée de mer de douze ou quinze mil hommes qui sera preste à faire voile où on voudra dedans la fin de ce mois soubz prétexte de garder mes havres et costes des dépréd</w:t>
      </w:r>
      <w:r w:rsidRPr="00320A86">
        <w:t>a</w:t>
      </w:r>
      <w:r w:rsidRPr="00320A86">
        <w:t>tions, mais en effect et intention de tenir le Roy Cath</w:t>
      </w:r>
      <w:r w:rsidRPr="00320A86">
        <w:t>o</w:t>
      </w:r>
      <w:r w:rsidRPr="00320A86">
        <w:t>lique en cervelle et donner hardiesse à ces gueulx des Païs-Bas de se remuer et entreprendre ainsi qu’ils ont faict, aiant jà prins toute la Z</w:t>
      </w:r>
      <w:r w:rsidRPr="00320A86">
        <w:t>é</w:t>
      </w:r>
      <w:r w:rsidRPr="00320A86">
        <w:t>lande et bien esbranlée la Holande</w:t>
      </w:r>
      <w:r>
        <w:t> </w:t>
      </w:r>
      <w:r w:rsidRPr="0068360D">
        <w:rPr>
          <w:rStyle w:val="Appelnotedebasdep"/>
          <w:i/>
        </w:rPr>
        <w:footnoteReference w:id="489"/>
      </w:r>
      <w:r w:rsidRPr="00320A86">
        <w:t> ».</w:t>
      </w:r>
    </w:p>
    <w:p w14:paraId="7527FBD0" w14:textId="77777777" w:rsidR="00B01930" w:rsidRPr="00320A86" w:rsidRDefault="00B01930" w:rsidP="00B01930">
      <w:pPr>
        <w:pStyle w:val="citation"/>
      </w:pPr>
    </w:p>
    <w:p w14:paraId="19F444D0" w14:textId="77777777" w:rsidR="00B01930" w:rsidRPr="00320A86" w:rsidRDefault="00B01930" w:rsidP="00B01930">
      <w:pPr>
        <w:spacing w:before="120" w:after="120"/>
        <w:jc w:val="both"/>
      </w:pPr>
      <w:r w:rsidRPr="00320A86">
        <w:t>Et lorsqu’il ordonnait à son ambassadeur à Londres de convaincre la reine Elisabeth d’entrer en guerre en Flandre : « </w:t>
      </w:r>
      <w:r w:rsidRPr="00E87B69">
        <w:rPr>
          <w:i/>
        </w:rPr>
        <w:t>Il seroit bien bon pour mes affaires que la Royne d’Angleterre, qui a tant de moyens, s’y mist de piedz et de mains […] Il sera très bon que vous continuiés a</w:t>
      </w:r>
      <w:r w:rsidRPr="00E87B69">
        <w:rPr>
          <w:i/>
        </w:rPr>
        <w:t>c</w:t>
      </w:r>
      <w:r w:rsidRPr="00E87B69">
        <w:rPr>
          <w:i/>
        </w:rPr>
        <w:t>cortement à eschaufer, tant que vous pourrés, ceste Royne à se décl</w:t>
      </w:r>
      <w:r w:rsidRPr="00E87B69">
        <w:rPr>
          <w:i/>
        </w:rPr>
        <w:t>a</w:t>
      </w:r>
      <w:r w:rsidRPr="00E87B69">
        <w:rPr>
          <w:i/>
        </w:rPr>
        <w:t>rer ouvertement, s’il est possible, contre le Roy d’Espagne </w:t>
      </w:r>
      <w:r>
        <w:rPr>
          <w:rStyle w:val="Appelnotedebasdep"/>
        </w:rPr>
        <w:footnoteReference w:id="490"/>
      </w:r>
      <w:r w:rsidRPr="00320A86">
        <w:t> ».</w:t>
      </w:r>
    </w:p>
    <w:p w14:paraId="4B00A8EB" w14:textId="77777777" w:rsidR="00B01930" w:rsidRPr="00320A86" w:rsidRDefault="00B01930" w:rsidP="00B01930">
      <w:pPr>
        <w:spacing w:before="120" w:after="120"/>
        <w:jc w:val="both"/>
      </w:pPr>
      <w:r w:rsidRPr="00320A86">
        <w:t xml:space="preserve">Après la Saint-Barthélemy, il alla encore plus loin dans le double-jeu qu’il pratiquait avec le roi d’Espagne. Lorsqu’il assurait </w:t>
      </w:r>
      <w:r>
        <w:t>Phili</w:t>
      </w:r>
      <w:r>
        <w:t>p</w:t>
      </w:r>
      <w:r>
        <w:t>pe I</w:t>
      </w:r>
      <w:r w:rsidRPr="00320A86">
        <w:t>I de son amitié, il donnait en même temps à son ministre à Bruxe</w:t>
      </w:r>
      <w:r w:rsidRPr="00320A86">
        <w:t>l</w:t>
      </w:r>
      <w:r w:rsidRPr="00320A86">
        <w:t>les l’ordre de renouer avec Gui</w:t>
      </w:r>
      <w:r w:rsidRPr="00320A86">
        <w:t>l</w:t>
      </w:r>
      <w:r w:rsidRPr="00320A86">
        <w:t>laume d’Orange, « estant bien ayse, suivant ce que je vous ay escript, que vous entreteniez vostre intell</w:t>
      </w:r>
      <w:r w:rsidRPr="00320A86">
        <w:t>i</w:t>
      </w:r>
      <w:r w:rsidRPr="00320A86">
        <w:t>gence avecques luy, pourveu que le puissiez faire de façon que ne soiez descouvert, parce qu’il se faut bien garder de faire chose par l</w:t>
      </w:r>
      <w:r w:rsidRPr="00320A86">
        <w:t>a</w:t>
      </w:r>
      <w:r w:rsidRPr="00320A86">
        <w:t>quelle ledict duc [d’Albe] cognoisse que favorisiez les entreprises d</w:t>
      </w:r>
      <w:r w:rsidRPr="00320A86">
        <w:t>u</w:t>
      </w:r>
      <w:r w:rsidRPr="00320A86">
        <w:t>dict prince ». Son ministre devrait donc se « comporter très prude</w:t>
      </w:r>
      <w:r w:rsidRPr="00320A86">
        <w:t>m</w:t>
      </w:r>
      <w:r w:rsidRPr="00320A86">
        <w:t>ment, et ne laisser rien partir de voz mains qui vous oblige et face c</w:t>
      </w:r>
      <w:r w:rsidRPr="00320A86">
        <w:t>o</w:t>
      </w:r>
      <w:r w:rsidRPr="00320A86">
        <w:t>gnoistre au duc d’Alve qu’entreteniez praticque avecques ledict prince d’Orange. Vous direz audict duc qu’il a maintenant toute occasion d’estre asse</w:t>
      </w:r>
      <w:r w:rsidRPr="00320A86">
        <w:t>u</w:t>
      </w:r>
      <w:r w:rsidRPr="00320A86">
        <w:t xml:space="preserve">ré de mon intention, tant à l’entretènement de la paix d’entre son maistre et moy, que à l’augmentation du service de Dieu ». </w:t>
      </w:r>
    </w:p>
    <w:p w14:paraId="735D128A" w14:textId="77777777" w:rsidR="00B01930" w:rsidRPr="00320A86" w:rsidRDefault="00B01930" w:rsidP="00B01930">
      <w:pPr>
        <w:spacing w:before="120" w:after="120"/>
        <w:jc w:val="both"/>
      </w:pPr>
      <w:r>
        <w:t>Charles IX</w:t>
      </w:r>
      <w:r w:rsidRPr="00320A86">
        <w:t xml:space="preserve"> poussa le réalisme politique jusqu’à demander au duc d’Albe de faire passer au fil de l’épée les huguenots, venus au secours des Gueux, qu’il avait capturés après la défaite de Genlis et la prise de Mons, et que lui-même avait favorisés secrètement ! Si le duc d’Albe répondait à son ministre à Bruxe</w:t>
      </w:r>
      <w:r w:rsidRPr="00320A86">
        <w:t>l</w:t>
      </w:r>
      <w:r w:rsidRPr="00320A86">
        <w:t>les « que c’est tacitement le requérir de faire mourir lesdicts prisonniers et faire tailler en pièces ceulx d</w:t>
      </w:r>
      <w:r w:rsidRPr="00320A86">
        <w:t>u</w:t>
      </w:r>
      <w:r w:rsidRPr="00320A86">
        <w:t>dict Mons, vous luy direz que c’est ce qu’il doibt faire, et qu’il se fera ung très grand tort, et à toute la chrestienté, s’il faict autrement ». Mais sur ceci, il fallait garder le secret et n’en parler « </w:t>
      </w:r>
      <w:r w:rsidRPr="00E87B69">
        <w:rPr>
          <w:i/>
        </w:rPr>
        <w:t>audict duc comme de vous-mesmes, sans qu’aucun sçache que je le vous aye commandé </w:t>
      </w:r>
      <w:r>
        <w:rPr>
          <w:rStyle w:val="Appelnotedebasdep"/>
        </w:rPr>
        <w:footnoteReference w:id="491"/>
      </w:r>
      <w:r w:rsidRPr="00320A86">
        <w:t> ».</w:t>
      </w:r>
    </w:p>
    <w:p w14:paraId="549D29CC" w14:textId="77777777" w:rsidR="00B01930" w:rsidRPr="00320A86" w:rsidRDefault="00B01930" w:rsidP="00B01930">
      <w:pPr>
        <w:spacing w:before="120" w:after="120"/>
        <w:jc w:val="both"/>
      </w:pPr>
      <w:r w:rsidRPr="00320A86">
        <w:t>C’est toujours au nom d’un réalisme politique, que le Saint-Siège et le Roi catholique estimaient être une trahison de la Chrétienté, que le Roi Très-Chrétien cultivait l’amitié des Infidèles, et refusait d’entrer dans la Ligue contre le Sultan. Alors qu’il félicitait cette de</w:t>
      </w:r>
      <w:r w:rsidRPr="00320A86">
        <w:t>r</w:t>
      </w:r>
      <w:r w:rsidRPr="00320A86">
        <w:t>nière pour la victoire de Lépante, lui, le fils aîné de l’Eglise se réjoui</w:t>
      </w:r>
      <w:r w:rsidRPr="00320A86">
        <w:t>s</w:t>
      </w:r>
      <w:r w:rsidRPr="00320A86">
        <w:t>sait de voir le sultan refaire ses forces : « il pourra donner beaucoup d’affection à ses contraires</w:t>
      </w:r>
      <w:r>
        <w:t> </w:t>
      </w:r>
      <w:r>
        <w:rPr>
          <w:rStyle w:val="Appelnotedebasdep"/>
        </w:rPr>
        <w:footnoteReference w:id="492"/>
      </w:r>
      <w:r w:rsidRPr="00320A86">
        <w:t> ». Il se réjouissait que le soutien secret qu’il apportait aux Gueux des Pays-Bas eût provoqué la retraite de l’armée navale de la Ligue : « la façon de laquelle je me suis conduit à l’endroit de mes voisins a tellement entretenu les Espagnols en crai</w:t>
      </w:r>
      <w:r w:rsidRPr="00320A86">
        <w:t>n</w:t>
      </w:r>
      <w:r w:rsidRPr="00320A86">
        <w:t>te, que leurs desseins ont esté entièrement renversez, et me conjouis avec le G. S. de ce qu’ils ont eu si peu d’effect</w:t>
      </w:r>
      <w:r>
        <w:t> </w:t>
      </w:r>
      <w:r>
        <w:rPr>
          <w:rStyle w:val="Appelnotedebasdep"/>
        </w:rPr>
        <w:footnoteReference w:id="493"/>
      </w:r>
      <w:r w:rsidRPr="00320A86">
        <w:t>. J’ay esté sollicité vivement d’entrer en cette ligue, mais d’autant que au besoin l’amy se faist cognoistre et que les affaires dudit G. S. estoient en nécessité, je me suis résolu non seulement n’y entendre, mais ay voulu comme j’ay faict le favoriser en ce que j’ay peu</w:t>
      </w:r>
      <w:r>
        <w:t> </w:t>
      </w:r>
      <w:r>
        <w:rPr>
          <w:rStyle w:val="Appelnotedebasdep"/>
        </w:rPr>
        <w:footnoteReference w:id="494"/>
      </w:r>
      <w:r w:rsidRPr="00320A86">
        <w:t> ».</w:t>
      </w:r>
    </w:p>
    <w:p w14:paraId="2C596614" w14:textId="77777777" w:rsidR="00B01930" w:rsidRPr="00320A86" w:rsidRDefault="00B01930" w:rsidP="00B01930">
      <w:pPr>
        <w:spacing w:before="120" w:after="120"/>
        <w:jc w:val="both"/>
      </w:pPr>
      <w:r w:rsidRPr="00320A86">
        <w:t xml:space="preserve">Il faisait passer avant tout l’intérêt bien compris de son royaume qui était de le soustraire à l’hégémonie de l’Espagne. Il estimait que cette Ligue n’était qu’un instrument entre les mains de </w:t>
      </w:r>
      <w:r>
        <w:t>Philippe I</w:t>
      </w:r>
      <w:r w:rsidRPr="00320A86">
        <w:t>I pour mieux assurer sa domin</w:t>
      </w:r>
      <w:r w:rsidRPr="00320A86">
        <w:t>a</w:t>
      </w:r>
      <w:r w:rsidRPr="00320A86">
        <w:t>tion sur la Chrétienté, car il ne croyait pas un seul instant à la sincérité de celui qui se voulait le champion du catholicisme. Le roi d’Espagne, « </w:t>
      </w:r>
      <w:r w:rsidRPr="00E87B69">
        <w:rPr>
          <w:i/>
        </w:rPr>
        <w:t>soubz couleur de piété et de religion et de s’en dire et monstrer faulteur </w:t>
      </w:r>
      <w:r w:rsidRPr="00320A86">
        <w:t>», dissimulait son projet de dom</w:t>
      </w:r>
      <w:r w:rsidRPr="00320A86">
        <w:t>i</w:t>
      </w:r>
      <w:r w:rsidRPr="00320A86">
        <w:t>nation de la Chrétienté</w:t>
      </w:r>
      <w:r>
        <w:t> </w:t>
      </w:r>
      <w:r>
        <w:rPr>
          <w:rStyle w:val="Appelnotedebasdep"/>
        </w:rPr>
        <w:footnoteReference w:id="495"/>
      </w:r>
      <w:r w:rsidRPr="00320A86">
        <w:t>. « </w:t>
      </w:r>
      <w:r w:rsidRPr="00E87B69">
        <w:rPr>
          <w:i/>
        </w:rPr>
        <w:t>Tous ses desseings, praticques et m</w:t>
      </w:r>
      <w:r w:rsidRPr="00E87B69">
        <w:rPr>
          <w:i/>
        </w:rPr>
        <w:t>e</w:t>
      </w:r>
      <w:r w:rsidRPr="00E87B69">
        <w:rPr>
          <w:i/>
        </w:rPr>
        <w:t>nées » ne tendaient qu’à lui permettre de « s’accroistre et faire monarque dessus toute la Chrestienté et à diminuer la grandeur [du roi de Fra</w:t>
      </w:r>
      <w:r w:rsidRPr="00E87B69">
        <w:rPr>
          <w:i/>
        </w:rPr>
        <w:t>n</w:t>
      </w:r>
      <w:r w:rsidRPr="00E87B69">
        <w:rPr>
          <w:i/>
        </w:rPr>
        <w:t>ce] le plus qu’il pourra comme le seul obstacle qui le peult enga</w:t>
      </w:r>
      <w:r w:rsidRPr="00E87B69">
        <w:rPr>
          <w:i/>
        </w:rPr>
        <w:t>r</w:t>
      </w:r>
      <w:r w:rsidRPr="00E87B69">
        <w:rPr>
          <w:i/>
        </w:rPr>
        <w:t>der de parvenir à ses mauvaises et ambitieuses intentions </w:t>
      </w:r>
      <w:r>
        <w:rPr>
          <w:rStyle w:val="Appelnotedebasdep"/>
        </w:rPr>
        <w:footnoteReference w:id="496"/>
      </w:r>
      <w:r w:rsidRPr="00320A86">
        <w:t xml:space="preserve"> ». </w:t>
      </w:r>
    </w:p>
    <w:p w14:paraId="7CADE77A" w14:textId="77777777" w:rsidR="00B01930" w:rsidRPr="00320A86" w:rsidRDefault="00B01930" w:rsidP="00B01930">
      <w:pPr>
        <w:spacing w:before="120" w:after="120"/>
        <w:jc w:val="both"/>
      </w:pPr>
      <w:r w:rsidRPr="00320A86">
        <w:t>La défense de la religion n’était qu’un prétexte pour masquer et justifier sa soif de puissance et les intérêts de sa couronne : aux Pays-Bas il ne combattait pas l’hérésie, mais des rebelles à son autorité. En France, son seul but était d’entretenir la guerre civile : son ambass</w:t>
      </w:r>
      <w:r w:rsidRPr="00320A86">
        <w:t>a</w:t>
      </w:r>
      <w:r w:rsidRPr="00320A86">
        <w:t>deur, don Francés  de Àlava, « </w:t>
      </w:r>
      <w:r w:rsidRPr="00E87B69">
        <w:rPr>
          <w:i/>
        </w:rPr>
        <w:t>va su</w:t>
      </w:r>
      <w:r w:rsidRPr="00E87B69">
        <w:rPr>
          <w:i/>
        </w:rPr>
        <w:t>s</w:t>
      </w:r>
      <w:r w:rsidRPr="00E87B69">
        <w:rPr>
          <w:i/>
        </w:rPr>
        <w:t>citant quelques factieux ausquelz il a acointance de tout temps pour fère, s’il peult, mutiner ce menu peuple, semant infinies meschancetez et pernitieux bruitz pour servir à son dessaing, […] pour entretenir la division et l’innymitié entre mes subgectz et empescher que je n’establisse mon auctorité et la paix en mon Royaulme </w:t>
      </w:r>
      <w:r>
        <w:rPr>
          <w:rStyle w:val="Appelnotedebasdep"/>
        </w:rPr>
        <w:footnoteReference w:id="497"/>
      </w:r>
      <w:r w:rsidRPr="00320A86">
        <w:t xml:space="preserve"> ». </w:t>
      </w:r>
    </w:p>
    <w:p w14:paraId="369627D6" w14:textId="77777777" w:rsidR="00B01930" w:rsidRPr="00320A86" w:rsidRDefault="00B01930" w:rsidP="00B01930">
      <w:pPr>
        <w:spacing w:before="120" w:after="120"/>
        <w:jc w:val="both"/>
      </w:pPr>
      <w:r w:rsidRPr="00320A86">
        <w:t>Mais, comment justifier l’ordre d’exécuter sans jugement les se</w:t>
      </w:r>
      <w:r w:rsidRPr="00320A86">
        <w:t>i</w:t>
      </w:r>
      <w:r w:rsidRPr="00320A86">
        <w:t>gneurs pr</w:t>
      </w:r>
      <w:r w:rsidRPr="00320A86">
        <w:t>o</w:t>
      </w:r>
      <w:r w:rsidRPr="00320A86">
        <w:t>testants, car c’était un manquement à la parole qu’il leur avait donnée par l’édit de Saint-Germain deux ans plus tôt</w:t>
      </w:r>
      <w:r>
        <w:t> </w:t>
      </w:r>
      <w:r>
        <w:rPr>
          <w:rStyle w:val="Appelnotedebasdep"/>
        </w:rPr>
        <w:footnoteReference w:id="498"/>
      </w:r>
      <w:r w:rsidRPr="00320A86">
        <w:t> ? Nous avons vu sa justification : il n’y avait aucune infraction à son édit de pacification. Il ne faisait que punir des r</w:t>
      </w:r>
      <w:r w:rsidRPr="00320A86">
        <w:t>e</w:t>
      </w:r>
      <w:r w:rsidRPr="00320A86">
        <w:t>belles à son pouvoir absolu. L’amiral ne lui avait laissé le choix qu’entre la guerre avec l’Espagne et la guerre civile : avec ou sans sa permission, les h</w:t>
      </w:r>
      <w:r w:rsidRPr="00320A86">
        <w:t>u</w:t>
      </w:r>
      <w:r w:rsidRPr="00320A86">
        <w:t xml:space="preserve">guenots iraient au secours des Gueux. </w:t>
      </w:r>
      <w:r>
        <w:t>Charles IX</w:t>
      </w:r>
      <w:r w:rsidRPr="00320A86">
        <w:t xml:space="preserve"> ne pouvait pas permettre à C</w:t>
      </w:r>
      <w:r w:rsidRPr="00320A86">
        <w:t>o</w:t>
      </w:r>
      <w:r w:rsidRPr="00320A86">
        <w:t xml:space="preserve">ligny de lancer une expédition militaire aux Pays-Bas, car ce serait un casus belli avec </w:t>
      </w:r>
      <w:r>
        <w:t>Philippe I</w:t>
      </w:r>
      <w:r w:rsidRPr="00320A86">
        <w:t xml:space="preserve">I. Or il savait pertinemment que l’état de son royaume ne lui permettait pas de faire une guerre ouverte à l’Espagne, ce serait l’exposer à un désastre militaire qui serait encore plus grand que celui éprouvé à Saint-Quentin par son père </w:t>
      </w:r>
      <w:r>
        <w:t>Henri I</w:t>
      </w:r>
      <w:r w:rsidRPr="00320A86">
        <w:t xml:space="preserve">I. </w:t>
      </w:r>
    </w:p>
    <w:p w14:paraId="3983019A" w14:textId="77777777" w:rsidR="00B01930" w:rsidRPr="00320A86" w:rsidRDefault="00B01930" w:rsidP="00B01930">
      <w:pPr>
        <w:spacing w:before="120" w:after="120"/>
        <w:jc w:val="both"/>
      </w:pPr>
      <w:r w:rsidRPr="00320A86">
        <w:t>Pour éviter une nouvelle guerre civile, il estima qu’il ne lui restait d’autre choix que de priver les huguenots du seul chef qu’il leur re</w:t>
      </w:r>
      <w:r w:rsidRPr="00320A86">
        <w:t>s</w:t>
      </w:r>
      <w:r w:rsidRPr="00320A86">
        <w:t>tait. En vertu de son pouvoir de justice, et au nom de la raison d’État, le roi de France pouvait, dans des circonstances exceptionnelles, s’affranchir des institutions judiciaires qui émanaient de lui, prono</w:t>
      </w:r>
      <w:r w:rsidRPr="00320A86">
        <w:t>n</w:t>
      </w:r>
      <w:r w:rsidRPr="00320A86">
        <w:t>cer la peine capitale et la faire exécuter. Bien plus que son droit, c’était son devoir quand il s’agissait de la sauvegarde de son royaume et de la paix pour ses peuples. Il avait décidé de faire exécuter le pri</w:t>
      </w:r>
      <w:r w:rsidRPr="00320A86">
        <w:t>n</w:t>
      </w:r>
      <w:r w:rsidRPr="00320A86">
        <w:t>ce de Condé sur le champ de bataille de Jarnac pour éviter le scandale du jugement d’un prince du sang, de sa condamnation à mort et de son exécution. Il avait tiré la leçon de l’expérience désastreuse du conn</w:t>
      </w:r>
      <w:r w:rsidRPr="00320A86">
        <w:t>é</w:t>
      </w:r>
      <w:r w:rsidRPr="00320A86">
        <w:t xml:space="preserve">table de Bourbon et de la première mise en jugement de Condé par son frère </w:t>
      </w:r>
      <w:r>
        <w:t>François I</w:t>
      </w:r>
      <w:r w:rsidRPr="00320A86">
        <w:t>I après la conjuration d’Amboise. C’est ce que f</w:t>
      </w:r>
      <w:r w:rsidRPr="00320A86">
        <w:t>e</w:t>
      </w:r>
      <w:r w:rsidRPr="00320A86">
        <w:t xml:space="preserve">rait son frère </w:t>
      </w:r>
      <w:r>
        <w:t>Henri I</w:t>
      </w:r>
      <w:r w:rsidRPr="00320A86">
        <w:t xml:space="preserve">II en faisant exécuter les Guise à Blois et ce que ferait plus tard </w:t>
      </w:r>
      <w:r>
        <w:t>Louis X</w:t>
      </w:r>
      <w:r w:rsidRPr="00320A86">
        <w:t>III en faisant exécuter Concini dans la cour du Louvre. Il prononça donc la condamnation à mort de Coligny pour crime de lèse-majesté et le fit exécuter à Paris. Sans doute avait-il m</w:t>
      </w:r>
      <w:r w:rsidRPr="00320A86">
        <w:t>é</w:t>
      </w:r>
      <w:r w:rsidRPr="00320A86">
        <w:t>dité d’en faire porter la responsabilité aux Guise, dont il se serait aussi débarrassé. Mais le Roi n’avait pas prévu que l’amiral réchapperait de l’arquebusade dont il serait la vi</w:t>
      </w:r>
      <w:r w:rsidRPr="00320A86">
        <w:t>c</w:t>
      </w:r>
      <w:r w:rsidRPr="00320A86">
        <w:t>time</w:t>
      </w:r>
      <w:r>
        <w:t> </w:t>
      </w:r>
      <w:r>
        <w:rPr>
          <w:rStyle w:val="Appelnotedebasdep"/>
        </w:rPr>
        <w:footnoteReference w:id="499"/>
      </w:r>
      <w:r w:rsidRPr="00320A86">
        <w:t xml:space="preserve">. </w:t>
      </w:r>
    </w:p>
    <w:p w14:paraId="71E14802" w14:textId="77777777" w:rsidR="00B01930" w:rsidRPr="00320A86" w:rsidRDefault="00B01930" w:rsidP="00B01930">
      <w:pPr>
        <w:spacing w:before="120" w:after="120"/>
        <w:jc w:val="both"/>
      </w:pPr>
    </w:p>
    <w:p w14:paraId="6A947779" w14:textId="77777777" w:rsidR="00B01930" w:rsidRPr="00320A86" w:rsidRDefault="00B01930" w:rsidP="00B01930">
      <w:pPr>
        <w:pStyle w:val="planche"/>
      </w:pPr>
      <w:bookmarkStart w:id="180" w:name="Analyser_idees_pol_pt_2_texte_03_XI"/>
      <w:r w:rsidRPr="00320A86">
        <w:t xml:space="preserve">XI. </w:t>
      </w:r>
      <w:r>
        <w:t>Charles IX</w:t>
      </w:r>
      <w:r w:rsidRPr="00320A86">
        <w:t>, disciple de Machiavel ?</w:t>
      </w:r>
    </w:p>
    <w:bookmarkEnd w:id="180"/>
    <w:p w14:paraId="5CB85BCF" w14:textId="77777777" w:rsidR="00B01930" w:rsidRDefault="00B01930" w:rsidP="00B01930">
      <w:pPr>
        <w:spacing w:before="120" w:after="120"/>
        <w:jc w:val="both"/>
      </w:pPr>
    </w:p>
    <w:p w14:paraId="27A701E5"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4D008508" w14:textId="77777777" w:rsidR="00B01930" w:rsidRPr="00320A86" w:rsidRDefault="00B01930" w:rsidP="00B01930">
      <w:pPr>
        <w:spacing w:before="120" w:after="120"/>
        <w:jc w:val="both"/>
      </w:pPr>
      <w:r>
        <w:t>Charles IX</w:t>
      </w:r>
      <w:r w:rsidRPr="00320A86">
        <w:t xml:space="preserve"> était-il pour autant un disciple de Machiavel ? Que les œuvres de Machiavel fussent connues de </w:t>
      </w:r>
      <w:r>
        <w:t>Charles IX</w:t>
      </w:r>
      <w:r w:rsidRPr="00320A86">
        <w:t>, c’est vraise</w:t>
      </w:r>
      <w:r w:rsidRPr="00320A86">
        <w:t>m</w:t>
      </w:r>
      <w:r w:rsidRPr="00320A86">
        <w:t>blable. À son avènement, la dernière édition du Prince en français d</w:t>
      </w:r>
      <w:r w:rsidRPr="00320A86">
        <w:t>a</w:t>
      </w:r>
      <w:r w:rsidRPr="00320A86">
        <w:t>tait de 1553, et celle des Di</w:t>
      </w:r>
      <w:r w:rsidRPr="00320A86">
        <w:t>s</w:t>
      </w:r>
      <w:r w:rsidRPr="00320A86">
        <w:t>cours de 1559. D’ailleurs il aurait pu lire ces ouvrages en italien. On peut douter que ce fût son précepteur Amyot et les théoriciens politiques que nous avons vus, qui les lui eussent recommandés. En revanche, le Florentin Albert de Gondi que la Reine mère avait associé à son éducation les lui fit certainement conna</w:t>
      </w:r>
      <w:r w:rsidRPr="00320A86">
        <w:t>î</w:t>
      </w:r>
      <w:r w:rsidRPr="00320A86">
        <w:t>tre. Faut-il voir dans la réédition des deux œuvres en 1571, avec privilège, la main du Roi ? Peut-être.</w:t>
      </w:r>
    </w:p>
    <w:p w14:paraId="27FC71C1" w14:textId="77777777" w:rsidR="00B01930" w:rsidRPr="00320A86" w:rsidRDefault="00B01930" w:rsidP="00B01930">
      <w:pPr>
        <w:spacing w:before="120" w:after="120"/>
        <w:jc w:val="both"/>
      </w:pPr>
      <w:r w:rsidRPr="00320A86">
        <w:t>Au lendemain de la Saint-Barthélemy, les pamphlets huguenots ne manqu</w:t>
      </w:r>
      <w:r w:rsidRPr="00320A86">
        <w:t>è</w:t>
      </w:r>
      <w:r w:rsidRPr="00320A86">
        <w:t>rent pas de l’en accuser</w:t>
      </w:r>
      <w:r>
        <w:t> </w:t>
      </w:r>
      <w:r>
        <w:rPr>
          <w:rStyle w:val="Appelnotedebasdep"/>
        </w:rPr>
        <w:footnoteReference w:id="500"/>
      </w:r>
      <w:r w:rsidRPr="00320A86">
        <w:t>. Le Tocsain contre les Massacreurs  reproche à Cath</w:t>
      </w:r>
      <w:r w:rsidRPr="00320A86">
        <w:t>e</w:t>
      </w:r>
      <w:r w:rsidRPr="00320A86">
        <w:t>rine de Médicis d’avoir « </w:t>
      </w:r>
      <w:r w:rsidRPr="00E87B69">
        <w:rPr>
          <w:i/>
        </w:rPr>
        <w:t>fait faire leçon » au Roi son fils « surtout des traités de cest athée de Machiavel, dont le but a esté plustost d’enseigner le Prince à se faire craindre que aimer, et à règner en grandeur qu’à bien régner </w:t>
      </w:r>
      <w:r>
        <w:rPr>
          <w:rStyle w:val="Appelnotedebasdep"/>
        </w:rPr>
        <w:footnoteReference w:id="501"/>
      </w:r>
      <w:r w:rsidRPr="00320A86">
        <w:t> ». La même accusation est po</w:t>
      </w:r>
      <w:r w:rsidRPr="00320A86">
        <w:t>r</w:t>
      </w:r>
      <w:r w:rsidRPr="00320A86">
        <w:t>tée dans le Réveille-matin des Français : Catherine faisait pr</w:t>
      </w:r>
      <w:r w:rsidRPr="00320A86">
        <w:t>a</w:t>
      </w:r>
      <w:r w:rsidRPr="00320A86">
        <w:t>tiquer à son fils « </w:t>
      </w:r>
      <w:r w:rsidRPr="00E87B69">
        <w:rPr>
          <w:i/>
        </w:rPr>
        <w:t>une des leçons de Machiavelli, qui est de ne garder aucune foy, qu’autant qu’on la cuidera tourner à son advantage </w:t>
      </w:r>
      <w:r>
        <w:rPr>
          <w:rStyle w:val="Appelnotedebasdep"/>
        </w:rPr>
        <w:footnoteReference w:id="502"/>
      </w:r>
      <w:r w:rsidRPr="00320A86">
        <w:t> ». Sa mère et ses conseillers lui répétaient souvent qu’un prince ne devait pas t</w:t>
      </w:r>
      <w:r w:rsidRPr="00320A86">
        <w:t>e</w:t>
      </w:r>
      <w:r w:rsidRPr="00320A86">
        <w:t xml:space="preserve">nir sa parole, si son intérêt et celui de son </w:t>
      </w:r>
      <w:r>
        <w:t>État</w:t>
      </w:r>
      <w:r w:rsidRPr="00320A86">
        <w:t xml:space="preserve"> s’y opposaient : « </w:t>
      </w:r>
      <w:r w:rsidRPr="00E87B69">
        <w:rPr>
          <w:i/>
        </w:rPr>
        <w:t>on ramentoit [rappelait] [des exemples] ordinairement</w:t>
      </w:r>
      <w:r w:rsidRPr="00320A86">
        <w:t xml:space="preserve"> </w:t>
      </w:r>
      <w:r w:rsidRPr="00E87B69">
        <w:rPr>
          <w:i/>
        </w:rPr>
        <w:t>au Roy, avec le ch</w:t>
      </w:r>
      <w:r w:rsidRPr="00E87B69">
        <w:rPr>
          <w:i/>
        </w:rPr>
        <w:t>a</w:t>
      </w:r>
      <w:r w:rsidRPr="00E87B69">
        <w:rPr>
          <w:i/>
        </w:rPr>
        <w:t>pitre dixhuitième du livre du prince de Machiavelli </w:t>
      </w:r>
      <w:r>
        <w:rPr>
          <w:rStyle w:val="Appelnotedebasdep"/>
        </w:rPr>
        <w:footnoteReference w:id="503"/>
      </w:r>
      <w:r w:rsidRPr="00320A86">
        <w:t xml:space="preserve">, </w:t>
      </w:r>
      <w:r w:rsidRPr="00E87B69">
        <w:rPr>
          <w:i/>
        </w:rPr>
        <w:t>où il traitte comme c’est que les princes doyvent garder la foy : surquoy ses mai</w:t>
      </w:r>
      <w:r w:rsidRPr="00E87B69">
        <w:rPr>
          <w:i/>
        </w:rPr>
        <w:t>s</w:t>
      </w:r>
      <w:r w:rsidRPr="00E87B69">
        <w:rPr>
          <w:i/>
        </w:rPr>
        <w:t>tres d’escole (aussi peu soucieux de sa conscience que de sa réput</w:t>
      </w:r>
      <w:r w:rsidRPr="00E87B69">
        <w:rPr>
          <w:i/>
        </w:rPr>
        <w:t>a</w:t>
      </w:r>
      <w:r w:rsidRPr="00E87B69">
        <w:rPr>
          <w:i/>
        </w:rPr>
        <w:t>tion) font des additions &amp; gloses plus dangereuses que le même te</w:t>
      </w:r>
      <w:r w:rsidRPr="00E87B69">
        <w:rPr>
          <w:i/>
        </w:rPr>
        <w:t>x</w:t>
      </w:r>
      <w:r w:rsidRPr="00E87B69">
        <w:rPr>
          <w:i/>
        </w:rPr>
        <w:t>te </w:t>
      </w:r>
      <w:r>
        <w:rPr>
          <w:rStyle w:val="Appelnotedebasdep"/>
        </w:rPr>
        <w:footnoteReference w:id="504"/>
      </w:r>
      <w:r w:rsidRPr="00320A86">
        <w:t> ».</w:t>
      </w:r>
    </w:p>
    <w:p w14:paraId="1AA4B788" w14:textId="77777777" w:rsidR="00B01930" w:rsidRPr="00320A86" w:rsidRDefault="00B01930" w:rsidP="00B01930">
      <w:pPr>
        <w:spacing w:before="120" w:after="120"/>
        <w:jc w:val="both"/>
      </w:pPr>
      <w:r w:rsidRPr="00320A86">
        <w:t>Ses « maistres et instituteurs » lui avaient appris à « </w:t>
      </w:r>
      <w:r w:rsidRPr="00E87B69">
        <w:rPr>
          <w:i/>
        </w:rPr>
        <w:t>dissimuler sa foy, sa r</w:t>
      </w:r>
      <w:r w:rsidRPr="00E87B69">
        <w:rPr>
          <w:i/>
        </w:rPr>
        <w:t>e</w:t>
      </w:r>
      <w:r w:rsidRPr="00E87B69">
        <w:rPr>
          <w:i/>
        </w:rPr>
        <w:t>ligion, ses pensées, estre maistre de son visage </w:t>
      </w:r>
      <w:r>
        <w:rPr>
          <w:rStyle w:val="Appelnotedebasdep"/>
        </w:rPr>
        <w:footnoteReference w:id="505"/>
      </w:r>
      <w:r w:rsidRPr="00320A86">
        <w:t> ». L’historien protestant Jean de Serres reprend cette accusation de di</w:t>
      </w:r>
      <w:r w:rsidRPr="00320A86">
        <w:t>s</w:t>
      </w:r>
      <w:r w:rsidRPr="00320A86">
        <w:t>simulation : il était « </w:t>
      </w:r>
      <w:r w:rsidRPr="00E87B69">
        <w:rPr>
          <w:i/>
        </w:rPr>
        <w:t>secret en ses de</w:t>
      </w:r>
      <w:r w:rsidRPr="00E87B69">
        <w:rPr>
          <w:i/>
        </w:rPr>
        <w:t>s</w:t>
      </w:r>
      <w:r w:rsidRPr="00E87B69">
        <w:rPr>
          <w:i/>
        </w:rPr>
        <w:t>seins, grand dissimulateur, et qui donnoit aisément pli à son visage, ce que ses précepteurs lui avoient maintes fois recordé, car du commencement il étoit doux et o</w:t>
      </w:r>
      <w:r w:rsidRPr="00E87B69">
        <w:rPr>
          <w:i/>
        </w:rPr>
        <w:t>u</w:t>
      </w:r>
      <w:r w:rsidRPr="00E87B69">
        <w:rPr>
          <w:i/>
        </w:rPr>
        <w:t>vert </w:t>
      </w:r>
      <w:r>
        <w:rPr>
          <w:rStyle w:val="Appelnotedebasdep"/>
        </w:rPr>
        <w:footnoteReference w:id="506"/>
      </w:r>
      <w:r w:rsidRPr="00320A86">
        <w:t> ». Brantôme, porte-parole de cette vieille noblesse de France qui haïssait et calomniait les Italiens en général, surtout les Florentins, les Gondi et le maréchal de Retz en particulier, « </w:t>
      </w:r>
      <w:r w:rsidRPr="00E87B69">
        <w:rPr>
          <w:i/>
        </w:rPr>
        <w:t>grand menteur et dissimul</w:t>
      </w:r>
      <w:r w:rsidRPr="00E87B69">
        <w:rPr>
          <w:i/>
        </w:rPr>
        <w:t>a</w:t>
      </w:r>
      <w:r w:rsidRPr="00E87B69">
        <w:rPr>
          <w:i/>
        </w:rPr>
        <w:t>teur </w:t>
      </w:r>
      <w:r w:rsidRPr="00320A86">
        <w:t>», qui avait appris au Roi à dissimuler, « </w:t>
      </w:r>
      <w:r w:rsidRPr="00E87B69">
        <w:rPr>
          <w:i/>
        </w:rPr>
        <w:t>à cause de quoy il ne faisoit point de difficulté de faucer sa foy toutesfois et qua</w:t>
      </w:r>
      <w:r w:rsidRPr="00E87B69">
        <w:rPr>
          <w:i/>
        </w:rPr>
        <w:t>n</w:t>
      </w:r>
      <w:r w:rsidRPr="00E87B69">
        <w:rPr>
          <w:i/>
        </w:rPr>
        <w:t>tes qu’il vouloit et luy venoit en fantaisie </w:t>
      </w:r>
      <w:r w:rsidRPr="00320A86">
        <w:t>». Pou</w:t>
      </w:r>
      <w:r w:rsidRPr="00320A86">
        <w:t>r</w:t>
      </w:r>
      <w:r w:rsidRPr="00320A86">
        <w:t>tant « </w:t>
      </w:r>
      <w:r w:rsidRPr="00E87B69">
        <w:rPr>
          <w:i/>
        </w:rPr>
        <w:t>de son naturel il ne l’estoit nullement en sa jeunesse, estant fort ouvert, prompt et actif, vigilant, esveillé et peu songeart, comme doit estre tout dissim</w:t>
      </w:r>
      <w:r w:rsidRPr="00E87B69">
        <w:rPr>
          <w:i/>
        </w:rPr>
        <w:t>u</w:t>
      </w:r>
      <w:r w:rsidRPr="00E87B69">
        <w:rPr>
          <w:i/>
        </w:rPr>
        <w:t>lateur </w:t>
      </w:r>
      <w:r w:rsidRPr="00E87B69">
        <w:rPr>
          <w:rStyle w:val="Appelnotedebasdep"/>
          <w:i/>
        </w:rPr>
        <w:footnoteReference w:id="507"/>
      </w:r>
      <w:r w:rsidRPr="00E87B69">
        <w:rPr>
          <w:i/>
        </w:rPr>
        <w:t> ». Jacques</w:t>
      </w:r>
      <w:r w:rsidRPr="00320A86">
        <w:t xml:space="preserve"> Amyot, son ancien précepteur, dev</w:t>
      </w:r>
      <w:r w:rsidRPr="00320A86">
        <w:t>e</w:t>
      </w:r>
      <w:r w:rsidRPr="00320A86">
        <w:t xml:space="preserve">nu son grand-aumônier, désapprouva le mensonge auquel </w:t>
      </w:r>
      <w:r>
        <w:t>Charles IX</w:t>
      </w:r>
      <w:r w:rsidRPr="00320A86">
        <w:t xml:space="preserve"> eut recours pour décider le cardinal de Bourbon à célébrer la messe de mariage de sa sœur avec Henri de Navarre, en prétendant que la dispense papale était arrivée, alors qu’il n’en était rien. Il refusa d’assister à la cér</w:t>
      </w:r>
      <w:r w:rsidRPr="00320A86">
        <w:t>é</w:t>
      </w:r>
      <w:r w:rsidRPr="00320A86">
        <w:t>monie</w:t>
      </w:r>
      <w:r>
        <w:t> </w:t>
      </w:r>
      <w:r>
        <w:rPr>
          <w:rStyle w:val="Appelnotedebasdep"/>
        </w:rPr>
        <w:footnoteReference w:id="508"/>
      </w:r>
      <w:r w:rsidRPr="00320A86">
        <w:t>.</w:t>
      </w:r>
    </w:p>
    <w:p w14:paraId="3C219BA5" w14:textId="77777777" w:rsidR="00B01930" w:rsidRPr="00320A86" w:rsidRDefault="00B01930" w:rsidP="00B01930">
      <w:pPr>
        <w:spacing w:before="120" w:after="120"/>
        <w:jc w:val="both"/>
      </w:pPr>
      <w:r w:rsidRPr="00320A86">
        <w:t xml:space="preserve">Ces qualités de secret et de prudence, aux yeux de son prédicateur Sorbin de Sainte Foy, étaient indispensables à un souverain, et </w:t>
      </w:r>
      <w:r>
        <w:t>Cha</w:t>
      </w:r>
      <w:r>
        <w:t>r</w:t>
      </w:r>
      <w:r>
        <w:t>les IX</w:t>
      </w:r>
      <w:r w:rsidRPr="00320A86">
        <w:t xml:space="preserve"> les poss</w:t>
      </w:r>
      <w:r w:rsidRPr="00320A86">
        <w:t>é</w:t>
      </w:r>
      <w:r w:rsidRPr="00320A86">
        <w:t>dait</w:t>
      </w:r>
      <w:r>
        <w:t> </w:t>
      </w:r>
      <w:r>
        <w:rPr>
          <w:rStyle w:val="Appelnotedebasdep"/>
        </w:rPr>
        <w:footnoteReference w:id="509"/>
      </w:r>
      <w:r w:rsidRPr="00320A86">
        <w:t> : « </w:t>
      </w:r>
      <w:r w:rsidRPr="00E87B69">
        <w:rPr>
          <w:i/>
        </w:rPr>
        <w:t>S’il estoit question de cacher prudemment en son cueur chose qui ne méritast d’estre descouverte, pour importer au se</w:t>
      </w:r>
      <w:r w:rsidRPr="00E87B69">
        <w:rPr>
          <w:i/>
        </w:rPr>
        <w:t>r</w:t>
      </w:r>
      <w:r w:rsidRPr="00E87B69">
        <w:rPr>
          <w:i/>
        </w:rPr>
        <w:t>vice de Dieu et soulagement de son peuple, il y marchoit avec une prudence si très grande qu’il n’y avoit celuy qui, après l’exécution de ses desseins, n’admirast sa froidure extérieure pleine d’ardeur en son cueur </w:t>
      </w:r>
      <w:r>
        <w:rPr>
          <w:rStyle w:val="Appelnotedebasdep"/>
        </w:rPr>
        <w:footnoteReference w:id="510"/>
      </w:r>
      <w:r w:rsidRPr="00320A86">
        <w:t xml:space="preserve"> ». Lorsqu’après la Saint-Barthélemy, </w:t>
      </w:r>
      <w:r>
        <w:t>Charles IX</w:t>
      </w:r>
      <w:r w:rsidRPr="00320A86">
        <w:t xml:space="preserve"> vint d</w:t>
      </w:r>
      <w:r w:rsidRPr="00320A86">
        <w:t>e</w:t>
      </w:r>
      <w:r w:rsidRPr="00320A86">
        <w:t>vant le Parlement pour assumer l’entière responsabilité de l’exécution des chefs protestants, Christophe de Thou le félicita pour avoir su ga</w:t>
      </w:r>
      <w:r w:rsidRPr="00320A86">
        <w:t>r</w:t>
      </w:r>
      <w:r w:rsidRPr="00320A86">
        <w:t>der le secret de cette décision : « </w:t>
      </w:r>
      <w:r w:rsidRPr="00E87B69">
        <w:rPr>
          <w:i/>
        </w:rPr>
        <w:t>Alors le premier Président, au nom de tout le Sénat, en louant l’acte, comme digne d’un si grand Roy, luy respondit que c’estoit bien fait, &amp; qu’il l’avoit justement peu faire. Que qui ne sçait bien dissimuler, ne sçait r</w:t>
      </w:r>
      <w:r w:rsidRPr="00E87B69">
        <w:rPr>
          <w:i/>
        </w:rPr>
        <w:t>é</w:t>
      </w:r>
      <w:r w:rsidRPr="00E87B69">
        <w:rPr>
          <w:i/>
        </w:rPr>
        <w:t>gner </w:t>
      </w:r>
      <w:r>
        <w:rPr>
          <w:rStyle w:val="Appelnotedebasdep"/>
        </w:rPr>
        <w:footnoteReference w:id="511"/>
      </w:r>
      <w:r w:rsidRPr="00320A86">
        <w:t> ».</w:t>
      </w:r>
    </w:p>
    <w:p w14:paraId="705CEE77" w14:textId="77777777" w:rsidR="00B01930" w:rsidRDefault="00B01930" w:rsidP="00B01930">
      <w:pPr>
        <w:spacing w:before="120" w:after="120"/>
        <w:jc w:val="both"/>
      </w:pPr>
      <w:r w:rsidRPr="00320A86">
        <w:t xml:space="preserve">Dans sa dédicace à </w:t>
      </w:r>
      <w:r>
        <w:t>Henri I</w:t>
      </w:r>
      <w:r w:rsidRPr="00320A86">
        <w:t>I de son Recueil des guerres et traictez, Jean du Tillet est bie</w:t>
      </w:r>
      <w:r>
        <w:t>n de cet avis :</w:t>
      </w:r>
    </w:p>
    <w:p w14:paraId="38355027" w14:textId="77777777" w:rsidR="00B01930" w:rsidRPr="00320A86" w:rsidRDefault="00B01930" w:rsidP="00B01930">
      <w:pPr>
        <w:spacing w:before="120" w:after="120"/>
        <w:jc w:val="both"/>
      </w:pPr>
    </w:p>
    <w:p w14:paraId="7050CAFF" w14:textId="77777777" w:rsidR="00B01930" w:rsidRDefault="00B01930" w:rsidP="00B01930">
      <w:pPr>
        <w:pStyle w:val="citation"/>
      </w:pPr>
      <w:r w:rsidRPr="00320A86">
        <w:t>« En la Monarchie, l’Estat des Princes est manié par peu de pe</w:t>
      </w:r>
      <w:r w:rsidRPr="00320A86">
        <w:t>r</w:t>
      </w:r>
      <w:r w:rsidRPr="00320A86">
        <w:t>sonnes éleües, &amp; coustumièrement exposées à envye, telle qu’ils sont contraints taire &amp; celer leurs principaux affaires, &amp; les tenir si secrets au plus pr</w:t>
      </w:r>
      <w:r w:rsidRPr="00320A86">
        <w:t>o</w:t>
      </w:r>
      <w:r w:rsidRPr="00320A86">
        <w:t>fond de leurs pensées, qu’ils ne soient sceuz ny entenduz, mesmes d’aucuns leurs amys, desquels il fault qu’ils se ga</w:t>
      </w:r>
      <w:r w:rsidRPr="00320A86">
        <w:t>r</w:t>
      </w:r>
      <w:r w:rsidRPr="00320A86">
        <w:t>dent en telles choses, comme ils feroient des ennemys. Et certes en tel go</w:t>
      </w:r>
      <w:r w:rsidRPr="00320A86">
        <w:t>u</w:t>
      </w:r>
      <w:r w:rsidRPr="00320A86">
        <w:t>vernement, le secret par tout est si nécessaire, que par faulte d’iceluy, le meilleur advis tourne mauvais</w:t>
      </w:r>
      <w:r>
        <w:t> </w:t>
      </w:r>
      <w:r w:rsidRPr="0068360D">
        <w:rPr>
          <w:rStyle w:val="Appelnotedebasdep"/>
          <w:i/>
        </w:rPr>
        <w:footnoteReference w:id="512"/>
      </w:r>
      <w:r w:rsidRPr="00320A86">
        <w:t> ».</w:t>
      </w:r>
    </w:p>
    <w:p w14:paraId="668888E1" w14:textId="77777777" w:rsidR="00B01930" w:rsidRPr="00320A86" w:rsidRDefault="00B01930" w:rsidP="00B01930">
      <w:pPr>
        <w:pStyle w:val="citation"/>
      </w:pPr>
    </w:p>
    <w:p w14:paraId="1EF7FD7A" w14:textId="77777777" w:rsidR="00B01930" w:rsidRPr="00320A86" w:rsidRDefault="00B01930" w:rsidP="00B01930">
      <w:pPr>
        <w:spacing w:before="120" w:after="120"/>
        <w:jc w:val="both"/>
      </w:pPr>
      <w:r w:rsidRPr="00320A86">
        <w:t>Dans les confidences qu’il put faire à quelques intimes, le Roi n’évoqua j</w:t>
      </w:r>
      <w:r w:rsidRPr="00320A86">
        <w:t>a</w:t>
      </w:r>
      <w:r w:rsidRPr="00320A86">
        <w:t>mais l’œuvre de Machiavel. En revanche, nourri de l’histoire de ses prédéce</w:t>
      </w:r>
      <w:r w:rsidRPr="00320A86">
        <w:t>s</w:t>
      </w:r>
      <w:r w:rsidRPr="00320A86">
        <w:t xml:space="preserve">seurs, il se réclama de l’exemple de l’un d’entre eux, </w:t>
      </w:r>
      <w:r>
        <w:t>Louis X</w:t>
      </w:r>
      <w:r w:rsidRPr="00320A86">
        <w:t>I</w:t>
      </w:r>
      <w:r>
        <w:t> </w:t>
      </w:r>
      <w:r>
        <w:rPr>
          <w:rStyle w:val="Appelnotedebasdep"/>
        </w:rPr>
        <w:footnoteReference w:id="513"/>
      </w:r>
      <w:r w:rsidRPr="00320A86">
        <w:t>. Brantôme rel</w:t>
      </w:r>
      <w:r w:rsidRPr="00320A86">
        <w:t>a</w:t>
      </w:r>
      <w:r w:rsidRPr="00320A86">
        <w:t>te que le Roi avait dit après la Saint-Barthélemy : « </w:t>
      </w:r>
      <w:r w:rsidRPr="00E87B69">
        <w:rPr>
          <w:i/>
        </w:rPr>
        <w:t>N’ay-je pas bien joüé mon jeu ? dit-il, n’ay-je pas bien sceu dissimuler ? N’ay-je pas bien appris la leçon et le latin de mon ayeul le roy Louis XI </w:t>
      </w:r>
      <w:r>
        <w:rPr>
          <w:rStyle w:val="Appelnotedebasdep"/>
        </w:rPr>
        <w:footnoteReference w:id="514"/>
      </w:r>
      <w:r w:rsidRPr="00320A86">
        <w:t> ? ». À un seigneur qui, au le</w:t>
      </w:r>
      <w:r w:rsidRPr="00320A86">
        <w:t>n</w:t>
      </w:r>
      <w:r w:rsidRPr="00320A86">
        <w:t xml:space="preserve">demain de la Saint-Barthélemy, lui disait que l’on n’attendait pas cela de lui, il répondit par la formule que Commynes attribue à </w:t>
      </w:r>
      <w:r>
        <w:t>Louis X</w:t>
      </w:r>
      <w:r w:rsidRPr="00320A86">
        <w:t>I</w:t>
      </w:r>
      <w:r>
        <w:t> </w:t>
      </w:r>
      <w:r>
        <w:rPr>
          <w:rStyle w:val="Appelnotedebasdep"/>
        </w:rPr>
        <w:footnoteReference w:id="515"/>
      </w:r>
      <w:r w:rsidRPr="00320A86">
        <w:t> : « Aussi, dit-il, mon bonnet ne la sçavoit pas ». Et Sorbin de conclure : « Cela luy estoit plus que nécessaire pour se garantir d’infinis dangers que la malice des temps, ou plustost impiété de ses mauvais subjets, luy tr</w:t>
      </w:r>
      <w:r w:rsidRPr="00320A86">
        <w:t>a</w:t>
      </w:r>
      <w:r w:rsidRPr="00320A86">
        <w:t>moient du jour au lend</w:t>
      </w:r>
      <w:r w:rsidRPr="00320A86">
        <w:t>e</w:t>
      </w:r>
      <w:r w:rsidRPr="00320A86">
        <w:t>main</w:t>
      </w:r>
      <w:r>
        <w:t> </w:t>
      </w:r>
      <w:r>
        <w:rPr>
          <w:rStyle w:val="Appelnotedebasdep"/>
        </w:rPr>
        <w:footnoteReference w:id="516"/>
      </w:r>
      <w:r w:rsidRPr="00320A86">
        <w:t> ».</w:t>
      </w:r>
    </w:p>
    <w:p w14:paraId="2AC3EDB7" w14:textId="77777777" w:rsidR="00B01930" w:rsidRPr="00320A86" w:rsidRDefault="00B01930" w:rsidP="00B01930">
      <w:pPr>
        <w:spacing w:before="120" w:after="120"/>
        <w:jc w:val="both"/>
      </w:pPr>
    </w:p>
    <w:p w14:paraId="39834864" w14:textId="77777777" w:rsidR="00B01930" w:rsidRPr="00320A86" w:rsidRDefault="00B01930" w:rsidP="00B01930">
      <w:pPr>
        <w:pStyle w:val="planche"/>
      </w:pPr>
      <w:bookmarkStart w:id="181" w:name="Analyser_idees_pol_pt_2_texte_03_concl"/>
      <w:r w:rsidRPr="00320A86">
        <w:t>Conclusion</w:t>
      </w:r>
    </w:p>
    <w:bookmarkEnd w:id="181"/>
    <w:p w14:paraId="7C7D0608" w14:textId="77777777" w:rsidR="00B01930" w:rsidRDefault="00B01930" w:rsidP="00B01930">
      <w:pPr>
        <w:spacing w:before="120" w:after="120"/>
        <w:jc w:val="both"/>
      </w:pPr>
    </w:p>
    <w:p w14:paraId="635D5BB6"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0F944A3C" w14:textId="77777777" w:rsidR="00B01930" w:rsidRPr="00320A86" w:rsidRDefault="00B01930" w:rsidP="00B01930">
      <w:pPr>
        <w:spacing w:before="120" w:after="120"/>
        <w:jc w:val="both"/>
      </w:pPr>
      <w:r w:rsidRPr="00320A86">
        <w:t xml:space="preserve">Avec les troubles civils, la marche vers la monarchie absolue, déjà bien avancée pendant les règnes du grand-père et du père de </w:t>
      </w:r>
      <w:r>
        <w:t>Cha</w:t>
      </w:r>
      <w:r>
        <w:t>r</w:t>
      </w:r>
      <w:r>
        <w:t>les IX</w:t>
      </w:r>
      <w:r w:rsidRPr="00320A86">
        <w:t>, était devenue irrésistible. D’ailleurs, des théoriciens défe</w:t>
      </w:r>
      <w:r w:rsidRPr="00320A86">
        <w:t>n</w:t>
      </w:r>
      <w:r w:rsidRPr="00320A86">
        <w:t>daient le pouvoir absolu du roi et niaient tout régime mixte dans la monarchie française. Guillaume Budé, dans ses Annotations aux Pa</w:t>
      </w:r>
      <w:r w:rsidRPr="00320A86">
        <w:t>n</w:t>
      </w:r>
      <w:r w:rsidRPr="00320A86">
        <w:t>dectes, s’élevait déjà en 1508 contre ceux qui prétendaient que le Pa</w:t>
      </w:r>
      <w:r w:rsidRPr="00320A86">
        <w:t>r</w:t>
      </w:r>
      <w:r w:rsidRPr="00320A86">
        <w:t>lement détenait les pouvoirs du Sénat romain, alors qu’il n’était qu’une cour de justice. Guillaume de la Perrière, dans son Miroir pol</w:t>
      </w:r>
      <w:r w:rsidRPr="00320A86">
        <w:t>i</w:t>
      </w:r>
      <w:r w:rsidRPr="00320A86">
        <w:t>tique, p</w:t>
      </w:r>
      <w:r w:rsidRPr="00320A86">
        <w:t>u</w:t>
      </w:r>
      <w:r w:rsidRPr="00320A86">
        <w:t>blié en 1555, proteste contre ceux qui font de la monarchie française un régime mixte, combiné de monarchie, aristocratie et d</w:t>
      </w:r>
      <w:r w:rsidRPr="00320A86">
        <w:t>é</w:t>
      </w:r>
      <w:r w:rsidRPr="00320A86">
        <w:t xml:space="preserve">mocratie. </w:t>
      </w:r>
    </w:p>
    <w:p w14:paraId="46F08F9A" w14:textId="77777777" w:rsidR="00B01930" w:rsidRPr="00320A86" w:rsidRDefault="00B01930" w:rsidP="00B01930">
      <w:pPr>
        <w:spacing w:before="120" w:after="120"/>
        <w:jc w:val="both"/>
      </w:pPr>
      <w:r w:rsidRPr="00320A86">
        <w:t>« </w:t>
      </w:r>
      <w:r w:rsidRPr="00275D27">
        <w:rPr>
          <w:i/>
        </w:rPr>
        <w:t>Aucuns ont voulu dire, que le Royaume de France n’est pas se</w:t>
      </w:r>
      <w:r w:rsidRPr="00275D27">
        <w:rPr>
          <w:i/>
        </w:rPr>
        <w:t>u</w:t>
      </w:r>
      <w:r w:rsidRPr="00275D27">
        <w:rPr>
          <w:i/>
        </w:rPr>
        <w:t>lement gouverné par monarchie d’un seul Roy, ains est aussi gouve</w:t>
      </w:r>
      <w:r w:rsidRPr="00275D27">
        <w:rPr>
          <w:i/>
        </w:rPr>
        <w:t>r</w:t>
      </w:r>
      <w:r w:rsidRPr="00275D27">
        <w:rPr>
          <w:i/>
        </w:rPr>
        <w:t>né par l’aristocratie  de Parlement </w:t>
      </w:r>
      <w:r w:rsidRPr="00320A86">
        <w:t>». Or, « </w:t>
      </w:r>
      <w:r w:rsidRPr="00275D27">
        <w:rPr>
          <w:i/>
        </w:rPr>
        <w:t>les Parlemens ne brident pas les Rois, ains nos Rois les brident, réforment, &amp; en cas de coulpe, punissent, cassent &amp; annullent leurs a</w:t>
      </w:r>
      <w:r w:rsidRPr="00275D27">
        <w:rPr>
          <w:i/>
        </w:rPr>
        <w:t>r</w:t>
      </w:r>
      <w:r w:rsidRPr="00275D27">
        <w:rPr>
          <w:i/>
        </w:rPr>
        <w:t>rests quand bon leur semble, &amp; par leurs édicts &amp; ordonnances les règlent </w:t>
      </w:r>
      <w:r w:rsidRPr="00320A86">
        <w:t>». Il s’inscrivait en faux contre « </w:t>
      </w:r>
      <w:r w:rsidRPr="00275D27">
        <w:rPr>
          <w:i/>
        </w:rPr>
        <w:t>Macchiavegli, secrétaire de la République de Fl</w:t>
      </w:r>
      <w:r w:rsidRPr="00275D27">
        <w:rPr>
          <w:i/>
        </w:rPr>
        <w:t>o</w:t>
      </w:r>
      <w:r w:rsidRPr="00275D27">
        <w:rPr>
          <w:i/>
        </w:rPr>
        <w:t>rence », qui faisait l’éloge des rois de France, qui s’étaient réservé « la pui</w:t>
      </w:r>
      <w:r w:rsidRPr="00275D27">
        <w:rPr>
          <w:i/>
        </w:rPr>
        <w:t>s</w:t>
      </w:r>
      <w:r w:rsidRPr="00275D27">
        <w:rPr>
          <w:i/>
        </w:rPr>
        <w:t>sance des guerres, &amp; de leurs deniers </w:t>
      </w:r>
      <w:r w:rsidRPr="00320A86">
        <w:t>», et avaient remis « </w:t>
      </w:r>
      <w:r w:rsidRPr="00275D27">
        <w:rPr>
          <w:i/>
        </w:rPr>
        <w:t>l’administration de la justice aux Parlemens </w:t>
      </w:r>
      <w:r w:rsidRPr="00320A86">
        <w:t>». Car il considérait « </w:t>
      </w:r>
      <w:r w:rsidRPr="00275D27">
        <w:rPr>
          <w:i/>
        </w:rPr>
        <w:t>que les Parlemens, voire tous sièges de judicature de France, sont comme ruisseaux pr</w:t>
      </w:r>
      <w:r w:rsidRPr="00275D27">
        <w:rPr>
          <w:i/>
        </w:rPr>
        <w:t>o</w:t>
      </w:r>
      <w:r w:rsidRPr="00275D27">
        <w:rPr>
          <w:i/>
        </w:rPr>
        <w:t>cédans de la fontaine de Royauté, &amp; le Roy est chef unique sur tous, &amp; que de luy seul procède toute leur author</w:t>
      </w:r>
      <w:r w:rsidRPr="00275D27">
        <w:rPr>
          <w:i/>
        </w:rPr>
        <w:t>i</w:t>
      </w:r>
      <w:r w:rsidRPr="00275D27">
        <w:rPr>
          <w:i/>
        </w:rPr>
        <w:t>té </w:t>
      </w:r>
      <w:r w:rsidRPr="00320A86">
        <w:t>». Il concluait : « </w:t>
      </w:r>
      <w:r w:rsidRPr="00275D27">
        <w:rPr>
          <w:i/>
        </w:rPr>
        <w:t>nous vivons en ce florissant Royaume, sous une seule espèce de Républ</w:t>
      </w:r>
      <w:r w:rsidRPr="00275D27">
        <w:rPr>
          <w:i/>
        </w:rPr>
        <w:t>i</w:t>
      </w:r>
      <w:r w:rsidRPr="00275D27">
        <w:rPr>
          <w:i/>
        </w:rPr>
        <w:t>que, c’est sous la monarchie d’un très chrestien &amp; très puissant Roy </w:t>
      </w:r>
      <w:r w:rsidRPr="00320A86">
        <w:t xml:space="preserve">». </w:t>
      </w:r>
    </w:p>
    <w:p w14:paraId="15C1DC71" w14:textId="77777777" w:rsidR="00B01930" w:rsidRPr="00320A86" w:rsidRDefault="00B01930" w:rsidP="00B01930">
      <w:pPr>
        <w:spacing w:before="120" w:after="120"/>
        <w:jc w:val="both"/>
      </w:pPr>
      <w:r w:rsidRPr="00320A86">
        <w:t>Il rejetait le point de vue de Claude de Seyssel, « </w:t>
      </w:r>
      <w:r w:rsidRPr="00275D27">
        <w:rPr>
          <w:i/>
        </w:rPr>
        <w:t>traducteur de l’hystoire d’Appian Alexandrin </w:t>
      </w:r>
      <w:r w:rsidRPr="00320A86">
        <w:t>», qui avait fait « </w:t>
      </w:r>
      <w:r w:rsidRPr="00275D27">
        <w:rPr>
          <w:i/>
        </w:rPr>
        <w:t>ses effors de prouver que la République des François est en partie, Monarchique, en partie, Aristocratique, &amp; en partie Démocratique </w:t>
      </w:r>
      <w:r w:rsidRPr="00320A86">
        <w:t>». Ses raisons « </w:t>
      </w:r>
      <w:r w:rsidRPr="00275D27">
        <w:rPr>
          <w:i/>
        </w:rPr>
        <w:t>ne sont certaines ny bien fondées […] car à tout homme qui a succé de bon laict, est apparent que nous vivons sous Empire M</w:t>
      </w:r>
      <w:r w:rsidRPr="00275D27">
        <w:rPr>
          <w:i/>
        </w:rPr>
        <w:t>o</w:t>
      </w:r>
      <w:r w:rsidRPr="00275D27">
        <w:rPr>
          <w:i/>
        </w:rPr>
        <w:t>narchique </w:t>
      </w:r>
      <w:r>
        <w:rPr>
          <w:rStyle w:val="Appelnotedebasdep"/>
        </w:rPr>
        <w:footnoteReference w:id="517"/>
      </w:r>
      <w:r w:rsidRPr="00320A86">
        <w:t> ». Jean B</w:t>
      </w:r>
      <w:r w:rsidRPr="00320A86">
        <w:t>o</w:t>
      </w:r>
      <w:r w:rsidRPr="00320A86">
        <w:t>din ne dirait pas autre chose : la monarchie française est « une pure Monarchie, qui n’est point meslée de puissance populaire, &amp; moins encores de seigneurs Aristocratiques, &amp; telle meslange est du tout i</w:t>
      </w:r>
      <w:r w:rsidRPr="00320A86">
        <w:t>m</w:t>
      </w:r>
      <w:r w:rsidRPr="00320A86">
        <w:t>possible &amp; incompatible</w:t>
      </w:r>
      <w:r>
        <w:t> </w:t>
      </w:r>
      <w:r>
        <w:rPr>
          <w:rStyle w:val="Appelnotedebasdep"/>
        </w:rPr>
        <w:footnoteReference w:id="518"/>
      </w:r>
      <w:r w:rsidRPr="00320A86">
        <w:t> ».</w:t>
      </w:r>
    </w:p>
    <w:p w14:paraId="49329831" w14:textId="77777777" w:rsidR="00B01930" w:rsidRPr="00320A86" w:rsidRDefault="00B01930" w:rsidP="00B01930">
      <w:pPr>
        <w:spacing w:before="120" w:after="120"/>
        <w:jc w:val="both"/>
      </w:pPr>
      <w:r>
        <w:t>Charles IX</w:t>
      </w:r>
      <w:r w:rsidRPr="00320A86">
        <w:t xml:space="preserve"> ne remettait pas en cause la constitution du royaume, fondée sur sa responsabilité devant Dieu, sur son devoir de rendre la justice à ses sujets et sur des lois fondamentales, dont </w:t>
      </w:r>
      <w:r>
        <w:t>Louis X</w:t>
      </w:r>
      <w:r w:rsidRPr="00320A86">
        <w:t>V dirait deux siècles plus tard qu’il était « </w:t>
      </w:r>
      <w:r w:rsidRPr="00275D27">
        <w:rPr>
          <w:i/>
        </w:rPr>
        <w:t>dans l’heureuse impuissance de les violer </w:t>
      </w:r>
      <w:r w:rsidRPr="00320A86">
        <w:t>». Mais il restait intransigeant sur son pouvoir absolu : seul d</w:t>
      </w:r>
      <w:r w:rsidRPr="00320A86">
        <w:t>é</w:t>
      </w:r>
      <w:r w:rsidRPr="00320A86">
        <w:t xml:space="preserve">tenteur de la souveraineté, il ne partageait avec personne le pouvoir judiciaire et le pouvoir législatif. Entre </w:t>
      </w:r>
      <w:r>
        <w:t>Charles IX</w:t>
      </w:r>
      <w:r w:rsidRPr="00320A86">
        <w:t xml:space="preserve"> et les parlements, il s’agissait d’un véritable conflit constitutionnel, déjà très marqué sous les deux souverains précédents, conflit qui devait durer jusqu’à la R</w:t>
      </w:r>
      <w:r w:rsidRPr="00320A86">
        <w:t>é</w:t>
      </w:r>
      <w:r w:rsidRPr="00320A86">
        <w:t xml:space="preserve">volution de 1789. Le discours de la Flagellation que </w:t>
      </w:r>
      <w:r>
        <w:t>Louis X</w:t>
      </w:r>
      <w:r w:rsidRPr="00320A86">
        <w:t>V  pr</w:t>
      </w:r>
      <w:r w:rsidRPr="00320A86">
        <w:t>o</w:t>
      </w:r>
      <w:r w:rsidRPr="00320A86">
        <w:t>nonça le 3 mars 1766 devant le parlement de Paris, fait écho au di</w:t>
      </w:r>
      <w:r w:rsidRPr="00320A86">
        <w:t>s</w:t>
      </w:r>
      <w:r w:rsidRPr="00320A86">
        <w:t xml:space="preserve">cours qu’avait prononçé </w:t>
      </w:r>
      <w:r>
        <w:t>Cha</w:t>
      </w:r>
      <w:r>
        <w:t>r</w:t>
      </w:r>
      <w:r>
        <w:t>les IX</w:t>
      </w:r>
      <w:r w:rsidRPr="00320A86">
        <w:t xml:space="preserve"> devant la même Cour le 11 mars 1571. </w:t>
      </w:r>
    </w:p>
    <w:p w14:paraId="35057208" w14:textId="77777777" w:rsidR="00B01930" w:rsidRDefault="00B01930" w:rsidP="00B01930">
      <w:pPr>
        <w:pStyle w:val="citation"/>
      </w:pPr>
    </w:p>
    <w:p w14:paraId="2CF47BC4" w14:textId="77777777" w:rsidR="00B01930" w:rsidRDefault="00B01930" w:rsidP="00B01930">
      <w:pPr>
        <w:pStyle w:val="citation"/>
      </w:pPr>
    </w:p>
    <w:p w14:paraId="3A3CE665" w14:textId="77777777" w:rsidR="00B01930" w:rsidRPr="00320A86" w:rsidRDefault="00B01930" w:rsidP="00B01930">
      <w:pPr>
        <w:pStyle w:val="citation"/>
      </w:pPr>
      <w:r w:rsidRPr="00320A86">
        <w:t>« C’est en ma personne seule que réside la puissance souveraine. […] C’est de moi seul que mes cours tiennent leur existence et leur autorité. […] La plén</w:t>
      </w:r>
      <w:r w:rsidRPr="00320A86">
        <w:t>i</w:t>
      </w:r>
      <w:r w:rsidRPr="00320A86">
        <w:t>tude de cette autorité, qu’elles n’exercent qu’en mon nom, demeure toujours en moi. […] C’est à moi seul qu’appartient le pouvoir législatif, sans dépendance et sans partage. […] C’est par ma seule aut</w:t>
      </w:r>
      <w:r w:rsidRPr="00320A86">
        <w:t>o</w:t>
      </w:r>
      <w:r w:rsidRPr="00320A86">
        <w:t>rité que les officiers de mes cours proc</w:t>
      </w:r>
      <w:r w:rsidRPr="00320A86">
        <w:t>è</w:t>
      </w:r>
      <w:r w:rsidRPr="00320A86">
        <w:t>dent, non à la formation, mais à l’enregistrement, à la publication, à l’exécution de la loi, et qu’il leur est permis de me remontrer, ce qui est du devoir de bons et utiles conseillers. […] L’ordre public tout e</w:t>
      </w:r>
      <w:r w:rsidRPr="00320A86">
        <w:t>n</w:t>
      </w:r>
      <w:r w:rsidRPr="00320A86">
        <w:t>tier émane de moi</w:t>
      </w:r>
      <w:r>
        <w:t> </w:t>
      </w:r>
      <w:r w:rsidRPr="0068360D">
        <w:rPr>
          <w:rStyle w:val="Appelnotedebasdep"/>
          <w:i/>
        </w:rPr>
        <w:footnoteReference w:id="519"/>
      </w:r>
      <w:r w:rsidRPr="00320A86">
        <w:t>. »</w:t>
      </w:r>
    </w:p>
    <w:p w14:paraId="4D5F8283" w14:textId="77777777" w:rsidR="00B01930" w:rsidRDefault="00B01930" w:rsidP="00B01930">
      <w:pPr>
        <w:jc w:val="both"/>
      </w:pPr>
      <w:r>
        <w:br w:type="page"/>
      </w:r>
    </w:p>
    <w:p w14:paraId="641EC2EA" w14:textId="77777777" w:rsidR="00B01930" w:rsidRDefault="00B01930" w:rsidP="00B01930">
      <w:pPr>
        <w:jc w:val="both"/>
      </w:pPr>
    </w:p>
    <w:p w14:paraId="0B28775C" w14:textId="77777777" w:rsidR="00B01930" w:rsidRDefault="00B01930" w:rsidP="00B01930">
      <w:pPr>
        <w:jc w:val="both"/>
      </w:pPr>
    </w:p>
    <w:p w14:paraId="2A77AA90" w14:textId="77777777" w:rsidR="00B01930" w:rsidRPr="009D4882" w:rsidRDefault="00B01930" w:rsidP="00B01930">
      <w:pPr>
        <w:spacing w:after="120"/>
        <w:ind w:firstLine="0"/>
        <w:jc w:val="center"/>
        <w:rPr>
          <w:b/>
          <w:color w:val="000080"/>
        </w:rPr>
      </w:pPr>
      <w:bookmarkStart w:id="182" w:name="Analyser_idees_pol_pt_2_texte_04"/>
      <w:r>
        <w:rPr>
          <w:b/>
          <w:color w:val="000080"/>
        </w:rPr>
        <w:t>Deuxième</w:t>
      </w:r>
      <w:r w:rsidRPr="009D4882">
        <w:rPr>
          <w:b/>
          <w:color w:val="000080"/>
        </w:rPr>
        <w:t xml:space="preserve"> partie</w:t>
      </w:r>
      <w:r w:rsidRPr="009D4882">
        <w:rPr>
          <w:b/>
          <w:color w:val="000080"/>
        </w:rPr>
        <w:br/>
      </w:r>
      <w:r>
        <w:rPr>
          <w:i/>
          <w:color w:val="000080"/>
        </w:rPr>
        <w:t>Quelques idées politiques du «passé»</w:t>
      </w:r>
    </w:p>
    <w:p w14:paraId="4BD71B3F" w14:textId="77777777" w:rsidR="00B01930" w:rsidRDefault="00B01930" w:rsidP="00B01930">
      <w:pPr>
        <w:pStyle w:val="Titreniveau1"/>
        <w:rPr>
          <w:szCs w:val="36"/>
        </w:rPr>
      </w:pPr>
      <w:r>
        <w:rPr>
          <w:szCs w:val="36"/>
        </w:rPr>
        <w:t>4</w:t>
      </w:r>
    </w:p>
    <w:p w14:paraId="163D1DED" w14:textId="77777777" w:rsidR="00B01930" w:rsidRDefault="00B01930" w:rsidP="00B01930">
      <w:pPr>
        <w:jc w:val="both"/>
        <w:rPr>
          <w:szCs w:val="36"/>
        </w:rPr>
      </w:pPr>
    </w:p>
    <w:p w14:paraId="41B1BF00" w14:textId="77777777" w:rsidR="00B01930" w:rsidRPr="00843F3E" w:rsidRDefault="00B01930" w:rsidP="00B01930">
      <w:pPr>
        <w:pStyle w:val="Titreniveau2"/>
      </w:pPr>
      <w:r>
        <w:t>“</w:t>
      </w:r>
      <w:r w:rsidRPr="00F926DF">
        <w:t>De l’importance primordiale</w:t>
      </w:r>
      <w:r>
        <w:br/>
      </w:r>
      <w:r w:rsidRPr="00F926DF">
        <w:t>du développement de l’idéologie</w:t>
      </w:r>
      <w:r>
        <w:br/>
      </w:r>
      <w:r w:rsidRPr="00F926DF">
        <w:t>parl</w:t>
      </w:r>
      <w:r w:rsidRPr="00F926DF">
        <w:t>e</w:t>
      </w:r>
      <w:r w:rsidRPr="00F926DF">
        <w:t>mentaire en Angleterre dans</w:t>
      </w:r>
      <w:r>
        <w:br/>
      </w:r>
      <w:r w:rsidRPr="00F926DF">
        <w:t>la première moitié du XVII</w:t>
      </w:r>
      <w:r w:rsidRPr="00F926DF">
        <w:rPr>
          <w:vertAlign w:val="superscript"/>
        </w:rPr>
        <w:t>e</w:t>
      </w:r>
      <w:r w:rsidRPr="00F926DF">
        <w:t xml:space="preserve"> siècle</w:t>
      </w:r>
      <w:r>
        <w:t>.”</w:t>
      </w:r>
    </w:p>
    <w:bookmarkEnd w:id="182"/>
    <w:p w14:paraId="5AF93BCA" w14:textId="77777777" w:rsidR="00B01930" w:rsidRDefault="00B01930" w:rsidP="00B01930">
      <w:pPr>
        <w:jc w:val="both"/>
      </w:pPr>
    </w:p>
    <w:p w14:paraId="26779797" w14:textId="77777777" w:rsidR="00B01930" w:rsidRDefault="00B01930" w:rsidP="00B01930">
      <w:pPr>
        <w:pStyle w:val="suite"/>
      </w:pPr>
      <w:r>
        <w:t>Recteur Jean-Pierre POUSSOU</w:t>
      </w:r>
    </w:p>
    <w:p w14:paraId="54FF4236" w14:textId="77777777" w:rsidR="00B01930" w:rsidRDefault="00B01930" w:rsidP="00B01930">
      <w:pPr>
        <w:jc w:val="both"/>
      </w:pPr>
    </w:p>
    <w:p w14:paraId="5F9C00F6" w14:textId="77777777" w:rsidR="00B01930" w:rsidRDefault="00B01930" w:rsidP="00B01930">
      <w:pPr>
        <w:jc w:val="both"/>
      </w:pPr>
    </w:p>
    <w:p w14:paraId="7EDDB40E" w14:textId="77777777" w:rsidR="00B01930" w:rsidRDefault="00B01930" w:rsidP="00B01930">
      <w:pPr>
        <w:jc w:val="both"/>
      </w:pPr>
    </w:p>
    <w:p w14:paraId="1A51835C"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44292714" w14:textId="77777777" w:rsidR="00B01930" w:rsidRPr="00320A86" w:rsidRDefault="00B01930" w:rsidP="00B01930">
      <w:pPr>
        <w:spacing w:before="120" w:after="120"/>
        <w:jc w:val="both"/>
      </w:pPr>
      <w:r w:rsidRPr="00320A86">
        <w:t xml:space="preserve">Entre 1642 et 1646, il se produisit en Angleterre un événement tout à fait étonnant pour l’Europe de cette époque : la lutte armée entre  le souverain du pays, </w:t>
      </w:r>
      <w:r>
        <w:t>Charles I</w:t>
      </w:r>
      <w:r w:rsidRPr="00320A86">
        <w:rPr>
          <w:vertAlign w:val="superscript"/>
        </w:rPr>
        <w:t>er</w:t>
      </w:r>
      <w:r w:rsidRPr="00320A86">
        <w:t xml:space="preserve"> Stuart, et le Parlement de ce même pays. En 1646, à la bataille de Naseby, le conflit tourna à l’avantage de l’assemblée, le roi payant, quelques années plus tard, sa défaite par sa condamnation à mort et son exécution le 18 janvier 1649. Ce furent des événements considérables qui ne peuvent être compris si l’on ignore une grande particularité du fonctionnement de la mona</w:t>
      </w:r>
      <w:r w:rsidRPr="00320A86">
        <w:t>r</w:t>
      </w:r>
      <w:r w:rsidRPr="00320A86">
        <w:t>chie anglaise : l’existence, depuis de longs siècles, d’un système politico-administratif faisant participer à l’administration du royaume, aux c</w:t>
      </w:r>
      <w:r w:rsidRPr="00320A86">
        <w:t>ô</w:t>
      </w:r>
      <w:r w:rsidRPr="00320A86">
        <w:t>tés du  so</w:t>
      </w:r>
      <w:r w:rsidRPr="00320A86">
        <w:t>u</w:t>
      </w:r>
      <w:r w:rsidRPr="00320A86">
        <w:t>verain, une assemblée, le Parlement, composée d’une chambre haute, celle des Pairs - ici les Lords -,</w:t>
      </w:r>
      <w:r>
        <w:t xml:space="preserve"> </w:t>
      </w:r>
      <w:r w:rsidRPr="00320A86">
        <w:t>et d’une chambre ba</w:t>
      </w:r>
      <w:r w:rsidRPr="00320A86">
        <w:t>s</w:t>
      </w:r>
      <w:r w:rsidRPr="00320A86">
        <w:t>se, les Communes – The Commons. L’opposition avec la France, so</w:t>
      </w:r>
      <w:r w:rsidRPr="00320A86">
        <w:t>u</w:t>
      </w:r>
      <w:r w:rsidRPr="00320A86">
        <w:t>vent soulignée par les historiens anglais, est évidente. Or le rôle de ce Parlement d’Angleterre s’accrut au XVI</w:t>
      </w:r>
      <w:r w:rsidRPr="00320A86">
        <w:rPr>
          <w:vertAlign w:val="superscript"/>
        </w:rPr>
        <w:t>e</w:t>
      </w:r>
      <w:r w:rsidRPr="00320A86">
        <w:t xml:space="preserve"> siècle par suite du divorce d’</w:t>
      </w:r>
      <w:r>
        <w:t>Henry V</w:t>
      </w:r>
      <w:r w:rsidRPr="00320A86">
        <w:t>III, de l’introduction par lui-même et ses successeurs de la Réforme, des questions compliquées de succession au trône, et des changements radicaux successifs d’orientation religieuse. Le tout d</w:t>
      </w:r>
      <w:r w:rsidRPr="00320A86">
        <w:t>é</w:t>
      </w:r>
      <w:r w:rsidRPr="00320A86">
        <w:t>boucha au milieu des années 1620 sur l’émergence de ce que l’on peut appeler une idéologie pa</w:t>
      </w:r>
      <w:r w:rsidRPr="00320A86">
        <w:t>r</w:t>
      </w:r>
      <w:r w:rsidRPr="00320A86">
        <w:t xml:space="preserve">lementaire, largement opposée à la manière dont </w:t>
      </w:r>
      <w:r>
        <w:t>Charles I</w:t>
      </w:r>
      <w:r w:rsidRPr="00320A86">
        <w:rPr>
          <w:vertAlign w:val="superscript"/>
        </w:rPr>
        <w:t>er</w:t>
      </w:r>
      <w:r w:rsidRPr="00320A86">
        <w:t>, monté sur le trône le 27 mars 1625, concevait son pouvoir et la manière de l’exercer.</w:t>
      </w:r>
    </w:p>
    <w:p w14:paraId="79CD0F1E" w14:textId="77777777" w:rsidR="00B01930" w:rsidRPr="00320A86" w:rsidRDefault="00B01930" w:rsidP="00B01930">
      <w:pPr>
        <w:spacing w:before="120" w:after="120"/>
        <w:jc w:val="both"/>
      </w:pPr>
      <w:r w:rsidRPr="00320A86">
        <w:t>Certes, la victoire des parlementaires ne fut que temporaire pui</w:t>
      </w:r>
      <w:r w:rsidRPr="00320A86">
        <w:t>s</w:t>
      </w:r>
      <w:r w:rsidRPr="00320A86">
        <w:t xml:space="preserve">qu’en 1660 le fils aîné du défunt roi, </w:t>
      </w:r>
      <w:r>
        <w:t>Charles I</w:t>
      </w:r>
      <w:r w:rsidRPr="00320A86">
        <w:t>I, monta sur le trône. Mais l’histoire de la Re</w:t>
      </w:r>
      <w:r w:rsidRPr="00320A86">
        <w:t>s</w:t>
      </w:r>
      <w:r w:rsidRPr="00320A86">
        <w:t xml:space="preserve">tauration fut loin d’être paisible et finalement, en 1688, son frère et successeur, </w:t>
      </w:r>
      <w:r>
        <w:t>Jacques I</w:t>
      </w:r>
      <w:r w:rsidRPr="00320A86">
        <w:t>I, fut renversé par la Gl</w:t>
      </w:r>
      <w:r w:rsidRPr="00320A86">
        <w:t>o</w:t>
      </w:r>
      <w:r w:rsidRPr="00320A86">
        <w:t>rieuse Révolution, laquelle ne créa  certes pas un régime parlementa</w:t>
      </w:r>
      <w:r w:rsidRPr="00320A86">
        <w:t>i</w:t>
      </w:r>
      <w:r w:rsidRPr="00320A86">
        <w:t xml:space="preserve">re mais instaura une monarchie  limitée, ce qui était très proche des demandes des parlementaires de 1640. Cette monarchie limitée, fruit de l’idéologie parlementaire, opposait au modèle français de l’époque, celui de </w:t>
      </w:r>
      <w:r>
        <w:t>Louis X</w:t>
      </w:r>
      <w:r w:rsidRPr="00320A86">
        <w:t>IV, autrement dit la monarchie absolue, un autre sy</w:t>
      </w:r>
      <w:r w:rsidRPr="00320A86">
        <w:t>s</w:t>
      </w:r>
      <w:r w:rsidRPr="00320A86">
        <w:t>tème politique. À travers différentes péripéties et une longue évol</w:t>
      </w:r>
      <w:r w:rsidRPr="00320A86">
        <w:t>u</w:t>
      </w:r>
      <w:r w:rsidRPr="00320A86">
        <w:t>tion, cela aboutit au XIX</w:t>
      </w:r>
      <w:r w:rsidRPr="00320A86">
        <w:rPr>
          <w:vertAlign w:val="superscript"/>
        </w:rPr>
        <w:t>e</w:t>
      </w:r>
      <w:r w:rsidRPr="00320A86">
        <w:t xml:space="preserve"> siècle à la naissance d’un régime parleme</w:t>
      </w:r>
      <w:r w:rsidRPr="00320A86">
        <w:t>n</w:t>
      </w:r>
      <w:r w:rsidRPr="00320A86">
        <w:t>taire qui, à l’évidence, n’aurait pu se mettre en place si n’était pas a</w:t>
      </w:r>
      <w:r w:rsidRPr="00320A86">
        <w:t>p</w:t>
      </w:r>
      <w:r w:rsidRPr="00320A86">
        <w:t xml:space="preserve">parue et ne s’était pas très fortement développée, dans les années 1620, à l’occasion du conflit avec </w:t>
      </w:r>
      <w:r>
        <w:t>Charles I</w:t>
      </w:r>
      <w:r w:rsidRPr="00320A86">
        <w:rPr>
          <w:vertAlign w:val="superscript"/>
        </w:rPr>
        <w:t>er</w:t>
      </w:r>
      <w:r w:rsidRPr="00320A86">
        <w:t>, une idéologie parleme</w:t>
      </w:r>
      <w:r w:rsidRPr="00320A86">
        <w:t>n</w:t>
      </w:r>
      <w:r w:rsidRPr="00320A86">
        <w:t>taire.</w:t>
      </w:r>
    </w:p>
    <w:p w14:paraId="4AC9DE78" w14:textId="77777777" w:rsidR="00B01930" w:rsidRPr="00320A86" w:rsidRDefault="00B01930" w:rsidP="00B01930">
      <w:pPr>
        <w:spacing w:before="120" w:after="120"/>
        <w:jc w:val="both"/>
      </w:pPr>
      <w:r w:rsidRPr="00320A86">
        <w:t>En réalité, il s’agit d’une question extrêmement difficile et co</w:t>
      </w:r>
      <w:r w:rsidRPr="00320A86">
        <w:t>m</w:t>
      </w:r>
      <w:r w:rsidRPr="00320A86">
        <w:t>plexe, et d’ailleurs, à la suite du très grand historien de cette époque que fut Conrad Ru</w:t>
      </w:r>
      <w:r w:rsidRPr="00320A86">
        <w:t>s</w:t>
      </w:r>
      <w:r w:rsidRPr="00320A86">
        <w:t>sell</w:t>
      </w:r>
      <w:r>
        <w:t> </w:t>
      </w:r>
      <w:r>
        <w:rPr>
          <w:rStyle w:val="Appelnotedebasdep"/>
        </w:rPr>
        <w:footnoteReference w:id="520"/>
      </w:r>
      <w:r w:rsidRPr="00320A86">
        <w:t>, plusieurs éminents chercheurs,  spécialistes de l’Angleterre de cette ép</w:t>
      </w:r>
      <w:r w:rsidRPr="00320A86">
        <w:t>o</w:t>
      </w:r>
      <w:r w:rsidRPr="00320A86">
        <w:t>que, n’agréeraient sans doute pas à ce concept d’idéologie parlementaire. D’une part, pour Russell, le vérit</w:t>
      </w:r>
      <w:r w:rsidRPr="00320A86">
        <w:t>a</w:t>
      </w:r>
      <w:r w:rsidRPr="00320A86">
        <w:t>ble conflit ne s’est mis en place qu’avec la révolte irlandaise de l’automne de 1641. D’autre part, il n’a cessé d’insister sur la pr</w:t>
      </w:r>
      <w:r w:rsidRPr="00320A86">
        <w:t>o</w:t>
      </w:r>
      <w:r w:rsidRPr="00320A86">
        <w:t>fonde ubiquité de la position des Pairs et des députés aux Communes, ainsi que sur le caractère très particulier des parlements de cette époque</w:t>
      </w:r>
      <w:r>
        <w:t> </w:t>
      </w:r>
      <w:r>
        <w:rPr>
          <w:rStyle w:val="Appelnotedebasdep"/>
        </w:rPr>
        <w:footnoteReference w:id="521"/>
      </w:r>
      <w:r w:rsidRPr="00320A86">
        <w:t>. On voit, par exemple, lors du Parlement qui se réunit en 1621, ceux-ci s’opposer au souv</w:t>
      </w:r>
      <w:r w:rsidRPr="00320A86">
        <w:t>e</w:t>
      </w:r>
      <w:r w:rsidRPr="00320A86">
        <w:t>rain et voter la Pétition du Droit. Mais les mêmes continuent à participer à l’administration du royaume d’Angleterre comme le montre l’exemple,  entre 1629 et 1640, péri</w:t>
      </w:r>
      <w:r w:rsidRPr="00320A86">
        <w:t>o</w:t>
      </w:r>
      <w:r w:rsidRPr="00320A86">
        <w:t>de durant laquelle le roi gouverne sans réunir le Parlement,de deux des leaders de l’opposition à la politique royale au sein des Comm</w:t>
      </w:r>
      <w:r w:rsidRPr="00320A86">
        <w:t>u</w:t>
      </w:r>
      <w:r w:rsidRPr="00320A86">
        <w:t>nes :</w:t>
      </w:r>
      <w:r>
        <w:t xml:space="preserve"> </w:t>
      </w:r>
      <w:r w:rsidRPr="00320A86">
        <w:t>« John Hampden continue à le servir  comme Deputy Lieutenant, et John Pym comme Receveur des Terres de la Couronne »</w:t>
      </w:r>
      <w:r>
        <w:t> </w:t>
      </w:r>
      <w:r>
        <w:rPr>
          <w:rStyle w:val="Appelnotedebasdep"/>
        </w:rPr>
        <w:footnoteReference w:id="522"/>
      </w:r>
      <w:r w:rsidRPr="00320A86">
        <w:t>. Il est donc évident que, par delà les conflits au sein de l’assemblée lor</w:t>
      </w:r>
      <w:r w:rsidRPr="00320A86">
        <w:t>s</w:t>
      </w:r>
      <w:r w:rsidRPr="00320A86">
        <w:t>qu’elle se réunit, le cadre local et régional reste celui dans lequel se déroule normalement la vie des députés. Il faut égal</w:t>
      </w:r>
      <w:r w:rsidRPr="00320A86">
        <w:t>e</w:t>
      </w:r>
      <w:r w:rsidRPr="00320A86">
        <w:t>ment prendre conscience « qu’être membre du Parlement n’est pas une profe</w:t>
      </w:r>
      <w:r w:rsidRPr="00320A86">
        <w:t>s</w:t>
      </w:r>
      <w:r w:rsidRPr="00320A86">
        <w:t>sion dans l’Angleterre du début du XVII</w:t>
      </w:r>
      <w:r w:rsidRPr="00320A86">
        <w:rPr>
          <w:vertAlign w:val="superscript"/>
        </w:rPr>
        <w:t>e</w:t>
      </w:r>
      <w:r w:rsidRPr="00320A86">
        <w:t xml:space="preserve"> siècle ; même dans une période où les parlements furent fréquents, comme ce fut le cas dans les a</w:t>
      </w:r>
      <w:r w:rsidRPr="00320A86">
        <w:t>n</w:t>
      </w:r>
      <w:r w:rsidRPr="00320A86">
        <w:t>nées 1620, un pa</w:t>
      </w:r>
      <w:r w:rsidRPr="00320A86">
        <w:t>r</w:t>
      </w:r>
      <w:r w:rsidRPr="00320A86">
        <w:t>lement resta un événement et non une institution ». La plupart des députés n’avaient pas de demeure à Londres ; le temps des sessions était pour eux une grosse dépense et, par ailleurs, ils so</w:t>
      </w:r>
      <w:r w:rsidRPr="00320A86">
        <w:t>u</w:t>
      </w:r>
      <w:r w:rsidRPr="00320A86">
        <w:t>haitaient ne pas s’éloigner trop longtemps de leur famille et de leur demeure provinciale</w:t>
      </w:r>
      <w:r>
        <w:t> </w:t>
      </w:r>
      <w:r>
        <w:rPr>
          <w:rStyle w:val="Appelnotedebasdep"/>
        </w:rPr>
        <w:footnoteReference w:id="523"/>
      </w:r>
      <w:r w:rsidRPr="00320A86">
        <w:t>. D’où leur ubiquité, qui était également celle des Lords : élus aux Communes ou appartenant à la Chambre haute, à Westminster ils étaient des membres de l’exécutif, mais, « à domicile, la plupart d’entre eux appartenaient au contraire à l’exécutif », pui</w:t>
      </w:r>
      <w:r w:rsidRPr="00320A86">
        <w:t>s</w:t>
      </w:r>
      <w:r w:rsidRPr="00320A86">
        <w:t>qu’ils ass</w:t>
      </w:r>
      <w:r w:rsidRPr="00320A86">
        <w:t>u</w:t>
      </w:r>
      <w:r w:rsidRPr="00320A86">
        <w:t>raient l’administration du royaume</w:t>
      </w:r>
      <w:r>
        <w:t> </w:t>
      </w:r>
      <w:r>
        <w:rPr>
          <w:rStyle w:val="Appelnotedebasdep"/>
        </w:rPr>
        <w:footnoteReference w:id="524"/>
      </w:r>
      <w:r w:rsidRPr="00320A86">
        <w:t>. Et, à cet égard, ils ne pouvaient occuper une fonction sans l’accord du gouvernement qui, par exemple, faisait d’eux des Lords Lieutenants, des Deputy Lieut</w:t>
      </w:r>
      <w:r w:rsidRPr="00320A86">
        <w:t>e</w:t>
      </w:r>
      <w:r w:rsidRPr="00320A86">
        <w:t>nants</w:t>
      </w:r>
      <w:r>
        <w:t> </w:t>
      </w:r>
      <w:r>
        <w:rPr>
          <w:rStyle w:val="Appelnotedebasdep"/>
        </w:rPr>
        <w:footnoteReference w:id="525"/>
      </w:r>
      <w:r w:rsidRPr="00320A86">
        <w:rPr>
          <w:vertAlign w:val="superscript"/>
        </w:rPr>
        <w:t>,</w:t>
      </w:r>
      <w:r w:rsidRPr="00320A86">
        <w:t xml:space="preserve"> ou des juges de paix</w:t>
      </w:r>
      <w:r>
        <w:t> </w:t>
      </w:r>
      <w:r>
        <w:rPr>
          <w:rStyle w:val="Appelnotedebasdep"/>
        </w:rPr>
        <w:footnoteReference w:id="526"/>
      </w:r>
      <w:r w:rsidRPr="00320A86">
        <w:t>.</w:t>
      </w:r>
    </w:p>
    <w:p w14:paraId="3D688313" w14:textId="77777777" w:rsidR="00B01930" w:rsidRPr="00320A86" w:rsidRDefault="00B01930" w:rsidP="00B01930">
      <w:pPr>
        <w:spacing w:before="120" w:after="120"/>
        <w:jc w:val="both"/>
      </w:pPr>
      <w:r w:rsidRPr="00320A86">
        <w:t xml:space="preserve">Pour Conrad Russell, c’est donc la guerre extérieure d’abord, puis celle menée avec deux des royaumes dont </w:t>
      </w:r>
      <w:r>
        <w:t>Charles I</w:t>
      </w:r>
      <w:r w:rsidRPr="00320A86">
        <w:rPr>
          <w:vertAlign w:val="superscript"/>
        </w:rPr>
        <w:t>er</w:t>
      </w:r>
      <w:r w:rsidRPr="00320A86">
        <w:t xml:space="preserve"> était le souv</w:t>
      </w:r>
      <w:r w:rsidRPr="00320A86">
        <w:t>e</w:t>
      </w:r>
      <w:r w:rsidRPr="00320A86">
        <w:t>rain, qui a mis en pl</w:t>
      </w:r>
      <w:r w:rsidRPr="00320A86">
        <w:t>a</w:t>
      </w:r>
      <w:r w:rsidRPr="00320A86">
        <w:t>ce le mécanisme amenant à la Révolution puis à la guerre civile. Pourtant, ce point de vue, qui a eu deux immenses mérites – l’un d’analyser en profondeur le fonctionnement du système politique et administratif anglais, et ainsi de nous le faire comprendre ; l’autre de rompre avec des explications reposant sur des év</w:t>
      </w:r>
      <w:r w:rsidRPr="00320A86">
        <w:t>o</w:t>
      </w:r>
      <w:r w:rsidRPr="00320A86">
        <w:t>lutions économiques et sociales de long terme, dans lesquelles s’est engluée un long moment la recherche historique anglaise sur l’explication des événements de 1640</w:t>
      </w:r>
      <w:r>
        <w:t> </w:t>
      </w:r>
      <w:r>
        <w:rPr>
          <w:rStyle w:val="Appelnotedebasdep"/>
        </w:rPr>
        <w:footnoteReference w:id="527"/>
      </w:r>
      <w:r w:rsidRPr="00320A86">
        <w:t xml:space="preserve"> me paraît aboutir aussi à méconnaître l’opposition d’idées qui a existé entre le souverain et une grande pa</w:t>
      </w:r>
      <w:r w:rsidRPr="00320A86">
        <w:t>r</w:t>
      </w:r>
      <w:r w:rsidRPr="00320A86">
        <w:t>tie, puis la majorité des membres de ses pa</w:t>
      </w:r>
      <w:r w:rsidRPr="00320A86">
        <w:t>r</w:t>
      </w:r>
      <w:r w:rsidRPr="00320A86">
        <w:t>lements. Il en résulta une autre conception de la monarchie anglaise : c’est ce que j’ai appelé la naissance d’une idéologie parlementaire.</w:t>
      </w:r>
    </w:p>
    <w:p w14:paraId="6D7955CD" w14:textId="77777777" w:rsidR="00B01930" w:rsidRPr="00320A86" w:rsidRDefault="00B01930" w:rsidP="00B01930">
      <w:pPr>
        <w:spacing w:before="120" w:after="120"/>
        <w:jc w:val="both"/>
      </w:pPr>
    </w:p>
    <w:p w14:paraId="62DD9ADF" w14:textId="77777777" w:rsidR="00B01930" w:rsidRPr="00320A86" w:rsidRDefault="00B01930" w:rsidP="00B01930">
      <w:pPr>
        <w:pStyle w:val="planche"/>
      </w:pPr>
      <w:bookmarkStart w:id="183" w:name="Analyser_idees_pol_pt_2_texte_04_I"/>
      <w:r w:rsidRPr="00320A86">
        <w:t>I. Les racines médiévales</w:t>
      </w:r>
      <w:r>
        <w:br/>
      </w:r>
      <w:r w:rsidRPr="00320A86">
        <w:t>du Parlement d’Angleterre</w:t>
      </w:r>
    </w:p>
    <w:bookmarkEnd w:id="183"/>
    <w:p w14:paraId="6A8B5186" w14:textId="77777777" w:rsidR="00B01930" w:rsidRDefault="00B01930" w:rsidP="00B01930">
      <w:pPr>
        <w:spacing w:before="120" w:after="120"/>
        <w:jc w:val="both"/>
      </w:pPr>
    </w:p>
    <w:p w14:paraId="7DC36CD3"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4D32D11D" w14:textId="77777777" w:rsidR="00B01930" w:rsidRPr="00320A86" w:rsidRDefault="00B01930" w:rsidP="00B01930">
      <w:pPr>
        <w:spacing w:before="120" w:after="120"/>
        <w:jc w:val="both"/>
      </w:pPr>
      <w:r w:rsidRPr="00320A86">
        <w:t>Il est clair que les circonstances, à savoir la conjoncture politique des années 1620-1630, ont  joué un rôle essentiel</w:t>
      </w:r>
      <w:r>
        <w:t> </w:t>
      </w:r>
      <w:r>
        <w:rPr>
          <w:rStyle w:val="Appelnotedebasdep"/>
        </w:rPr>
        <w:footnoteReference w:id="528"/>
      </w:r>
      <w:r w:rsidRPr="00320A86">
        <w:t xml:space="preserve"> : la mésentente de </w:t>
      </w:r>
      <w:r>
        <w:t>Charles I</w:t>
      </w:r>
      <w:r w:rsidRPr="00320A86">
        <w:rPr>
          <w:vertAlign w:val="superscript"/>
        </w:rPr>
        <w:t>er</w:t>
      </w:r>
      <w:r w:rsidRPr="00320A86">
        <w:t xml:space="preserve"> avec une grande partie des Lords et des Commoners a amené l’expression d’une idéologie parlementaire qui était, sous la forme avec laquelle elle fut exprimée, une no</w:t>
      </w:r>
      <w:r w:rsidRPr="00320A86">
        <w:t>u</w:t>
      </w:r>
      <w:r w:rsidRPr="00320A86">
        <w:t>veauté dont cependant les racines et une grande partie des fondements étaient  en fait fort a</w:t>
      </w:r>
      <w:r w:rsidRPr="00320A86">
        <w:t>n</w:t>
      </w:r>
      <w:r w:rsidRPr="00320A86">
        <w:t>ciens. Rien n’aurait pu avoir lieu s’il n’avait pas existé en Angl</w:t>
      </w:r>
      <w:r w:rsidRPr="00320A86">
        <w:t>e</w:t>
      </w:r>
      <w:r w:rsidRPr="00320A86">
        <w:t>terre depuis fort longtemps une assemblée nationale. On trouve son exi</w:t>
      </w:r>
      <w:r w:rsidRPr="00320A86">
        <w:t>s</w:t>
      </w:r>
      <w:r w:rsidRPr="00320A86">
        <w:t>tence dès 924, date de l’accession au trône d’Aethelstan : « à  partir de cette époque, cette assemblée, de grande taille et aux fonctions hét</w:t>
      </w:r>
      <w:r w:rsidRPr="00320A86">
        <w:t>é</w:t>
      </w:r>
      <w:r w:rsidRPr="00320A86">
        <w:t>rogènes, joua un rôle essentiel dans le gouvernement du roya</w:t>
      </w:r>
      <w:r w:rsidRPr="00320A86">
        <w:t>u</w:t>
      </w:r>
      <w:r w:rsidRPr="00320A86">
        <w:t>me »</w:t>
      </w:r>
      <w:r>
        <w:t> </w:t>
      </w:r>
      <w:r>
        <w:rPr>
          <w:rStyle w:val="Appelnotedebasdep"/>
        </w:rPr>
        <w:footnoteReference w:id="529"/>
      </w:r>
      <w:r w:rsidRPr="00320A86">
        <w:t>. Il s’agissait sans aucun doute de pratiques germaniques qui perme</w:t>
      </w:r>
      <w:r w:rsidRPr="00320A86">
        <w:t>t</w:t>
      </w:r>
      <w:r w:rsidRPr="00320A86">
        <w:t>taient au souverain de disposer d’une asse</w:t>
      </w:r>
      <w:r w:rsidRPr="00320A86">
        <w:t>m</w:t>
      </w:r>
      <w:r w:rsidRPr="00320A86">
        <w:t>blée susceptible de le conseiller mais aussi de relayer ses décisions, le souverain prenant conseil auprès des personnages importants du royaume, lesquels partic</w:t>
      </w:r>
      <w:r w:rsidRPr="00320A86">
        <w:t>i</w:t>
      </w:r>
      <w:r w:rsidRPr="00320A86">
        <w:t>paient à leur mise en œuvre.  Elle « était utilisée pour confirmer l’accession au trône des rois, résoudre les questions légales, et surtout, grâce aux discussions marquant cette collaboration, d’assurer la réu</w:t>
      </w:r>
      <w:r w:rsidRPr="00320A86">
        <w:t>s</w:t>
      </w:r>
      <w:r w:rsidRPr="00320A86">
        <w:t>site des buts et de la politique du roi »</w:t>
      </w:r>
      <w:r>
        <w:t> </w:t>
      </w:r>
      <w:r>
        <w:rPr>
          <w:rStyle w:val="Appelnotedebasdep"/>
        </w:rPr>
        <w:footnoteReference w:id="530"/>
      </w:r>
      <w:r w:rsidRPr="00320A86">
        <w:t>. Caractérisée « par une part</w:t>
      </w:r>
      <w:r w:rsidRPr="00320A86">
        <w:t>i</w:t>
      </w:r>
      <w:r w:rsidRPr="00320A86">
        <w:t>cipation beaucoup plus large qu’aucune autre assemblée dans un pays européen »</w:t>
      </w:r>
      <w:r>
        <w:t> </w:t>
      </w:r>
      <w:r>
        <w:rPr>
          <w:rStyle w:val="Appelnotedebasdep"/>
        </w:rPr>
        <w:footnoteReference w:id="531"/>
      </w:r>
      <w:r w:rsidRPr="00320A86">
        <w:t>, elle joua un grand rôle à l’époque anglo-saxonne, puis Guillaume le Conquérant et ses successeurs continuèrent à réunir  – « fréquemment au XII</w:t>
      </w:r>
      <w:r w:rsidRPr="00320A86">
        <w:rPr>
          <w:vertAlign w:val="superscript"/>
        </w:rPr>
        <w:t>e</w:t>
      </w:r>
      <w:r w:rsidRPr="00320A86">
        <w:t xml:space="preserve"> siècle » –, cette assemblée qui était « vraiment nationale » et exerçait  déjà un rôle législatif</w:t>
      </w:r>
      <w:r>
        <w:t> </w:t>
      </w:r>
      <w:r>
        <w:rPr>
          <w:rStyle w:val="Appelnotedebasdep"/>
        </w:rPr>
        <w:footnoteReference w:id="532"/>
      </w:r>
      <w:r w:rsidRPr="00320A86">
        <w:t>.  Elle connut néa</w:t>
      </w:r>
      <w:r w:rsidRPr="00320A86">
        <w:t>n</w:t>
      </w:r>
      <w:r w:rsidRPr="00320A86">
        <w:t>moins entre 1188 et 1258 d’importants changements aussi bien de ses modes que de ses mécanismes de représentation « par suite des d</w:t>
      </w:r>
      <w:r w:rsidRPr="00320A86">
        <w:t>e</w:t>
      </w:r>
      <w:r w:rsidRPr="00320A86">
        <w:t>mandes fiscales » de la couronne</w:t>
      </w:r>
      <w:r>
        <w:t> </w:t>
      </w:r>
      <w:r>
        <w:rPr>
          <w:rStyle w:val="Appelnotedebasdep"/>
        </w:rPr>
        <w:footnoteReference w:id="533"/>
      </w:r>
      <w:r w:rsidRPr="00320A86">
        <w:t>, celle-ci levant à partir de 1200 des taxes directes sur l’ensemble du royaume, et le fa</w:t>
      </w:r>
      <w:r w:rsidRPr="00320A86">
        <w:t>i</w:t>
      </w:r>
      <w:r w:rsidRPr="00320A86">
        <w:t>sant grâce au consent</w:t>
      </w:r>
      <w:r w:rsidRPr="00320A86">
        <w:t>e</w:t>
      </w:r>
      <w:r w:rsidRPr="00320A86">
        <w:t>ment de l’assemblée, qui acquit ainsi un pouvoir et un rôle nouveaux, d’autant plus que les demandes financières de la monarchie anglaise ouvrirent la voie, lors des discussions avec les membres de l’assemblée, à l’expression de griefs et doléances. En l’absence d’une administration, les n</w:t>
      </w:r>
      <w:r w:rsidRPr="00320A86">
        <w:t>o</w:t>
      </w:r>
      <w:r w:rsidRPr="00320A86">
        <w:t>bles mais aussi les prélats et les chevaliers jouaient le rôle de « médiateurs entre la couronne et les organisations ou institutions locales »</w:t>
      </w:r>
      <w:r>
        <w:t> </w:t>
      </w:r>
      <w:r>
        <w:rPr>
          <w:rStyle w:val="Appelnotedebasdep"/>
        </w:rPr>
        <w:footnoteReference w:id="534"/>
      </w:r>
      <w:r w:rsidRPr="00320A86">
        <w:t>. Des chevaliers avaient commencé à partic</w:t>
      </w:r>
      <w:r w:rsidRPr="00320A86">
        <w:t>i</w:t>
      </w:r>
      <w:r w:rsidRPr="00320A86">
        <w:t>per aux assemblées du Parlement, qui prit ce nom au XIII</w:t>
      </w:r>
      <w:r w:rsidRPr="00320A86">
        <w:rPr>
          <w:vertAlign w:val="superscript"/>
        </w:rPr>
        <w:t>e</w:t>
      </w:r>
      <w:r w:rsidRPr="00320A86">
        <w:t xml:space="preserve"> siècle, la première mention datant de 1236, mais  en 1254, à la demande des barons, qui ne voulaient pas prendre seuls la responsabilité de lever une aide extraordinaire pour la défense de la Gascogne, il fut décidé que siégeraient d</w:t>
      </w:r>
      <w:r w:rsidRPr="00320A86">
        <w:t>é</w:t>
      </w:r>
      <w:r w:rsidRPr="00320A86">
        <w:t>sormais au Parlement, deux chevaliers (knights), élus dans chaque comté (shire). En 1258, Simon de Montfort y ajouta l’élection de bourgeois représentant les villes</w:t>
      </w:r>
      <w:r>
        <w:t> </w:t>
      </w:r>
      <w:r>
        <w:rPr>
          <w:rStyle w:val="Appelnotedebasdep"/>
        </w:rPr>
        <w:footnoteReference w:id="535"/>
      </w:r>
      <w:r w:rsidRPr="00320A86">
        <w:t xml:space="preserve">. </w:t>
      </w:r>
    </w:p>
    <w:p w14:paraId="318D261E" w14:textId="77777777" w:rsidR="00B01930" w:rsidRPr="00320A86" w:rsidRDefault="00B01930" w:rsidP="00B01930">
      <w:pPr>
        <w:spacing w:before="120" w:after="120"/>
        <w:jc w:val="both"/>
      </w:pPr>
      <w:r w:rsidRPr="00320A86">
        <w:t>Donc, à partir du deuxième quart du XIII</w:t>
      </w:r>
      <w:r w:rsidRPr="00320A86">
        <w:rPr>
          <w:vertAlign w:val="superscript"/>
        </w:rPr>
        <w:t>e</w:t>
      </w:r>
      <w:r w:rsidRPr="00320A86">
        <w:t xml:space="preserve"> siècle, le Parlement d’Angleterre a une composition qui reste globalement la même pe</w:t>
      </w:r>
      <w:r w:rsidRPr="00320A86">
        <w:t>n</w:t>
      </w:r>
      <w:r w:rsidRPr="00320A86">
        <w:t>dant des siècles. Son  originalité profonde est qu’au lieu d’être co</w:t>
      </w:r>
      <w:r w:rsidRPr="00320A86">
        <w:t>m</w:t>
      </w:r>
      <w:r w:rsidRPr="00320A86">
        <w:t>posé comme sur le Continent par trois états, il ne comporte que deux chambres, les chevaliers, quoique nobles</w:t>
      </w:r>
      <w:r>
        <w:t> </w:t>
      </w:r>
      <w:r>
        <w:rPr>
          <w:rStyle w:val="Appelnotedebasdep"/>
        </w:rPr>
        <w:footnoteReference w:id="536"/>
      </w:r>
      <w:r w:rsidRPr="00320A86">
        <w:t>, siégeant avec les bou</w:t>
      </w:r>
      <w:r w:rsidRPr="00320A86">
        <w:t>r</w:t>
      </w:r>
      <w:r w:rsidRPr="00320A86">
        <w:t>geois aux Communes. En outre, il est également devenu une asse</w:t>
      </w:r>
      <w:r w:rsidRPr="00320A86">
        <w:t>m</w:t>
      </w:r>
      <w:r w:rsidRPr="00320A86">
        <w:t xml:space="preserve">blée qui, à la fois, représente le royaume d’Angleterre tout entier et est chargée d’approuver les taxations royales. Ce rôle du Parlement était d’autant plus crucial qu’à la différence de ce qui se passait dans le royaume de France, en Angleterre les nobles étaient imposés, et cela avait pour conséquence que les membres des deux chambres, les </w:t>
      </w:r>
      <w:r w:rsidRPr="00BE78A0">
        <w:rPr>
          <w:i/>
        </w:rPr>
        <w:t>Lords</w:t>
      </w:r>
      <w:r w:rsidRPr="00320A86">
        <w:t xml:space="preserve"> aussi bien que les </w:t>
      </w:r>
      <w:r w:rsidRPr="00BE78A0">
        <w:rPr>
          <w:i/>
        </w:rPr>
        <w:t>Commoners</w:t>
      </w:r>
      <w:r w:rsidRPr="00320A86">
        <w:t>, partageaient, comme tout A</w:t>
      </w:r>
      <w:r w:rsidRPr="00320A86">
        <w:t>n</w:t>
      </w:r>
      <w:r w:rsidRPr="00320A86">
        <w:t>glais, la charge du montant  des impôts royaux. Toute élévation des impôts et taxes, toute création d’un nouvel impôt devaient être a</w:t>
      </w:r>
      <w:r w:rsidRPr="00320A86">
        <w:t>p</w:t>
      </w:r>
      <w:r w:rsidRPr="00320A86">
        <w:t>prouvées par l’assemblée. Ainsi, ces parlements ne se limitaient pas aux seuls « grands “magnats” représentant le royaume tout entier comme tenanciers fé</w:t>
      </w:r>
      <w:r w:rsidRPr="00320A86">
        <w:t>o</w:t>
      </w:r>
      <w:r w:rsidRPr="00320A86">
        <w:t>daux de la couronne » : ils faisaient aussi une place « aux représentants locaux », c’est-à-dire à ceux des villes et des populations des comtés</w:t>
      </w:r>
      <w:r>
        <w:t> </w:t>
      </w:r>
      <w:r>
        <w:rPr>
          <w:rStyle w:val="Appelnotedebasdep"/>
        </w:rPr>
        <w:footnoteReference w:id="537"/>
      </w:r>
      <w:r w:rsidRPr="00320A86">
        <w:t>. Notons qu’à la di</w:t>
      </w:r>
      <w:r w:rsidRPr="00320A86">
        <w:t>f</w:t>
      </w:r>
      <w:r w:rsidRPr="00320A86">
        <w:t>férence du royaume de France, il n’existait en Angleterre aucun « pouvoir pr</w:t>
      </w:r>
      <w:r w:rsidRPr="00320A86">
        <w:t>o</w:t>
      </w:r>
      <w:r w:rsidRPr="00320A86">
        <w:t>vincial »</w:t>
      </w:r>
      <w:r>
        <w:t> </w:t>
      </w:r>
      <w:r>
        <w:rPr>
          <w:rStyle w:val="Appelnotedebasdep"/>
        </w:rPr>
        <w:footnoteReference w:id="538"/>
      </w:r>
      <w:r w:rsidRPr="00320A86">
        <w:t>, et que le pouvoir royal s’y exerçait sur le royaume tout entier. David Loades a même pu écrire, à juste titre, que « l’Angleterre de la fin de l’époque médiévale était la monarchie la plus centralisée et la plus unifiée existant alors en Europe »</w:t>
      </w:r>
      <w:r>
        <w:t> </w:t>
      </w:r>
      <w:r>
        <w:rPr>
          <w:rStyle w:val="Appelnotedebasdep"/>
        </w:rPr>
        <w:footnoteReference w:id="539"/>
      </w:r>
      <w:r w:rsidRPr="00320A86">
        <w:t>. Un élément essentiel de ses inst</w:t>
      </w:r>
      <w:r w:rsidRPr="00320A86">
        <w:t>i</w:t>
      </w:r>
      <w:r w:rsidRPr="00320A86">
        <w:t>tutions était donc l’existence  d’une assemblée nationale : le Parl</w:t>
      </w:r>
      <w:r w:rsidRPr="00320A86">
        <w:t>e</w:t>
      </w:r>
      <w:r w:rsidRPr="00320A86">
        <w:t>ment. Le règne de Jean sans Terre et la m</w:t>
      </w:r>
      <w:r w:rsidRPr="00320A86">
        <w:t>i</w:t>
      </w:r>
      <w:r w:rsidRPr="00320A86">
        <w:t xml:space="preserve">norité de son fils </w:t>
      </w:r>
      <w:r>
        <w:t>Henri I</w:t>
      </w:r>
      <w:r w:rsidRPr="00320A86">
        <w:t>II ont au cours de ce XIII</w:t>
      </w:r>
      <w:r w:rsidRPr="00320A86">
        <w:rPr>
          <w:vertAlign w:val="superscript"/>
        </w:rPr>
        <w:t>e</w:t>
      </w:r>
      <w:r w:rsidRPr="00320A86">
        <w:t xml:space="preserve"> siècle joué un rôle essentiel se traduisant par un nouveau progrès et surtout une structuration nouvelle de c</w:t>
      </w:r>
      <w:r w:rsidRPr="00320A86">
        <w:t>e</w:t>
      </w:r>
      <w:r w:rsidRPr="00320A86">
        <w:t xml:space="preserve">lui-ci. N’oublions pas non plus que, sous le roi Jean, l’opposition des barons amena la rédaction de la Grande Charte – la </w:t>
      </w:r>
      <w:r w:rsidRPr="00BE78A0">
        <w:rPr>
          <w:i/>
        </w:rPr>
        <w:t>Magna Carta </w:t>
      </w:r>
      <w:r>
        <w:rPr>
          <w:rStyle w:val="Appelnotedebasdep"/>
        </w:rPr>
        <w:footnoteReference w:id="540"/>
      </w:r>
      <w:r w:rsidRPr="00320A86">
        <w:rPr>
          <w:vertAlign w:val="superscript"/>
        </w:rPr>
        <w:t> </w:t>
      </w:r>
      <w:r w:rsidRPr="00320A86">
        <w:t>–, que le souverain fut forcé d’accepter mais qu’il n’appliqua pas. Elle fut r</w:t>
      </w:r>
      <w:r w:rsidRPr="00320A86">
        <w:t>e</w:t>
      </w:r>
      <w:r w:rsidRPr="00320A86">
        <w:t>nouvelée en 1216, 1217 et surtout 1225, à l’occasion des difficultés de la minorité d’</w:t>
      </w:r>
      <w:r>
        <w:t>Henri I</w:t>
      </w:r>
      <w:r w:rsidRPr="00320A86">
        <w:t>II. Celles-ci, puis la crise du milieu du siècle, marquée par le rôle de Simon de Montfort, e</w:t>
      </w:r>
      <w:r w:rsidRPr="00320A86">
        <w:t>u</w:t>
      </w:r>
      <w:r w:rsidRPr="00320A86">
        <w:t>rent pour conséquence qu’à partir de la fin des années 1250, il a existé en Angleterre une a</w:t>
      </w:r>
      <w:r w:rsidRPr="00320A86">
        <w:t>s</w:t>
      </w:r>
      <w:r w:rsidRPr="00320A86">
        <w:t>semblée spécifique : le Parlement.</w:t>
      </w:r>
    </w:p>
    <w:p w14:paraId="0EFC2BE9" w14:textId="77777777" w:rsidR="00B01930" w:rsidRPr="00320A86" w:rsidRDefault="00B01930" w:rsidP="00B01930">
      <w:pPr>
        <w:spacing w:before="120" w:after="120"/>
        <w:jc w:val="both"/>
      </w:pPr>
      <w:r w:rsidRPr="00320A86">
        <w:t xml:space="preserve">Puis, finalement, les deux derniers siècles du Moyen Age virent se mettre en place un système politico-administratif anglais original par rapport aux autres royaumes européens, notamment la </w:t>
      </w:r>
      <w:r>
        <w:t>France </w:t>
      </w:r>
      <w:r>
        <w:rPr>
          <w:rStyle w:val="Appelnotedebasdep"/>
        </w:rPr>
        <w:footnoteReference w:id="541"/>
      </w:r>
      <w:r w:rsidRPr="00320A86">
        <w:t>, sy</w:t>
      </w:r>
      <w:r w:rsidRPr="00320A86">
        <w:t>s</w:t>
      </w:r>
      <w:r w:rsidRPr="00320A86">
        <w:t>tème que  sir John Fortescue</w:t>
      </w:r>
      <w:r>
        <w:t> </w:t>
      </w:r>
      <w:r>
        <w:rPr>
          <w:rStyle w:val="Appelnotedebasdep"/>
        </w:rPr>
        <w:footnoteReference w:id="542"/>
      </w:r>
      <w:r w:rsidRPr="00320A86">
        <w:rPr>
          <w:vertAlign w:val="superscript"/>
        </w:rPr>
        <w:t xml:space="preserve"> </w:t>
      </w:r>
      <w:r w:rsidRPr="00320A86">
        <w:t>présente fort bien  lorsqu’il écrit pour Édouard</w:t>
      </w:r>
      <w:r>
        <w:t> </w:t>
      </w:r>
      <w:r w:rsidRPr="00320A86">
        <w:t xml:space="preserve">IV, autour de 1471, </w:t>
      </w:r>
      <w:r w:rsidRPr="00BE78A0">
        <w:rPr>
          <w:i/>
        </w:rPr>
        <w:t>The Gove</w:t>
      </w:r>
      <w:r w:rsidRPr="00BE78A0">
        <w:rPr>
          <w:i/>
        </w:rPr>
        <w:t>r</w:t>
      </w:r>
      <w:r w:rsidRPr="00BE78A0">
        <w:rPr>
          <w:i/>
        </w:rPr>
        <w:t>nance of England</w:t>
      </w:r>
      <w:r w:rsidRPr="00320A86">
        <w:t>. Il expose que le roi d’Angleterre tire l’essentiel de ses rev</w:t>
      </w:r>
      <w:r w:rsidRPr="00320A86">
        <w:t>e</w:t>
      </w:r>
      <w:r w:rsidRPr="00320A86">
        <w:t>nus de ses domaines, des droits de douane et de ses revenus féodaux. S’il a besoin de d</w:t>
      </w:r>
      <w:r w:rsidRPr="00320A86">
        <w:t>a</w:t>
      </w:r>
      <w:r w:rsidRPr="00320A86">
        <w:t>vantage d’argent, depuis le milieu du XIV</w:t>
      </w:r>
      <w:r w:rsidRPr="00320A86">
        <w:rPr>
          <w:vertAlign w:val="superscript"/>
        </w:rPr>
        <w:t>e</w:t>
      </w:r>
      <w:r w:rsidRPr="00320A86">
        <w:t xml:space="preserve"> siècle il lui faut le conse</w:t>
      </w:r>
      <w:r w:rsidRPr="00320A86">
        <w:t>n</w:t>
      </w:r>
      <w:r w:rsidRPr="00320A86">
        <w:t>tement du Parlement pour les taxes ou impôts qui permettront d’y fa</w:t>
      </w:r>
      <w:r w:rsidRPr="00320A86">
        <w:t>i</w:t>
      </w:r>
      <w:r w:rsidRPr="00320A86">
        <w:t>re face. Fortescue ajoute qu’en temps de crise, le Parlement doit être consulté. Si le roi est bien le grand législateur, il ne peut néanmoins faire des lois sans avoir l’avis du Parlement. Autrement dit, le système politique anglais est certes basé sur le pouvoir supérieur du roi, mais à plusieurs égards  le souverain ne peut pas gouverner sans le Parl</w:t>
      </w:r>
      <w:r w:rsidRPr="00320A86">
        <w:t>e</w:t>
      </w:r>
      <w:r w:rsidRPr="00320A86">
        <w:t>ment</w:t>
      </w:r>
      <w:r>
        <w:t> </w:t>
      </w:r>
      <w:r>
        <w:rPr>
          <w:rStyle w:val="Appelnotedebasdep"/>
        </w:rPr>
        <w:footnoteReference w:id="543"/>
      </w:r>
      <w:r w:rsidRPr="00320A86">
        <w:rPr>
          <w:vertAlign w:val="superscript"/>
        </w:rPr>
        <w:t>.</w:t>
      </w:r>
      <w:r w:rsidRPr="00320A86">
        <w:t xml:space="preserve"> C’est pourquoi, lors de la première impression de l’ouvrage de Fortescue, en 1885, l’éditeur ajouta comme sous-titre : « The Diff</w:t>
      </w:r>
      <w:r w:rsidRPr="00320A86">
        <w:t>e</w:t>
      </w:r>
      <w:r w:rsidRPr="00320A86">
        <w:t>rence between an Absolute and a Limited Monarchy », ce qui était un anachronisme par rapport aux réalités de la fin du XIV</w:t>
      </w:r>
      <w:r w:rsidRPr="00320A86">
        <w:rPr>
          <w:vertAlign w:val="superscript"/>
        </w:rPr>
        <w:t>e</w:t>
      </w:r>
      <w:r w:rsidRPr="00320A86">
        <w:t xml:space="preserve"> siècle, le te</w:t>
      </w:r>
      <w:r w:rsidRPr="00320A86">
        <w:t>r</w:t>
      </w:r>
      <w:r w:rsidRPr="00320A86">
        <w:t>me d’absolutisme ne pouvant être déjà employé ni même celui de m</w:t>
      </w:r>
      <w:r w:rsidRPr="00320A86">
        <w:t>o</w:t>
      </w:r>
      <w:r w:rsidRPr="00320A86">
        <w:t>narchie limitée</w:t>
      </w:r>
      <w:r>
        <w:t> </w:t>
      </w:r>
      <w:r>
        <w:rPr>
          <w:rStyle w:val="Appelnotedebasdep"/>
        </w:rPr>
        <w:footnoteReference w:id="544"/>
      </w:r>
      <w:r w:rsidRPr="00320A86">
        <w:t>. Dans la réalité, néanmoins, le pouvoir royal re</w:t>
      </w:r>
      <w:r w:rsidRPr="00320A86">
        <w:t>s</w:t>
      </w:r>
      <w:r w:rsidRPr="00320A86">
        <w:t>tait extrêmement puissant et d’ailleurs aussi bien le souverain que les membres du Parlement  consid</w:t>
      </w:r>
      <w:r w:rsidRPr="00320A86">
        <w:t>é</w:t>
      </w:r>
      <w:r w:rsidRPr="00320A86">
        <w:t>raient avant tout celui-ci comme un collaborateur du roi : « c’était une institution royale,</w:t>
      </w:r>
      <w:r>
        <w:t xml:space="preserve"> </w:t>
      </w:r>
      <w:r w:rsidRPr="00320A86">
        <w:t>dont la fonction n’était pas  de créer des obstacles pour le roi ou de limiter son po</w:t>
      </w:r>
      <w:r w:rsidRPr="00320A86">
        <w:t>u</w:t>
      </w:r>
      <w:r w:rsidRPr="00320A86">
        <w:t>voir, mais de faciliter son gouvernement grâce aux lois et aux taxes »</w:t>
      </w:r>
      <w:r>
        <w:t> </w:t>
      </w:r>
      <w:r>
        <w:rPr>
          <w:rStyle w:val="Appelnotedebasdep"/>
        </w:rPr>
        <w:footnoteReference w:id="545"/>
      </w:r>
      <w:r w:rsidRPr="00320A86">
        <w:t> ; au XVII</w:t>
      </w:r>
      <w:r w:rsidRPr="00320A86">
        <w:rPr>
          <w:vertAlign w:val="superscript"/>
        </w:rPr>
        <w:t>e</w:t>
      </w:r>
      <w:r w:rsidRPr="00320A86">
        <w:t xml:space="preserve"> siècle, il jouait aussi le rôle d’une Haute Cour. Le souverain restait en charge du royaume ; il jouissait ainsi d’une autor</w:t>
      </w:r>
      <w:r w:rsidRPr="00320A86">
        <w:t>i</w:t>
      </w:r>
      <w:r w:rsidRPr="00320A86">
        <w:t>té supérieure laquelle lui permettait notamment, en cas de néce</w:t>
      </w:r>
      <w:r w:rsidRPr="00320A86">
        <w:t>s</w:t>
      </w:r>
      <w:r w:rsidRPr="00320A86">
        <w:t>sité, de pouvoir prendre les décisions qui lui paraissaient devoir s’imposer, y compris de lever un impôt extraordinaire. Il restait le grand législ</w:t>
      </w:r>
      <w:r w:rsidRPr="00320A86">
        <w:t>a</w:t>
      </w:r>
      <w:r w:rsidRPr="00320A86">
        <w:t>teur et le grand  justicier. En outre, la loi lui reco</w:t>
      </w:r>
      <w:r w:rsidRPr="00320A86">
        <w:t>n</w:t>
      </w:r>
      <w:r w:rsidRPr="00320A86">
        <w:t>naissait plusieurs prérogatives : « la prérogative royale était un mélange de po</w:t>
      </w:r>
      <w:r w:rsidRPr="00320A86">
        <w:t>u</w:t>
      </w:r>
      <w:r w:rsidRPr="00320A86">
        <w:t>voirs et de droits qui comportaient le contrôle exclusif de la politique étrang</w:t>
      </w:r>
      <w:r w:rsidRPr="00320A86">
        <w:t>è</w:t>
      </w:r>
      <w:r w:rsidRPr="00320A86">
        <w:t>re, la régulation du commerce outre-mer et de la frappe des monnaies, la possibilité d’accorder un pardon aux criminels, et – même s’il y avait des désa</w:t>
      </w:r>
      <w:r w:rsidRPr="00320A86">
        <w:t>c</w:t>
      </w:r>
      <w:r w:rsidRPr="00320A86">
        <w:t>cords à ce sujet – la réglementation de l’Église »</w:t>
      </w:r>
      <w:r>
        <w:t> </w:t>
      </w:r>
      <w:r>
        <w:rPr>
          <w:rStyle w:val="Appelnotedebasdep"/>
        </w:rPr>
        <w:footnoteReference w:id="546"/>
      </w:r>
      <w:r w:rsidRPr="00320A86">
        <w:t>. À côté de son  rôle législatif, il avait la possibilité de Pr</w:t>
      </w:r>
      <w:r w:rsidRPr="00320A86">
        <w:t>o</w:t>
      </w:r>
      <w:r w:rsidRPr="00320A86">
        <w:t>clamations, par exemple de mesures en cas d’épidémies, mais elles n’étaient pas ex</w:t>
      </w:r>
      <w:r w:rsidRPr="00320A86">
        <w:t>é</w:t>
      </w:r>
      <w:r w:rsidRPr="00320A86">
        <w:t>cutoires devant les tribunaux de la Common Law.</w:t>
      </w:r>
    </w:p>
    <w:p w14:paraId="7B2D4968" w14:textId="77777777" w:rsidR="00B01930" w:rsidRPr="00320A86" w:rsidRDefault="00B01930" w:rsidP="00B01930">
      <w:pPr>
        <w:spacing w:before="120" w:after="120"/>
        <w:jc w:val="both"/>
      </w:pPr>
      <w:r w:rsidRPr="00320A86">
        <w:t>Cependant, les avis et points de vue du Parlement pouvaient ne pas coïncider avec ceux du souverain et de ses proches conseillers, et il pouvait en résulter soit qu’un texte de loi proposé par le souverain ne rencontre pas l’assentiment du Parlement lequel votait les lois, soit qu’une demande financière voit son mo</w:t>
      </w:r>
      <w:r w:rsidRPr="00320A86">
        <w:t>n</w:t>
      </w:r>
      <w:r w:rsidRPr="00320A86">
        <w:t>tant réduit par le Parlement, ou même qu’elle soit rejetée. Ce n’était pas très fr</w:t>
      </w:r>
      <w:r w:rsidRPr="00320A86">
        <w:t>é</w:t>
      </w:r>
      <w:r w:rsidRPr="00320A86">
        <w:t>quent, ce n’était pas non plus exceptionnel. Le Parlement devait donc faire l’objet d’une très grande attention de la part du souverain et de ses conseillers ou ministres. En un mot, il fallait le « manager ». Pour les Lords, cela se passait à la Cour où ils étaient très largement présents de manière quasi permanente : les attentions du roi, ses largesses, les faveurs qu’il accordait,  le permettaient, enc</w:t>
      </w:r>
      <w:r w:rsidRPr="00320A86">
        <w:t>o</w:t>
      </w:r>
      <w:r w:rsidRPr="00320A86">
        <w:t>re que maintes fois la lutte permanente de factions qui régnait au sein de la nob</w:t>
      </w:r>
      <w:r w:rsidRPr="00320A86">
        <w:t>i</w:t>
      </w:r>
      <w:r w:rsidRPr="00320A86">
        <w:t>lity</w:t>
      </w:r>
      <w:r>
        <w:t> </w:t>
      </w:r>
      <w:r>
        <w:rPr>
          <w:rStyle w:val="Appelnotedebasdep"/>
        </w:rPr>
        <w:footnoteReference w:id="547"/>
      </w:r>
      <w:r w:rsidRPr="00320A86">
        <w:t xml:space="preserve"> ait fortement compliqué les efforts pour s’assurer une majorité à la Cha</w:t>
      </w:r>
      <w:r w:rsidRPr="00320A86">
        <w:t>m</w:t>
      </w:r>
      <w:r w:rsidRPr="00320A86">
        <w:t>bre haute. Au sein des Communes, les pratiques étaient beaucoup plus co</w:t>
      </w:r>
      <w:r w:rsidRPr="00320A86">
        <w:t>m</w:t>
      </w:r>
      <w:r w:rsidRPr="00320A86">
        <w:t>plexes car aux pratiques qui viennent d’être citées s’ajoutait la nécessité  d’utiliser les clientèles : beaucoup de chevaliers ou de  bourgeois si</w:t>
      </w:r>
      <w:r w:rsidRPr="00320A86">
        <w:t>é</w:t>
      </w:r>
      <w:r w:rsidRPr="00320A86">
        <w:t>geant dans la Chambre basse dépendaient d’un aristocrate</w:t>
      </w:r>
      <w:r>
        <w:t> </w:t>
      </w:r>
      <w:r>
        <w:rPr>
          <w:rStyle w:val="Appelnotedebasdep"/>
        </w:rPr>
        <w:footnoteReference w:id="548"/>
      </w:r>
      <w:r w:rsidRPr="00320A86">
        <w:t xml:space="preserve">. Cela s’explique par le fait, qu’avant même que, dans les années 1530, </w:t>
      </w:r>
      <w:r>
        <w:t>Henry V</w:t>
      </w:r>
      <w:r w:rsidRPr="00320A86">
        <w:t>III lui perme</w:t>
      </w:r>
      <w:r w:rsidRPr="00320A86">
        <w:t>t</w:t>
      </w:r>
      <w:r w:rsidRPr="00320A86">
        <w:t xml:space="preserve">te d’augmenter son rôle, « déjà à l’époque où </w:t>
      </w:r>
      <w:r>
        <w:t>Henry V</w:t>
      </w:r>
      <w:r w:rsidRPr="00320A86">
        <w:t>II monte sur le trône, le Parlement anglais était  devenu une force puissante aussi bien dans le gouvernement du pays, que pour sa polit</w:t>
      </w:r>
      <w:r w:rsidRPr="00320A86">
        <w:t>i</w:t>
      </w:r>
      <w:r w:rsidRPr="00320A86">
        <w:t>que ou la création de nouvelles lois… Bien avant 1485, également, il était aussi tout à fait évident que la Chambre des Communes était bien un membre à part entière du Parlement, aussi nécessaire que la Chambre des Lords : a</w:t>
      </w:r>
      <w:r w:rsidRPr="00320A86">
        <w:t>u</w:t>
      </w:r>
      <w:r w:rsidRPr="00320A86">
        <w:t>cun Statute ne pouvait avoir force de loi sans son consentement ». En outre, la composition des Communes était déso</w:t>
      </w:r>
      <w:r w:rsidRPr="00320A86">
        <w:t>r</w:t>
      </w:r>
      <w:r w:rsidRPr="00320A86">
        <w:t>mais fixée, et depuis 1450 le roi ne pouvait plus décider quelles co</w:t>
      </w:r>
      <w:r w:rsidRPr="00320A86">
        <w:t>m</w:t>
      </w:r>
      <w:r w:rsidRPr="00320A86">
        <w:t>munautés pourraient envoyer des députés aux Communes</w:t>
      </w:r>
      <w:r>
        <w:t> </w:t>
      </w:r>
      <w:r>
        <w:rPr>
          <w:rStyle w:val="Appelnotedebasdep"/>
        </w:rPr>
        <w:footnoteReference w:id="549"/>
      </w:r>
      <w:r w:rsidRPr="00320A86">
        <w:t>. Le bon fonctionnement de la monarchie anglaise passait donc par la maîtrise du Parlement, même s’il était courant de laisser une grande marge de manœuvre à ses membres en matière législative lorsqu’un texte ne paraissait pas d’une importance essentielle.</w:t>
      </w:r>
    </w:p>
    <w:p w14:paraId="13660ABA" w14:textId="77777777" w:rsidR="00B01930" w:rsidRPr="00320A86" w:rsidRDefault="00B01930" w:rsidP="00B01930">
      <w:pPr>
        <w:spacing w:before="120" w:after="120"/>
        <w:jc w:val="both"/>
      </w:pPr>
      <w:r w:rsidRPr="00320A86">
        <w:t>D’une manière générale, jusqu’au XVII</w:t>
      </w:r>
      <w:r w:rsidRPr="00320A86">
        <w:rPr>
          <w:vertAlign w:val="superscript"/>
        </w:rPr>
        <w:t>e</w:t>
      </w:r>
      <w:r w:rsidRPr="00320A86">
        <w:t xml:space="preserve"> siècle, c’est bien ce qui se passa, y compris lors des deux derniers Parlements de </w:t>
      </w:r>
      <w:r>
        <w:t>Jacques I</w:t>
      </w:r>
      <w:r w:rsidRPr="00320A86">
        <w:t>e en 1621 et 1624. Mais, à cette époque, des changements fondamentaux étaient survenus, lesquels sont essentiellement liés au divorce d’Henri VIII, à la mise en place de la Réforme en Angleterre, et aux tête-à-queue politiques et religieux  qui marquèrent les rap</w:t>
      </w:r>
      <w:r w:rsidRPr="00320A86">
        <w:t>i</w:t>
      </w:r>
      <w:r w:rsidRPr="00320A86">
        <w:t xml:space="preserve">des successions entre ses trois enfants. Jusqu’aux années 1530, les </w:t>
      </w:r>
      <w:r w:rsidRPr="00BE78A0">
        <w:rPr>
          <w:i/>
        </w:rPr>
        <w:t>Statutes </w:t>
      </w:r>
      <w:r>
        <w:rPr>
          <w:rStyle w:val="Appelnotedebasdep"/>
        </w:rPr>
        <w:footnoteReference w:id="550"/>
      </w:r>
      <w:r w:rsidRPr="00320A86">
        <w:t xml:space="preserve"> du Pa</w:t>
      </w:r>
      <w:r w:rsidRPr="00320A86">
        <w:t>r</w:t>
      </w:r>
      <w:r w:rsidRPr="00320A86">
        <w:t xml:space="preserve">lement ne pouvaient concerner les affaires spirituelles ni le droit de propriété. Or les changements voulus par </w:t>
      </w:r>
      <w:r>
        <w:t>Henry V</w:t>
      </w:r>
      <w:r w:rsidRPr="00320A86">
        <w:t>III amenèrent en 1539 le Parlement à voter, à la demande du souverain, l’</w:t>
      </w:r>
      <w:r w:rsidRPr="00BE78A0">
        <w:rPr>
          <w:i/>
        </w:rPr>
        <w:t>Act</w:t>
      </w:r>
      <w:r w:rsidRPr="00320A86">
        <w:t xml:space="preserve"> des « Six Articles »</w:t>
      </w:r>
      <w:r>
        <w:t> </w:t>
      </w:r>
      <w:r>
        <w:rPr>
          <w:rStyle w:val="Appelnotedebasdep"/>
        </w:rPr>
        <w:footnoteReference w:id="551"/>
      </w:r>
      <w:r w:rsidRPr="00320A86">
        <w:t xml:space="preserve">, puis à imposer les </w:t>
      </w:r>
      <w:r w:rsidRPr="00BE78A0">
        <w:rPr>
          <w:i/>
        </w:rPr>
        <w:t>Prayer books </w:t>
      </w:r>
      <w:r>
        <w:rPr>
          <w:rStyle w:val="Appelnotedebasdep"/>
        </w:rPr>
        <w:footnoteReference w:id="552"/>
      </w:r>
      <w:r w:rsidRPr="00320A86">
        <w:t xml:space="preserve"> edwardiens, mais au</w:t>
      </w:r>
      <w:r w:rsidRPr="00320A86">
        <w:t>s</w:t>
      </w:r>
      <w:r w:rsidRPr="00320A86">
        <w:t>si à accepter la réaction religieuse du règne de Marie</w:t>
      </w:r>
      <w:r>
        <w:t> </w:t>
      </w:r>
      <w:r w:rsidRPr="00320A86">
        <w:t>I</w:t>
      </w:r>
      <w:r w:rsidRPr="00320A86">
        <w:rPr>
          <w:vertAlign w:val="superscript"/>
        </w:rPr>
        <w:t>ère</w:t>
      </w:r>
      <w:r w:rsidRPr="00320A86">
        <w:t>, et enfin à me</w:t>
      </w:r>
      <w:r w:rsidRPr="00320A86">
        <w:t>t</w:t>
      </w:r>
      <w:r w:rsidRPr="00320A86">
        <w:t xml:space="preserve">tre en place le </w:t>
      </w:r>
      <w:r w:rsidRPr="00BE78A0">
        <w:rPr>
          <w:i/>
        </w:rPr>
        <w:t>Settlement </w:t>
      </w:r>
      <w:r>
        <w:rPr>
          <w:rStyle w:val="Appelnotedebasdep"/>
        </w:rPr>
        <w:footnoteReference w:id="553"/>
      </w:r>
      <w:r w:rsidRPr="00320A86">
        <w:t xml:space="preserve"> religieux élisabéthain, celui-ci marquant réellement le passage de l’Angleterre à la Réforme protestante. La sa</w:t>
      </w:r>
      <w:r w:rsidRPr="00320A86">
        <w:t>i</w:t>
      </w:r>
      <w:r w:rsidRPr="00320A86">
        <w:t>sie des biens de l’Église d’Angleterre fait également partie de cet e</w:t>
      </w:r>
      <w:r w:rsidRPr="00320A86">
        <w:t>n</w:t>
      </w:r>
      <w:r w:rsidRPr="00320A86">
        <w:t>semble. Durant toutes ces circonstances, deux autres changements i</w:t>
      </w:r>
      <w:r w:rsidRPr="00320A86">
        <w:t>n</w:t>
      </w:r>
      <w:r w:rsidRPr="00320A86">
        <w:t>tervinrent, l’un étant, à l’occasion de l’affirmation par la m</w:t>
      </w:r>
      <w:r w:rsidRPr="00320A86">
        <w:t>a</w:t>
      </w:r>
      <w:r w:rsidRPr="00320A86">
        <w:t>jorité du Parlement du choix de la Réforme protestante et donc de la lutte contre la Papauté et contre les puissa</w:t>
      </w:r>
      <w:r w:rsidRPr="00320A86">
        <w:t>n</w:t>
      </w:r>
      <w:r w:rsidRPr="00320A86">
        <w:t xml:space="preserve">ces – essentiellement l’Espagne de </w:t>
      </w:r>
      <w:r>
        <w:t>Philippe I</w:t>
      </w:r>
      <w:r w:rsidRPr="00320A86">
        <w:t>I – qui soutenaient le « Papisme », son inte</w:t>
      </w:r>
      <w:r w:rsidRPr="00320A86">
        <w:t>r</w:t>
      </w:r>
      <w:r w:rsidRPr="00320A86">
        <w:t>vention dans le domaine de la politique extérieure, l’autre la place de plus en plus grande tenue par la Chambre basse, celle des Communes. La nouvea</w:t>
      </w:r>
      <w:r w:rsidRPr="00320A86">
        <w:t>u</w:t>
      </w:r>
      <w:r w:rsidRPr="00320A86">
        <w:t>té de tout cela ne peut être « exagérée » car durant ces a</w:t>
      </w:r>
      <w:r w:rsidRPr="00320A86">
        <w:t>n</w:t>
      </w:r>
      <w:r w:rsidRPr="00320A86">
        <w:t>nées 1530, « les limites » qui existaient jusque là quant aux domaines pour lesquels le Parlement pouvait voter des statutes « disparaissent »</w:t>
      </w:r>
      <w:r>
        <w:t> </w:t>
      </w:r>
      <w:r>
        <w:rPr>
          <w:rStyle w:val="Appelnotedebasdep"/>
        </w:rPr>
        <w:footnoteReference w:id="554"/>
      </w:r>
      <w:r w:rsidRPr="00320A86">
        <w:t>. Prenant en compte cet ensemble, Geoffrey Elton y avait vu la marque de Thomas Cromwell, principal conseiller d’Henri</w:t>
      </w:r>
      <w:r>
        <w:t> </w:t>
      </w:r>
      <w:r w:rsidRPr="00320A86">
        <w:t>VIII de 1533 à 1540, et estimé que l‘on avait affaire à une révolution cromwellienne qui avait changé considérablement l’exercice du pouvoir en Anglete</w:t>
      </w:r>
      <w:r w:rsidRPr="00320A86">
        <w:t>r</w:t>
      </w:r>
      <w:r w:rsidRPr="00320A86">
        <w:t>re</w:t>
      </w:r>
      <w:r>
        <w:t> </w:t>
      </w:r>
      <w:r>
        <w:rPr>
          <w:rStyle w:val="Appelnotedebasdep"/>
        </w:rPr>
        <w:footnoteReference w:id="555"/>
      </w:r>
      <w:r w:rsidRPr="00320A86">
        <w:t>.</w:t>
      </w:r>
    </w:p>
    <w:p w14:paraId="4CB6436F" w14:textId="77777777" w:rsidR="00B01930" w:rsidRPr="00320A86" w:rsidRDefault="00B01930" w:rsidP="00B01930">
      <w:pPr>
        <w:spacing w:before="120" w:after="120"/>
        <w:jc w:val="both"/>
      </w:pPr>
      <w:r w:rsidRPr="00320A86">
        <w:t>Fortement critiqués à l’époque de leur expression, les points de vue d’Elton ont fait l’objet d’une révision souvent très convaincante. Ma</w:t>
      </w:r>
      <w:r w:rsidRPr="00320A86">
        <w:t>l</w:t>
      </w:r>
      <w:r w:rsidRPr="00320A86">
        <w:t>gré ce qui s’est passé à la suite de la difficile mise en œuvre de la R</w:t>
      </w:r>
      <w:r w:rsidRPr="00320A86">
        <w:t>é</w:t>
      </w:r>
      <w:r w:rsidRPr="00320A86">
        <w:t>forme, les rapports entre le souverain du royaume et le Parlement n’ont nullement changé de nature entre le début et la fin du XVI</w:t>
      </w:r>
      <w:r w:rsidRPr="00320A86">
        <w:rPr>
          <w:vertAlign w:val="superscript"/>
        </w:rPr>
        <w:t>e</w:t>
      </w:r>
      <w:r w:rsidRPr="00320A86">
        <w:t xml:space="preserve"> si</w:t>
      </w:r>
      <w:r w:rsidRPr="00320A86">
        <w:t>è</w:t>
      </w:r>
      <w:r w:rsidRPr="00320A86">
        <w:t>cle : le Parlement reste essentiellement un collabor</w:t>
      </w:r>
      <w:r w:rsidRPr="00320A86">
        <w:t>a</w:t>
      </w:r>
      <w:r w:rsidRPr="00320A86">
        <w:t>teur du roi, et d’ailleurs la création de nouvelles lois – autrement dit la législ</w:t>
      </w:r>
      <w:r w:rsidRPr="00320A86">
        <w:t>a</w:t>
      </w:r>
      <w:r w:rsidRPr="00320A86">
        <w:t>tion par Statute  a été très importante sous les Tudor. Quant au rôle de la Cha</w:t>
      </w:r>
      <w:r w:rsidRPr="00320A86">
        <w:t>m</w:t>
      </w:r>
      <w:r w:rsidRPr="00320A86">
        <w:t>bre des Lords, il ne doit pas être sous-estimé. Néanmoins, en profondeur des changements très importants étaient survenus qu’Elton avait sans doute analysés d’une manière discutable, mais qu’il avait eu le mérite de ressentir. L’un est l’adhésion d’une grande partie des él</w:t>
      </w:r>
      <w:r w:rsidRPr="00320A86">
        <w:t>i</w:t>
      </w:r>
      <w:r w:rsidRPr="00320A86">
        <w:t>tes anglaises à la Réforme et l’émergence, parmi elles, d’une minorité convaincue, décidée à faire disparaître ce que la R</w:t>
      </w:r>
      <w:r w:rsidRPr="00320A86">
        <w:t>é</w:t>
      </w:r>
      <w:r w:rsidRPr="00320A86">
        <w:t>forme henricienne et le Settlement élisabéthain laissaient inachevé quant à l’instauration du calvinisme en Angleterre ; on leur a donné le nom de Pur</w:t>
      </w:r>
      <w:r w:rsidRPr="00320A86">
        <w:t>i</w:t>
      </w:r>
      <w:r w:rsidRPr="00320A86">
        <w:t>tains</w:t>
      </w:r>
      <w:r>
        <w:t> </w:t>
      </w:r>
      <w:r>
        <w:rPr>
          <w:rStyle w:val="Appelnotedebasdep"/>
        </w:rPr>
        <w:footnoteReference w:id="556"/>
      </w:r>
      <w:r w:rsidRPr="00320A86">
        <w:t>. Armés d’une foi ardente, ils sont prêts à se battre pour cela et sont e</w:t>
      </w:r>
      <w:r w:rsidRPr="00320A86">
        <w:t>n</w:t>
      </w:r>
      <w:r w:rsidRPr="00320A86">
        <w:t>c</w:t>
      </w:r>
      <w:r w:rsidRPr="00320A86">
        <w:t>o</w:t>
      </w:r>
      <w:r w:rsidRPr="00320A86">
        <w:t>re plus des gardiens vigilants du protestantisme anglais contre toute menace papi</w:t>
      </w:r>
      <w:r w:rsidRPr="00320A86">
        <w:t>s</w:t>
      </w:r>
      <w:r w:rsidRPr="00320A86">
        <w:t>te</w:t>
      </w:r>
      <w:r>
        <w:t> </w:t>
      </w:r>
      <w:r>
        <w:rPr>
          <w:rStyle w:val="Appelnotedebasdep"/>
        </w:rPr>
        <w:footnoteReference w:id="557"/>
      </w:r>
      <w:r w:rsidRPr="00320A86">
        <w:t>. On peut ajouter, à la suite de Christopher Hill et d’autres auteurs, que la Réforme a été aussi une contestation des aut</w:t>
      </w:r>
      <w:r w:rsidRPr="00320A86">
        <w:t>o</w:t>
      </w:r>
      <w:r w:rsidRPr="00320A86">
        <w:t>rités en place et qu’elle a amené une multiplication des discussions et des expressions écrites de la pensée, ce qui se traduisit au début du XVII</w:t>
      </w:r>
      <w:r w:rsidRPr="00320A86">
        <w:rPr>
          <w:vertAlign w:val="superscript"/>
        </w:rPr>
        <w:t>e</w:t>
      </w:r>
      <w:r w:rsidRPr="00320A86">
        <w:t xml:space="preserve"> siècle, et plus encore à partir de la Révolution, par une multipl</w:t>
      </w:r>
      <w:r w:rsidRPr="00320A86">
        <w:t>i</w:t>
      </w:r>
      <w:r w:rsidRPr="00320A86">
        <w:t>cation des sectes</w:t>
      </w:r>
      <w:r>
        <w:t> </w:t>
      </w:r>
      <w:r>
        <w:rPr>
          <w:rStyle w:val="Appelnotedebasdep"/>
        </w:rPr>
        <w:footnoteReference w:id="558"/>
      </w:r>
      <w:r w:rsidRPr="00320A86">
        <w:t>. L’autre est le rôle de l’imprimerie qui non seul</w:t>
      </w:r>
      <w:r w:rsidRPr="00320A86">
        <w:t>e</w:t>
      </w:r>
      <w:r w:rsidRPr="00320A86">
        <w:t>ment favorise l’expansion des idées protestantes mais permet aussi à des individualités marquantes de mieux faire connaître leurs idées a</w:t>
      </w:r>
      <w:r w:rsidRPr="00320A86">
        <w:t>u</w:t>
      </w:r>
      <w:r w:rsidRPr="00320A86">
        <w:t>près d’un large p</w:t>
      </w:r>
      <w:r w:rsidRPr="00320A86">
        <w:t>u</w:t>
      </w:r>
      <w:r w:rsidRPr="00320A86">
        <w:t xml:space="preserve">blic : désormais, les débats « à » la Chambre des Communes peuvent avoir un large écho. </w:t>
      </w:r>
    </w:p>
    <w:p w14:paraId="0745C634" w14:textId="77777777" w:rsidR="00B01930" w:rsidRPr="00320A86" w:rsidRDefault="00B01930" w:rsidP="00B01930">
      <w:pPr>
        <w:spacing w:before="120" w:after="120"/>
        <w:jc w:val="both"/>
      </w:pPr>
    </w:p>
    <w:p w14:paraId="1AD17A4E" w14:textId="77777777" w:rsidR="00B01930" w:rsidRPr="00320A86" w:rsidRDefault="00B01930" w:rsidP="00B01930">
      <w:pPr>
        <w:pStyle w:val="planche"/>
      </w:pPr>
      <w:bookmarkStart w:id="184" w:name="Analyser_idees_pol_pt_2_texte_04_II"/>
      <w:r w:rsidRPr="00320A86">
        <w:t>II. La marche vers l’affro</w:t>
      </w:r>
      <w:r>
        <w:t>ntement,</w:t>
      </w:r>
      <w:r>
        <w:br/>
      </w:r>
      <w:r w:rsidRPr="00320A86">
        <w:t>ou le rôle crucial des années 1620</w:t>
      </w:r>
    </w:p>
    <w:bookmarkEnd w:id="184"/>
    <w:p w14:paraId="714DCBC3" w14:textId="77777777" w:rsidR="00B01930" w:rsidRDefault="00B01930" w:rsidP="00B01930">
      <w:pPr>
        <w:spacing w:before="120" w:after="120"/>
        <w:jc w:val="both"/>
      </w:pPr>
    </w:p>
    <w:p w14:paraId="508EF857"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17DA0F3A" w14:textId="77777777" w:rsidR="00B01930" w:rsidRPr="00320A86" w:rsidRDefault="00B01930" w:rsidP="00B01930">
      <w:pPr>
        <w:spacing w:before="120" w:after="120"/>
        <w:jc w:val="both"/>
      </w:pPr>
      <w:r w:rsidRPr="00320A86">
        <w:t>Dès les parlements d’Élisabeth I</w:t>
      </w:r>
      <w:r w:rsidRPr="00320A86">
        <w:rPr>
          <w:vertAlign w:val="superscript"/>
        </w:rPr>
        <w:t>ère</w:t>
      </w:r>
      <w:r w:rsidRPr="00320A86">
        <w:t>, nous avons donc l’apparition de perso</w:t>
      </w:r>
      <w:r w:rsidRPr="00320A86">
        <w:t>n</w:t>
      </w:r>
      <w:r w:rsidRPr="00320A86">
        <w:t xml:space="preserve">nalités s’opposant à la politique suivie par la reine et ses conseillers, et trouvant un écho public, ce qui continue sous </w:t>
      </w:r>
      <w:r>
        <w:t>Ja</w:t>
      </w:r>
      <w:r>
        <w:t>c</w:t>
      </w:r>
      <w:r>
        <w:t>ques I</w:t>
      </w:r>
      <w:r w:rsidRPr="00320A86">
        <w:rPr>
          <w:vertAlign w:val="superscript"/>
        </w:rPr>
        <w:t>er</w:t>
      </w:r>
      <w:r w:rsidRPr="00320A86">
        <w:t>. À partir de 1617, ce roi choisit pour  favori le duc de Bu</w:t>
      </w:r>
      <w:r w:rsidRPr="00320A86">
        <w:t>c</w:t>
      </w:r>
      <w:r w:rsidRPr="00320A86">
        <w:t>kingham, lequel suscite une large hostilité, notamment à la Cour et à la Chambre des Lords, parce qu’il monopolise en quelque sorte le p</w:t>
      </w:r>
      <w:r w:rsidRPr="00320A86">
        <w:t>a</w:t>
      </w:r>
      <w:r w:rsidRPr="00320A86">
        <w:t>tronage royal. Néanmoins, le roi réussit à garder le contrôle de ses parlements, et l’assemblée continue à être fondamentalement une in</w:t>
      </w:r>
      <w:r w:rsidRPr="00320A86">
        <w:t>s</w:t>
      </w:r>
      <w:r w:rsidRPr="00320A86">
        <w:t>titution qui collabore avec le monarque, même si l’on peut déceler lors des se</w:t>
      </w:r>
      <w:r w:rsidRPr="00320A86">
        <w:t>s</w:t>
      </w:r>
      <w:r w:rsidRPr="00320A86">
        <w:t xml:space="preserve">sions des deux derniers Parlements de </w:t>
      </w:r>
      <w:r>
        <w:t>Jacques I</w:t>
      </w:r>
      <w:r w:rsidRPr="00320A86">
        <w:rPr>
          <w:vertAlign w:val="superscript"/>
        </w:rPr>
        <w:t>er</w:t>
      </w:r>
      <w:r w:rsidRPr="00320A86">
        <w:t>, en 1621 et 1624, un changement de ton chez plusieurs députés</w:t>
      </w:r>
      <w:r>
        <w:t> </w:t>
      </w:r>
      <w:r>
        <w:rPr>
          <w:rStyle w:val="Appelnotedebasdep"/>
        </w:rPr>
        <w:footnoteReference w:id="559"/>
      </w:r>
      <w:r w:rsidRPr="00320A86">
        <w:t>. Il n’empêche que la recherche d’un compromis avec le roi, ses ministres et consei</w:t>
      </w:r>
      <w:r w:rsidRPr="00320A86">
        <w:t>l</w:t>
      </w:r>
      <w:r w:rsidRPr="00320A86">
        <w:t>lers qui suit traditionnellement l’expression des griefs ou doléa</w:t>
      </w:r>
      <w:r w:rsidRPr="00320A86">
        <w:t>n</w:t>
      </w:r>
      <w:r w:rsidRPr="00320A86">
        <w:t>ces des membres de l’une ou l’autre chambre, caractérise  encore les deux de</w:t>
      </w:r>
      <w:r w:rsidRPr="00320A86">
        <w:t>r</w:t>
      </w:r>
      <w:r w:rsidRPr="00320A86">
        <w:t xml:space="preserve">niers Parlements du règne de </w:t>
      </w:r>
      <w:r>
        <w:t>Jacques I</w:t>
      </w:r>
      <w:r w:rsidRPr="00320A86">
        <w:rPr>
          <w:vertAlign w:val="superscript"/>
        </w:rPr>
        <w:t>er</w:t>
      </w:r>
      <w:r>
        <w:t> </w:t>
      </w:r>
      <w:r>
        <w:rPr>
          <w:rStyle w:val="Appelnotedebasdep"/>
        </w:rPr>
        <w:footnoteReference w:id="560"/>
      </w:r>
      <w:r w:rsidRPr="00320A86">
        <w:t xml:space="preserve">. Tout se complique avec </w:t>
      </w:r>
      <w:r>
        <w:t>Charles I</w:t>
      </w:r>
      <w:r w:rsidRPr="00320A86">
        <w:rPr>
          <w:vertAlign w:val="superscript"/>
        </w:rPr>
        <w:t>er</w:t>
      </w:r>
      <w:r w:rsidRPr="00320A86">
        <w:t xml:space="preserve"> qui, à la fois, garde Buckingham</w:t>
      </w:r>
      <w:r>
        <w:t> </w:t>
      </w:r>
      <w:r>
        <w:rPr>
          <w:rStyle w:val="Appelnotedebasdep"/>
        </w:rPr>
        <w:footnoteReference w:id="561"/>
      </w:r>
      <w:r w:rsidRPr="00320A86">
        <w:t>, et surtout prend des p</w:t>
      </w:r>
      <w:r w:rsidRPr="00320A86">
        <w:t>o</w:t>
      </w:r>
      <w:r w:rsidRPr="00320A86">
        <w:t>sitions aussi bien rel</w:t>
      </w:r>
      <w:r w:rsidRPr="00320A86">
        <w:t>i</w:t>
      </w:r>
      <w:r w:rsidRPr="00320A86">
        <w:t xml:space="preserve">gieuses que politico-administratives, telles qu’au cours de ses trois parlements l’hostilité d’une grande partie des </w:t>
      </w:r>
      <w:r w:rsidRPr="00BE78A0">
        <w:rPr>
          <w:i/>
        </w:rPr>
        <w:t>Lords</w:t>
      </w:r>
      <w:r w:rsidRPr="00320A86">
        <w:t xml:space="preserve"> et des </w:t>
      </w:r>
      <w:r w:rsidRPr="00BE78A0">
        <w:rPr>
          <w:i/>
        </w:rPr>
        <w:t>Commoners</w:t>
      </w:r>
      <w:r w:rsidRPr="00320A86">
        <w:t xml:space="preserve"> ne cesse de croître, la marque la plus impo</w:t>
      </w:r>
      <w:r w:rsidRPr="00320A86">
        <w:t>r</w:t>
      </w:r>
      <w:r w:rsidRPr="00320A86">
        <w:t xml:space="preserve">tante en étant le vote, en 1628, de la </w:t>
      </w:r>
      <w:r w:rsidRPr="00BE78A0">
        <w:rPr>
          <w:i/>
        </w:rPr>
        <w:t>Pétition du Droit </w:t>
      </w:r>
      <w:r>
        <w:rPr>
          <w:rStyle w:val="Appelnotedebasdep"/>
        </w:rPr>
        <w:footnoteReference w:id="562"/>
      </w:r>
      <w:r w:rsidRPr="00320A86">
        <w:t>, grâce à une astuce j</w:t>
      </w:r>
      <w:r w:rsidRPr="00320A86">
        <w:t>u</w:t>
      </w:r>
      <w:r w:rsidRPr="00320A86">
        <w:t>ridique de Sir Edward Coke, qui utilisait une procédure essentiell</w:t>
      </w:r>
      <w:r w:rsidRPr="00320A86">
        <w:t>e</w:t>
      </w:r>
      <w:r w:rsidRPr="00320A86">
        <w:t>ment employée par des particuliers et dans leur intérêt en la transfo</w:t>
      </w:r>
      <w:r w:rsidRPr="00320A86">
        <w:t>r</w:t>
      </w:r>
      <w:r w:rsidRPr="00320A86">
        <w:t>mant en une procédure de droit public concernant l’ensemble des A</w:t>
      </w:r>
      <w:r w:rsidRPr="00320A86">
        <w:t>n</w:t>
      </w:r>
      <w:r w:rsidRPr="00320A86">
        <w:t>glais. En très peu de temps, le fonctionnement normal de la monarchie anglaise a été tot</w:t>
      </w:r>
      <w:r w:rsidRPr="00320A86">
        <w:t>a</w:t>
      </w:r>
      <w:r w:rsidRPr="00320A86">
        <w:t>lement bouleversé : non seulement il n’y a plus de collaboration avec le souv</w:t>
      </w:r>
      <w:r w:rsidRPr="00320A86">
        <w:t>e</w:t>
      </w:r>
      <w:r w:rsidRPr="00320A86">
        <w:t>rain, mais il y a une opposition ouverte, violente dans son  expression</w:t>
      </w:r>
      <w:r>
        <w:t> </w:t>
      </w:r>
      <w:r>
        <w:rPr>
          <w:rStyle w:val="Appelnotedebasdep"/>
        </w:rPr>
        <w:footnoteReference w:id="563"/>
      </w:r>
      <w:r w:rsidRPr="00320A86">
        <w:t>. D’une part, ce sont les Co</w:t>
      </w:r>
      <w:r w:rsidRPr="00320A86">
        <w:t>m</w:t>
      </w:r>
      <w:r w:rsidRPr="00320A86">
        <w:t xml:space="preserve">munes qui ont pris le pas sur la Chambre haute au sein du Parlement. Certes, les </w:t>
      </w:r>
      <w:r w:rsidRPr="00BE78A0">
        <w:rPr>
          <w:i/>
        </w:rPr>
        <w:t>Lords</w:t>
      </w:r>
      <w:r w:rsidRPr="00320A86">
        <w:t xml:space="preserve"> ont autant de pouvoir et de poids politique que les Communes, et aucun Act ne peut être adopté sans leur accord ; en o</w:t>
      </w:r>
      <w:r w:rsidRPr="00320A86">
        <w:t>u</w:t>
      </w:r>
      <w:r w:rsidRPr="00320A86">
        <w:t>tre, au cours des années 1620, ils sont devenus la Cour d’appel suprême du roya</w:t>
      </w:r>
      <w:r w:rsidRPr="00320A86">
        <w:t>u</w:t>
      </w:r>
      <w:r w:rsidRPr="00320A86">
        <w:t>me. Mais les compétences juridiques ou administratives des princ</w:t>
      </w:r>
      <w:r w:rsidRPr="00320A86">
        <w:t>i</w:t>
      </w:r>
      <w:r w:rsidRPr="00320A86">
        <w:t>paux députés aux Communes, l’engagement plus déterminé d’une pa</w:t>
      </w:r>
      <w:r w:rsidRPr="00320A86">
        <w:t>r</w:t>
      </w:r>
      <w:r w:rsidRPr="00320A86">
        <w:t>tie des membres de celles-ci, eurent pour conséquence que les initiat</w:t>
      </w:r>
      <w:r w:rsidRPr="00320A86">
        <w:t>i</w:t>
      </w:r>
      <w:r w:rsidRPr="00320A86">
        <w:t>ves vinrent presque toujours de la Chambre basse, laquelle prit ainsi le pas sur la Chambre des Lords, même si les Pairs gardaient une i</w:t>
      </w:r>
      <w:r w:rsidRPr="00320A86">
        <w:t>n</w:t>
      </w:r>
      <w:r w:rsidRPr="00320A86">
        <w:t>fluence politique et sociale considérable. D’autre part le conflit avec le souv</w:t>
      </w:r>
      <w:r w:rsidRPr="00320A86">
        <w:t>e</w:t>
      </w:r>
      <w:r w:rsidRPr="00320A86">
        <w:t>rain porte sur des enjeux nationaux, et nous allons voir qu’à cette occasion se développe effectivement une idéologie parlementaire qui trouve un large écho parmi les Anglais puisque  les débats des pa</w:t>
      </w:r>
      <w:r w:rsidRPr="00320A86">
        <w:t>r</w:t>
      </w:r>
      <w:r w:rsidRPr="00320A86">
        <w:t>lements sont la</w:t>
      </w:r>
      <w:r w:rsidRPr="00320A86">
        <w:t>r</w:t>
      </w:r>
      <w:r w:rsidRPr="00320A86">
        <w:t>gement diffusés, y compris les moments d’affrontement avec la monarchie</w:t>
      </w:r>
      <w:r>
        <w:t> </w:t>
      </w:r>
      <w:r>
        <w:rPr>
          <w:rStyle w:val="Appelnotedebasdep"/>
        </w:rPr>
        <w:footnoteReference w:id="564"/>
      </w:r>
      <w:r w:rsidRPr="00320A86">
        <w:t> ; or de 1621 à 1629 il y eut pas moins de 5 parlements en huit ans. Les Anglais pe</w:t>
      </w:r>
      <w:r w:rsidRPr="00320A86">
        <w:t>n</w:t>
      </w:r>
      <w:r w:rsidRPr="00320A86">
        <w:t>saient pourtant  qu’un rôle fond</w:t>
      </w:r>
      <w:r w:rsidRPr="00320A86">
        <w:t>a</w:t>
      </w:r>
      <w:r w:rsidRPr="00320A86">
        <w:t>mental du Parlement était de « solutionner les conflits entre la co</w:t>
      </w:r>
      <w:r w:rsidRPr="00320A86">
        <w:t>u</w:t>
      </w:r>
      <w:r w:rsidRPr="00320A86">
        <w:t>ronne et les sujets du roi »</w:t>
      </w:r>
      <w:r>
        <w:t> </w:t>
      </w:r>
      <w:r>
        <w:rPr>
          <w:rStyle w:val="Appelnotedebasdep"/>
        </w:rPr>
        <w:footnoteReference w:id="565"/>
      </w:r>
      <w:r w:rsidRPr="00320A86">
        <w:t>.</w:t>
      </w:r>
    </w:p>
    <w:p w14:paraId="2386F3F2" w14:textId="77777777" w:rsidR="00B01930" w:rsidRPr="00320A86" w:rsidRDefault="00B01930" w:rsidP="00B01930">
      <w:pPr>
        <w:spacing w:before="120" w:after="120"/>
        <w:jc w:val="both"/>
      </w:pPr>
      <w:r w:rsidRPr="00320A86">
        <w:t xml:space="preserve">Il nous faut d’abord cerner les causes de ce conflit, car elles sont de divers ordres. On pourrait </w:t>
      </w:r>
      <w:r w:rsidRPr="00BE78A0">
        <w:rPr>
          <w:i/>
        </w:rPr>
        <w:t>a priori</w:t>
      </w:r>
      <w:r w:rsidRPr="00320A86">
        <w:t xml:space="preserve"> dire que le souverain et ses consei</w:t>
      </w:r>
      <w:r w:rsidRPr="00320A86">
        <w:t>l</w:t>
      </w:r>
      <w:r w:rsidRPr="00320A86">
        <w:t>lers n’arrivent plus à contrôler le Parlement mais ceci n’est qu’un effet et non pas une cause. L’Angleterre était entrée en conflit avec l’Espagne et la France pour des raisons religieuses : la défense du pr</w:t>
      </w:r>
      <w:r w:rsidRPr="00320A86">
        <w:t>o</w:t>
      </w:r>
      <w:r w:rsidRPr="00320A86">
        <w:t>testantisme, mais le roi se vit refuser les subsides supplémentaires dont il avait besoin pour faire face à la guerre. Les griefs des Comm</w:t>
      </w:r>
      <w:r w:rsidRPr="00320A86">
        <w:t>o</w:t>
      </w:r>
      <w:r w:rsidRPr="00320A86">
        <w:t>ners étaient de trois ordres : les uns visaient Buckingham et sa pos</w:t>
      </w:r>
      <w:r w:rsidRPr="00320A86">
        <w:t>i</w:t>
      </w:r>
      <w:r w:rsidRPr="00320A86">
        <w:t>tion de favori ; les autres concernaient la politique religieuse du so</w:t>
      </w:r>
      <w:r w:rsidRPr="00320A86">
        <w:t>u</w:t>
      </w:r>
      <w:r w:rsidRPr="00320A86">
        <w:t>verain, accusé d’être papiste et de vouloir refaire de son royaume un pays catholique ; d’autres encore estimaient qu’il ne respectait pas « </w:t>
      </w:r>
      <w:r w:rsidRPr="00BE78A0">
        <w:rPr>
          <w:i/>
        </w:rPr>
        <w:t>l’ancienne constitution </w:t>
      </w:r>
      <w:r w:rsidRPr="00320A86">
        <w:t>» du royaume d’Angleterre. D’une part, Buckingham était accusé d’être un mauvais conseiller, largement re</w:t>
      </w:r>
      <w:r w:rsidRPr="00320A86">
        <w:t>s</w:t>
      </w:r>
      <w:r w:rsidRPr="00320A86">
        <w:t>ponsable de la mauvaise politique royale, qu’il fallait donc re</w:t>
      </w:r>
      <w:r w:rsidRPr="00320A86">
        <w:t>n</w:t>
      </w:r>
      <w:r w:rsidRPr="00320A86">
        <w:t xml:space="preserve">voyer. D’autre part, une grande partie des </w:t>
      </w:r>
      <w:r w:rsidRPr="00BE78A0">
        <w:rPr>
          <w:i/>
        </w:rPr>
        <w:t>Lords</w:t>
      </w:r>
      <w:r w:rsidRPr="00320A86">
        <w:t>, soutenus par leurs clients au sein des Communes, estimaient qu’il avait monopolisé le patronage royal, co</w:t>
      </w:r>
      <w:r w:rsidRPr="00320A86">
        <w:t>m</w:t>
      </w:r>
      <w:r w:rsidRPr="00320A86">
        <w:t xml:space="preserve">me nous l’avons déjà remarqué. Mais </w:t>
      </w:r>
      <w:r>
        <w:t>Charles I</w:t>
      </w:r>
      <w:r w:rsidRPr="00320A86">
        <w:rPr>
          <w:vertAlign w:val="superscript"/>
        </w:rPr>
        <w:t>er</w:t>
      </w:r>
      <w:r w:rsidRPr="00320A86">
        <w:t xml:space="preserve"> ne voulait pas entendre parler de son renvoi et seul l’assassinat du favori, le 23 août 1628, fit disparaître le pouvoir que lui donnaient la confiance et l’amitié du roi. Les conséquences de cette affaire Buckingham furent très importantes car, d’un côté, elles entraînèrent de mauvaises rel</w:t>
      </w:r>
      <w:r w:rsidRPr="00320A86">
        <w:t>a</w:t>
      </w:r>
      <w:r w:rsidRPr="00320A86">
        <w:t xml:space="preserve">tions entre de très nombreux </w:t>
      </w:r>
      <w:r w:rsidRPr="00BE78A0">
        <w:rPr>
          <w:i/>
        </w:rPr>
        <w:t>Lords</w:t>
      </w:r>
      <w:r w:rsidRPr="00320A86">
        <w:t xml:space="preserve"> et le souverain, d’un autre côté celui-ci ne pardonna pas l’assassinat de son ami. Mais, de ce fait, des relais indispensables lui manquèrent à la fois au sein du Parlement et dans le pays. Lié à cela fut très important le reproche fait à ce souv</w:t>
      </w:r>
      <w:r w:rsidRPr="00320A86">
        <w:t>e</w:t>
      </w:r>
      <w:r w:rsidRPr="00320A86">
        <w:t xml:space="preserve">rain qu’au lieu de prendre conseil, ce qui était une fonction essentielle du Parlement, il ne le faisait pas en se tournant vers le seul cas après l’assassinat du favori car </w:t>
      </w:r>
      <w:r>
        <w:t>Charles I</w:t>
      </w:r>
      <w:r w:rsidRPr="00320A86">
        <w:rPr>
          <w:vertAlign w:val="superscript"/>
        </w:rPr>
        <w:t>er</w:t>
      </w:r>
      <w:r w:rsidRPr="00320A86">
        <w:t xml:space="preserve"> continua à ne pas prendre conseil du Parlement et à ne pas tenir compte des avis de celui-ci, que d’ailleurs il ne suscitait nullement, se reposant sur son seul Conseil privé</w:t>
      </w:r>
      <w:r>
        <w:t> </w:t>
      </w:r>
      <w:r>
        <w:rPr>
          <w:rStyle w:val="Appelnotedebasdep"/>
        </w:rPr>
        <w:footnoteReference w:id="566"/>
      </w:r>
      <w:r w:rsidRPr="00320A86">
        <w:t>.</w:t>
      </w:r>
    </w:p>
    <w:p w14:paraId="0B495685" w14:textId="77777777" w:rsidR="00B01930" w:rsidRPr="00320A86" w:rsidRDefault="00B01930" w:rsidP="00B01930">
      <w:pPr>
        <w:spacing w:before="120" w:after="120"/>
        <w:jc w:val="both"/>
      </w:pPr>
      <w:r w:rsidRPr="00320A86">
        <w:t>C’était d’autant plus grave que les positions religieuses du roi lui valaient de considérables inimitiés car il était accusé de vouloir ram</w:t>
      </w:r>
      <w:r w:rsidRPr="00320A86">
        <w:t>e</w:t>
      </w:r>
      <w:r w:rsidRPr="00320A86">
        <w:t>ner l’Angleterre au p</w:t>
      </w:r>
      <w:r w:rsidRPr="00320A86">
        <w:t>a</w:t>
      </w:r>
      <w:r w:rsidRPr="00320A86">
        <w:t xml:space="preserve">pisme tant abhorré, ce que la foi catholique, clairement exprimée, de la reine Henriette Marie paraissait tout à fait confirmer. En fait, </w:t>
      </w:r>
      <w:r>
        <w:t>Charles I</w:t>
      </w:r>
      <w:r w:rsidRPr="00320A86">
        <w:rPr>
          <w:vertAlign w:val="superscript"/>
        </w:rPr>
        <w:t>er</w:t>
      </w:r>
      <w:r w:rsidRPr="00320A86">
        <w:t xml:space="preserve"> n’a jamais envisagé de devenir cathol</w:t>
      </w:r>
      <w:r w:rsidRPr="00320A86">
        <w:t>i</w:t>
      </w:r>
      <w:r w:rsidRPr="00320A86">
        <w:t>que mais il avait adopté une modalité du protesta</w:t>
      </w:r>
      <w:r w:rsidRPr="00320A86">
        <w:t>n</w:t>
      </w:r>
      <w:r w:rsidRPr="00320A86">
        <w:t>tisme, l’arminianisme</w:t>
      </w:r>
      <w:r>
        <w:t> </w:t>
      </w:r>
      <w:r>
        <w:rPr>
          <w:rStyle w:val="Appelnotedebasdep"/>
        </w:rPr>
        <w:footnoteReference w:id="567"/>
      </w:r>
      <w:r w:rsidRPr="00320A86">
        <w:t>, qui n’était pour les puritains que du catholicisme r</w:t>
      </w:r>
      <w:r w:rsidRPr="00320A86">
        <w:t>e</w:t>
      </w:r>
      <w:r w:rsidRPr="00320A86">
        <w:t>bouilli. Or le roi, aidé par l’évêque de Londres, puis archevêque de Cantorbery, William Laud</w:t>
      </w:r>
      <w:r>
        <w:t> </w:t>
      </w:r>
      <w:r>
        <w:rPr>
          <w:rStyle w:val="Appelnotedebasdep"/>
        </w:rPr>
        <w:footnoteReference w:id="568"/>
      </w:r>
      <w:r w:rsidRPr="00320A86">
        <w:t>, avait entrepris à la fois d’extirper le pur</w:t>
      </w:r>
      <w:r w:rsidRPr="00320A86">
        <w:t>i</w:t>
      </w:r>
      <w:r w:rsidRPr="00320A86">
        <w:t xml:space="preserve">tanisme de l’Église d’Angleterre, et de revenir sur les pratiques et idées que celle-ci avait mises en œuvre au cours de l’application du </w:t>
      </w:r>
      <w:r w:rsidRPr="00BE78A0">
        <w:rPr>
          <w:i/>
        </w:rPr>
        <w:t>Settlement</w:t>
      </w:r>
      <w:r w:rsidRPr="00320A86">
        <w:t xml:space="preserve"> élisabéthain. Celui-ci avait cla</w:t>
      </w:r>
      <w:r w:rsidRPr="00320A86">
        <w:t>i</w:t>
      </w:r>
      <w:r w:rsidRPr="00320A86">
        <w:t>rement instauré une église calviniste mais en même temps gardé une hiérarchie ecclésiastique, un décorum et un déroulement  des cérémonies qui déplaisaient à nombre des pasteurs et fidèles. Considérés sous cet angle, les puritains pe</w:t>
      </w:r>
      <w:r w:rsidRPr="00320A86">
        <w:t>u</w:t>
      </w:r>
      <w:r w:rsidRPr="00320A86">
        <w:t xml:space="preserve">vent se définir très simplement comme ceux qui veulent que la </w:t>
      </w:r>
      <w:r w:rsidRPr="00BE78A0">
        <w:rPr>
          <w:i/>
        </w:rPr>
        <w:t>Church of England</w:t>
      </w:r>
      <w:r w:rsidRPr="00320A86">
        <w:t xml:space="preserve"> soit véritablement une église calviniste ; il s’agit donc pour eux de faire disparaître tous les restes ou relents de papi</w:t>
      </w:r>
      <w:r w:rsidRPr="00320A86">
        <w:t>s</w:t>
      </w:r>
      <w:r w:rsidRPr="00320A86">
        <w:t>me. Ils constituent une minorité très active contre laquelle la hiéra</w:t>
      </w:r>
      <w:r w:rsidRPr="00320A86">
        <w:t>r</w:t>
      </w:r>
      <w:r w:rsidRPr="00320A86">
        <w:t>chie ecclésiastique et les souverains luttèrent par épis</w:t>
      </w:r>
      <w:r w:rsidRPr="00320A86">
        <w:t>o</w:t>
      </w:r>
      <w:r w:rsidRPr="00320A86">
        <w:t xml:space="preserve">des mais sans que cela soit véritablement une politique suivie. C’est pourquoi nous les voyons se manifester publiquement au tout début du règne de </w:t>
      </w:r>
      <w:r>
        <w:t>Ja</w:t>
      </w:r>
      <w:r>
        <w:t>c</w:t>
      </w:r>
      <w:r>
        <w:t>ques I</w:t>
      </w:r>
      <w:r w:rsidRPr="00320A86">
        <w:rPr>
          <w:vertAlign w:val="superscript"/>
        </w:rPr>
        <w:t>er</w:t>
      </w:r>
      <w:r>
        <w:t> </w:t>
      </w:r>
      <w:r>
        <w:rPr>
          <w:rStyle w:val="Appelnotedebasdep"/>
        </w:rPr>
        <w:footnoteReference w:id="569"/>
      </w:r>
      <w:r w:rsidRPr="00320A86">
        <w:t xml:space="preserve"> lequel se contenta de les cantonner, tâche qui fut d’autant plus facile que les recherches récentes, notamment celles de Nicholas Tyacke</w:t>
      </w:r>
      <w:r>
        <w:t> </w:t>
      </w:r>
      <w:r>
        <w:rPr>
          <w:rStyle w:val="Appelnotedebasdep"/>
        </w:rPr>
        <w:footnoteReference w:id="570"/>
      </w:r>
      <w:r w:rsidRPr="00320A86">
        <w:t>, ont montré que le puritanisme de la première moitié du XVII</w:t>
      </w:r>
      <w:r w:rsidRPr="00320A86">
        <w:rPr>
          <w:vertAlign w:val="superscript"/>
        </w:rPr>
        <w:t>e</w:t>
      </w:r>
      <w:r w:rsidRPr="00320A86">
        <w:t xml:space="preserve"> siècle cherchait moins à faire évoluer l’Église d’Angleterre qu’à empêcher tout retour en arrière. Sous </w:t>
      </w:r>
      <w:r>
        <w:t>Cha</w:t>
      </w:r>
      <w:r>
        <w:t>r</w:t>
      </w:r>
      <w:r>
        <w:t>les I</w:t>
      </w:r>
      <w:r w:rsidRPr="00320A86">
        <w:rPr>
          <w:vertAlign w:val="superscript"/>
        </w:rPr>
        <w:t>er</w:t>
      </w:r>
      <w:r w:rsidRPr="00320A86">
        <w:t>, le puritanisme est d’abord un mouvement conservateur qui refuse l’innovation arm</w:t>
      </w:r>
      <w:r w:rsidRPr="00320A86">
        <w:t>i</w:t>
      </w:r>
      <w:r w:rsidRPr="00320A86">
        <w:t>nienne et essaie d’empêcher qu’elle ne se développe. En fait,  pour bea</w:t>
      </w:r>
      <w:r w:rsidRPr="00320A86">
        <w:t>u</w:t>
      </w:r>
      <w:r w:rsidRPr="00320A86">
        <w:t>coup d’historiens, qui me paraissent néanmoins négliger ou sous-estimer la présence d’éléments radicaux parmi les puritains, « le pur</w:t>
      </w:r>
      <w:r w:rsidRPr="00320A86">
        <w:t>i</w:t>
      </w:r>
      <w:r w:rsidRPr="00320A86">
        <w:t>tanisme fut moins une opposition radicale que l’aile dirigeante d’une révolution conservatrice contre la révolution arminienne »</w:t>
      </w:r>
      <w:r>
        <w:t> </w:t>
      </w:r>
      <w:r>
        <w:rPr>
          <w:rStyle w:val="Appelnotedebasdep"/>
        </w:rPr>
        <w:footnoteReference w:id="571"/>
      </w:r>
      <w:r w:rsidRPr="00320A86">
        <w:t>. Il ne fa</w:t>
      </w:r>
      <w:r w:rsidRPr="00320A86">
        <w:t>u</w:t>
      </w:r>
      <w:r w:rsidRPr="00320A86">
        <w:t>drait pas pour autant oublier ou sous-estimer la présence de rad</w:t>
      </w:r>
      <w:r w:rsidRPr="00320A86">
        <w:t>i</w:t>
      </w:r>
      <w:r w:rsidRPr="00320A86">
        <w:t>caux parmi les puritains</w:t>
      </w:r>
      <w:r>
        <w:t> </w:t>
      </w:r>
      <w:r>
        <w:rPr>
          <w:rStyle w:val="Appelnotedebasdep"/>
        </w:rPr>
        <w:footnoteReference w:id="572"/>
      </w:r>
      <w:r w:rsidRPr="00320A86">
        <w:t>, ni non plus négliger le fait qu’au début du r</w:t>
      </w:r>
      <w:r w:rsidRPr="00320A86">
        <w:t>è</w:t>
      </w:r>
      <w:r w:rsidRPr="00320A86">
        <w:t xml:space="preserve">gne de </w:t>
      </w:r>
      <w:r>
        <w:t>Jacques I</w:t>
      </w:r>
      <w:r w:rsidRPr="00320A86">
        <w:rPr>
          <w:vertAlign w:val="superscript"/>
        </w:rPr>
        <w:t>er</w:t>
      </w:r>
      <w:r w:rsidRPr="00320A86">
        <w:t>, « les politiciens puritains », dont le chef de file était Peter Wentworth, élaborèrent à l’occasion des demandes qu’ils pr</w:t>
      </w:r>
      <w:r w:rsidRPr="00320A86">
        <w:t>é</w:t>
      </w:r>
      <w:r w:rsidRPr="00320A86">
        <w:t>sentèrent au nouveau souverain « une plate-forme d’alternative polit</w:t>
      </w:r>
      <w:r w:rsidRPr="00320A86">
        <w:t>i</w:t>
      </w:r>
      <w:r w:rsidRPr="00320A86">
        <w:t>co-religieuse », opposée à celle du gouvernement, qui rallia les diss</w:t>
      </w:r>
      <w:r w:rsidRPr="00320A86">
        <w:t>i</w:t>
      </w:r>
      <w:r w:rsidRPr="00320A86">
        <w:t>dents, avec pour conséquence « qu’était née une nouvelle sorte d’adversaires politiques » du gouvernement</w:t>
      </w:r>
      <w:r>
        <w:t> </w:t>
      </w:r>
      <w:r>
        <w:rPr>
          <w:rStyle w:val="Appelnotedebasdep"/>
        </w:rPr>
        <w:footnoteReference w:id="573"/>
      </w:r>
      <w:r w:rsidRPr="00320A86">
        <w:t xml:space="preserve">. Ce qui changea à partir de 1625, c’est que </w:t>
      </w:r>
      <w:r>
        <w:t>Charles I</w:t>
      </w:r>
      <w:r w:rsidRPr="00320A86">
        <w:rPr>
          <w:vertAlign w:val="superscript"/>
        </w:rPr>
        <w:t>er</w:t>
      </w:r>
      <w:r w:rsidRPr="00320A86">
        <w:t xml:space="preserve"> et William Laud décidèrent non seul</w:t>
      </w:r>
      <w:r w:rsidRPr="00320A86">
        <w:t>e</w:t>
      </w:r>
      <w:r w:rsidRPr="00320A86">
        <w:t>ment de les faire reculer mais même de les exti</w:t>
      </w:r>
      <w:r w:rsidRPr="00320A86">
        <w:t>r</w:t>
      </w:r>
      <w:r w:rsidRPr="00320A86">
        <w:t>per de l’Église d’Angleterre. Il en résulta la présence au sein des Communes d’une opposition religieuse résolue, dont les « révisionnistes » mésestiment la force. Celle-ci est d’autant plus grande que les puritains sont très nombreux à Londres et qu’ils ont réussi à acquérir en provinces de solides positions dans un grand nombre d’endroits. Ainsi, à Bath, dès le début des années 1620, avec l’appui de familles de la gentry  dont les Prynne, les Ashe, les Harrington, ils prennent le contrôle de la co</w:t>
      </w:r>
      <w:r w:rsidRPr="00320A86">
        <w:t>r</w:t>
      </w:r>
      <w:r w:rsidRPr="00320A86">
        <w:t>poration</w:t>
      </w:r>
      <w:r>
        <w:t> </w:t>
      </w:r>
      <w:r>
        <w:rPr>
          <w:rStyle w:val="Appelnotedebasdep"/>
        </w:rPr>
        <w:footnoteReference w:id="574"/>
      </w:r>
      <w:r w:rsidRPr="00320A86">
        <w:t>, réforment les mœurs grâce à des se</w:t>
      </w:r>
      <w:r w:rsidRPr="00320A86">
        <w:t>r</w:t>
      </w:r>
      <w:r w:rsidRPr="00320A86">
        <w:t>mons, des lectures</w:t>
      </w:r>
      <w:r>
        <w:t> </w:t>
      </w:r>
      <w:r>
        <w:rPr>
          <w:rStyle w:val="Appelnotedebasdep"/>
        </w:rPr>
        <w:footnoteReference w:id="575"/>
      </w:r>
      <w:r w:rsidRPr="00320A86">
        <w:t xml:space="preserve"> (conférences) en milieu de semaine, la fermeture de nombreux cab</w:t>
      </w:r>
      <w:r w:rsidRPr="00320A86">
        <w:t>a</w:t>
      </w:r>
      <w:r w:rsidRPr="00320A86">
        <w:t>rets, le contrôle de la vie sexuelle et de l’usage de l’alcool, le strict respect du sabbat… En un mot, ils établissent « un système de contr</w:t>
      </w:r>
      <w:r w:rsidRPr="00320A86">
        <w:t>ô</w:t>
      </w:r>
      <w:r w:rsidRPr="00320A86">
        <w:t>le social et moral »</w:t>
      </w:r>
      <w:r>
        <w:t> </w:t>
      </w:r>
      <w:r>
        <w:rPr>
          <w:rStyle w:val="Appelnotedebasdep"/>
        </w:rPr>
        <w:footnoteReference w:id="576"/>
      </w:r>
      <w:r w:rsidRPr="00320A86">
        <w:t xml:space="preserve"> dont on peut dire qu’il se rapproche de celui existant en Écosse. Nombreux étaient donc, dans tous les milieux s</w:t>
      </w:r>
      <w:r w:rsidRPr="00320A86">
        <w:t>o</w:t>
      </w:r>
      <w:r w:rsidRPr="00320A86">
        <w:t>ciaux, dans la capitale comme dans les comtés, ceux qu’horrifiaient la politique religieuse menée par le roi et Wi</w:t>
      </w:r>
      <w:r w:rsidRPr="00320A86">
        <w:t>l</w:t>
      </w:r>
      <w:r w:rsidRPr="00320A86">
        <w:t xml:space="preserve">liam Laud. Pour beaucoup </w:t>
      </w:r>
      <w:r>
        <w:t>Charles I</w:t>
      </w:r>
      <w:r w:rsidRPr="00320A86">
        <w:rPr>
          <w:vertAlign w:val="superscript"/>
        </w:rPr>
        <w:t>er</w:t>
      </w:r>
      <w:r w:rsidRPr="00320A86">
        <w:t xml:space="preserve"> devint l’incarnation de l’Antéchrist, une minorité ajoutant à cela une vision apocalyptique qui s’était nourrie, dès le règne de </w:t>
      </w:r>
      <w:r>
        <w:t>Ja</w:t>
      </w:r>
      <w:r>
        <w:t>c</w:t>
      </w:r>
      <w:r>
        <w:t>ques I</w:t>
      </w:r>
      <w:r w:rsidRPr="00320A86">
        <w:rPr>
          <w:vertAlign w:val="superscript"/>
        </w:rPr>
        <w:t>er</w:t>
      </w:r>
      <w:r w:rsidRPr="00320A86">
        <w:t xml:space="preserve"> des échecs protestants sur le continent au cours de la guerre de Trente Ans</w:t>
      </w:r>
      <w:r>
        <w:t> </w:t>
      </w:r>
      <w:r>
        <w:rPr>
          <w:rStyle w:val="Appelnotedebasdep"/>
        </w:rPr>
        <w:footnoteReference w:id="577"/>
      </w:r>
      <w:r w:rsidRPr="00320A86">
        <w:t xml:space="preserve">. La politique religieuse suivie par </w:t>
      </w:r>
      <w:r>
        <w:t>Charles I</w:t>
      </w:r>
      <w:r w:rsidRPr="00320A86">
        <w:rPr>
          <w:vertAlign w:val="superscript"/>
        </w:rPr>
        <w:t>er</w:t>
      </w:r>
      <w:r w:rsidRPr="00320A86">
        <w:t xml:space="preserve"> les persu</w:t>
      </w:r>
      <w:r w:rsidRPr="00320A86">
        <w:t>a</w:t>
      </w:r>
      <w:r w:rsidRPr="00320A86">
        <w:t>da que désormais la menace se trouvait même à l’intérieur du roya</w:t>
      </w:r>
      <w:r w:rsidRPr="00320A86">
        <w:t>u</w:t>
      </w:r>
      <w:r w:rsidRPr="00320A86">
        <w:t>me</w:t>
      </w:r>
      <w:r>
        <w:t> </w:t>
      </w:r>
      <w:r>
        <w:rPr>
          <w:rStyle w:val="Appelnotedebasdep"/>
        </w:rPr>
        <w:footnoteReference w:id="578"/>
      </w:r>
      <w:r w:rsidRPr="00320A86">
        <w:t>. C’est pourquoi Laud fut exécuté en 1645, pourquoi aussi no</w:t>
      </w:r>
      <w:r w:rsidRPr="00320A86">
        <w:t>m</w:t>
      </w:r>
      <w:r w:rsidRPr="00320A86">
        <w:t>bre d’entre eux estimèrent néce</w:t>
      </w:r>
      <w:r w:rsidRPr="00320A86">
        <w:t>s</w:t>
      </w:r>
      <w:r w:rsidRPr="00320A86">
        <w:t xml:space="preserve">saire que </w:t>
      </w:r>
      <w:r>
        <w:t>Charles I</w:t>
      </w:r>
      <w:r w:rsidRPr="00320A86">
        <w:rPr>
          <w:vertAlign w:val="superscript"/>
        </w:rPr>
        <w:t>er</w:t>
      </w:r>
      <w:r w:rsidRPr="00320A86">
        <w:t xml:space="preserve"> subisse le même sort.</w:t>
      </w:r>
    </w:p>
    <w:p w14:paraId="1788EA5C" w14:textId="77777777" w:rsidR="00B01930" w:rsidRPr="00320A86" w:rsidRDefault="00B01930" w:rsidP="00B01930">
      <w:pPr>
        <w:spacing w:before="120" w:after="120"/>
        <w:jc w:val="both"/>
      </w:pPr>
      <w:r w:rsidRPr="00320A86">
        <w:t>Le troisième élément qui changea la donne au milieu des années 1620, ce fut, dans ce contexte, la formulation de ce qu’on ne peut d</w:t>
      </w:r>
      <w:r w:rsidRPr="00320A86">
        <w:t>é</w:t>
      </w:r>
      <w:r w:rsidRPr="00320A86">
        <w:t>finir que comme une « idéologie parlementaire ». Pour la première fois, en effet, a surgi une opposition frontale entre la majorité des d</w:t>
      </w:r>
      <w:r w:rsidRPr="00320A86">
        <w:t>é</w:t>
      </w:r>
      <w:r w:rsidRPr="00320A86">
        <w:t>putés des Communes et le pouvoir royal. Certes, demeurait l’idée fo</w:t>
      </w:r>
      <w:r w:rsidRPr="00320A86">
        <w:t>n</w:t>
      </w:r>
      <w:r w:rsidRPr="00320A86">
        <w:t>damentale que le rôle du Parlement était d’être un collaborateur du roi mais celui-ci était, de son côté, tenu de respecter le rôle et les fon</w:t>
      </w:r>
      <w:r w:rsidRPr="00320A86">
        <w:t>c</w:t>
      </w:r>
      <w:r w:rsidRPr="00320A86">
        <w:t>tions du Parlement. Nul ne l’exprima mieux que le très grand juriste sir Edward Coke (1552-1634)</w:t>
      </w:r>
      <w:r>
        <w:t> </w:t>
      </w:r>
      <w:r>
        <w:rPr>
          <w:rStyle w:val="Appelnotedebasdep"/>
        </w:rPr>
        <w:footnoteReference w:id="579"/>
      </w:r>
      <w:r w:rsidRPr="00320A86">
        <w:t>, en qui nous pouvons voir celui qui, davantage que d’autres, fait naître, à cette époque, l’idéologie parl</w:t>
      </w:r>
      <w:r w:rsidRPr="00320A86">
        <w:t>e</w:t>
      </w:r>
      <w:r w:rsidRPr="00320A86">
        <w:t>mentaire, même si beaucoup d’autres juristes ou penseurs de cette époque, tel l’ennemi juré de C</w:t>
      </w:r>
      <w:r w:rsidRPr="00320A86">
        <w:t>o</w:t>
      </w:r>
      <w:r w:rsidRPr="00320A86">
        <w:t>ke, le grand Francis Bacon (1561-1627)</w:t>
      </w:r>
      <w:r>
        <w:t> </w:t>
      </w:r>
      <w:r>
        <w:rPr>
          <w:rStyle w:val="Appelnotedebasdep"/>
        </w:rPr>
        <w:footnoteReference w:id="580"/>
      </w:r>
      <w:r w:rsidRPr="00320A86">
        <w:t>, se montrèrent eux aussi des défenseurs des Co</w:t>
      </w:r>
      <w:r w:rsidRPr="00320A86">
        <w:t>m</w:t>
      </w:r>
      <w:r w:rsidRPr="00320A86">
        <w:t>munes et des droits des parlementaires. Mais la pertinence et l’inventivité jurid</w:t>
      </w:r>
      <w:r w:rsidRPr="00320A86">
        <w:t>i</w:t>
      </w:r>
      <w:r w:rsidRPr="00320A86">
        <w:t>ques de Coke lui permirent de jouer un rôle plus grand que tout a</w:t>
      </w:r>
      <w:r w:rsidRPr="00320A86">
        <w:t>u</w:t>
      </w:r>
      <w:r w:rsidRPr="00320A86">
        <w:t xml:space="preserve">tre. Né dans une famille de la petite </w:t>
      </w:r>
      <w:r w:rsidRPr="00BE78A0">
        <w:rPr>
          <w:i/>
        </w:rPr>
        <w:t>gentry</w:t>
      </w:r>
      <w:r w:rsidRPr="00320A86">
        <w:t xml:space="preserve"> du Norfolk, il fit une carrière extraordinaire, d</w:t>
      </w:r>
      <w:r w:rsidRPr="00320A86">
        <w:t>e</w:t>
      </w:r>
      <w:r w:rsidRPr="00320A86">
        <w:t xml:space="preserve">venant Attorney </w:t>
      </w:r>
      <w:r>
        <w:t>général </w:t>
      </w:r>
      <w:r>
        <w:rPr>
          <w:rStyle w:val="Appelnotedebasdep"/>
        </w:rPr>
        <w:footnoteReference w:id="581"/>
      </w:r>
      <w:r w:rsidRPr="00320A86">
        <w:t xml:space="preserve"> de 1593 à 1606, puis </w:t>
      </w:r>
      <w:r w:rsidRPr="00BE78A0">
        <w:rPr>
          <w:i/>
        </w:rPr>
        <w:t>Lord Chief Justice </w:t>
      </w:r>
      <w:r>
        <w:rPr>
          <w:rStyle w:val="Appelnotedebasdep"/>
        </w:rPr>
        <w:footnoteReference w:id="582"/>
      </w:r>
      <w:r w:rsidRPr="00320A86">
        <w:t xml:space="preserve"> de 1613 à 1616, moment où il perdit la f</w:t>
      </w:r>
      <w:r w:rsidRPr="00320A86">
        <w:t>a</w:t>
      </w:r>
      <w:r w:rsidRPr="00320A86">
        <w:t>veur royale, disgrâce qui l’amena en 1621 à être élu député aux Comm</w:t>
      </w:r>
      <w:r w:rsidRPr="00320A86">
        <w:t>u</w:t>
      </w:r>
      <w:r w:rsidRPr="00320A86">
        <w:t>nes, ce qui se reproduisit en 1624,1625 et 1628. À cette ép</w:t>
      </w:r>
      <w:r w:rsidRPr="00320A86">
        <w:t>o</w:t>
      </w:r>
      <w:r w:rsidRPr="00320A86">
        <w:t>que, il est déjà l’auteur d’une œuvre juridique considérable dont la portée politique est très grande</w:t>
      </w:r>
      <w:r>
        <w:t> </w:t>
      </w:r>
      <w:r>
        <w:rPr>
          <w:rStyle w:val="Appelnotedebasdep"/>
        </w:rPr>
        <w:footnoteReference w:id="583"/>
      </w:r>
      <w:r w:rsidRPr="00320A86">
        <w:t>. Tout d’abord, Coke  ne cesse de montrer qu’il exi</w:t>
      </w:r>
      <w:r w:rsidRPr="00320A86">
        <w:t>s</w:t>
      </w:r>
      <w:r w:rsidRPr="00320A86">
        <w:t xml:space="preserve">te une loi suprême du royaume, la </w:t>
      </w:r>
      <w:r w:rsidRPr="00BE78A0">
        <w:rPr>
          <w:i/>
        </w:rPr>
        <w:t>Common Law </w:t>
      </w:r>
      <w:r>
        <w:rPr>
          <w:rStyle w:val="Appelnotedebasdep"/>
        </w:rPr>
        <w:footnoteReference w:id="584"/>
      </w:r>
      <w:r w:rsidRPr="00320A86">
        <w:t>, laquelle s’impose aussi bien au roi qu’au Parlement. Le souverain ne peut donc aller contre les principes et dispositions de la Common Law, nota</w:t>
      </w:r>
      <w:r w:rsidRPr="00320A86">
        <w:t>m</w:t>
      </w:r>
      <w:r w:rsidRPr="00320A86">
        <w:t>ment le fait que le Parlement est l’autorité législative suprême dans le roya</w:t>
      </w:r>
      <w:r w:rsidRPr="00320A86">
        <w:t>u</w:t>
      </w:r>
      <w:r w:rsidRPr="00320A86">
        <w:t>me d’Angleterre et qu’il a aussi un rôle fina</w:t>
      </w:r>
      <w:r w:rsidRPr="00320A86">
        <w:t>n</w:t>
      </w:r>
      <w:r w:rsidRPr="00320A86">
        <w:t>cier primordial puisque le roi ne peut imposer de nouvelle taxe ou lever un no</w:t>
      </w:r>
      <w:r w:rsidRPr="00320A86">
        <w:t>u</w:t>
      </w:r>
      <w:r w:rsidRPr="00320A86">
        <w:t>vel impôt sans son consentement. L’autorité s</w:t>
      </w:r>
      <w:r w:rsidRPr="00320A86">
        <w:t>u</w:t>
      </w:r>
      <w:r w:rsidRPr="00320A86">
        <w:t>prême n’est pas le roi seul mais le roi au sein du Parlement – </w:t>
      </w:r>
      <w:r w:rsidRPr="00BE78A0">
        <w:rPr>
          <w:i/>
        </w:rPr>
        <w:t>King-in-Parliament</w:t>
      </w:r>
      <w:r w:rsidRPr="00320A86">
        <w:t xml:space="preserve">. Par ailleurs, cette même </w:t>
      </w:r>
      <w:r w:rsidRPr="00BE78A0">
        <w:rPr>
          <w:i/>
        </w:rPr>
        <w:t>Common Law</w:t>
      </w:r>
      <w:r w:rsidRPr="00320A86">
        <w:t xml:space="preserve"> oblige le souverain à respe</w:t>
      </w:r>
      <w:r w:rsidRPr="00320A86">
        <w:t>c</w:t>
      </w:r>
      <w:r w:rsidRPr="00320A86">
        <w:t xml:space="preserve">ter les libertés de ses sujets et c’est à cet égard que Coke s’appuie sur la </w:t>
      </w:r>
      <w:r w:rsidRPr="00BE78A0">
        <w:rPr>
          <w:i/>
        </w:rPr>
        <w:t>Magna Ca</w:t>
      </w:r>
      <w:r w:rsidRPr="00BE78A0">
        <w:rPr>
          <w:i/>
        </w:rPr>
        <w:t>r</w:t>
      </w:r>
      <w:r w:rsidRPr="00BE78A0">
        <w:rPr>
          <w:i/>
        </w:rPr>
        <w:t>ta</w:t>
      </w:r>
      <w:r w:rsidRPr="00320A86">
        <w:t>, la Grande Charte de 1215.</w:t>
      </w:r>
    </w:p>
    <w:p w14:paraId="7A938E2E" w14:textId="77777777" w:rsidR="00B01930" w:rsidRPr="00320A86" w:rsidRDefault="00B01930" w:rsidP="00B01930">
      <w:pPr>
        <w:spacing w:before="120" w:after="120"/>
        <w:jc w:val="both"/>
      </w:pPr>
      <w:r w:rsidRPr="00320A86">
        <w:t>Devant l’opposition des barons, que soutenaient une très grande majorité de ses sujets, Jean sans Terre a été obligé de leur concéder le 15 juin  1215, à Runnymede, la très célèbre Grande Charte qui co</w:t>
      </w:r>
      <w:r w:rsidRPr="00320A86">
        <w:t>m</w:t>
      </w:r>
      <w:r w:rsidRPr="00320A86">
        <w:t>porte 63 articles dont la plupart sont relatifs aux paiements féodaux et, en réalité, étaient trop inscrits dans leur époque pour exercer une que</w:t>
      </w:r>
      <w:r w:rsidRPr="00320A86">
        <w:t>l</w:t>
      </w:r>
      <w:r w:rsidRPr="00320A86">
        <w:t>conque influence plusieurs siècles après. C’est pourquoi, entre le XII</w:t>
      </w:r>
      <w:r w:rsidRPr="00320A86">
        <w:rPr>
          <w:vertAlign w:val="superscript"/>
        </w:rPr>
        <w:t>e</w:t>
      </w:r>
      <w:r w:rsidRPr="00320A86">
        <w:t xml:space="preserve"> et la fin du XVI</w:t>
      </w:r>
      <w:r w:rsidRPr="00320A86">
        <w:rPr>
          <w:vertAlign w:val="superscript"/>
        </w:rPr>
        <w:t>e</w:t>
      </w:r>
      <w:r w:rsidRPr="00320A86">
        <w:t xml:space="preserve"> siècle, elle n’eut guère d’influence, sans être pour autant totalement oubliée : c’est ainsi que son texte ayant été imprimé pour la première fois en 1508, dans les années 1530 des hommes de loi  l’invoquèrent</w:t>
      </w:r>
      <w:r>
        <w:t> </w:t>
      </w:r>
      <w:r>
        <w:rPr>
          <w:rStyle w:val="Appelnotedebasdep"/>
        </w:rPr>
        <w:footnoteReference w:id="585"/>
      </w:r>
      <w:r w:rsidRPr="00320A86">
        <w:t xml:space="preserve"> pour des causes privées mais aussi les partic</w:t>
      </w:r>
      <w:r w:rsidRPr="00320A86">
        <w:t>i</w:t>
      </w:r>
      <w:r w:rsidRPr="00320A86">
        <w:t>pants au Pèlerinage de Grâce</w:t>
      </w:r>
      <w:r>
        <w:t> </w:t>
      </w:r>
      <w:r>
        <w:rPr>
          <w:rStyle w:val="Appelnotedebasdep"/>
        </w:rPr>
        <w:footnoteReference w:id="586"/>
      </w:r>
      <w:r w:rsidRPr="00320A86">
        <w:t>. Néanmoins, par la suite on n’y fit guère a</w:t>
      </w:r>
      <w:r w:rsidRPr="00320A86">
        <w:t>p</w:t>
      </w:r>
      <w:r w:rsidRPr="00320A86">
        <w:t>pel  avant que Coke ne lui redonne une place éminente</w:t>
      </w:r>
      <w:r>
        <w:t> </w:t>
      </w:r>
      <w:r>
        <w:rPr>
          <w:rStyle w:val="Appelnotedebasdep"/>
        </w:rPr>
        <w:footnoteReference w:id="587"/>
      </w:r>
      <w:r w:rsidRPr="00320A86">
        <w:t>. Alors même qu’il occupait des fonctions judiciaires, Coke y fit référence, y co</w:t>
      </w:r>
      <w:r w:rsidRPr="00320A86">
        <w:t>m</w:t>
      </w:r>
      <w:r w:rsidRPr="00320A86">
        <w:t>pris contre l’administration royale, pour défendre la liberté personne</w:t>
      </w:r>
      <w:r w:rsidRPr="00320A86">
        <w:t>l</w:t>
      </w:r>
      <w:r w:rsidRPr="00320A86">
        <w:t>le et la propriété de plusieurs prévenus. Son argument</w:t>
      </w:r>
      <w:r w:rsidRPr="00320A86">
        <w:t>a</w:t>
      </w:r>
      <w:r w:rsidRPr="00320A86">
        <w:t>tion se fondait principalement sur deux articles qui, à l’époque où elle fut concédée, avaient avant tout pour but de protéger les « libertés » des barons</w:t>
      </w:r>
      <w:r>
        <w:t> </w:t>
      </w:r>
      <w:r>
        <w:rPr>
          <w:rStyle w:val="Appelnotedebasdep"/>
        </w:rPr>
        <w:footnoteReference w:id="588"/>
      </w:r>
      <w:r w:rsidRPr="00320A86">
        <w:t>, mais qui s’avérèrent dans l’interprétation que leur donna Coke, et à sa suite ses contemporains, d’une importance considér</w:t>
      </w:r>
      <w:r w:rsidRPr="00320A86">
        <w:t>a</w:t>
      </w:r>
      <w:r w:rsidRPr="00320A86">
        <w:t>ble, et devinrent le fondement des libertés personnelles des Anglais, car ils sont aux origines de l’émergence de la notion plus abstraite de liberté. Ce sont les articles 39 – surtout – et 40. Le premier st</w:t>
      </w:r>
      <w:r w:rsidRPr="00320A86">
        <w:t>i</w:t>
      </w:r>
      <w:r w:rsidRPr="00320A86">
        <w:t>pule « </w:t>
      </w:r>
      <w:r w:rsidRPr="00A1551A">
        <w:rPr>
          <w:i/>
        </w:rPr>
        <w:t>qu’aucun homme libre ne peut être arrêté ou emprisonné ni dépoui</w:t>
      </w:r>
      <w:r w:rsidRPr="00A1551A">
        <w:rPr>
          <w:i/>
        </w:rPr>
        <w:t>l</w:t>
      </w:r>
      <w:r w:rsidRPr="00A1551A">
        <w:rPr>
          <w:i/>
        </w:rPr>
        <w:t>lé de ses droits et possessions </w:t>
      </w:r>
      <w:r>
        <w:rPr>
          <w:rStyle w:val="Appelnotedebasdep"/>
        </w:rPr>
        <w:footnoteReference w:id="589"/>
      </w:r>
      <w:r w:rsidRPr="00320A86">
        <w:t xml:space="preserve">, </w:t>
      </w:r>
      <w:r w:rsidRPr="00A1551A">
        <w:rPr>
          <w:i/>
        </w:rPr>
        <w:t>ni déclaré hors la loi ni exilé, ni ruiné de quelque f</w:t>
      </w:r>
      <w:r w:rsidRPr="00A1551A">
        <w:rPr>
          <w:i/>
        </w:rPr>
        <w:t>a</w:t>
      </w:r>
      <w:r w:rsidRPr="00A1551A">
        <w:rPr>
          <w:i/>
        </w:rPr>
        <w:t>çon que ce soit, pas plus qu’on ne peut user de la fo</w:t>
      </w:r>
      <w:r w:rsidRPr="00A1551A">
        <w:rPr>
          <w:i/>
        </w:rPr>
        <w:t>r</w:t>
      </w:r>
      <w:r w:rsidRPr="00A1551A">
        <w:rPr>
          <w:i/>
        </w:rPr>
        <w:t>ce contre lui, ou le faire faire par d’autres, excepté par un jugement conforme à la loi, prononcé par ses pairs ou en vertu de la loi du pays </w:t>
      </w:r>
      <w:r w:rsidRPr="00320A86">
        <w:t>». Le s</w:t>
      </w:r>
      <w:r w:rsidRPr="00320A86">
        <w:t>e</w:t>
      </w:r>
      <w:r w:rsidRPr="00320A86">
        <w:t>cond que « </w:t>
      </w:r>
      <w:r w:rsidRPr="00A1551A">
        <w:rPr>
          <w:i/>
        </w:rPr>
        <w:t>personne ne peut voir vendre ses biens, ni se voir dénier le droit ou la justice ou imposer un délai pour leur mise en œuvre </w:t>
      </w:r>
      <w:r w:rsidRPr="00320A86">
        <w:t>»</w:t>
      </w:r>
      <w:r>
        <w:t> </w:t>
      </w:r>
      <w:r>
        <w:rPr>
          <w:rStyle w:val="Appelnotedebasdep"/>
        </w:rPr>
        <w:footnoteReference w:id="590"/>
      </w:r>
      <w:r w:rsidRPr="00320A86">
        <w:t>. Par ai</w:t>
      </w:r>
      <w:r w:rsidRPr="00320A86">
        <w:t>l</w:t>
      </w:r>
      <w:r w:rsidRPr="00320A86">
        <w:t>leurs, l’article 14 stipule que pour que le souverain puisse lever une « </w:t>
      </w:r>
      <w:r w:rsidRPr="00A1551A">
        <w:rPr>
          <w:i/>
        </w:rPr>
        <w:t>aide </w:t>
      </w:r>
      <w:r w:rsidRPr="00320A86">
        <w:t>», il doit réunir les archevêques, évêques, a</w:t>
      </w:r>
      <w:r w:rsidRPr="00320A86">
        <w:t>b</w:t>
      </w:r>
      <w:r w:rsidRPr="00320A86">
        <w:t>bés, comtes « </w:t>
      </w:r>
      <w:r w:rsidRPr="00A1551A">
        <w:rPr>
          <w:i/>
        </w:rPr>
        <w:t>et autres grands barons </w:t>
      </w:r>
      <w:r w:rsidRPr="00320A86">
        <w:t>» pour obtenir leur accord ; l’article 15 rappelle que seule « </w:t>
      </w:r>
      <w:r w:rsidRPr="00A1551A">
        <w:rPr>
          <w:i/>
        </w:rPr>
        <w:t>une aide raisonnable </w:t>
      </w:r>
      <w:r w:rsidRPr="00320A86">
        <w:t>» peut être levée sur les hommes l</w:t>
      </w:r>
      <w:r w:rsidRPr="00320A86">
        <w:t>i</w:t>
      </w:r>
      <w:r w:rsidRPr="00320A86">
        <w:t>bres – </w:t>
      </w:r>
      <w:r w:rsidRPr="00A1551A">
        <w:rPr>
          <w:i/>
        </w:rPr>
        <w:t>free men</w:t>
      </w:r>
      <w:r w:rsidRPr="00320A86">
        <w:t>. Autrement dit, le roi ne peut taxer arbitrairement ses sujets ; au contraire, il doit réunir leurs représentants si une aide f</w:t>
      </w:r>
      <w:r w:rsidRPr="00320A86">
        <w:t>i</w:t>
      </w:r>
      <w:r w:rsidRPr="00320A86">
        <w:t>nancière  paraît nécessaire</w:t>
      </w:r>
      <w:r>
        <w:t> </w:t>
      </w:r>
      <w:r>
        <w:rPr>
          <w:rStyle w:val="Appelnotedebasdep"/>
        </w:rPr>
        <w:footnoteReference w:id="591"/>
      </w:r>
      <w:r w:rsidRPr="00320A86">
        <w:rPr>
          <w:vertAlign w:val="superscript"/>
        </w:rPr>
        <w:t>,</w:t>
      </w:r>
      <w:r w:rsidRPr="00320A86">
        <w:t xml:space="preserve"> autre princ</w:t>
      </w:r>
      <w:r w:rsidRPr="00320A86">
        <w:t>i</w:t>
      </w:r>
      <w:r w:rsidRPr="00320A86">
        <w:t>pe destiné à trouver un très grand écho puisque les colons am</w:t>
      </w:r>
      <w:r w:rsidRPr="00320A86">
        <w:t>é</w:t>
      </w:r>
      <w:r w:rsidRPr="00320A86">
        <w:t>ricains y firent référence lors de leur conflit avec le gouvernement britannique, conflit qui d</w:t>
      </w:r>
      <w:r w:rsidRPr="00320A86">
        <w:t>é</w:t>
      </w:r>
      <w:r w:rsidRPr="00320A86">
        <w:t>boucha, comme chacun sait, sur l’indépendance des États-Unis.</w:t>
      </w:r>
    </w:p>
    <w:p w14:paraId="09C274D9" w14:textId="77777777" w:rsidR="00B01930" w:rsidRPr="00320A86" w:rsidRDefault="00B01930" w:rsidP="00B01930">
      <w:pPr>
        <w:spacing w:before="120" w:after="120"/>
        <w:jc w:val="both"/>
      </w:pPr>
      <w:r w:rsidRPr="00320A86">
        <w:t>Par la suite donc, son importance fut pendant longtemps très rédu</w:t>
      </w:r>
      <w:r w:rsidRPr="00320A86">
        <w:t>i</w:t>
      </w:r>
      <w:r w:rsidRPr="00320A86">
        <w:t>te. Ce fut le rôle de Coke, par les ouvrages qu’il publia à la fin du XVI</w:t>
      </w:r>
      <w:r w:rsidRPr="00320A86">
        <w:rPr>
          <w:vertAlign w:val="superscript"/>
        </w:rPr>
        <w:t>e</w:t>
      </w:r>
      <w:r w:rsidRPr="00320A86">
        <w:t xml:space="preserve"> et dans le premier tiers  du XVII</w:t>
      </w:r>
      <w:r w:rsidRPr="00320A86">
        <w:rPr>
          <w:vertAlign w:val="superscript"/>
        </w:rPr>
        <w:t>e</w:t>
      </w:r>
      <w:r w:rsidRPr="00320A86">
        <w:t xml:space="preserve"> siècle, d’en magnifier l’apport conjointement à la mise en valeur de la fonction et des droits du Pa</w:t>
      </w:r>
      <w:r w:rsidRPr="00320A86">
        <w:t>r</w:t>
      </w:r>
      <w:r w:rsidRPr="00320A86">
        <w:t>lement. Ses points de vue relèvent souvent du mythe : il pensait n</w:t>
      </w:r>
      <w:r w:rsidRPr="00320A86">
        <w:t>o</w:t>
      </w:r>
      <w:r w:rsidRPr="00320A86">
        <w:t>tamment que la Common Law, les tribunaux et le Parlement anglais « étaient immémoriaux et antérieurs à la conquête normande », ainsi d’ailleurs que les institutions féodales du royaume</w:t>
      </w:r>
      <w:r>
        <w:t> </w:t>
      </w:r>
      <w:r>
        <w:rPr>
          <w:rStyle w:val="Appelnotedebasdep"/>
        </w:rPr>
        <w:footnoteReference w:id="592"/>
      </w:r>
      <w:r w:rsidRPr="00320A86">
        <w:t>. Surtout, se fo</w:t>
      </w:r>
      <w:r w:rsidRPr="00320A86">
        <w:t>n</w:t>
      </w:r>
      <w:r w:rsidRPr="00320A86">
        <w:t>dant sur la Grande Charte, il lutta pour la préservation de la liberté individuelle des Anglais et le respect absolu de leurs droits de propri</w:t>
      </w:r>
      <w:r w:rsidRPr="00320A86">
        <w:t>é</w:t>
      </w:r>
      <w:r w:rsidRPr="00320A86">
        <w:t>té. Par une véritable transformation, était ainsi créé un mythe histor</w:t>
      </w:r>
      <w:r w:rsidRPr="00320A86">
        <w:t>i</w:t>
      </w:r>
      <w:r w:rsidRPr="00320A86">
        <w:t>que, les libertés des barons du début du XIII</w:t>
      </w:r>
      <w:r w:rsidRPr="00320A86">
        <w:rPr>
          <w:vertAlign w:val="superscript"/>
        </w:rPr>
        <w:t>e</w:t>
      </w:r>
      <w:r w:rsidRPr="00320A86">
        <w:t xml:space="preserve"> si</w:t>
      </w:r>
      <w:r w:rsidRPr="00320A86">
        <w:t>è</w:t>
      </w:r>
      <w:r w:rsidRPr="00320A86">
        <w:t>cle devenant celles de tout homme libre vivant dans le royaume d’Angleterre à la fin du XVI</w:t>
      </w:r>
      <w:r w:rsidRPr="00320A86">
        <w:rPr>
          <w:vertAlign w:val="superscript"/>
        </w:rPr>
        <w:t>e</w:t>
      </w:r>
      <w:r w:rsidRPr="00320A86">
        <w:t xml:space="preserve"> et au début du XVII</w:t>
      </w:r>
      <w:r w:rsidRPr="00320A86">
        <w:rPr>
          <w:vertAlign w:val="superscript"/>
        </w:rPr>
        <w:t>e</w:t>
      </w:r>
      <w:r w:rsidRPr="00320A86">
        <w:t xml:space="preserve"> siècle</w:t>
      </w:r>
      <w:r>
        <w:t> </w:t>
      </w:r>
      <w:r>
        <w:rPr>
          <w:rStyle w:val="Appelnotedebasdep"/>
        </w:rPr>
        <w:footnoteReference w:id="593"/>
      </w:r>
      <w:r w:rsidRPr="00320A86">
        <w:t>. Il en tira également l’idée de la l</w:t>
      </w:r>
      <w:r w:rsidRPr="00320A86">
        <w:t>i</w:t>
      </w:r>
      <w:r w:rsidRPr="00320A86">
        <w:t>berté économique de ses concitoyens, ce qui signifiait la liberté du commerce et de l’activité économique, par opposition aux monopoles royaux dont l’une des marques essentielles était de rapporter des sommes considérables au souv</w:t>
      </w:r>
      <w:r w:rsidRPr="00320A86">
        <w:t>e</w:t>
      </w:r>
      <w:r w:rsidRPr="00320A86">
        <w:t>rain</w:t>
      </w:r>
      <w:r>
        <w:t> </w:t>
      </w:r>
      <w:r>
        <w:rPr>
          <w:rStyle w:val="Appelnotedebasdep"/>
        </w:rPr>
        <w:footnoteReference w:id="594"/>
      </w:r>
      <w:r w:rsidRPr="00320A86">
        <w:t>. Enfin, nous lui devons « </w:t>
      </w:r>
      <w:r w:rsidRPr="00A1551A">
        <w:rPr>
          <w:i/>
        </w:rPr>
        <w:t>la formulation classique de la théorie de la Common Law </w:t>
      </w:r>
      <w:r w:rsidRPr="00320A86">
        <w:t>»</w:t>
      </w:r>
      <w:r>
        <w:t> </w:t>
      </w:r>
      <w:r>
        <w:rPr>
          <w:rStyle w:val="Appelnotedebasdep"/>
        </w:rPr>
        <w:footnoteReference w:id="595"/>
      </w:r>
      <w:r w:rsidRPr="00320A86">
        <w:t>. Membre du Parlement, il mena campagne pour un Statute of Monop</w:t>
      </w:r>
      <w:r w:rsidRPr="00320A86">
        <w:t>o</w:t>
      </w:r>
      <w:r w:rsidRPr="00320A86">
        <w:t xml:space="preserve">lies qui fut voté le 25 mai 1624, vote que </w:t>
      </w:r>
      <w:r>
        <w:t>Jacques I</w:t>
      </w:r>
      <w:r w:rsidRPr="00320A86">
        <w:rPr>
          <w:vertAlign w:val="superscript"/>
        </w:rPr>
        <w:t>er</w:t>
      </w:r>
      <w:r w:rsidRPr="00320A86">
        <w:t xml:space="preserve"> rejeta en avertissant les pa</w:t>
      </w:r>
      <w:r w:rsidRPr="00320A86">
        <w:t>r</w:t>
      </w:r>
      <w:r w:rsidRPr="00320A86">
        <w:t>lementaires qu’il s’agissait « </w:t>
      </w:r>
      <w:r w:rsidRPr="00A1551A">
        <w:rPr>
          <w:i/>
        </w:rPr>
        <w:t>d’une matière d’État </w:t>
      </w:r>
      <w:r w:rsidRPr="00320A86">
        <w:t>», et qu’ils ne pouvaient y intervenir. Le conflit persistant, le roi renvoya le Parl</w:t>
      </w:r>
      <w:r w:rsidRPr="00320A86">
        <w:t>e</w:t>
      </w:r>
      <w:r w:rsidRPr="00320A86">
        <w:t xml:space="preserve">ment, et Coke fut enfermé à la Tour de Londres pendant neuf mois. À partir de 1625, ses relations avec </w:t>
      </w:r>
      <w:r>
        <w:t>Charles I</w:t>
      </w:r>
      <w:r w:rsidRPr="00320A86">
        <w:rPr>
          <w:vertAlign w:val="superscript"/>
        </w:rPr>
        <w:t>er</w:t>
      </w:r>
      <w:r w:rsidRPr="00320A86">
        <w:t xml:space="preserve"> ne furent pas meilleures. Le roi imposa des emprunts forcés pour fa</w:t>
      </w:r>
      <w:r w:rsidRPr="00320A86">
        <w:t>i</w:t>
      </w:r>
      <w:r w:rsidRPr="00320A86">
        <w:t>re face aux dépenses de guerre</w:t>
      </w:r>
      <w:r>
        <w:t> </w:t>
      </w:r>
      <w:r>
        <w:rPr>
          <w:rStyle w:val="Appelnotedebasdep"/>
        </w:rPr>
        <w:footnoteReference w:id="596"/>
      </w:r>
      <w:r w:rsidRPr="00320A86">
        <w:t> ; ceux qui refusèrent de les payer furent empr</w:t>
      </w:r>
      <w:r w:rsidRPr="00320A86">
        <w:t>i</w:t>
      </w:r>
      <w:r w:rsidRPr="00320A86">
        <w:t>sonnés et des soldats logés chez eux. Sous la conduite de Coke, les Communes r</w:t>
      </w:r>
      <w:r w:rsidRPr="00320A86">
        <w:t>é</w:t>
      </w:r>
      <w:r w:rsidRPr="00320A86">
        <w:t xml:space="preserve">pondirent que la </w:t>
      </w:r>
      <w:r w:rsidRPr="00A1551A">
        <w:rPr>
          <w:i/>
        </w:rPr>
        <w:t>Magna Carta</w:t>
      </w:r>
      <w:r w:rsidRPr="00320A86">
        <w:t xml:space="preserve"> interdisait l’emprisonnement sans pr</w:t>
      </w:r>
      <w:r w:rsidRPr="00320A86">
        <w:t>o</w:t>
      </w:r>
      <w:r w:rsidRPr="00320A86">
        <w:t>cès d’un homme libre, Coke énonçant à cette occasion un célèbre ad</w:t>
      </w:r>
      <w:r w:rsidRPr="00320A86">
        <w:t>a</w:t>
      </w:r>
      <w:r w:rsidRPr="00320A86">
        <w:t>ge : « </w:t>
      </w:r>
      <w:r w:rsidRPr="00A1551A">
        <w:rPr>
          <w:i/>
        </w:rPr>
        <w:t>la maison d’un Anglais est pour lui un château </w:t>
      </w:r>
      <w:r w:rsidRPr="00320A86">
        <w:t xml:space="preserve">». Il fut rappelé à </w:t>
      </w:r>
      <w:r>
        <w:t>Charles I</w:t>
      </w:r>
      <w:r w:rsidRPr="00320A86">
        <w:rPr>
          <w:vertAlign w:val="superscript"/>
        </w:rPr>
        <w:t>er</w:t>
      </w:r>
      <w:r w:rsidRPr="00320A86">
        <w:t xml:space="preserve"> qu’aucun e</w:t>
      </w:r>
      <w:r w:rsidRPr="00320A86">
        <w:t>m</w:t>
      </w:r>
      <w:r w:rsidRPr="00320A86">
        <w:t>prunt ou aucune taxe ne peuvent être levés sans le consentement du Parlement, en vertu de la Grande Charte, to</w:t>
      </w:r>
      <w:r w:rsidRPr="00320A86">
        <w:t>u</w:t>
      </w:r>
      <w:r w:rsidRPr="00320A86">
        <w:t>jours en vigueur. À cette occasion, le principe de l’</w:t>
      </w:r>
      <w:r w:rsidRPr="00A1551A">
        <w:rPr>
          <w:i/>
        </w:rPr>
        <w:t>Habeas Corpus </w:t>
      </w:r>
      <w:r>
        <w:rPr>
          <w:rStyle w:val="Appelnotedebasdep"/>
        </w:rPr>
        <w:footnoteReference w:id="597"/>
      </w:r>
      <w:r w:rsidRPr="00320A86">
        <w:t xml:space="preserve"> fut proclamé solennellement par les Comm</w:t>
      </w:r>
      <w:r w:rsidRPr="00320A86">
        <w:t>u</w:t>
      </w:r>
      <w:r w:rsidRPr="00320A86">
        <w:t>nes  et Coke, qui jouissait au sein des Communes d’un rôle de leader, fut le principal auteur des Résolutions qu’elles proposèrent aux Lords pour être pr</w:t>
      </w:r>
      <w:r w:rsidRPr="00320A86">
        <w:t>é</w:t>
      </w:r>
      <w:r w:rsidRPr="00320A86">
        <w:t>sentée au roi qui les rejeta car, de son point de vue, elles empiétaient sur les droits et pouvoirs de la Couronne. Un des points de conflit les plus impo</w:t>
      </w:r>
      <w:r w:rsidRPr="00320A86">
        <w:t>r</w:t>
      </w:r>
      <w:r w:rsidRPr="00320A86">
        <w:t>tants avait été l’affaire dite des « </w:t>
      </w:r>
      <w:r w:rsidRPr="00A1551A">
        <w:rPr>
          <w:i/>
        </w:rPr>
        <w:t>Cinq gentilshommes </w:t>
      </w:r>
      <w:r w:rsidRPr="00320A86">
        <w:t>» ou des « </w:t>
      </w:r>
      <w:r w:rsidRPr="00A1551A">
        <w:rPr>
          <w:i/>
        </w:rPr>
        <w:t>Cinq Chevaliers </w:t>
      </w:r>
      <w:r w:rsidRPr="00320A86">
        <w:t xml:space="preserve">» : </w:t>
      </w:r>
      <w:r w:rsidRPr="00A1551A">
        <w:rPr>
          <w:i/>
        </w:rPr>
        <w:t>The Five Knights Case </w:t>
      </w:r>
      <w:r>
        <w:rPr>
          <w:rStyle w:val="Appelnotedebasdep"/>
        </w:rPr>
        <w:footnoteReference w:id="598"/>
      </w:r>
      <w:r w:rsidRPr="00320A86">
        <w:rPr>
          <w:vertAlign w:val="superscript"/>
        </w:rPr>
        <w:t> </w:t>
      </w:r>
      <w:r w:rsidRPr="00320A86">
        <w:t>; ayant refusé de s’acquitter de l’emprunt forcé, insta</w:t>
      </w:r>
      <w:r w:rsidRPr="00320A86">
        <w:t>u</w:t>
      </w:r>
      <w:r w:rsidRPr="00320A86">
        <w:t>ré par le roi en 1627, ils avaient été arrêtés, mais ils en appelèrent à un lit de Ju</w:t>
      </w:r>
      <w:r w:rsidRPr="00320A86">
        <w:t>s</w:t>
      </w:r>
      <w:r w:rsidRPr="00320A86">
        <w:t>tice  en vertu de l’</w:t>
      </w:r>
      <w:r w:rsidRPr="00A1551A">
        <w:rPr>
          <w:i/>
        </w:rPr>
        <w:t xml:space="preserve">Habeas Corpus </w:t>
      </w:r>
      <w:r w:rsidRPr="00320A86">
        <w:t>pour obliger le gouvernement à faire connaître le motif de leur inca</w:t>
      </w:r>
      <w:r w:rsidRPr="00320A86">
        <w:t>r</w:t>
      </w:r>
      <w:r w:rsidRPr="00320A86">
        <w:t xml:space="preserve">cération. </w:t>
      </w:r>
      <w:r>
        <w:t>Charles I</w:t>
      </w:r>
      <w:r w:rsidRPr="00320A86">
        <w:rPr>
          <w:vertAlign w:val="superscript"/>
        </w:rPr>
        <w:t>er</w:t>
      </w:r>
      <w:r w:rsidRPr="00320A86">
        <w:t xml:space="preserve"> répondit qu’ils étaient détenus « de par son bon vouloir » – </w:t>
      </w:r>
      <w:r w:rsidRPr="00A1551A">
        <w:rPr>
          <w:i/>
        </w:rPr>
        <w:t>per speciale madatum domini regis </w:t>
      </w:r>
      <w:r w:rsidRPr="00320A86">
        <w:t>– mais leurs avocats i</w:t>
      </w:r>
      <w:r w:rsidRPr="00320A86">
        <w:t>n</w:t>
      </w:r>
      <w:r w:rsidRPr="00320A86">
        <w:t>voquèrent l’article 39 de la Grande Charte  et le principe de l’Habeas Corpus, ainsi opposé à la prérogative royale appuyée sur la raison d’État.</w:t>
      </w:r>
    </w:p>
    <w:p w14:paraId="04095F4F" w14:textId="77777777" w:rsidR="00B01930" w:rsidRPr="00320A86" w:rsidRDefault="00B01930" w:rsidP="00B01930">
      <w:pPr>
        <w:spacing w:before="120" w:after="120"/>
        <w:jc w:val="both"/>
      </w:pPr>
    </w:p>
    <w:p w14:paraId="769A0F32" w14:textId="77777777" w:rsidR="00B01930" w:rsidRPr="00320A86" w:rsidRDefault="00B01930" w:rsidP="00B01930">
      <w:pPr>
        <w:pStyle w:val="planche"/>
      </w:pPr>
      <w:bookmarkStart w:id="185" w:name="Analyser_idees_pol_pt_2_texte_04_III"/>
      <w:r>
        <w:t>III. Aux origines</w:t>
      </w:r>
      <w:r>
        <w:br/>
      </w:r>
      <w:r w:rsidRPr="00320A86">
        <w:t>d’une idéologie parlementaire</w:t>
      </w:r>
    </w:p>
    <w:bookmarkEnd w:id="185"/>
    <w:p w14:paraId="0F45E588" w14:textId="77777777" w:rsidR="00B01930" w:rsidRDefault="00B01930" w:rsidP="00B01930">
      <w:pPr>
        <w:spacing w:before="120" w:after="120"/>
        <w:jc w:val="both"/>
      </w:pPr>
    </w:p>
    <w:p w14:paraId="07834955"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52A0FAD3" w14:textId="77777777" w:rsidR="00B01930" w:rsidRPr="00320A86" w:rsidRDefault="00B01930" w:rsidP="00B01930">
      <w:pPr>
        <w:spacing w:before="120" w:after="120"/>
        <w:jc w:val="both"/>
      </w:pPr>
      <w:r w:rsidRPr="00320A86">
        <w:t xml:space="preserve">Le conflit reprit lors du troisième Parlement réuni par </w:t>
      </w:r>
      <w:r>
        <w:t>Charles I</w:t>
      </w:r>
      <w:r w:rsidRPr="00320A86">
        <w:rPr>
          <w:vertAlign w:val="superscript"/>
        </w:rPr>
        <w:t>er</w:t>
      </w:r>
      <w:r w:rsidRPr="00320A86">
        <w:t xml:space="preserve">, celui de 1628, qui fut marqué par la </w:t>
      </w:r>
      <w:r w:rsidRPr="00A1551A">
        <w:rPr>
          <w:i/>
        </w:rPr>
        <w:t>Pétition du Droit</w:t>
      </w:r>
      <w:r w:rsidRPr="00320A86">
        <w:t xml:space="preserve"> dans la réda</w:t>
      </w:r>
      <w:r w:rsidRPr="00320A86">
        <w:t>c</w:t>
      </w:r>
      <w:r w:rsidRPr="00320A86">
        <w:t>tion de laquelle Coke joua un rôle essentiel. Les débats furent env</w:t>
      </w:r>
      <w:r w:rsidRPr="00320A86">
        <w:t>e</w:t>
      </w:r>
      <w:r w:rsidRPr="00320A86">
        <w:t>nimés dès l’ouverture de la session, en avril 1628, par l’affaire non résolue des « Cinq gentilshommes » ; en outre, les députés dénonc</w:t>
      </w:r>
      <w:r w:rsidRPr="00320A86">
        <w:t>è</w:t>
      </w:r>
      <w:r w:rsidRPr="00320A86">
        <w:t>rent la p</w:t>
      </w:r>
      <w:r w:rsidRPr="00320A86">
        <w:t>o</w:t>
      </w:r>
      <w:r w:rsidRPr="00320A86">
        <w:t>litique royale marquée par « l’innovation » aussi bien dans le domaine de la politique religieuse que dans celui du gouvernement, marquée également par les échecs à l’extérieur. Sous l’influence de Coke, les Communes décidèrent également de demander au roi de confirmer les droits et libertés de ses sujets. C’est ainsi que fut entr</w:t>
      </w:r>
      <w:r w:rsidRPr="00320A86">
        <w:t>e</w:t>
      </w:r>
      <w:r w:rsidRPr="00320A86">
        <w:t xml:space="preserve">prise la rédaction de la célèbre </w:t>
      </w:r>
      <w:r w:rsidRPr="00A1551A">
        <w:rPr>
          <w:i/>
        </w:rPr>
        <w:t>Pétition du Droit</w:t>
      </w:r>
      <w:r w:rsidRPr="00320A86">
        <w:t>, œuvre essentiell</w:t>
      </w:r>
      <w:r w:rsidRPr="00320A86">
        <w:t>e</w:t>
      </w:r>
      <w:r w:rsidRPr="00320A86">
        <w:t>ment d’Edward Coke et de John Selden</w:t>
      </w:r>
      <w:r>
        <w:t> </w:t>
      </w:r>
      <w:r>
        <w:rPr>
          <w:rStyle w:val="Appelnotedebasdep"/>
        </w:rPr>
        <w:footnoteReference w:id="599"/>
      </w:r>
      <w:r w:rsidRPr="00320A86">
        <w:t>, qui fut votée par les Co</w:t>
      </w:r>
      <w:r w:rsidRPr="00320A86">
        <w:t>m</w:t>
      </w:r>
      <w:r w:rsidRPr="00320A86">
        <w:t>munes puis transmise aux Lords, qui l’approuvèrent sans modific</w:t>
      </w:r>
      <w:r w:rsidRPr="00320A86">
        <w:t>a</w:t>
      </w:r>
      <w:r w:rsidRPr="00320A86">
        <w:t>tions  le 17 mai 1628</w:t>
      </w:r>
      <w:r>
        <w:t> </w:t>
      </w:r>
      <w:r>
        <w:rPr>
          <w:rStyle w:val="Appelnotedebasdep"/>
        </w:rPr>
        <w:footnoteReference w:id="600"/>
      </w:r>
      <w:r w:rsidRPr="00320A86">
        <w:t>. En elle-même, elle n’apporte rien de nouveau. Elle est essentiellement la confirmation d’anciens droits qu’il est d</w:t>
      </w:r>
      <w:r w:rsidRPr="00320A86">
        <w:t>e</w:t>
      </w:r>
      <w:r w:rsidRPr="00320A86">
        <w:t>mandé au so</w:t>
      </w:r>
      <w:r w:rsidRPr="00320A86">
        <w:t>u</w:t>
      </w:r>
      <w:r w:rsidRPr="00320A86">
        <w:t xml:space="preserve">verain de reconnaître solennellement ce qui, </w:t>
      </w:r>
      <w:r w:rsidRPr="00A1551A">
        <w:rPr>
          <w:i/>
        </w:rPr>
        <w:t>ipso facto</w:t>
      </w:r>
      <w:r w:rsidRPr="00320A86">
        <w:t>, mettrait fin  aux abus  récents et aux mesures arbitraires qu’il avait prises depuis son avènement. Ces abus sont les suivants : il ne peut y avoir d’emprunts forcés ni de levée d’impôts sans un vote du Parl</w:t>
      </w:r>
      <w:r w:rsidRPr="00320A86">
        <w:t>e</w:t>
      </w:r>
      <w:r w:rsidRPr="00320A86">
        <w:t>ment ; il ne peut y avoir d’arrestations arbitraires ni d’atteinte arbitra</w:t>
      </w:r>
      <w:r w:rsidRPr="00320A86">
        <w:t>i</w:t>
      </w:r>
      <w:r w:rsidRPr="00320A86">
        <w:t>re à la propriété d’un Anglais ; aucun Anglais ne peut être d</w:t>
      </w:r>
      <w:r w:rsidRPr="00320A86">
        <w:t>é</w:t>
      </w:r>
      <w:r w:rsidRPr="00320A86">
        <w:t>tenu hors d’une décision de justice et chacun a droit à l’</w:t>
      </w:r>
      <w:r w:rsidRPr="00A1551A">
        <w:rPr>
          <w:i/>
        </w:rPr>
        <w:t>Habeas Corpus </w:t>
      </w:r>
      <w:r w:rsidRPr="00320A86">
        <w:t>; la tro</w:t>
      </w:r>
      <w:r w:rsidRPr="00320A86">
        <w:t>u</w:t>
      </w:r>
      <w:r w:rsidRPr="00320A86">
        <w:t>pe ne peut être logée arbitrairement chez les particuliers ; la raison d’État ne peut empêcher un procès équitable. Même la loi martiale</w:t>
      </w:r>
      <w:r>
        <w:t> </w:t>
      </w:r>
      <w:r>
        <w:rPr>
          <w:rStyle w:val="Appelnotedebasdep"/>
        </w:rPr>
        <w:footnoteReference w:id="601"/>
      </w:r>
      <w:r w:rsidRPr="00320A86">
        <w:t xml:space="preserve"> doit s’inscrire dans un cadre légal. Tout cela nous montre que la Pét</w:t>
      </w:r>
      <w:r w:rsidRPr="00320A86">
        <w:t>i</w:t>
      </w:r>
      <w:r w:rsidRPr="00320A86">
        <w:t>tion s’appuie aussi bien sur la Grande Charte</w:t>
      </w:r>
      <w:r>
        <w:t> </w:t>
      </w:r>
      <w:r>
        <w:rPr>
          <w:rStyle w:val="Appelnotedebasdep"/>
        </w:rPr>
        <w:footnoteReference w:id="602"/>
      </w:r>
      <w:r w:rsidRPr="00320A86">
        <w:t>, que sur la Common Law ou les pratiques mises en œuvre par l’évolution du Parlement. Les considérations avancées par les députés étaient parfois purement mythiques : par exemple, John Pym croyait, comme sir E</w:t>
      </w:r>
      <w:r w:rsidRPr="00320A86">
        <w:t>d</w:t>
      </w:r>
      <w:r w:rsidRPr="00320A86">
        <w:t>ward Coke, que les droits dont le respect était demandé, remontaient à l’époque saxonne, donc avant la Conquête normande ! En fait, même l’invocation de la Grande Charte relevait du mythe : les célèbres art</w:t>
      </w:r>
      <w:r w:rsidRPr="00320A86">
        <w:t>i</w:t>
      </w:r>
      <w:r w:rsidRPr="00320A86">
        <w:t>cles 39 et 40 se situaient dans un contexte tout à fait différent, et d’ailleurs ne concernaient que les barons. Au demeurant, il faut soul</w:t>
      </w:r>
      <w:r w:rsidRPr="00320A86">
        <w:t>i</w:t>
      </w:r>
      <w:r w:rsidRPr="00320A86">
        <w:t>gner que le conflit venait aussi du flou constitutionnel, qui apparai</w:t>
      </w:r>
      <w:r w:rsidRPr="00320A86">
        <w:t>s</w:t>
      </w:r>
      <w:r w:rsidRPr="00320A86">
        <w:t>sait clairement lorsque « </w:t>
      </w:r>
      <w:r w:rsidRPr="00A1551A">
        <w:rPr>
          <w:i/>
        </w:rPr>
        <w:t>les nécessités financières amenaient les so</w:t>
      </w:r>
      <w:r w:rsidRPr="00A1551A">
        <w:rPr>
          <w:i/>
        </w:rPr>
        <w:t>u</w:t>
      </w:r>
      <w:r w:rsidRPr="00A1551A">
        <w:rPr>
          <w:i/>
        </w:rPr>
        <w:t>verains anglais à utiliser des pouvoirs de prérogative reconnus par tous pour se procurer des revenus, en transformant des pratiques extraordinaires en usages ordinaires. Il en résultait une collusion e</w:t>
      </w:r>
      <w:r w:rsidRPr="00A1551A">
        <w:rPr>
          <w:i/>
        </w:rPr>
        <w:t>n</w:t>
      </w:r>
      <w:r w:rsidRPr="00A1551A">
        <w:rPr>
          <w:i/>
        </w:rPr>
        <w:t>tre deux absolus, le droit des sujets sur leurs biens, et le droit du roi à répondre à des circonstances impérat</w:t>
      </w:r>
      <w:r w:rsidRPr="00A1551A">
        <w:rPr>
          <w:i/>
        </w:rPr>
        <w:t>i</w:t>
      </w:r>
      <w:r w:rsidRPr="00A1551A">
        <w:rPr>
          <w:i/>
        </w:rPr>
        <w:t>ves. Or, rien ne permettait d’arbitrer entre les deux points de vue </w:t>
      </w:r>
      <w:r w:rsidRPr="00320A86">
        <w:t>»</w:t>
      </w:r>
      <w:r>
        <w:t> </w:t>
      </w:r>
      <w:r>
        <w:rPr>
          <w:rStyle w:val="Appelnotedebasdep"/>
        </w:rPr>
        <w:footnoteReference w:id="603"/>
      </w:r>
      <w:r w:rsidRPr="00320A86">
        <w:t>. Bien e</w:t>
      </w:r>
      <w:r w:rsidRPr="00320A86">
        <w:t>n</w:t>
      </w:r>
      <w:r w:rsidRPr="00320A86">
        <w:t xml:space="preserve">tendu, le conflit avait aussi pour origine des oppositions politiques – comme ce fut le cas sous </w:t>
      </w:r>
      <w:r>
        <w:t>Charles I</w:t>
      </w:r>
      <w:r w:rsidRPr="00320A86">
        <w:rPr>
          <w:vertAlign w:val="superscript"/>
        </w:rPr>
        <w:t>er</w:t>
      </w:r>
      <w:r w:rsidRPr="00320A86">
        <w:t xml:space="preserve"> – entre le roi et une part plus ou moins importante du Parlement. Il est clair que la </w:t>
      </w:r>
      <w:r w:rsidRPr="00A1551A">
        <w:rPr>
          <w:i/>
        </w:rPr>
        <w:t>Pétition du Droit</w:t>
      </w:r>
      <w:r w:rsidRPr="00320A86">
        <w:t xml:space="preserve"> avait pour cons</w:t>
      </w:r>
      <w:r w:rsidRPr="00320A86">
        <w:t>é</w:t>
      </w:r>
      <w:r w:rsidRPr="00320A86">
        <w:t>quence de faire pencher la balance du côté d’une restriction de la pr</w:t>
      </w:r>
      <w:r w:rsidRPr="00320A86">
        <w:t>é</w:t>
      </w:r>
      <w:r w:rsidRPr="00320A86">
        <w:t xml:space="preserve">rogative royale. Pour Conrad Russell, il faut néanmoins se garder d’exagérer le conflit : à son avis, « jusqu’en 1629 </w:t>
      </w:r>
      <w:r>
        <w:t>Charles I</w:t>
      </w:r>
      <w:r w:rsidRPr="00320A86">
        <w:rPr>
          <w:vertAlign w:val="superscript"/>
        </w:rPr>
        <w:t>er</w:t>
      </w:r>
      <w:r w:rsidRPr="00320A86">
        <w:t xml:space="preserve"> ne mo</w:t>
      </w:r>
      <w:r w:rsidRPr="00320A86">
        <w:t>n</w:t>
      </w:r>
      <w:r w:rsidRPr="00320A86">
        <w:t>tra pas plus d’hostilité envers ses parlements qu’il était néce</w:t>
      </w:r>
      <w:r w:rsidRPr="00320A86">
        <w:t>s</w:t>
      </w:r>
      <w:r w:rsidRPr="00320A86">
        <w:t>saire pour obtenir les moyens financiers dont il avait besoin pour la gue</w:t>
      </w:r>
      <w:r w:rsidRPr="00320A86">
        <w:t>r</w:t>
      </w:r>
      <w:r w:rsidRPr="00320A86">
        <w:t>re », et il souligne même que le roi « montra de la patience… devant le négativisme et l’esprit d’obstruction des parlements de 1626 et 1628 »</w:t>
      </w:r>
      <w:r>
        <w:t> </w:t>
      </w:r>
      <w:r>
        <w:rPr>
          <w:rStyle w:val="Appelnotedebasdep"/>
        </w:rPr>
        <w:footnoteReference w:id="604"/>
      </w:r>
      <w:r w:rsidRPr="00320A86">
        <w:t>.</w:t>
      </w:r>
    </w:p>
    <w:p w14:paraId="04C34C4B" w14:textId="77777777" w:rsidR="00B01930" w:rsidRPr="00320A86" w:rsidRDefault="00B01930" w:rsidP="00B01930">
      <w:pPr>
        <w:spacing w:before="120" w:after="120"/>
        <w:jc w:val="both"/>
      </w:pPr>
      <w:r w:rsidRPr="00320A86">
        <w:t xml:space="preserve">S’agissant de la </w:t>
      </w:r>
      <w:r w:rsidRPr="00A1551A">
        <w:rPr>
          <w:i/>
        </w:rPr>
        <w:t>Pétition du Droit</w:t>
      </w:r>
      <w:r w:rsidRPr="00320A86">
        <w:t>, tout semblait indiquer que le roi refuserait de l’approuver mais ses besoins financiers étaient tels</w:t>
      </w:r>
      <w:r>
        <w:t> </w:t>
      </w:r>
      <w:r>
        <w:rPr>
          <w:rStyle w:val="Appelnotedebasdep"/>
        </w:rPr>
        <w:footnoteReference w:id="605"/>
      </w:r>
      <w:r w:rsidRPr="00320A86">
        <w:t xml:space="preserve"> qu’il la confirma le 7 juin : « </w:t>
      </w:r>
      <w:r w:rsidRPr="00A1551A">
        <w:rPr>
          <w:i/>
        </w:rPr>
        <w:t>Soit droit fait comme il est désiré </w:t>
      </w:r>
      <w:r w:rsidRPr="00320A86">
        <w:t xml:space="preserve">» ! C’est un texte d’une très grande portée sur le moment comme par la suite car « la </w:t>
      </w:r>
      <w:r w:rsidRPr="00A1551A">
        <w:rPr>
          <w:i/>
        </w:rPr>
        <w:t>Pétition du Droit</w:t>
      </w:r>
      <w:r w:rsidRPr="00320A86">
        <w:t xml:space="preserve"> était le premier document constitutionnel, d</w:t>
      </w:r>
      <w:r w:rsidRPr="00320A86">
        <w:t>e</w:t>
      </w:r>
      <w:r w:rsidRPr="00320A86">
        <w:t>puis la Grande Charte, garantissant des libe</w:t>
      </w:r>
      <w:r w:rsidRPr="00320A86">
        <w:t>r</w:t>
      </w:r>
      <w:r w:rsidRPr="00320A86">
        <w:t>tés individuelles contre l’arbitraire »</w:t>
      </w:r>
      <w:r>
        <w:t> </w:t>
      </w:r>
      <w:r>
        <w:rPr>
          <w:rStyle w:val="Appelnotedebasdep"/>
        </w:rPr>
        <w:footnoteReference w:id="606"/>
      </w:r>
      <w:r w:rsidRPr="00320A86">
        <w:t xml:space="preserve">. En fait, cette acceptation n’était  pour </w:t>
      </w:r>
      <w:r>
        <w:t>Charles I</w:t>
      </w:r>
      <w:r w:rsidRPr="00320A86">
        <w:rPr>
          <w:vertAlign w:val="superscript"/>
        </w:rPr>
        <w:t>er</w:t>
      </w:r>
      <w:r w:rsidRPr="00320A86">
        <w:t xml:space="preserve"> qu’une manœuvre d’attente car dès 1629 il renvoya son troisième Pa</w:t>
      </w:r>
      <w:r w:rsidRPr="00320A86">
        <w:t>r</w:t>
      </w:r>
      <w:r w:rsidRPr="00320A86">
        <w:t>lement et déclara même qu’il n’en convoquerait plus, estimant que le comportement des députés aux Communes ne répondait plus aux r</w:t>
      </w:r>
      <w:r w:rsidRPr="00320A86">
        <w:t>è</w:t>
      </w:r>
      <w:r w:rsidRPr="00320A86">
        <w:t>gles, à la fois parce qu’ils ne respectaient plus la prérogative royale et parce qu’au lieu de se comporter en collaborateurs du souverain, ils pratiquaient une opposition à ses yeux destructrice des institutions anglaises</w:t>
      </w:r>
      <w:r>
        <w:t> </w:t>
      </w:r>
      <w:r>
        <w:rPr>
          <w:rStyle w:val="Appelnotedebasdep"/>
        </w:rPr>
        <w:footnoteReference w:id="607"/>
      </w:r>
      <w:r w:rsidRPr="00320A86">
        <w:t>. Il gouverna donc sans Parlement jusqu’en 1640 mais ses échecs pour soumettre l’Écosse eurent pour résultat qu’il lui fallut en convoquer un quatrième en avril 1640. Le conflit fut tel que ce Court Parliament fut renvoyé presque aussitôt</w:t>
      </w:r>
      <w:r>
        <w:t> </w:t>
      </w:r>
      <w:r>
        <w:rPr>
          <w:rStyle w:val="Appelnotedebasdep"/>
        </w:rPr>
        <w:footnoteReference w:id="608"/>
      </w:r>
      <w:r w:rsidRPr="00320A86">
        <w:t>. Ce n’était que reculer pour mieux sauter : les difficultés rencontrées avec les Écossais l’amenèrent à appeler pour la cinquième fois un Parlement qui se r</w:t>
      </w:r>
      <w:r w:rsidRPr="00320A86">
        <w:t>é</w:t>
      </w:r>
      <w:r w:rsidRPr="00320A86">
        <w:t xml:space="preserve">unit le 3 novembre 1640 : le </w:t>
      </w:r>
      <w:r w:rsidRPr="00A1551A">
        <w:rPr>
          <w:i/>
        </w:rPr>
        <w:t>Long Parliament </w:t>
      </w:r>
      <w:r>
        <w:rPr>
          <w:rStyle w:val="Appelnotedebasdep"/>
        </w:rPr>
        <w:footnoteReference w:id="609"/>
      </w:r>
      <w:r w:rsidRPr="00320A86">
        <w:t>. Dès l’ouverture de la session, les députés vinrent exposer les i</w:t>
      </w:r>
      <w:r w:rsidRPr="00320A86">
        <w:t>n</w:t>
      </w:r>
      <w:r w:rsidRPr="00320A86">
        <w:t>nombrables griefs de leurs concitoyens contre la politique menée par le roi, l</w:t>
      </w:r>
      <w:r w:rsidRPr="00320A86">
        <w:t>e</w:t>
      </w:r>
      <w:r w:rsidRPr="00320A86">
        <w:t xml:space="preserve">quel vit le pouvoir lui échapper : ce fut la Révolution de 1640 qui déboucha près de deux ans plus tard, en août 1642, sur une guerre entre </w:t>
      </w:r>
      <w:r>
        <w:t>Charles I</w:t>
      </w:r>
      <w:r w:rsidRPr="00320A86">
        <w:rPr>
          <w:vertAlign w:val="superscript"/>
        </w:rPr>
        <w:t>er</w:t>
      </w:r>
      <w:r w:rsidRPr="00320A86">
        <w:t xml:space="preserve"> et le Pa</w:t>
      </w:r>
      <w:r w:rsidRPr="00320A86">
        <w:t>r</w:t>
      </w:r>
      <w:r w:rsidRPr="00320A86">
        <w:t>lement d’Angleterre, dont celui-ci sortit victorieux</w:t>
      </w:r>
      <w:r>
        <w:t> </w:t>
      </w:r>
      <w:r>
        <w:rPr>
          <w:rStyle w:val="Appelnotedebasdep"/>
        </w:rPr>
        <w:footnoteReference w:id="610"/>
      </w:r>
      <w:r w:rsidRPr="00320A86">
        <w:t>. Bien des causes expliquent et la Révolution et la guerre civile elle-même. Mais en g</w:t>
      </w:r>
      <w:r w:rsidRPr="00320A86">
        <w:t>é</w:t>
      </w:r>
      <w:r w:rsidRPr="00320A86">
        <w:t>néral les différents a</w:t>
      </w:r>
      <w:r w:rsidRPr="00320A86">
        <w:t>u</w:t>
      </w:r>
      <w:r w:rsidRPr="00320A86">
        <w:t>teurs oublient de souligner que ces causes ont pu jouer parce qu’à partir de 1625 s’est clairement dégagée une idéologie parlementaire, qui ne pouvait aboutir, à terme, qu’à une nouvelle conception du fonctionnement des institutions d’Angleterre. Certes, on peut trouver avant le XVII</w:t>
      </w:r>
      <w:r w:rsidRPr="00320A86">
        <w:rPr>
          <w:vertAlign w:val="superscript"/>
        </w:rPr>
        <w:t>e</w:t>
      </w:r>
      <w:r w:rsidRPr="00320A86">
        <w:t xml:space="preserve"> siècle des exemples d’opposition entre le roi régnant et le Parlement, mais ce ne furent que des év</w:t>
      </w:r>
      <w:r w:rsidRPr="00320A86">
        <w:t>é</w:t>
      </w:r>
      <w:r w:rsidRPr="00320A86">
        <w:t xml:space="preserve">nements sans lendemain : du milieu du Moyen Age jusqu’au règne de </w:t>
      </w:r>
      <w:r>
        <w:t>Cha</w:t>
      </w:r>
      <w:r>
        <w:t>r</w:t>
      </w:r>
      <w:r>
        <w:t>les I</w:t>
      </w:r>
      <w:r w:rsidRPr="00320A86">
        <w:rPr>
          <w:vertAlign w:val="superscript"/>
        </w:rPr>
        <w:t>er</w:t>
      </w:r>
      <w:r w:rsidRPr="00320A86">
        <w:t xml:space="preserve"> la collaboration fut la règle. Dans le durcissement de cette o</w:t>
      </w:r>
      <w:r w:rsidRPr="00320A86">
        <w:t>p</w:t>
      </w:r>
      <w:r w:rsidRPr="00320A86">
        <w:t xml:space="preserve">position frontale, le caractère entier de </w:t>
      </w:r>
      <w:r>
        <w:t>Charles I</w:t>
      </w:r>
      <w:r w:rsidRPr="00320A86">
        <w:rPr>
          <w:vertAlign w:val="superscript"/>
        </w:rPr>
        <w:t>er</w:t>
      </w:r>
      <w:r w:rsidRPr="00320A86">
        <w:t>, son manque de d</w:t>
      </w:r>
      <w:r w:rsidRPr="00320A86">
        <w:t>i</w:t>
      </w:r>
      <w:r w:rsidRPr="00320A86">
        <w:t>plomatie et d’habileté politique – à la différence de son père- tinrent largement leur part. Mais au sein même du Parlement, plus particuli</w:t>
      </w:r>
      <w:r w:rsidRPr="00320A86">
        <w:t>è</w:t>
      </w:r>
      <w:r w:rsidRPr="00320A86">
        <w:t>r</w:t>
      </w:r>
      <w:r w:rsidRPr="00320A86">
        <w:t>e</w:t>
      </w:r>
      <w:r w:rsidRPr="00320A86">
        <w:t>ment des Communes, lesquelles ont à bien des égards pris le pas sur la chambre haute, il s’est incontestablement développé une vision que Coke et ses amis faisaient remonter à la Grande Charte, voire même avant, mais qui était en réalité tout à fait nouvelle par ce qu’elle i</w:t>
      </w:r>
      <w:r w:rsidRPr="00320A86">
        <w:t>m</w:t>
      </w:r>
      <w:r w:rsidRPr="00320A86">
        <w:t>pliquait un changement d’équilibre entre le roi et le Parlement. De collaborateur de la m</w:t>
      </w:r>
      <w:r w:rsidRPr="00320A86">
        <w:t>o</w:t>
      </w:r>
      <w:r w:rsidRPr="00320A86">
        <w:t>narchie, celui-ci devenait un acteur du pouvoir.</w:t>
      </w:r>
    </w:p>
    <w:p w14:paraId="53529257" w14:textId="77777777" w:rsidR="00B01930" w:rsidRPr="00320A86" w:rsidRDefault="00B01930" w:rsidP="00B01930">
      <w:pPr>
        <w:spacing w:before="120" w:after="120"/>
        <w:jc w:val="both"/>
      </w:pPr>
      <w:r w:rsidRPr="00320A86">
        <w:t>L’idée fondamentale, fortement soulignée par Geoffrey Elton, était que le roi d’Angleterre n’exerçait pas seul la toute puissance de sa fonction, comme le souverain français : il n’avait cette magistrature suprême qu’au sein du Parl</w:t>
      </w:r>
      <w:r w:rsidRPr="00320A86">
        <w:t>e</w:t>
      </w:r>
      <w:r w:rsidRPr="00320A86">
        <w:t xml:space="preserve">ment, ce qui mettait en valeur le lien entre le roi et ses sujets, et ce qu’exprimait la formule </w:t>
      </w:r>
      <w:r w:rsidRPr="00A1551A">
        <w:rPr>
          <w:i/>
        </w:rPr>
        <w:t>King-in-Parliament</w:t>
      </w:r>
      <w:r w:rsidRPr="00320A86">
        <w:t xml:space="preserve">. Lors de circonstances exceptionnelles, au cours du Moyen Age, le Parlement avait effectivement été réuni, par exemple pour asseoir une accession au trône ou régler une succession royale. Puis </w:t>
      </w:r>
      <w:r>
        <w:t>Henry V</w:t>
      </w:r>
      <w:r w:rsidRPr="00320A86">
        <w:t>III avait eu recours au Parlement pour mettre en place et ancrer sa polit</w:t>
      </w:r>
      <w:r w:rsidRPr="00320A86">
        <w:t>i</w:t>
      </w:r>
      <w:r w:rsidRPr="00320A86">
        <w:t>que religieuse et  trouver l’appui du Royaume tout entier contre la P</w:t>
      </w:r>
      <w:r w:rsidRPr="00320A86">
        <w:t>a</w:t>
      </w:r>
      <w:r w:rsidRPr="00320A86">
        <w:t>pauté. Au cours de ce même XVI</w:t>
      </w:r>
      <w:r w:rsidRPr="00320A86">
        <w:rPr>
          <w:vertAlign w:val="superscript"/>
        </w:rPr>
        <w:t>e</w:t>
      </w:r>
      <w:r w:rsidRPr="00320A86">
        <w:t xml:space="preserve"> siècle, le Parlement eut ensuite à approuver les dispositions successorales de ce souverain, puis le Se</w:t>
      </w:r>
      <w:r w:rsidRPr="00320A86">
        <w:t>t</w:t>
      </w:r>
      <w:r w:rsidRPr="00320A86">
        <w:t>tlement religieux élisabéthain. Il eut enc</w:t>
      </w:r>
      <w:r w:rsidRPr="00320A86">
        <w:t>o</w:t>
      </w:r>
      <w:r w:rsidRPr="00320A86">
        <w:t xml:space="preserve">re à donner son appui à la reine Élisabeth contre l’Espagne de </w:t>
      </w:r>
      <w:r>
        <w:t>Philippe I</w:t>
      </w:r>
      <w:r w:rsidRPr="00320A86">
        <w:t>I, par exemple au m</w:t>
      </w:r>
      <w:r w:rsidRPr="00320A86">
        <w:t>o</w:t>
      </w:r>
      <w:r w:rsidRPr="00320A86">
        <w:t>ment de l’Invincible Armada. Dans l’esprit des souverains, il ne faisait ainsi qu’apporter sa contribution traditionnelle de collaboration, à ce</w:t>
      </w:r>
      <w:r w:rsidRPr="00320A86">
        <w:t>t</w:t>
      </w:r>
      <w:r w:rsidRPr="00320A86">
        <w:t>te différence près néanmoins – et c’est essentiel – qu’il lui était ainsi demandé d’intervenir au niveau de la puissance étatique, ce qui était une nouveauté. Désormais, les députés ont le sentiment qu’ils ont au</w:t>
      </w:r>
      <w:r w:rsidRPr="00320A86">
        <w:t>s</w:t>
      </w:r>
      <w:r w:rsidRPr="00320A86">
        <w:t>si à participer, sinon à la mise en œuvre de la politique royale, du moins à la défense des intérêts vitaux du royaume, ce qui recouvrait aussi la défense de la religion protestante. Ce dernier point avait d’autant plus d’importance que durant tout le règne d’Élisabeth</w:t>
      </w:r>
      <w:r>
        <w:t> </w:t>
      </w:r>
      <w:r w:rsidRPr="00320A86">
        <w:t>I</w:t>
      </w:r>
      <w:r w:rsidRPr="00320A86">
        <w:rPr>
          <w:vertAlign w:val="superscript"/>
        </w:rPr>
        <w:t>ère</w:t>
      </w:r>
      <w:r w:rsidRPr="00320A86">
        <w:t>, l’Angleterre fut sous la menace espagnole qui aurait à coup sûr impl</w:t>
      </w:r>
      <w:r w:rsidRPr="00320A86">
        <w:t>i</w:t>
      </w:r>
      <w:r w:rsidRPr="00320A86">
        <w:t xml:space="preserve">qué, si </w:t>
      </w:r>
      <w:r>
        <w:t>Ph</w:t>
      </w:r>
      <w:r>
        <w:t>i</w:t>
      </w:r>
      <w:r>
        <w:t>lippe I</w:t>
      </w:r>
      <w:r w:rsidRPr="00320A86">
        <w:t xml:space="preserve">I ou </w:t>
      </w:r>
      <w:r>
        <w:t>Philippe I</w:t>
      </w:r>
      <w:r w:rsidRPr="00320A86">
        <w:t>II avaient été victorieux, le retour au catholicisme. La m</w:t>
      </w:r>
      <w:r w:rsidRPr="00320A86">
        <w:t>i</w:t>
      </w:r>
      <w:r w:rsidRPr="00320A86">
        <w:t xml:space="preserve">norité puritaine était particulièrement sur le qui-vive à cet égard. </w:t>
      </w:r>
      <w:r>
        <w:t>Jacques I</w:t>
      </w:r>
      <w:r w:rsidRPr="00320A86">
        <w:rPr>
          <w:vertAlign w:val="superscript"/>
        </w:rPr>
        <w:t>er</w:t>
      </w:r>
      <w:r w:rsidRPr="00320A86">
        <w:t xml:space="preserve"> fit largement disparaître ce danger en r</w:t>
      </w:r>
      <w:r w:rsidRPr="00320A86">
        <w:t>é</w:t>
      </w:r>
      <w:r w:rsidRPr="00320A86">
        <w:t>ussissant à ancrer la paix établie en 1609 entre les deux royaumes et même à avoir avec cet ancien ennemi des relations diplomatiques normales, voire de coopération : plus encore, il envisagea même, en 1620, par un traité secret, un mariage entre le prince de Galles et une infante espagnole. L’inquiétude fut très grande en Angleterre, et cela bien au-delà des puritains. L’accord entre les deux pays s’avérant di</w:t>
      </w:r>
      <w:r w:rsidRPr="00320A86">
        <w:t>f</w:t>
      </w:r>
      <w:r w:rsidRPr="00320A86">
        <w:t>ficile, en février 1623, Charles, prince de Galles, et Buckingham part</w:t>
      </w:r>
      <w:r w:rsidRPr="00320A86">
        <w:t>i</w:t>
      </w:r>
      <w:r w:rsidRPr="00320A86">
        <w:t>rent de leur propre initiative à Madrid, déguisés et incognito, sans prévenir la cour d’Espagne (!), pour ramener cet a</w:t>
      </w:r>
      <w:r w:rsidRPr="00320A86">
        <w:t>c</w:t>
      </w:r>
      <w:r w:rsidRPr="00320A86">
        <w:t>cord. Ce fut un échec total. Lorsque Charles revint de Madrid en octobre et que donc il fut clair que le projet de mariage espagnol avait échoué, ce fut la liesse à Londres et dans le reste du royaume, le prince héritier étant accueilli triomph</w:t>
      </w:r>
      <w:r w:rsidRPr="00320A86">
        <w:t>a</w:t>
      </w:r>
      <w:r w:rsidRPr="00320A86">
        <w:t xml:space="preserve">lement à son retour. Contrairement à la politique qu’il avait suivie jusque là, pressé par son fils et par Buckingham, </w:t>
      </w:r>
      <w:r>
        <w:t>Jacques I</w:t>
      </w:r>
      <w:r w:rsidRPr="00320A86">
        <w:rPr>
          <w:vertAlign w:val="superscript"/>
        </w:rPr>
        <w:t>er</w:t>
      </w:r>
      <w:r w:rsidRPr="00320A86">
        <w:t xml:space="preserve"> finit par céder aux pressions de l’opinion, très hostile au rapprochement avec l’Espagne, et tout cela aboutit en mars 1624 à la guerre entre les deux pays.</w:t>
      </w:r>
    </w:p>
    <w:p w14:paraId="21C4FD2E" w14:textId="77777777" w:rsidR="00B01930" w:rsidRPr="00320A86" w:rsidRDefault="00B01930" w:rsidP="00B01930">
      <w:pPr>
        <w:spacing w:before="120" w:after="120"/>
        <w:jc w:val="both"/>
      </w:pPr>
      <w:r w:rsidRPr="00320A86">
        <w:t>Mais les soupçons demeuraient. Or, loin de disparaître ils reprirent vie lorsque Charles épousa Henriette Marie de France, fervente cath</w:t>
      </w:r>
      <w:r w:rsidRPr="00320A86">
        <w:t>o</w:t>
      </w:r>
      <w:r w:rsidRPr="00320A86">
        <w:t>lique, qui ente</w:t>
      </w:r>
      <w:r w:rsidRPr="00320A86">
        <w:t>n</w:t>
      </w:r>
      <w:r w:rsidRPr="00320A86">
        <w:t>dait bien le  rester, et qui avait obtenu, lors du traité scellant le mariage, de garder son chapelain, plus un entourage rel</w:t>
      </w:r>
      <w:r w:rsidRPr="00320A86">
        <w:t>i</w:t>
      </w:r>
      <w:r w:rsidRPr="00320A86">
        <w:t>gieux, et de pouvoir continuer à assister à la messe ; le contrat de m</w:t>
      </w:r>
      <w:r w:rsidRPr="00320A86">
        <w:t>a</w:t>
      </w:r>
      <w:r w:rsidRPr="00320A86">
        <w:t>riage stipulait qu’elle aurait une « maison ecclésia</w:t>
      </w:r>
      <w:r w:rsidRPr="00320A86">
        <w:t>s</w:t>
      </w:r>
      <w:r w:rsidRPr="00320A86">
        <w:t>tique », dont les membres pourraient porter leurs habits cléricaux, et que la messe s</w:t>
      </w:r>
      <w:r w:rsidRPr="00320A86">
        <w:t>e</w:t>
      </w:r>
      <w:r w:rsidRPr="00320A86">
        <w:t xml:space="preserve">rait célébrée chaque jour dans un oratoire spécialement aménagé à cet effet. Il en résultait qu’un culte catholique existait à nouveau à la cour d’Angleterre, même s’il n’était pas celui du souverain. Mais, ce qui compta davantage encore, ce fut lorsque l’arminianisme de </w:t>
      </w:r>
      <w:r>
        <w:t>Charles I</w:t>
      </w:r>
      <w:r w:rsidRPr="00320A86">
        <w:rPr>
          <w:vertAlign w:val="superscript"/>
        </w:rPr>
        <w:t>er</w:t>
      </w:r>
      <w:r w:rsidRPr="00320A86">
        <w:t xml:space="preserve"> et de son conseiller en matière e</w:t>
      </w:r>
      <w:r w:rsidRPr="00320A86">
        <w:t>c</w:t>
      </w:r>
      <w:r w:rsidRPr="00320A86">
        <w:t>clésiastique et religieuse, William Laud</w:t>
      </w:r>
      <w:r>
        <w:t> </w:t>
      </w:r>
      <w:r>
        <w:rPr>
          <w:rStyle w:val="Appelnotedebasdep"/>
        </w:rPr>
        <w:footnoteReference w:id="611"/>
      </w:r>
      <w:r w:rsidRPr="00320A86">
        <w:t>, devint une évidence : les députés m</w:t>
      </w:r>
      <w:r w:rsidRPr="00320A86">
        <w:t>a</w:t>
      </w:r>
      <w:r w:rsidRPr="00320A86">
        <w:t>nifestèrent leur hostilité et dénoncèrent la menace d’un retour au Papisme. Pa</w:t>
      </w:r>
      <w:r w:rsidRPr="00320A86">
        <w:t>u</w:t>
      </w:r>
      <w:r w:rsidRPr="00320A86">
        <w:t>line Croft a montré comment les séjours à Londres étaient l’occasion pour de no</w:t>
      </w:r>
      <w:r w:rsidRPr="00320A86">
        <w:t>m</w:t>
      </w:r>
      <w:r w:rsidRPr="00320A86">
        <w:t>breux parlementaires – mais aussi pour d’autres- d’être en contact avec les milieux puritains, particulièrement actifs dans la capitale</w:t>
      </w:r>
      <w:r>
        <w:t> </w:t>
      </w:r>
      <w:r>
        <w:rPr>
          <w:rStyle w:val="Appelnotedebasdep"/>
        </w:rPr>
        <w:footnoteReference w:id="612"/>
      </w:r>
      <w:r w:rsidRPr="00320A86">
        <w:t>. Il en résultait une forte cohésion d’idées et d’attitudes, ce qui « s’avéra probablement aussi important que les débats à l’intérieur des Comm</w:t>
      </w:r>
      <w:r w:rsidRPr="00320A86">
        <w:t>u</w:t>
      </w:r>
      <w:r w:rsidRPr="00320A86">
        <w:t>nes ». Ce fut particulièrement le cas en 1629, année où « un très fort sentiment d’expériences partagées renforça une conviction nouvelle que c’étaient les Communes non le roi qui comprenaient r</w:t>
      </w:r>
      <w:r w:rsidRPr="00320A86">
        <w:t>é</w:t>
      </w:r>
      <w:r w:rsidRPr="00320A86">
        <w:t>ellement les intérêts de l’Angleterre considérée comme un tout »</w:t>
      </w:r>
      <w:r>
        <w:t> </w:t>
      </w:r>
      <w:r>
        <w:rPr>
          <w:rStyle w:val="Appelnotedebasdep"/>
        </w:rPr>
        <w:footnoteReference w:id="613"/>
      </w:r>
      <w:r w:rsidRPr="00320A86">
        <w:t>. Ainsi, le Parlement prétendait désormais veiller à ce que la politique religieuse du souverain soit conforme aux principes qui avaient prés</w:t>
      </w:r>
      <w:r w:rsidRPr="00320A86">
        <w:t>i</w:t>
      </w:r>
      <w:r w:rsidRPr="00320A86">
        <w:t>dé à la mise en place de l’Église d’Angleterre. L’arrière-plan religieux avait donc pour conséquence que désormais le Parlement n’avait plus simpl</w:t>
      </w:r>
      <w:r w:rsidRPr="00320A86">
        <w:t>e</w:t>
      </w:r>
      <w:r w:rsidRPr="00320A86">
        <w:t>ment pour but d’appuyer les choix politiques et religieux du roi d’Angleterre : à côté de celui-ci, y compris contre la politique menée par le gouvernement royal, il avait pour tâche de défendre les fond</w:t>
      </w:r>
      <w:r w:rsidRPr="00320A86">
        <w:t>e</w:t>
      </w:r>
      <w:r w:rsidRPr="00320A86">
        <w:t>ments de la politique du royaume d’Angleterre. Il était ainsi devenu un intervenant au plus haut niveau. Certes, les parlementaires n’entendaient null</w:t>
      </w:r>
      <w:r w:rsidRPr="00320A86">
        <w:t>e</w:t>
      </w:r>
      <w:r w:rsidRPr="00320A86">
        <w:t>ment exercer le pouvoir exécutif mais ils s’assignaient pour tâche que celui-ci mène une politique conforme aux principes qui à leurs yeux la fondaient. Pour eux, le Parlement était désormais le garant des principes politiques du royaume, et d’ailleurs, en 1642, le Parlement « ne cesse de prétendre qu’il  préserve le roi, le gouvernement et la loi, même en luttant contre lui [le roi]</w:t>
      </w:r>
      <w:r>
        <w:t> </w:t>
      </w:r>
      <w:r>
        <w:rPr>
          <w:rStyle w:val="Appelnotedebasdep"/>
        </w:rPr>
        <w:footnoteReference w:id="614"/>
      </w:r>
      <w:r w:rsidRPr="00320A86">
        <w:t> ».</w:t>
      </w:r>
    </w:p>
    <w:p w14:paraId="1D31A4EE" w14:textId="77777777" w:rsidR="00B01930" w:rsidRPr="00320A86" w:rsidRDefault="00B01930" w:rsidP="00B01930">
      <w:pPr>
        <w:spacing w:before="120" w:after="120"/>
        <w:jc w:val="both"/>
      </w:pPr>
      <w:r>
        <w:t>Charles I</w:t>
      </w:r>
      <w:r w:rsidRPr="00320A86">
        <w:rPr>
          <w:vertAlign w:val="superscript"/>
        </w:rPr>
        <w:t>er</w:t>
      </w:r>
      <w:r w:rsidRPr="00320A86">
        <w:t xml:space="preserve"> n’avait pas tort d’y voir une nouveauté car cette part e</w:t>
      </w:r>
      <w:r w:rsidRPr="00320A86">
        <w:t>s</w:t>
      </w:r>
      <w:r w:rsidRPr="00320A86">
        <w:t>sentielle de l’idéologie parlementaire des années 1620 et suivantes venait juste de se mettre en place. Or il faut se rappeler  que le Parl</w:t>
      </w:r>
      <w:r w:rsidRPr="00320A86">
        <w:t>e</w:t>
      </w:r>
      <w:r w:rsidRPr="00320A86">
        <w:t>ment « </w:t>
      </w:r>
      <w:r w:rsidRPr="00A1551A">
        <w:rPr>
          <w:i/>
        </w:rPr>
        <w:t>était une institution royale, dont les fonctions n’étaient pas de faire obstacle au roi ni de limiter son po</w:t>
      </w:r>
      <w:r w:rsidRPr="00A1551A">
        <w:rPr>
          <w:i/>
        </w:rPr>
        <w:t>u</w:t>
      </w:r>
      <w:r w:rsidRPr="00A1551A">
        <w:rPr>
          <w:i/>
        </w:rPr>
        <w:t>voir, mais de faciliter son gouvernement en votant des lois et des taxes </w:t>
      </w:r>
      <w:r w:rsidRPr="00320A86">
        <w:t>»</w:t>
      </w:r>
      <w:r>
        <w:t> </w:t>
      </w:r>
      <w:r>
        <w:rPr>
          <w:rStyle w:val="Appelnotedebasdep"/>
        </w:rPr>
        <w:footnoteReference w:id="615"/>
      </w:r>
      <w:r w:rsidRPr="00320A86">
        <w:t>, et également de pe</w:t>
      </w:r>
      <w:r w:rsidRPr="00320A86">
        <w:t>r</w:t>
      </w:r>
      <w:r w:rsidRPr="00320A86">
        <w:t>mettre un dialogue entre le souverain et ses sujets pour éviter les conflits. Au cours de cette évolution, le roi avait fait arrêter plusieurs parleme</w:t>
      </w:r>
      <w:r w:rsidRPr="00320A86">
        <w:t>n</w:t>
      </w:r>
      <w:r w:rsidRPr="00320A86">
        <w:t xml:space="preserve">taires dont l’opposition était particulièrement virulente. En soi, ce n’était pas une nouveauté : c’était, par exemple, déjà arrivé sous Élisabeth. Mais Coke et les autres grands juristes qui siégeaient aux Communes sous </w:t>
      </w:r>
      <w:r>
        <w:t>Jacques I</w:t>
      </w:r>
      <w:r w:rsidRPr="00320A86">
        <w:t>e et su</w:t>
      </w:r>
      <w:r w:rsidRPr="00320A86">
        <w:t>r</w:t>
      </w:r>
      <w:r w:rsidRPr="00320A86">
        <w:t xml:space="preserve">tout sous </w:t>
      </w:r>
      <w:r>
        <w:t>Charles I</w:t>
      </w:r>
      <w:r w:rsidRPr="00320A86">
        <w:rPr>
          <w:vertAlign w:val="superscript"/>
        </w:rPr>
        <w:t>er</w:t>
      </w:r>
      <w:r w:rsidRPr="00320A86">
        <w:t xml:space="preserve"> rappelèrent, comme nous l’avons vu, les principes de la Grande Charte et de la </w:t>
      </w:r>
      <w:r w:rsidRPr="00A1551A">
        <w:rPr>
          <w:i/>
        </w:rPr>
        <w:t>Common Law</w:t>
      </w:r>
      <w:r w:rsidRPr="00320A86">
        <w:t xml:space="preserve">. Par la </w:t>
      </w:r>
      <w:r w:rsidRPr="00A1551A">
        <w:rPr>
          <w:i/>
        </w:rPr>
        <w:t>Pétition du Droit</w:t>
      </w:r>
      <w:r w:rsidRPr="00320A86">
        <w:t>, qui reprenait n</w:t>
      </w:r>
      <w:r w:rsidRPr="00320A86">
        <w:t>o</w:t>
      </w:r>
      <w:r w:rsidRPr="00320A86">
        <w:t>tamment les éléments de la Grande Charte garantissant la liberté individuelle et la liberté de propriété des Anglais, le Parlement devint ainsi le garant des libertés des A</w:t>
      </w:r>
      <w:r w:rsidRPr="00320A86">
        <w:t>n</w:t>
      </w:r>
      <w:r w:rsidRPr="00320A86">
        <w:t>glais</w:t>
      </w:r>
      <w:r>
        <w:t> </w:t>
      </w:r>
      <w:r>
        <w:rPr>
          <w:rStyle w:val="Appelnotedebasdep"/>
        </w:rPr>
        <w:footnoteReference w:id="616"/>
      </w:r>
      <w:r w:rsidRPr="00320A86">
        <w:t>. Dans un même mouvement était proclamé son rôle législatif : il lui revenait de voter les lois et de les modifier. En réalité, la plupart des dép</w:t>
      </w:r>
      <w:r w:rsidRPr="00320A86">
        <w:t>u</w:t>
      </w:r>
      <w:r w:rsidRPr="00320A86">
        <w:t>tés aux Communes comme des membres de la chambre des Lords continuaient à penser qu’il devait y avoir une collaboration entre le roi et le Parlement, d’autant plus que la vie loc</w:t>
      </w:r>
      <w:r w:rsidRPr="00320A86">
        <w:t>a</w:t>
      </w:r>
      <w:r w:rsidRPr="00320A86">
        <w:t>le était aussi fondamentale pour eux que les débats nati</w:t>
      </w:r>
      <w:r w:rsidRPr="00320A86">
        <w:t>o</w:t>
      </w:r>
      <w:r w:rsidRPr="00320A86">
        <w:t>naux, et qu’elle était marquée par la collaboration avec la monarchie. La vie s</w:t>
      </w:r>
      <w:r w:rsidRPr="00320A86">
        <w:t>o</w:t>
      </w:r>
      <w:r w:rsidRPr="00320A86">
        <w:t>ciale et politique de la gentry était « </w:t>
      </w:r>
      <w:r w:rsidRPr="00A1551A">
        <w:rPr>
          <w:i/>
        </w:rPr>
        <w:t>focalisée </w:t>
      </w:r>
      <w:r w:rsidRPr="00320A86">
        <w:t>» sur la communauté du comté dans lequel vivaient les classes possédantes terriennes. Leur existence était d</w:t>
      </w:r>
      <w:r w:rsidRPr="00320A86">
        <w:t>o</w:t>
      </w:r>
      <w:r w:rsidRPr="00320A86">
        <w:t>minée par les problèmes locaux, la nécessité de maintenir l’ordre local, et l’attention portée aux intérêts locaux. C’était un monde dans lequel « </w:t>
      </w:r>
      <w:r w:rsidRPr="00A1551A">
        <w:rPr>
          <w:i/>
        </w:rPr>
        <w:t>les passions idéologiques et polit</w:t>
      </w:r>
      <w:r w:rsidRPr="00A1551A">
        <w:rPr>
          <w:i/>
        </w:rPr>
        <w:t>i</w:t>
      </w:r>
      <w:r w:rsidRPr="00A1551A">
        <w:rPr>
          <w:i/>
        </w:rPr>
        <w:t>ques </w:t>
      </w:r>
      <w:r w:rsidRPr="00320A86">
        <w:t>» et autres débats nationaux</w:t>
      </w:r>
      <w:r>
        <w:t xml:space="preserve"> </w:t>
      </w:r>
      <w:r w:rsidRPr="00320A86">
        <w:t>« </w:t>
      </w:r>
      <w:r w:rsidRPr="00A1551A">
        <w:rPr>
          <w:i/>
        </w:rPr>
        <w:t>n’avaient virtuellement pas de pl</w:t>
      </w:r>
      <w:r w:rsidRPr="00A1551A">
        <w:rPr>
          <w:i/>
        </w:rPr>
        <w:t>a</w:t>
      </w:r>
      <w:r w:rsidRPr="00A1551A">
        <w:rPr>
          <w:i/>
        </w:rPr>
        <w:t>ce </w:t>
      </w:r>
      <w:r w:rsidRPr="00320A86">
        <w:t>», comme l’a montré mieux que tout autre Alan Everitt</w:t>
      </w:r>
      <w:r>
        <w:t> </w:t>
      </w:r>
      <w:r>
        <w:rPr>
          <w:rStyle w:val="Appelnotedebasdep"/>
        </w:rPr>
        <w:footnoteReference w:id="617"/>
      </w:r>
      <w:r w:rsidRPr="00320A86">
        <w:t>. Mais, une fois à Lo</w:t>
      </w:r>
      <w:r w:rsidRPr="00320A86">
        <w:t>n</w:t>
      </w:r>
      <w:r w:rsidRPr="00320A86">
        <w:t>dres, siégeant aux Communes, les débats nationaux s’imposaient à eux car ils étaient aussi persuadés qu’il leur revenait « </w:t>
      </w:r>
      <w:r w:rsidRPr="00A1551A">
        <w:rPr>
          <w:i/>
        </w:rPr>
        <w:t>de parler pour leur pays </w:t>
      </w:r>
      <w:r w:rsidRPr="00320A86">
        <w:t>», et que le roi devait non seulement les écouter mais tenir com</w:t>
      </w:r>
      <w:r w:rsidRPr="00320A86">
        <w:t>p</w:t>
      </w:r>
      <w:r w:rsidRPr="00320A86">
        <w:t xml:space="preserve">te de leurs avis et conseils. Leur opposition farouche en 1640-1642 s’explique par là : dans la mesure même où </w:t>
      </w:r>
      <w:r>
        <w:t>Charles I</w:t>
      </w:r>
      <w:r w:rsidRPr="00320A86">
        <w:rPr>
          <w:vertAlign w:val="superscript"/>
        </w:rPr>
        <w:t>er</w:t>
      </w:r>
      <w:r w:rsidRPr="00320A86">
        <w:t xml:space="preserve"> méconnaît leurs avis et mène une politique contraire à ce qu’ils considèrent comme le bien et les intérêts de la n</w:t>
      </w:r>
      <w:r w:rsidRPr="00320A86">
        <w:t>a</w:t>
      </w:r>
      <w:r w:rsidRPr="00320A86">
        <w:t>tion anglaise dans de nombreux domaines, notamment religieux, il leur revient de s’opposer au gouvernement car ils ne sont pas seulement les consei</w:t>
      </w:r>
      <w:r w:rsidRPr="00320A86">
        <w:t>l</w:t>
      </w:r>
      <w:r w:rsidRPr="00320A86">
        <w:t>lers du monarque, ils sont aussi les r</w:t>
      </w:r>
      <w:r w:rsidRPr="00320A86">
        <w:t>e</w:t>
      </w:r>
      <w:r w:rsidRPr="00320A86">
        <w:t>présentants de la nation anglaise. Or jamais ces points de vue n’ont eu une telle force qu’à partir du m</w:t>
      </w:r>
      <w:r w:rsidRPr="00320A86">
        <w:t>i</w:t>
      </w:r>
      <w:r w:rsidRPr="00320A86">
        <w:t>lieu des années 1620. Dans les faits, sous les apparences du fonctio</w:t>
      </w:r>
      <w:r w:rsidRPr="00320A86">
        <w:t>n</w:t>
      </w:r>
      <w:r w:rsidRPr="00320A86">
        <w:t>nement normal de la monarchie anglaise tel que le dépeignent Conrad Russell et les révisionnistes, et malgré ce qu’ils exposent, nous avons bien affaire à une idéologie parlementaire nouvelle car nous voyons désormais le Parlement, plus particulièrement les Communes, s’opposer en corps à la pol</w:t>
      </w:r>
      <w:r w:rsidRPr="00320A86">
        <w:t>i</w:t>
      </w:r>
      <w:r w:rsidRPr="00320A86">
        <w:t xml:space="preserve">tique suivie par le roi. </w:t>
      </w:r>
    </w:p>
    <w:p w14:paraId="1491026D" w14:textId="77777777" w:rsidR="00B01930" w:rsidRPr="00320A86" w:rsidRDefault="00B01930" w:rsidP="00B01930">
      <w:pPr>
        <w:spacing w:before="120" w:after="120"/>
        <w:jc w:val="both"/>
      </w:pPr>
    </w:p>
    <w:p w14:paraId="1A16B969" w14:textId="77777777" w:rsidR="00B01930" w:rsidRPr="00320A86" w:rsidRDefault="00B01930" w:rsidP="00B01930">
      <w:pPr>
        <w:pStyle w:val="planche"/>
      </w:pPr>
      <w:bookmarkStart w:id="186" w:name="Analyser_idees_pol_pt_2_texte_04_IV"/>
      <w:r w:rsidRPr="00320A86">
        <w:t>IV. Finalement, ce fut une rébellion qui se changea</w:t>
      </w:r>
      <w:r>
        <w:br/>
      </w:r>
      <w:r w:rsidRPr="00320A86">
        <w:t xml:space="preserve">en révolution, </w:t>
      </w:r>
      <w:r>
        <w:t>avec pour conséquence lointaine</w:t>
      </w:r>
      <w:r>
        <w:br/>
      </w:r>
      <w:r w:rsidRPr="00320A86">
        <w:t>la mise en place du système parl</w:t>
      </w:r>
      <w:r w:rsidRPr="00320A86">
        <w:t>e</w:t>
      </w:r>
      <w:r w:rsidRPr="00320A86">
        <w:t>mentaire</w:t>
      </w:r>
    </w:p>
    <w:bookmarkEnd w:id="186"/>
    <w:p w14:paraId="74D3B241" w14:textId="77777777" w:rsidR="00B01930" w:rsidRDefault="00B01930" w:rsidP="00B01930">
      <w:pPr>
        <w:spacing w:before="120" w:after="120"/>
        <w:jc w:val="both"/>
      </w:pPr>
    </w:p>
    <w:p w14:paraId="786A61E5"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243A78D1" w14:textId="77777777" w:rsidR="00B01930" w:rsidRPr="00320A86" w:rsidRDefault="00B01930" w:rsidP="00B01930">
      <w:pPr>
        <w:spacing w:before="120" w:after="120"/>
        <w:jc w:val="both"/>
      </w:pPr>
      <w:r w:rsidRPr="00320A86">
        <w:t>Ainsi était née une véritable idéologie parlementaire : en fonction de celle-ci, le Parlement d’Angleterre n’était plus le simple collabor</w:t>
      </w:r>
      <w:r w:rsidRPr="00320A86">
        <w:t>a</w:t>
      </w:r>
      <w:r w:rsidRPr="00320A86">
        <w:t>teur du roi, avec pour tâche de l’aider à rassembler la nation, à trouver les ressources financières dont avait besoin la monarchie, et également  de l’aider dans son œuvre législative à laquelle il participa d’ailleurs de plus en plus. Il était désormais convaincu d’avoir pour mission de défendre les principes fondamentaux du royaume, aussi bien en m</w:t>
      </w:r>
      <w:r w:rsidRPr="00320A86">
        <w:t>a</w:t>
      </w:r>
      <w:r w:rsidRPr="00320A86">
        <w:t>nière politique qu’en matière religieuse, et de veiller au respect des libertés des Anglais, telles que les avait définies la Grande Charte et confortées des textes ou la pratique ultérieurs. S’il n’y avait pas eu l’opposition entre la p</w:t>
      </w:r>
      <w:r w:rsidRPr="00320A86">
        <w:t>o</w:t>
      </w:r>
      <w:r w:rsidRPr="00320A86">
        <w:t xml:space="preserve">litique religieuse de </w:t>
      </w:r>
      <w:r>
        <w:t>Charles I</w:t>
      </w:r>
      <w:r w:rsidRPr="00320A86">
        <w:rPr>
          <w:vertAlign w:val="superscript"/>
        </w:rPr>
        <w:t>er</w:t>
      </w:r>
      <w:r w:rsidRPr="00320A86">
        <w:t xml:space="preserve"> et les idées d’une majorité de députés et aussi de la majorité des Anglais, le conflit aurait pu se régler, mais ce ne fut pas le cas. Les années du pouvoir sans Parlement, les échecs piteux de la politique écossa</w:t>
      </w:r>
      <w:r w:rsidRPr="00320A86">
        <w:t>i</w:t>
      </w:r>
      <w:r w:rsidRPr="00320A86">
        <w:t xml:space="preserve">se eurent pour conséquence que de 1629 à 1640 non seulement l’hostilité à la politique menée par le souverain ne décrut pas, mais encore elle se renforça. On le vit dès le </w:t>
      </w:r>
      <w:r w:rsidRPr="00A1551A">
        <w:rPr>
          <w:i/>
        </w:rPr>
        <w:t>Court Parliament</w:t>
      </w:r>
      <w:r w:rsidRPr="00320A86">
        <w:t>. Et comme les choses allèrent de mal en pis, on en arriva à partir du 3 novembre 1640 à la révolution d’Angleterre. On n’a pas a</w:t>
      </w:r>
      <w:r w:rsidRPr="00320A86">
        <w:t>s</w:t>
      </w:r>
      <w:r w:rsidRPr="00320A86">
        <w:t>sez vu que celle-ci  opposait deux conceptions de l’exercice du pouvoir en A</w:t>
      </w:r>
      <w:r w:rsidRPr="00320A86">
        <w:t>n</w:t>
      </w:r>
      <w:r w:rsidRPr="00320A86">
        <w:t>gleterre parce que s’était mise en place cette idéologie parlementaire. Désormais, les d</w:t>
      </w:r>
      <w:r w:rsidRPr="00320A86">
        <w:t>é</w:t>
      </w:r>
      <w:r w:rsidRPr="00320A86">
        <w:t>putés aux Communes se considèrent comme les représentants élus de la nation anglaise et de ce fait ils entendent avoir un droit de regard, donc d’opposition, vis-à-vis de la politique suivie : le Parlement n’est plus simpl</w:t>
      </w:r>
      <w:r w:rsidRPr="00320A86">
        <w:t>e</w:t>
      </w:r>
      <w:r w:rsidRPr="00320A86">
        <w:t>ment le collaborateur du pouvoir souverain. Durant l’Interrègne</w:t>
      </w:r>
      <w:r>
        <w:t> </w:t>
      </w:r>
      <w:r>
        <w:rPr>
          <w:rStyle w:val="Appelnotedebasdep"/>
        </w:rPr>
        <w:footnoteReference w:id="618"/>
      </w:r>
      <w:r w:rsidRPr="00320A86">
        <w:t>, Olivier Cromwell lui-même se trouva confronté à ce</w:t>
      </w:r>
      <w:r w:rsidRPr="00320A86">
        <w:t>t</w:t>
      </w:r>
      <w:r w:rsidRPr="00320A86">
        <w:t>te nouvelle réalité</w:t>
      </w:r>
      <w:r>
        <w:t> </w:t>
      </w:r>
      <w:r>
        <w:rPr>
          <w:rStyle w:val="Appelnotedebasdep"/>
        </w:rPr>
        <w:footnoteReference w:id="619"/>
      </w:r>
      <w:r w:rsidRPr="00320A86">
        <w:t xml:space="preserve">. Certes, en 1660 le fils et héritier de </w:t>
      </w:r>
      <w:r>
        <w:t>Charles I</w:t>
      </w:r>
      <w:r w:rsidRPr="00320A86">
        <w:rPr>
          <w:vertAlign w:val="superscript"/>
        </w:rPr>
        <w:t>er</w:t>
      </w:r>
      <w:r w:rsidRPr="00320A86">
        <w:t xml:space="preserve">, </w:t>
      </w:r>
      <w:r>
        <w:t>Charles I</w:t>
      </w:r>
      <w:r w:rsidRPr="00320A86">
        <w:t>I, fut rappelé sur le trône, mais l’accord se fit en grande pa</w:t>
      </w:r>
      <w:r w:rsidRPr="00320A86">
        <w:t>r</w:t>
      </w:r>
      <w:r w:rsidRPr="00320A86">
        <w:t>tie sur la base des réformes de 1640-1641 par nég</w:t>
      </w:r>
      <w:r w:rsidRPr="00320A86">
        <w:t>o</w:t>
      </w:r>
      <w:r w:rsidRPr="00320A86">
        <w:t xml:space="preserve">ciations avec les membres du </w:t>
      </w:r>
      <w:r w:rsidRPr="00A1551A">
        <w:rPr>
          <w:i/>
        </w:rPr>
        <w:t>Long Parliament</w:t>
      </w:r>
      <w:r w:rsidRPr="00320A86">
        <w:t>, le nouveau roi entérinant ainsi  la no</w:t>
      </w:r>
      <w:r w:rsidRPr="00320A86">
        <w:t>u</w:t>
      </w:r>
      <w:r w:rsidRPr="00320A86">
        <w:t>velle dimension politique du Parlement</w:t>
      </w:r>
      <w:r>
        <w:t> </w:t>
      </w:r>
      <w:r>
        <w:rPr>
          <w:rStyle w:val="Appelnotedebasdep"/>
        </w:rPr>
        <w:footnoteReference w:id="620"/>
      </w:r>
      <w:r w:rsidRPr="00320A86">
        <w:t>. En réalité, il y avait, co</w:t>
      </w:r>
      <w:r w:rsidRPr="00320A86">
        <w:t>m</w:t>
      </w:r>
      <w:r w:rsidRPr="00320A86">
        <w:t>me on pouvait s’y attendre beaucoup d’équivoque dans tout cela. D’un côté, le no</w:t>
      </w:r>
      <w:r w:rsidRPr="00320A86">
        <w:t>u</w:t>
      </w:r>
      <w:r w:rsidRPr="00320A86">
        <w:t>veau roi avait un pouvoir monarchique plus fort que son père, avec notamment une assise financière plus large ; mais, d’un a</w:t>
      </w:r>
      <w:r w:rsidRPr="00320A86">
        <w:t>u</w:t>
      </w:r>
      <w:r w:rsidRPr="00320A86">
        <w:t>tre côté, c’était le Parlement qui avait entériné la Restauration et pe</w:t>
      </w:r>
      <w:r w:rsidRPr="00320A86">
        <w:t>r</w:t>
      </w:r>
      <w:r w:rsidRPr="00320A86">
        <w:t>mis celle-ci, conformément à l’opinion de la pl</w:t>
      </w:r>
      <w:r w:rsidRPr="00320A86">
        <w:t>u</w:t>
      </w:r>
      <w:r w:rsidRPr="00320A86">
        <w:t>part des Anglais. L’avenir montra rapidement que son rôle au plus haut niveau corre</w:t>
      </w:r>
      <w:r w:rsidRPr="00320A86">
        <w:t>s</w:t>
      </w:r>
      <w:r w:rsidRPr="00320A86">
        <w:t>pondait bien aux voeux de ces derniers.</w:t>
      </w:r>
    </w:p>
    <w:p w14:paraId="7239AFAE" w14:textId="77777777" w:rsidR="00B01930" w:rsidRPr="00320A86" w:rsidRDefault="00B01930" w:rsidP="00B01930">
      <w:pPr>
        <w:spacing w:before="120" w:after="120"/>
        <w:jc w:val="both"/>
      </w:pPr>
      <w:r w:rsidRPr="00320A86">
        <w:t xml:space="preserve">Et, en effet, sous le règne de </w:t>
      </w:r>
      <w:r>
        <w:t>Charles I</w:t>
      </w:r>
      <w:r w:rsidRPr="00320A86">
        <w:t xml:space="preserve">I comme sous celui de son frère et successeur, </w:t>
      </w:r>
      <w:r>
        <w:t>Jacques I</w:t>
      </w:r>
      <w:r w:rsidRPr="00320A86">
        <w:t>I, entre 1660 et 1688, mais plus précis</w:t>
      </w:r>
      <w:r w:rsidRPr="00320A86">
        <w:t>é</w:t>
      </w:r>
      <w:r w:rsidRPr="00320A86">
        <w:t xml:space="preserve">ment à partir de 1672 les conséquences de la mise en place, un demi-siècle plus tôt, d’une nouvelle idéologie parlementaire furent l’éclatement de conflits parfois très violents entre les parlementaires et le souverain. À partir de son avènement en 1685, </w:t>
      </w:r>
      <w:r>
        <w:t>Jacques I</w:t>
      </w:r>
      <w:r w:rsidRPr="00320A86">
        <w:t>I parut un temps l’emporter mais ce ne fut qu’une victoire sans lendemain : l’intervention de son gendre Guillaume d’Orange déboucha sur un coup d’</w:t>
      </w:r>
      <w:r>
        <w:t>É</w:t>
      </w:r>
      <w:r w:rsidRPr="00320A86">
        <w:t>tat que l’on a appelé la Glorieuse Révolution</w:t>
      </w:r>
      <w:r>
        <w:t> </w:t>
      </w:r>
      <w:r>
        <w:rPr>
          <w:rStyle w:val="Appelnotedebasdep"/>
        </w:rPr>
        <w:footnoteReference w:id="621"/>
      </w:r>
      <w:r w:rsidRPr="00320A86">
        <w:t xml:space="preserve"> laquelle ancra définitivement la vi</w:t>
      </w:r>
      <w:r w:rsidRPr="00320A86">
        <w:t>c</w:t>
      </w:r>
      <w:r w:rsidRPr="00320A86">
        <w:t xml:space="preserve">toire de l’idéologie parlementaire par le biais du </w:t>
      </w:r>
      <w:r w:rsidRPr="00A1551A">
        <w:rPr>
          <w:i/>
        </w:rPr>
        <w:t>Bill du Droit</w:t>
      </w:r>
      <w:r w:rsidRPr="00320A86">
        <w:t xml:space="preserve"> (novembre-décembre 1688). Certes, dans la pratique, le Parlement fut loin d’être toujours en mesure de peser politiquement : Guillaume d’Orange  Guillaume III – ne pratiqua pas une réelle coll</w:t>
      </w:r>
      <w:r w:rsidRPr="00320A86">
        <w:t>a</w:t>
      </w:r>
      <w:r w:rsidRPr="00320A86">
        <w:t>boration, et il y eut d’autres crises par la suite, particuli</w:t>
      </w:r>
      <w:r w:rsidRPr="00320A86">
        <w:t>è</w:t>
      </w:r>
      <w:r w:rsidRPr="00320A86">
        <w:t>rement sous George</w:t>
      </w:r>
      <w:r>
        <w:t> </w:t>
      </w:r>
      <w:r w:rsidRPr="00320A86">
        <w:t>III. Il n’empêche qu’à partir de 1688 l’Angleterre est bien une monarchie mixte – on peut aussi écrire tempérée ou limitée –, système politique en opposition directe avec l’absolutisme fra</w:t>
      </w:r>
      <w:r w:rsidRPr="00320A86">
        <w:t>n</w:t>
      </w:r>
      <w:r w:rsidRPr="00320A86">
        <w:t>çais.</w:t>
      </w:r>
      <w:r>
        <w:t xml:space="preserve"> </w:t>
      </w:r>
      <w:r w:rsidRPr="00320A86">
        <w:t>« … </w:t>
      </w:r>
      <w:r w:rsidRPr="00A1551A">
        <w:rPr>
          <w:i/>
        </w:rPr>
        <w:t>La guerre civile et la révolution de 1642-60 avaient posé les fondations de la suprématie parleme</w:t>
      </w:r>
      <w:r w:rsidRPr="00A1551A">
        <w:rPr>
          <w:i/>
        </w:rPr>
        <w:t>n</w:t>
      </w:r>
      <w:r w:rsidRPr="00A1551A">
        <w:rPr>
          <w:i/>
        </w:rPr>
        <w:t>taire. La seconde Révolution de 1688-89, dans laquelle le Parlement joua un rôle central, sécurisa et confirma cette suprématie </w:t>
      </w:r>
      <w:r w:rsidRPr="00320A86">
        <w:t>»</w:t>
      </w:r>
      <w:r>
        <w:t> </w:t>
      </w:r>
      <w:r>
        <w:rPr>
          <w:rStyle w:val="Appelnotedebasdep"/>
        </w:rPr>
        <w:footnoteReference w:id="622"/>
      </w:r>
      <w:r w:rsidRPr="00320A86">
        <w:t>. Une lente évolution, plus particulièrement ma</w:t>
      </w:r>
      <w:r w:rsidRPr="00320A86">
        <w:t>r</w:t>
      </w:r>
      <w:r w:rsidRPr="00320A86">
        <w:t>quée à la fin du XVIII</w:t>
      </w:r>
      <w:r w:rsidRPr="00320A86">
        <w:rPr>
          <w:vertAlign w:val="superscript"/>
        </w:rPr>
        <w:t>e</w:t>
      </w:r>
      <w:r w:rsidRPr="00320A86">
        <w:t xml:space="preserve"> siècle, amena ce régime à devenir au XIX</w:t>
      </w:r>
      <w:r w:rsidRPr="00320A86">
        <w:rPr>
          <w:vertAlign w:val="superscript"/>
        </w:rPr>
        <w:t>e</w:t>
      </w:r>
      <w:r w:rsidRPr="00320A86">
        <w:t xml:space="preserve"> si</w:t>
      </w:r>
      <w:r w:rsidRPr="00320A86">
        <w:t>è</w:t>
      </w:r>
      <w:r w:rsidRPr="00320A86">
        <w:t>cle, surtout après 1832, un véritable régime parlementaire. L’idéologie parlementaire qui s’était dégagée dans l’Angleterre des années 1620 a ainsi triomphé.</w:t>
      </w:r>
    </w:p>
    <w:p w14:paraId="2A15AA89" w14:textId="77777777" w:rsidR="00B01930" w:rsidRPr="00320A86" w:rsidRDefault="00B01930" w:rsidP="00B01930">
      <w:pPr>
        <w:spacing w:before="120" w:after="120"/>
        <w:jc w:val="both"/>
      </w:pPr>
      <w:r w:rsidRPr="00320A86">
        <w:t>Quand j’écris cela – mais c’est le cas de  tout mon texte – je me s</w:t>
      </w:r>
      <w:r w:rsidRPr="00320A86">
        <w:t>i</w:t>
      </w:r>
      <w:r w:rsidRPr="00320A86">
        <w:t>tue bea</w:t>
      </w:r>
      <w:r w:rsidRPr="00320A86">
        <w:t>u</w:t>
      </w:r>
      <w:r w:rsidRPr="00320A86">
        <w:t>coup plus près de la tradition historiographique whig que des positions qui ont été à maintes reprises exprimées depuis une quara</w:t>
      </w:r>
      <w:r w:rsidRPr="00320A86">
        <w:t>n</w:t>
      </w:r>
      <w:r w:rsidRPr="00320A86">
        <w:t>taine d’années, notamment sous l’impulsion de Conrad Russell. Lui-même</w:t>
      </w:r>
      <w:r>
        <w:t> </w:t>
      </w:r>
      <w:r>
        <w:rPr>
          <w:rStyle w:val="Appelnotedebasdep"/>
        </w:rPr>
        <w:footnoteReference w:id="623"/>
      </w:r>
      <w:r w:rsidRPr="00320A86">
        <w:t xml:space="preserve"> et la plupart des historiens « révisionnistes »</w:t>
      </w:r>
      <w:r>
        <w:t> </w:t>
      </w:r>
      <w:r>
        <w:rPr>
          <w:rStyle w:val="Appelnotedebasdep"/>
        </w:rPr>
        <w:footnoteReference w:id="624"/>
      </w:r>
      <w:r w:rsidRPr="00320A86">
        <w:t xml:space="preserve"> ont avec juste</w:t>
      </w:r>
      <w:r w:rsidRPr="00320A86">
        <w:t>s</w:t>
      </w:r>
      <w:r w:rsidRPr="00320A86">
        <w:t>se mis en valeur que cette tradition whig était trop linéaire, trop si</w:t>
      </w:r>
      <w:r w:rsidRPr="00320A86">
        <w:t>m</w:t>
      </w:r>
      <w:r w:rsidRPr="00320A86">
        <w:t>ple, et méconnaissait d’importantes réalités de la fin du XVI</w:t>
      </w:r>
      <w:r w:rsidRPr="00320A86">
        <w:rPr>
          <w:vertAlign w:val="superscript"/>
        </w:rPr>
        <w:t>e</w:t>
      </w:r>
      <w:r w:rsidRPr="00320A86">
        <w:t xml:space="preserve"> et de la première moitié du XVII</w:t>
      </w:r>
      <w:r w:rsidRPr="00320A86">
        <w:rPr>
          <w:vertAlign w:val="superscript"/>
        </w:rPr>
        <w:t>e</w:t>
      </w:r>
      <w:r w:rsidRPr="00320A86">
        <w:t xml:space="preserve"> siècle</w:t>
      </w:r>
      <w:r>
        <w:t> </w:t>
      </w:r>
      <w:r>
        <w:rPr>
          <w:rStyle w:val="Appelnotedebasdep"/>
        </w:rPr>
        <w:footnoteReference w:id="625"/>
      </w:r>
      <w:r w:rsidRPr="00320A86">
        <w:t xml:space="preserve">, par exemple le rôle des </w:t>
      </w:r>
      <w:r w:rsidRPr="00A1551A">
        <w:rPr>
          <w:i/>
        </w:rPr>
        <w:t>Lords</w:t>
      </w:r>
      <w:r w:rsidRPr="00320A86">
        <w:t xml:space="preserve"> dont beaucoup étaient loin de partager l’idéologie parlementaire de Coke, Pym et leurs amis, mais qui n’en jouèrent pas moins un rôle essentiel entre novembre 1640 et janvier 1642 en s’efforçant de mod</w:t>
      </w:r>
      <w:r w:rsidRPr="00320A86">
        <w:t>i</w:t>
      </w:r>
      <w:r w:rsidRPr="00320A86">
        <w:t>fier le Conseil du Roi et la politique qu’il menait, par leur entrée au sein de celui-ci</w:t>
      </w:r>
      <w:r>
        <w:t> </w:t>
      </w:r>
      <w:r>
        <w:rPr>
          <w:rStyle w:val="Appelnotedebasdep"/>
        </w:rPr>
        <w:footnoteReference w:id="626"/>
      </w:r>
      <w:r w:rsidRPr="00320A86">
        <w:t> ; leur rôle dans les événements fut d’autant plus décisif que le gouvernement anglais contrôlait le pays notamment gr</w:t>
      </w:r>
      <w:r w:rsidRPr="00320A86">
        <w:t>â</w:t>
      </w:r>
      <w:r w:rsidRPr="00320A86">
        <w:t xml:space="preserve">ce à l’aide des </w:t>
      </w:r>
      <w:r w:rsidRPr="00A1551A">
        <w:rPr>
          <w:i/>
        </w:rPr>
        <w:t>Lords</w:t>
      </w:r>
      <w:r w:rsidRPr="00320A86">
        <w:t>, lesquels furent d’ailleurs tout aussi décisifs lors de la rév</w:t>
      </w:r>
      <w:r w:rsidRPr="00320A86">
        <w:t>o</w:t>
      </w:r>
      <w:r w:rsidRPr="00320A86">
        <w:t>lution de 1688 dont on peut dire qu’ils en furent à l’origine et qu’ils lui permirent de réussir. On se retrouve ainsi devant une autre que</w:t>
      </w:r>
      <w:r w:rsidRPr="00320A86">
        <w:t>s</w:t>
      </w:r>
      <w:r w:rsidRPr="00320A86">
        <w:t>tion que le développement du système parlementaire : devant la résu</w:t>
      </w:r>
      <w:r w:rsidRPr="00320A86">
        <w:t>r</w:t>
      </w:r>
      <w:r w:rsidRPr="00320A86">
        <w:t>gence du vieux conflit médiéval, qui se produisit à plusieurs r</w:t>
      </w:r>
      <w:r w:rsidRPr="00320A86">
        <w:t>e</w:t>
      </w:r>
      <w:r w:rsidRPr="00320A86">
        <w:t>prises, celui opposant le souverain anglais à une partie plus ou moins no</w:t>
      </w:r>
      <w:r w:rsidRPr="00320A86">
        <w:t>m</w:t>
      </w:r>
      <w:r w:rsidRPr="00320A86">
        <w:t>breuse des grands barons du royaume. Il s’agit là au demeurant d’un point de vue qui complète plutôt qu’il ne contredit la vision traditio</w:t>
      </w:r>
      <w:r w:rsidRPr="00320A86">
        <w:t>n</w:t>
      </w:r>
      <w:r w:rsidRPr="00320A86">
        <w:t>nelle, à condition de ne pas oublier le rôle des Communes. Par ai</w:t>
      </w:r>
      <w:r w:rsidRPr="00320A86">
        <w:t>l</w:t>
      </w:r>
      <w:r w:rsidRPr="00320A86">
        <w:t>leurs, un des grands apports des historiens « </w:t>
      </w:r>
      <w:r w:rsidRPr="00A1551A">
        <w:rPr>
          <w:i/>
        </w:rPr>
        <w:t>révisionnistes </w:t>
      </w:r>
      <w:r w:rsidRPr="00320A86">
        <w:t>» a été de souligner co</w:t>
      </w:r>
      <w:r w:rsidRPr="00320A86">
        <w:t>m</w:t>
      </w:r>
      <w:r w:rsidRPr="00320A86">
        <w:t>bien les opposants au roi étaient des « conservateurs », hostiles à toute modific</w:t>
      </w:r>
      <w:r w:rsidRPr="00320A86">
        <w:t>a</w:t>
      </w:r>
      <w:r w:rsidRPr="00320A86">
        <w:t>tion du fonctionnement institutionnel et des structures religie</w:t>
      </w:r>
      <w:r w:rsidRPr="00320A86">
        <w:t>u</w:t>
      </w:r>
      <w:r w:rsidRPr="00320A86">
        <w:t>ses du royaume d’Angleterre</w:t>
      </w:r>
      <w:r>
        <w:t> </w:t>
      </w:r>
      <w:r>
        <w:rPr>
          <w:rStyle w:val="Appelnotedebasdep"/>
        </w:rPr>
        <w:footnoteReference w:id="627"/>
      </w:r>
      <w:r w:rsidRPr="00320A86">
        <w:t>. En outre, Conrad Russell a particulièrement insisté sur le fait qu’à son point de vue, on ne peut se contenter d’une vision purement anglaise du conflit : celui-ci s’est situé dans un contexte br</w:t>
      </w:r>
      <w:r w:rsidRPr="00320A86">
        <w:t>i</w:t>
      </w:r>
      <w:r w:rsidRPr="00320A86">
        <w:t>tannique, l’Ecosse et l’Irlande ayant une part décisive à la montée du conflit et à sa transformation en gue</w:t>
      </w:r>
      <w:r w:rsidRPr="00320A86">
        <w:t>r</w:t>
      </w:r>
      <w:r w:rsidRPr="00320A86">
        <w:t>re civile</w:t>
      </w:r>
      <w:r>
        <w:t> </w:t>
      </w:r>
      <w:r>
        <w:rPr>
          <w:rStyle w:val="Appelnotedebasdep"/>
        </w:rPr>
        <w:footnoteReference w:id="628"/>
      </w:r>
      <w:r w:rsidRPr="00320A86">
        <w:t>. Par ailleurs, de son point de vue, il n’y a pas de continuité entre les a</w:t>
      </w:r>
      <w:r w:rsidRPr="00320A86">
        <w:t>n</w:t>
      </w:r>
      <w:r w:rsidRPr="00320A86">
        <w:t>nées 1620 et la fin des années 1630 : le conflit avec les Écossais, le refus des Anglais à la fois de la guerre avec leurs voisins du nord et des dépenses qui en résultaient et en résulteraient, ont tot</w:t>
      </w:r>
      <w:r w:rsidRPr="00320A86">
        <w:t>a</w:t>
      </w:r>
      <w:r w:rsidRPr="00320A86">
        <w:t>lement changé la donne. Il a également mis en valeur le caractère pr</w:t>
      </w:r>
      <w:r w:rsidRPr="00320A86">
        <w:t>o</w:t>
      </w:r>
      <w:r w:rsidRPr="00320A86">
        <w:t>fondément « accidentel » de la révolution et plus enc</w:t>
      </w:r>
      <w:r w:rsidRPr="00320A86">
        <w:t>o</w:t>
      </w:r>
      <w:r w:rsidRPr="00320A86">
        <w:t xml:space="preserve">re de la guerre civile, envisageant par exemple qu’en cas de décès prématuré de </w:t>
      </w:r>
      <w:r>
        <w:t>Charles I</w:t>
      </w:r>
      <w:r w:rsidRPr="00320A86">
        <w:rPr>
          <w:vertAlign w:val="superscript"/>
        </w:rPr>
        <w:t>er</w:t>
      </w:r>
      <w:r w:rsidRPr="00320A86">
        <w:t xml:space="preserve"> rien ne serait arrivé</w:t>
      </w:r>
      <w:r>
        <w:t> </w:t>
      </w:r>
      <w:r>
        <w:rPr>
          <w:rStyle w:val="Appelnotedebasdep"/>
        </w:rPr>
        <w:footnoteReference w:id="629"/>
      </w:r>
      <w:r w:rsidRPr="00320A86">
        <w:t>. On le lui accorde volontiers : le c</w:t>
      </w:r>
      <w:r w:rsidRPr="00320A86">
        <w:t>a</w:t>
      </w:r>
      <w:r w:rsidRPr="00320A86">
        <w:t xml:space="preserve">ractère et le tempérament du roi ont pesé très lourd. Mais </w:t>
      </w:r>
      <w:r>
        <w:t>Charles I</w:t>
      </w:r>
      <w:r w:rsidRPr="00320A86">
        <w:rPr>
          <w:vertAlign w:val="superscript"/>
        </w:rPr>
        <w:t>er</w:t>
      </w:r>
      <w:r w:rsidRPr="00320A86">
        <w:t xml:space="preserve"> n’est pas mort prématurément… Ég</w:t>
      </w:r>
      <w:r w:rsidRPr="00320A86">
        <w:t>a</w:t>
      </w:r>
      <w:r w:rsidRPr="00320A86">
        <w:t>lement Conrad Russell a tout à fait raison de souligner à quel point la guerre et la détresse financière dans laquelle elle plongeait la mona</w:t>
      </w:r>
      <w:r w:rsidRPr="00320A86">
        <w:t>r</w:t>
      </w:r>
      <w:r w:rsidRPr="00320A86">
        <w:t>chie, ce qui à son tour entraîna les piteux échecs militaires contre les Écossais, f</w:t>
      </w:r>
      <w:r w:rsidRPr="00320A86">
        <w:t>u</w:t>
      </w:r>
      <w:r w:rsidRPr="00320A86">
        <w:t xml:space="preserve">rent déterminantes, avec bien sûr l’incapacité de </w:t>
      </w:r>
      <w:r>
        <w:t>Charles I</w:t>
      </w:r>
      <w:r w:rsidRPr="00320A86">
        <w:rPr>
          <w:vertAlign w:val="superscript"/>
        </w:rPr>
        <w:t>er</w:t>
      </w:r>
      <w:r w:rsidRPr="00320A86">
        <w:t xml:space="preserve"> à choisir ou élaborer une autre politique, mais on ne peut le suive lorsqu’il e</w:t>
      </w:r>
      <w:r w:rsidRPr="00320A86">
        <w:t>s</w:t>
      </w:r>
      <w:r w:rsidRPr="00320A86">
        <w:t>time qu’il n’y avait pas de véritable affrontement idéolog</w:t>
      </w:r>
      <w:r w:rsidRPr="00320A86">
        <w:t>i</w:t>
      </w:r>
      <w:r w:rsidRPr="00320A86">
        <w:t>que entre le roi et ses opposants : tout montre au contraire « l’existence de profondes tensions et div</w:t>
      </w:r>
      <w:r w:rsidRPr="00320A86">
        <w:t>i</w:t>
      </w:r>
      <w:r w:rsidRPr="00320A86">
        <w:t>sions dans la vie politique et dans la société [anglaises] à l’époque des pr</w:t>
      </w:r>
      <w:r w:rsidRPr="00320A86">
        <w:t>e</w:t>
      </w:r>
      <w:r w:rsidRPr="00320A86">
        <w:t>miers Stuarts »</w:t>
      </w:r>
      <w:r>
        <w:t> </w:t>
      </w:r>
      <w:r>
        <w:rPr>
          <w:rStyle w:val="Appelnotedebasdep"/>
        </w:rPr>
        <w:footnoteReference w:id="630"/>
      </w:r>
      <w:r w:rsidRPr="00320A86">
        <w:t>.</w:t>
      </w:r>
    </w:p>
    <w:p w14:paraId="1C3C1B38" w14:textId="77777777" w:rsidR="00B01930" w:rsidRPr="00320A86" w:rsidRDefault="00B01930" w:rsidP="00B01930">
      <w:pPr>
        <w:spacing w:before="120" w:after="120"/>
        <w:jc w:val="both"/>
      </w:pPr>
      <w:r w:rsidRPr="00320A86">
        <w:t>Il faut se garder cependant d’aller trop loin dans ce sens : à force de minorer l’opposition des Commoners, ou de trop souligner, comme l’a fait Conrad Ru</w:t>
      </w:r>
      <w:r w:rsidRPr="00320A86">
        <w:t>s</w:t>
      </w:r>
      <w:r w:rsidRPr="00320A86">
        <w:t>sell dont c’est un argument essentiel, que l’administration du royaume n’a j</w:t>
      </w:r>
      <w:r w:rsidRPr="00320A86">
        <w:t>a</w:t>
      </w:r>
      <w:r w:rsidRPr="00320A86">
        <w:t xml:space="preserve">mais cessé de fonctionner grâce à la collaboration des </w:t>
      </w:r>
      <w:r w:rsidRPr="00A1551A">
        <w:rPr>
          <w:i/>
        </w:rPr>
        <w:t>Lords</w:t>
      </w:r>
      <w:r w:rsidRPr="00320A86">
        <w:t xml:space="preserve"> et de la </w:t>
      </w:r>
      <w:r w:rsidRPr="00A1551A">
        <w:rPr>
          <w:i/>
        </w:rPr>
        <w:t>gentry</w:t>
      </w:r>
      <w:r w:rsidRPr="00320A86">
        <w:t xml:space="preserve"> avec la monarchie, on ne co</w:t>
      </w:r>
      <w:r w:rsidRPr="00320A86">
        <w:t>m</w:t>
      </w:r>
      <w:r w:rsidRPr="00320A86">
        <w:t>prend plus pourquoi elle fut aussi déterminée. La faiblesse de son a</w:t>
      </w:r>
      <w:r w:rsidRPr="00320A86">
        <w:t>r</w:t>
      </w:r>
      <w:r w:rsidRPr="00320A86">
        <w:t>gumentation est que cette collaboration concerne en quelque so</w:t>
      </w:r>
      <w:r w:rsidRPr="00320A86">
        <w:t>r</w:t>
      </w:r>
      <w:r w:rsidRPr="00320A86">
        <w:t>te  la v</w:t>
      </w:r>
      <w:r>
        <w:t xml:space="preserve">ie </w:t>
      </w:r>
      <w:r w:rsidRPr="00320A86">
        <w:t>quotidienne du royaume », mais ne fait nullement disparaître les refus de la politique extérieure telle qu’elle est menée, du conflit avec les Écossais ni de la politique religieuse en train de se développer. D’ailleurs, comme l’a parfa</w:t>
      </w:r>
      <w:r w:rsidRPr="00320A86">
        <w:t>i</w:t>
      </w:r>
      <w:r w:rsidRPr="00320A86">
        <w:t>tement souligné</w:t>
      </w:r>
      <w:r>
        <w:t xml:space="preserve"> Barry Cowan, </w:t>
      </w:r>
      <w:r w:rsidRPr="00320A86">
        <w:t>« </w:t>
      </w:r>
      <w:r w:rsidRPr="00390EC8">
        <w:rPr>
          <w:i/>
        </w:rPr>
        <w:t>même si durant une grande partie de la période 1603-1640 la couronne et la nation politique ont travaillé ensemble ce qui prouve que l’ancienne constitution fonctionnait, et ce fut très largement un su</w:t>
      </w:r>
      <w:r w:rsidRPr="00390EC8">
        <w:rPr>
          <w:i/>
        </w:rPr>
        <w:t>c</w:t>
      </w:r>
      <w:r w:rsidRPr="00390EC8">
        <w:rPr>
          <w:i/>
        </w:rPr>
        <w:t>cès… ce serait une erreur de ne pas constater  les tensions et oppositions exi</w:t>
      </w:r>
      <w:r w:rsidRPr="00390EC8">
        <w:rPr>
          <w:i/>
        </w:rPr>
        <w:t>s</w:t>
      </w:r>
      <w:r w:rsidRPr="00390EC8">
        <w:rPr>
          <w:i/>
        </w:rPr>
        <w:t>tant à l’intérieur des structures constitutionnelles et politiques de l’Angleterre au début du XVII</w:t>
      </w:r>
      <w:r w:rsidRPr="00390EC8">
        <w:rPr>
          <w:i/>
          <w:vertAlign w:val="superscript"/>
        </w:rPr>
        <w:t>e</w:t>
      </w:r>
      <w:r w:rsidRPr="00390EC8">
        <w:rPr>
          <w:i/>
        </w:rPr>
        <w:t xml:space="preserve"> siècle </w:t>
      </w:r>
      <w:r w:rsidRPr="00320A86">
        <w:t>»</w:t>
      </w:r>
      <w:r>
        <w:t> </w:t>
      </w:r>
      <w:r>
        <w:rPr>
          <w:rStyle w:val="Appelnotedebasdep"/>
        </w:rPr>
        <w:footnoteReference w:id="631"/>
      </w:r>
      <w:r w:rsidRPr="00320A86">
        <w:t>. La force de conviction de Coke et de ses amis quant à la préservation des libertés des Anglais ou quant à la défense du respect du rôle du Parlement, l’engagement rel</w:t>
      </w:r>
      <w:r w:rsidRPr="00320A86">
        <w:t>i</w:t>
      </w:r>
      <w:r w:rsidRPr="00320A86">
        <w:t>gieux résolu des puritains</w:t>
      </w:r>
      <w:r>
        <w:t> </w:t>
      </w:r>
      <w:r>
        <w:rPr>
          <w:rStyle w:val="Appelnotedebasdep"/>
        </w:rPr>
        <w:footnoteReference w:id="632"/>
      </w:r>
      <w:r w:rsidRPr="00320A86">
        <w:t>, l’opposition très générale du peuple a</w:t>
      </w:r>
      <w:r w:rsidRPr="00320A86">
        <w:t>n</w:t>
      </w:r>
      <w:r w:rsidRPr="00320A86">
        <w:t>glais aussi bien à l’orientation vers l’arminianisme qu’à la guerre écossaise marquent clairement qu’entre 1625 et 1640, la réaction d</w:t>
      </w:r>
      <w:r w:rsidRPr="00320A86">
        <w:t>e</w:t>
      </w:r>
      <w:r w:rsidRPr="00320A86">
        <w:t xml:space="preserve">vant la politique menée par </w:t>
      </w:r>
      <w:r>
        <w:t>Charles I</w:t>
      </w:r>
      <w:r w:rsidRPr="00320A86">
        <w:rPr>
          <w:vertAlign w:val="superscript"/>
        </w:rPr>
        <w:t>er</w:t>
      </w:r>
      <w:r w:rsidRPr="00320A86">
        <w:t xml:space="preserve"> a bien suscité une opposition sans pr</w:t>
      </w:r>
      <w:r w:rsidRPr="00320A86">
        <w:t>é</w:t>
      </w:r>
      <w:r w:rsidRPr="00320A86">
        <w:t xml:space="preserve">cédent dont les revendications, parfaitement et très clairement exposées au début de la réunion du </w:t>
      </w:r>
      <w:r w:rsidRPr="00390EC8">
        <w:rPr>
          <w:i/>
        </w:rPr>
        <w:t>Long Parliament</w:t>
      </w:r>
      <w:r w:rsidRPr="00320A86">
        <w:t>, constituent e</w:t>
      </w:r>
      <w:r w:rsidRPr="00320A86">
        <w:t>f</w:t>
      </w:r>
      <w:r w:rsidRPr="00320A86">
        <w:t>fectivement un ensemble d’idées liées entre elles, autrement dit, une idéologie qui est celle des parleme</w:t>
      </w:r>
      <w:r w:rsidRPr="00320A86">
        <w:t>n</w:t>
      </w:r>
      <w:r w:rsidRPr="00320A86">
        <w:t>taires anglais des années 1625-1640. « </w:t>
      </w:r>
      <w:r w:rsidRPr="00A1551A">
        <w:rPr>
          <w:i/>
        </w:rPr>
        <w:t>La Chambre des Communes avait [d’ailleurs] décidé elle-même le 27 janvier 1629 que les Matières de Religion devaient avoir la Prééminence sur toute autre Affaire </w:t>
      </w:r>
      <w:r w:rsidRPr="00320A86">
        <w:t>»</w:t>
      </w:r>
      <w:r>
        <w:t> </w:t>
      </w:r>
      <w:r>
        <w:rPr>
          <w:rStyle w:val="Appelnotedebasdep"/>
        </w:rPr>
        <w:footnoteReference w:id="633"/>
      </w:r>
      <w:r w:rsidRPr="00320A86">
        <w:t>. Et l’’un des meilleurs hi</w:t>
      </w:r>
      <w:r w:rsidRPr="00320A86">
        <w:t>s</w:t>
      </w:r>
      <w:r w:rsidRPr="00320A86">
        <w:t>toriens anglais de cette époque, John Morrill insiste  sur les aspects rel</w:t>
      </w:r>
      <w:r w:rsidRPr="00320A86">
        <w:t>i</w:t>
      </w:r>
      <w:r w:rsidRPr="00320A86">
        <w:t>gieux du conflit dans lequel il voit « la dernière et la plus grande des guerres de religion en E</w:t>
      </w:r>
      <w:r w:rsidRPr="00320A86">
        <w:t>u</w:t>
      </w:r>
      <w:r w:rsidRPr="00320A86">
        <w:t>rope »</w:t>
      </w:r>
      <w:r>
        <w:t> </w:t>
      </w:r>
      <w:r>
        <w:rPr>
          <w:rStyle w:val="Appelnotedebasdep"/>
        </w:rPr>
        <w:footnoteReference w:id="634"/>
      </w:r>
      <w:r w:rsidRPr="00320A86">
        <w:t>, ce qui est très  exagéré mais non exempt de vérité. Pour sa part, l’excellente historienne de la révol</w:t>
      </w:r>
      <w:r w:rsidRPr="00320A86">
        <w:t>u</w:t>
      </w:r>
      <w:r w:rsidRPr="00320A86">
        <w:t>tion de 1640 et de la guerre civile qu’est Ann Hughes estime à juste titre que ce sont les « tensions et les divisions profondément enrac</w:t>
      </w:r>
      <w:r w:rsidRPr="00320A86">
        <w:t>i</w:t>
      </w:r>
      <w:r w:rsidRPr="00320A86">
        <w:t>nées dans la vie politique de l’Angleterre des premiers Stuarts qui ont explosé sous la forme d’une guerre civile »</w:t>
      </w:r>
      <w:r>
        <w:t> </w:t>
      </w:r>
      <w:r>
        <w:rPr>
          <w:rStyle w:val="Appelnotedebasdep"/>
        </w:rPr>
        <w:footnoteReference w:id="635"/>
      </w:r>
      <w:r>
        <w:t>.</w:t>
      </w:r>
    </w:p>
    <w:p w14:paraId="48ECF7D4" w14:textId="77777777" w:rsidR="00B01930" w:rsidRPr="00320A86" w:rsidRDefault="00B01930" w:rsidP="00B01930">
      <w:pPr>
        <w:spacing w:before="120" w:after="120"/>
        <w:jc w:val="both"/>
      </w:pPr>
      <w:r w:rsidRPr="00320A86">
        <w:t>En fait, les points de vue peuvent se rejoindre. D’une part, la réa</w:t>
      </w:r>
      <w:r w:rsidRPr="00320A86">
        <w:t>c</w:t>
      </w:r>
      <w:r w:rsidRPr="00320A86">
        <w:t>tion des parlementaires fut effectivement défensive comme l’ont so</w:t>
      </w:r>
      <w:r w:rsidRPr="00320A86">
        <w:t>u</w:t>
      </w:r>
      <w:r w:rsidRPr="00320A86">
        <w:t>ligné les historiens « révisionnistes » : ils s’insurgeaient contre le d</w:t>
      </w:r>
      <w:r w:rsidRPr="00320A86">
        <w:t>é</w:t>
      </w:r>
      <w:r w:rsidRPr="00320A86">
        <w:t>veloppement de l’arminianisme ou de pratiques gouvernementales à leurs yeux illégales (l’emprunt forcé, le ship money, les arrestations qu’ils estimaient arbitraires), et voyaient dans tout cela  les abus d’une pratique récente, contraire à l’ancienne constitution du royaume. Il est d’ailleurs intéressant de noter que l’étude des membres des deux camps au moment de la révolution de 1640 et de la guerre civile a montré que les partisans du souverain avaient en moyenne dix ans de moins que ceux du Parlement, ce qui signifie que la position conserv</w:t>
      </w:r>
      <w:r w:rsidRPr="00320A86">
        <w:t>a</w:t>
      </w:r>
      <w:r w:rsidRPr="00320A86">
        <w:t>trice de ces derniers, qui les met en opposition avec la politique roy</w:t>
      </w:r>
      <w:r w:rsidRPr="00320A86">
        <w:t>a</w:t>
      </w:r>
      <w:r w:rsidRPr="00320A86">
        <w:t>le, s’explique largement par la défense des principes d’éducation qu’ils ont reçus dans leur jeunesse, notamment en matière religie</w:t>
      </w:r>
      <w:r w:rsidRPr="00320A86">
        <w:t>u</w:t>
      </w:r>
      <w:r w:rsidRPr="00320A86">
        <w:t>se</w:t>
      </w:r>
      <w:r>
        <w:t> </w:t>
      </w:r>
      <w:r>
        <w:rPr>
          <w:rStyle w:val="Appelnotedebasdep"/>
        </w:rPr>
        <w:footnoteReference w:id="636"/>
      </w:r>
      <w:r w:rsidRPr="00320A86">
        <w:t> ! En 1640, on a donc bien davantage une rébellion contre la m</w:t>
      </w:r>
      <w:r w:rsidRPr="00320A86">
        <w:t>a</w:t>
      </w:r>
      <w:r w:rsidRPr="00320A86">
        <w:t>nière dont le royaume d’Angleterre est gouverné qu’une volonté rév</w:t>
      </w:r>
      <w:r w:rsidRPr="00320A86">
        <w:t>o</w:t>
      </w:r>
      <w:r w:rsidRPr="00320A86">
        <w:t>lutionnaire : les parl</w:t>
      </w:r>
      <w:r w:rsidRPr="00320A86">
        <w:t>e</w:t>
      </w:r>
      <w:r w:rsidRPr="00320A86">
        <w:t>mentaires veulent restaurer la monarchie et l’Église d’Angleterre. Ils souha</w:t>
      </w:r>
      <w:r w:rsidRPr="00320A86">
        <w:t>i</w:t>
      </w:r>
      <w:r w:rsidRPr="00320A86">
        <w:t>tent s’entendre avec le roi mais encore faut-il que celui-ci renvoie les mauvais conseillers (Laud et Strafford), et mette fin aux pratiques innovantes qui sont autant d’abus à leurs yeux. Dans la mesure même où ils étaient décidés à ne pas céder, ils furent inexorablement amenés au-delà de la simple rébellion car ils opposaient à la politique du souverain et à sa conception du fonctio</w:t>
      </w:r>
      <w:r w:rsidRPr="00320A86">
        <w:t>n</w:t>
      </w:r>
      <w:r w:rsidRPr="00320A86">
        <w:t>nement de la monarchie anglaise d’autres principes de fonctionn</w:t>
      </w:r>
      <w:r w:rsidRPr="00320A86">
        <w:t>e</w:t>
      </w:r>
      <w:r w:rsidRPr="00320A86">
        <w:t>ment, ce que j’appelle l’idéologie parlementaire. C’est pourquoi ce qui était à l’origine une rébellion se changea en révolution : au cours des sept mois de 1642 qui séparèrent le départ de Londres du roi du début de la guerre civile, les deux camps agirent en fon</w:t>
      </w:r>
      <w:r w:rsidRPr="00320A86">
        <w:t>c</w:t>
      </w:r>
      <w:r w:rsidRPr="00320A86">
        <w:t>tion de cela, même si du côté du souverain on continua à considérer qu’il s’agissait d’une rébellion.</w:t>
      </w:r>
    </w:p>
    <w:p w14:paraId="45EC5A9B" w14:textId="77777777" w:rsidR="00B01930" w:rsidRPr="00320A86" w:rsidRDefault="00B01930" w:rsidP="00B01930">
      <w:pPr>
        <w:spacing w:before="120" w:after="120"/>
        <w:jc w:val="both"/>
      </w:pPr>
      <w:r w:rsidRPr="00320A86">
        <w:t>Les conséquences en furent considérables car ces idées continu</w:t>
      </w:r>
      <w:r w:rsidRPr="00320A86">
        <w:t>è</w:t>
      </w:r>
      <w:r w:rsidRPr="00320A86">
        <w:t xml:space="preserve">rent à être partagées par de nombreux Anglais et lorsqu’en 1688 </w:t>
      </w:r>
      <w:r>
        <w:t>Ja</w:t>
      </w:r>
      <w:r>
        <w:t>c</w:t>
      </w:r>
      <w:r>
        <w:t>ques I</w:t>
      </w:r>
      <w:r w:rsidRPr="00320A86">
        <w:t>I fut renversé, on eut bien dans la pratique une monarchie lim</w:t>
      </w:r>
      <w:r w:rsidRPr="00320A86">
        <w:t>i</w:t>
      </w:r>
      <w:r w:rsidRPr="00320A86">
        <w:t>tée, et l’on vit bien, lorsque la junte au pouvoir perdit les élections en 1710, que cela se traduisait par une nouvelle majorité parlementaire qui mena une autre politique mais qui fut à son tour re</w:t>
      </w:r>
      <w:r w:rsidRPr="00320A86">
        <w:t>n</w:t>
      </w:r>
      <w:r w:rsidRPr="00320A86">
        <w:t>voyée en  1715 : comme l’avait voulu l’idéologie parlementaire telle qu’elle s’était manifestée en 1640, le souverain devait désormais tenir compte des désirs et points de vue du peuple anglais, représenté par les dép</w:t>
      </w:r>
      <w:r w:rsidRPr="00320A86">
        <w:t>u</w:t>
      </w:r>
      <w:r w:rsidRPr="00320A86">
        <w:t>tés élus aux Comm</w:t>
      </w:r>
      <w:r w:rsidRPr="00320A86">
        <w:t>u</w:t>
      </w:r>
      <w:r w:rsidRPr="00320A86">
        <w:t>nes. Plus tard se mit en place un véritable système parlementaire, dont nous s</w:t>
      </w:r>
      <w:r w:rsidRPr="00320A86">
        <w:t>a</w:t>
      </w:r>
      <w:r w:rsidRPr="00320A86">
        <w:t>vons tous l’importance considérable qui est la sienne depuis le début du XIX</w:t>
      </w:r>
      <w:r w:rsidRPr="00320A86">
        <w:rPr>
          <w:vertAlign w:val="superscript"/>
        </w:rPr>
        <w:t>e</w:t>
      </w:r>
      <w:r w:rsidRPr="00320A86">
        <w:t xml:space="preserve"> siècle.</w:t>
      </w:r>
    </w:p>
    <w:p w14:paraId="175CB6F1" w14:textId="77777777" w:rsidR="00B01930" w:rsidRPr="00320A86" w:rsidRDefault="00B01930" w:rsidP="00B01930">
      <w:pPr>
        <w:spacing w:before="120" w:after="120"/>
        <w:jc w:val="both"/>
      </w:pPr>
    </w:p>
    <w:p w14:paraId="5AE2EBBA" w14:textId="77777777" w:rsidR="00B01930" w:rsidRPr="00320A86" w:rsidRDefault="00B01930" w:rsidP="00B01930">
      <w:pPr>
        <w:spacing w:before="120" w:after="120"/>
        <w:jc w:val="both"/>
      </w:pPr>
      <w:r w:rsidRPr="00320A86">
        <w:br w:type="page"/>
      </w:r>
    </w:p>
    <w:p w14:paraId="4E7A36E8" w14:textId="77777777" w:rsidR="00B01930" w:rsidRPr="00320A86" w:rsidRDefault="00B01930" w:rsidP="00B01930">
      <w:pPr>
        <w:spacing w:before="120" w:after="120"/>
        <w:jc w:val="both"/>
      </w:pPr>
    </w:p>
    <w:p w14:paraId="4199312E" w14:textId="77777777" w:rsidR="00B01930" w:rsidRPr="00E07116" w:rsidRDefault="00B01930" w:rsidP="00B01930">
      <w:pPr>
        <w:jc w:val="both"/>
      </w:pPr>
    </w:p>
    <w:p w14:paraId="2D0095D1" w14:textId="77777777" w:rsidR="00B01930" w:rsidRPr="00E07116" w:rsidRDefault="00B01930" w:rsidP="00B01930">
      <w:pPr>
        <w:jc w:val="both"/>
      </w:pPr>
    </w:p>
    <w:p w14:paraId="0A80402E" w14:textId="77777777" w:rsidR="00B01930" w:rsidRPr="00283FCC" w:rsidRDefault="00B01930" w:rsidP="00B01930">
      <w:pPr>
        <w:spacing w:after="120"/>
        <w:ind w:firstLine="0"/>
        <w:jc w:val="center"/>
        <w:rPr>
          <w:b/>
          <w:i/>
        </w:rPr>
      </w:pPr>
      <w:bookmarkStart w:id="187" w:name="Analyser_idees_pol_pt_3"/>
      <w:r>
        <w:rPr>
          <w:b/>
        </w:rPr>
        <w:t>Analyser les idées politiques</w:t>
      </w:r>
      <w:r w:rsidRPr="00283FCC">
        <w:rPr>
          <w:b/>
        </w:rPr>
        <w:t>.</w:t>
      </w:r>
      <w:r w:rsidRPr="00283FCC">
        <w:rPr>
          <w:b/>
        </w:rPr>
        <w:br/>
      </w:r>
      <w:r>
        <w:rPr>
          <w:i/>
        </w:rPr>
        <w:t>Hommages au Pr. Jean-Louis Martres</w:t>
      </w:r>
    </w:p>
    <w:p w14:paraId="752AE299" w14:textId="77777777" w:rsidR="00B01930" w:rsidRPr="00E07116" w:rsidRDefault="00B01930" w:rsidP="00B01930">
      <w:pPr>
        <w:jc w:val="both"/>
      </w:pPr>
    </w:p>
    <w:p w14:paraId="09440923" w14:textId="77777777" w:rsidR="00B01930" w:rsidRPr="00384B20" w:rsidRDefault="00B01930" w:rsidP="00B01930">
      <w:pPr>
        <w:pStyle w:val="partie"/>
        <w:jc w:val="center"/>
        <w:rPr>
          <w:sz w:val="72"/>
        </w:rPr>
      </w:pPr>
      <w:r>
        <w:rPr>
          <w:sz w:val="72"/>
        </w:rPr>
        <w:t>Troisième</w:t>
      </w:r>
      <w:r w:rsidRPr="00384B20">
        <w:rPr>
          <w:sz w:val="72"/>
        </w:rPr>
        <w:t xml:space="preserve"> partie</w:t>
      </w:r>
    </w:p>
    <w:p w14:paraId="121F3971" w14:textId="77777777" w:rsidR="00B01930" w:rsidRPr="00E07116" w:rsidRDefault="00B01930" w:rsidP="00B01930">
      <w:pPr>
        <w:jc w:val="both"/>
      </w:pPr>
    </w:p>
    <w:p w14:paraId="52EB6098" w14:textId="77777777" w:rsidR="00B01930" w:rsidRPr="00384B20" w:rsidRDefault="00B01930" w:rsidP="00B01930">
      <w:pPr>
        <w:pStyle w:val="Titreniveau2"/>
      </w:pPr>
      <w:r>
        <w:t>DE QUELQUES IDÉES</w:t>
      </w:r>
      <w:r>
        <w:br/>
        <w:t>POLITIQUES «MODERNES»</w:t>
      </w:r>
    </w:p>
    <w:bookmarkEnd w:id="187"/>
    <w:p w14:paraId="2AE57811" w14:textId="77777777" w:rsidR="00B01930" w:rsidRPr="00E07116" w:rsidRDefault="00B01930" w:rsidP="00B01930">
      <w:pPr>
        <w:jc w:val="both"/>
      </w:pPr>
    </w:p>
    <w:p w14:paraId="403BFDA4" w14:textId="77777777" w:rsidR="00B01930" w:rsidRPr="00E07116" w:rsidRDefault="00B01930" w:rsidP="00B01930">
      <w:pPr>
        <w:jc w:val="both"/>
      </w:pPr>
    </w:p>
    <w:p w14:paraId="587E51C5" w14:textId="77777777" w:rsidR="00B01930" w:rsidRPr="00E07116" w:rsidRDefault="00B01930" w:rsidP="00B01930">
      <w:pPr>
        <w:jc w:val="both"/>
      </w:pPr>
    </w:p>
    <w:p w14:paraId="0113E091" w14:textId="77777777" w:rsidR="00B01930" w:rsidRPr="00E07116" w:rsidRDefault="00B01930" w:rsidP="00B01930">
      <w:pPr>
        <w:jc w:val="both"/>
      </w:pPr>
    </w:p>
    <w:p w14:paraId="729AC0A9" w14:textId="77777777" w:rsidR="00B01930" w:rsidRPr="00E07116" w:rsidRDefault="00B01930" w:rsidP="00B01930">
      <w:pPr>
        <w:jc w:val="both"/>
      </w:pPr>
    </w:p>
    <w:p w14:paraId="35DE171F" w14:textId="77777777" w:rsidR="00B01930" w:rsidRPr="00E07116" w:rsidRDefault="00B01930" w:rsidP="00B01930">
      <w:pPr>
        <w:jc w:val="both"/>
      </w:pPr>
    </w:p>
    <w:p w14:paraId="2429CBB7" w14:textId="77777777" w:rsidR="00B01930" w:rsidRPr="00E07116" w:rsidRDefault="00B01930" w:rsidP="00B01930">
      <w:pPr>
        <w:jc w:val="both"/>
      </w:pPr>
    </w:p>
    <w:p w14:paraId="727901F2" w14:textId="77777777" w:rsidR="00B01930" w:rsidRPr="00E07116" w:rsidRDefault="00B01930" w:rsidP="00B01930">
      <w:pPr>
        <w:jc w:val="both"/>
      </w:pPr>
    </w:p>
    <w:p w14:paraId="274C9248"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3F94A741" w14:textId="77777777" w:rsidR="00B01930" w:rsidRPr="00320A86" w:rsidRDefault="00B01930" w:rsidP="00B01930">
      <w:pPr>
        <w:spacing w:before="120" w:after="120"/>
        <w:jc w:val="both"/>
      </w:pPr>
    </w:p>
    <w:p w14:paraId="44E12CF3" w14:textId="77777777" w:rsidR="00B01930" w:rsidRDefault="00B01930" w:rsidP="00B01930">
      <w:pPr>
        <w:jc w:val="both"/>
      </w:pPr>
      <w:r w:rsidRPr="00320A86">
        <w:br w:type="page"/>
      </w:r>
    </w:p>
    <w:p w14:paraId="0D8632EF" w14:textId="77777777" w:rsidR="00B01930" w:rsidRDefault="00B01930" w:rsidP="00B01930">
      <w:pPr>
        <w:jc w:val="both"/>
      </w:pPr>
    </w:p>
    <w:p w14:paraId="705CA754" w14:textId="77777777" w:rsidR="00B01930" w:rsidRDefault="00B01930" w:rsidP="00B01930">
      <w:pPr>
        <w:jc w:val="both"/>
      </w:pPr>
    </w:p>
    <w:p w14:paraId="2D8C3DAC" w14:textId="77777777" w:rsidR="00B01930" w:rsidRPr="009D4882" w:rsidRDefault="00B01930" w:rsidP="00B01930">
      <w:pPr>
        <w:spacing w:after="120"/>
        <w:ind w:firstLine="0"/>
        <w:jc w:val="center"/>
        <w:rPr>
          <w:b/>
          <w:color w:val="000080"/>
        </w:rPr>
      </w:pPr>
      <w:bookmarkStart w:id="188" w:name="Analyser_idees_pol_pt_3_texte_05"/>
      <w:r>
        <w:rPr>
          <w:b/>
          <w:color w:val="000080"/>
        </w:rPr>
        <w:t>Troisième</w:t>
      </w:r>
      <w:r w:rsidRPr="009D4882">
        <w:rPr>
          <w:b/>
          <w:color w:val="000080"/>
        </w:rPr>
        <w:t xml:space="preserve"> partie</w:t>
      </w:r>
      <w:r w:rsidRPr="009D4882">
        <w:rPr>
          <w:b/>
          <w:color w:val="000080"/>
        </w:rPr>
        <w:br/>
      </w:r>
      <w:r>
        <w:rPr>
          <w:i/>
          <w:color w:val="000080"/>
        </w:rPr>
        <w:t>De quelques idées politiques «modernes»</w:t>
      </w:r>
    </w:p>
    <w:p w14:paraId="7826C892" w14:textId="77777777" w:rsidR="00B01930" w:rsidRDefault="00B01930" w:rsidP="00B01930">
      <w:pPr>
        <w:pStyle w:val="Titreniveau1"/>
        <w:rPr>
          <w:szCs w:val="36"/>
        </w:rPr>
      </w:pPr>
      <w:r>
        <w:rPr>
          <w:szCs w:val="36"/>
        </w:rPr>
        <w:t>5</w:t>
      </w:r>
    </w:p>
    <w:p w14:paraId="02E9881F" w14:textId="77777777" w:rsidR="00B01930" w:rsidRDefault="00B01930" w:rsidP="00B01930">
      <w:pPr>
        <w:jc w:val="both"/>
        <w:rPr>
          <w:szCs w:val="36"/>
        </w:rPr>
      </w:pPr>
    </w:p>
    <w:p w14:paraId="5417C322" w14:textId="77777777" w:rsidR="00B01930" w:rsidRPr="00843F3E" w:rsidRDefault="00B01930" w:rsidP="00B01930">
      <w:pPr>
        <w:pStyle w:val="Titreniveau2"/>
      </w:pPr>
      <w:r>
        <w:t>“</w:t>
      </w:r>
      <w:r w:rsidRPr="001D0703">
        <w:t>Sur le communisme conseilliste</w:t>
      </w:r>
      <w:r>
        <w:br/>
      </w:r>
      <w:r w:rsidRPr="001D0703">
        <w:t>et les républiques de conseils :</w:t>
      </w:r>
      <w:r>
        <w:br/>
      </w:r>
      <w:r w:rsidRPr="001D0703">
        <w:t>leur eff</w:t>
      </w:r>
      <w:r w:rsidRPr="001D0703">
        <w:t>a</w:t>
      </w:r>
      <w:r w:rsidRPr="001D0703">
        <w:t>cement et leur brièveté</w:t>
      </w:r>
      <w:r>
        <w:t>.”</w:t>
      </w:r>
    </w:p>
    <w:bookmarkEnd w:id="188"/>
    <w:p w14:paraId="2EA5E033" w14:textId="77777777" w:rsidR="00B01930" w:rsidRDefault="00B01930" w:rsidP="00B01930">
      <w:pPr>
        <w:jc w:val="both"/>
        <w:rPr>
          <w:szCs w:val="36"/>
        </w:rPr>
      </w:pPr>
    </w:p>
    <w:p w14:paraId="2C96BDC6" w14:textId="77777777" w:rsidR="00B01930" w:rsidRDefault="00B01930" w:rsidP="00B01930">
      <w:pPr>
        <w:pStyle w:val="suite"/>
      </w:pPr>
      <w:r w:rsidRPr="001D0703">
        <w:t>Patrick POUYANNE</w:t>
      </w:r>
    </w:p>
    <w:p w14:paraId="2DFB2614" w14:textId="77777777" w:rsidR="00B01930" w:rsidRDefault="00B01930" w:rsidP="00B01930">
      <w:pPr>
        <w:jc w:val="both"/>
      </w:pPr>
    </w:p>
    <w:p w14:paraId="16F09C3E" w14:textId="77777777" w:rsidR="00B01930" w:rsidRDefault="00B01930" w:rsidP="00B01930">
      <w:pPr>
        <w:jc w:val="both"/>
      </w:pPr>
    </w:p>
    <w:p w14:paraId="27A6BB3C" w14:textId="77777777" w:rsidR="00B01930" w:rsidRDefault="00B01930" w:rsidP="00B01930">
      <w:pPr>
        <w:jc w:val="both"/>
      </w:pPr>
    </w:p>
    <w:p w14:paraId="4269B5ED" w14:textId="77777777" w:rsidR="00B01930" w:rsidRDefault="00B01930" w:rsidP="00B01930">
      <w:pPr>
        <w:jc w:val="both"/>
      </w:pPr>
    </w:p>
    <w:p w14:paraId="6C7529B9" w14:textId="77777777" w:rsidR="00B01930" w:rsidRDefault="00B01930" w:rsidP="00B01930">
      <w:pPr>
        <w:jc w:val="both"/>
      </w:pPr>
    </w:p>
    <w:p w14:paraId="65CE9C3C"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424C97B8" w14:textId="77777777" w:rsidR="00B01930" w:rsidRPr="00320A86" w:rsidRDefault="00B01930" w:rsidP="00B01930">
      <w:pPr>
        <w:spacing w:before="120" w:after="120"/>
        <w:jc w:val="both"/>
      </w:pPr>
      <w:r w:rsidRPr="00320A86">
        <w:t>Pourquoi évoquer l’idéologie « communiste conseilliste », pou</w:t>
      </w:r>
      <w:r w:rsidRPr="00320A86">
        <w:t>r</w:t>
      </w:r>
      <w:r w:rsidRPr="00320A86">
        <w:t>quoi se pe</w:t>
      </w:r>
      <w:r w:rsidRPr="00320A86">
        <w:t>n</w:t>
      </w:r>
      <w:r w:rsidRPr="00320A86">
        <w:t>cher sur les brefs moments d’histoire des « républiques de conseils » ? Il est fait peu de place aux insurrections conseillistes dans l’histoire des idées politiques et dans les livres d’histoire générale. On y discerne confusément cet idéal et ces moments d’histoire. Peu no</w:t>
      </w:r>
      <w:r w:rsidRPr="00320A86">
        <w:t>m</w:t>
      </w:r>
      <w:r w:rsidRPr="00320A86">
        <w:t>breux et divisés sont les hommes politiques auxquels les soviets o</w:t>
      </w:r>
      <w:r w:rsidRPr="00320A86">
        <w:t>u</w:t>
      </w:r>
      <w:r w:rsidRPr="00320A86">
        <w:t>vriers de Petrograd et marins de Cronstadt, les autonomies et les c</w:t>
      </w:r>
      <w:r w:rsidRPr="00320A86">
        <w:t>o</w:t>
      </w:r>
      <w:r w:rsidRPr="00320A86">
        <w:t>lonnes de la République espagnole, l’autogestion yougoslave, le so</w:t>
      </w:r>
      <w:r w:rsidRPr="00320A86">
        <w:t>u</w:t>
      </w:r>
      <w:r w:rsidRPr="00320A86">
        <w:t>lèvement hongrois de 1956, ou les Conseils ouvriers polonais, fou</w:t>
      </w:r>
      <w:r w:rsidRPr="00320A86">
        <w:t>r</w:t>
      </w:r>
      <w:r w:rsidRPr="00320A86">
        <w:t>nissent de loin en loin quelques figures d’une utopie concrète. Ils semblent avoir été escamotés du champ des réflexions, tels de préte</w:t>
      </w:r>
      <w:r w:rsidRPr="00320A86">
        <w:t>n</w:t>
      </w:r>
      <w:r w:rsidRPr="00320A86">
        <w:t>dus détails supprimés de photos retouchées. Demeure toutefois, dans les esprits portés à la révolte ou à l’indignation, une importante e</w:t>
      </w:r>
      <w:r w:rsidRPr="00320A86">
        <w:t>m</w:t>
      </w:r>
      <w:r w:rsidRPr="00320A86">
        <w:t>preinte émotionnelle. Et dans l’actualité, à l’étranger, bien des man</w:t>
      </w:r>
      <w:r w:rsidRPr="00320A86">
        <w:t>i</w:t>
      </w:r>
      <w:r w:rsidRPr="00320A86">
        <w:t>festations de masses jugées, de loin, aveuglées par des passions.</w:t>
      </w:r>
    </w:p>
    <w:p w14:paraId="0F65333B" w14:textId="77777777" w:rsidR="00B01930" w:rsidRPr="00320A86" w:rsidRDefault="00B01930" w:rsidP="00B01930">
      <w:pPr>
        <w:spacing w:before="120" w:after="120"/>
        <w:jc w:val="both"/>
        <w:rPr>
          <w:szCs w:val="26"/>
        </w:rPr>
      </w:pPr>
      <w:r w:rsidRPr="00320A86">
        <w:rPr>
          <w:szCs w:val="26"/>
        </w:rPr>
        <w:t>Le travail ci-après porte sur quelques moments d’effervescence s</w:t>
      </w:r>
      <w:r w:rsidRPr="00320A86">
        <w:rPr>
          <w:szCs w:val="26"/>
        </w:rPr>
        <w:t>o</w:t>
      </w:r>
      <w:r w:rsidRPr="00320A86">
        <w:rPr>
          <w:szCs w:val="26"/>
        </w:rPr>
        <w:t>ciale o</w:t>
      </w:r>
      <w:r w:rsidRPr="00320A86">
        <w:rPr>
          <w:szCs w:val="26"/>
        </w:rPr>
        <w:t>b</w:t>
      </w:r>
      <w:r w:rsidRPr="00320A86">
        <w:rPr>
          <w:szCs w:val="26"/>
        </w:rPr>
        <w:t>servables en Europe au cours du XX</w:t>
      </w:r>
      <w:r w:rsidRPr="00320A86">
        <w:rPr>
          <w:szCs w:val="26"/>
          <w:vertAlign w:val="superscript"/>
        </w:rPr>
        <w:t>e</w:t>
      </w:r>
      <w:r w:rsidRPr="00320A86">
        <w:rPr>
          <w:szCs w:val="26"/>
        </w:rPr>
        <w:t> siècle. On tente ici d’appeler sur leur hi</w:t>
      </w:r>
      <w:r w:rsidRPr="00320A86">
        <w:rPr>
          <w:szCs w:val="26"/>
        </w:rPr>
        <w:t>s</w:t>
      </w:r>
      <w:r w:rsidRPr="00320A86">
        <w:rPr>
          <w:szCs w:val="26"/>
        </w:rPr>
        <w:t>toire un regain d’attention, et d’évoquer avec plus de justesse le prétendu « échec » dont leur brièveté serait le symptôme. L’histoire des grands moments conseillistes, pour être moins longue que ne le fut celle de Staline, de Mao ou de Fidel Ca</w:t>
      </w:r>
      <w:r w:rsidRPr="00320A86">
        <w:rPr>
          <w:szCs w:val="26"/>
        </w:rPr>
        <w:t>s</w:t>
      </w:r>
      <w:r w:rsidRPr="00320A86">
        <w:rPr>
          <w:szCs w:val="26"/>
        </w:rPr>
        <w:t>tro, ne serait-elle pas plus exemplaire, par leur brièveté même ?</w:t>
      </w:r>
    </w:p>
    <w:p w14:paraId="386B198E" w14:textId="77777777" w:rsidR="00B01930" w:rsidRPr="00320A86" w:rsidRDefault="00B01930" w:rsidP="00B01930">
      <w:pPr>
        <w:spacing w:before="120" w:after="120"/>
        <w:jc w:val="both"/>
      </w:pPr>
      <w:r w:rsidRPr="00320A86">
        <w:t>À première vue, il s’agissait d’édifier des Républiques des Conseils. Projet exaltant, pusillanime, ou scandaleux ? Quoi qu’il en soit, ces régimes d’assemblées n’ont pas duré. Comme on devrait le savoir, c’est le présent qui dans les récits historiques interpelle le pa</w:t>
      </w:r>
      <w:r w:rsidRPr="00320A86">
        <w:t>s</w:t>
      </w:r>
      <w:r w:rsidRPr="00320A86">
        <w:t>sé, et non l’inverse. Rétrospectivement, de nos jours, il paraît fall</w:t>
      </w:r>
      <w:r w:rsidRPr="00320A86">
        <w:t>a</w:t>
      </w:r>
      <w:r w:rsidRPr="00320A86">
        <w:t>cieux ou naïf d’avoir considéré la Charte des Nations unies, la Const</w:t>
      </w:r>
      <w:r w:rsidRPr="00320A86">
        <w:t>i</w:t>
      </w:r>
      <w:r w:rsidRPr="00320A86">
        <w:t>tution soviétique de 1936 ou la Société des Nations comme des fo</w:t>
      </w:r>
      <w:r w:rsidRPr="00320A86">
        <w:t>r</w:t>
      </w:r>
      <w:r w:rsidRPr="00320A86">
        <w:t>mules de gouvernance permettant de transmuter sans délai le vil pr</w:t>
      </w:r>
      <w:r w:rsidRPr="00320A86">
        <w:t>é</w:t>
      </w:r>
      <w:r w:rsidRPr="00320A86">
        <w:t>sent de l’humanité en un monde multipolaire, prospère et frate</w:t>
      </w:r>
      <w:r w:rsidRPr="00320A86">
        <w:t>r</w:t>
      </w:r>
      <w:r w:rsidRPr="00320A86">
        <w:t>nel. Une seule leçon de sagesse politique a survécu aux désillusions du progrès : « </w:t>
      </w:r>
      <w:r w:rsidRPr="00390EC8">
        <w:rPr>
          <w:i/>
        </w:rPr>
        <w:t>les hommes font l’histoire, mais ils ne savent pas l’histoire qu’ils font </w:t>
      </w:r>
      <w:r w:rsidRPr="00320A86">
        <w:t>»</w:t>
      </w:r>
      <w:r>
        <w:t> </w:t>
      </w:r>
      <w:r>
        <w:rPr>
          <w:rStyle w:val="Appelnotedebasdep"/>
        </w:rPr>
        <w:footnoteReference w:id="637"/>
      </w:r>
      <w:r w:rsidRPr="00320A86">
        <w:t xml:space="preserve">. À l’époque de </w:t>
      </w:r>
      <w:r w:rsidRPr="00390EC8">
        <w:rPr>
          <w:i/>
        </w:rPr>
        <w:t>W</w:t>
      </w:r>
      <w:r w:rsidRPr="00390EC8">
        <w:rPr>
          <w:i/>
        </w:rPr>
        <w:t>i</w:t>
      </w:r>
      <w:r w:rsidRPr="00390EC8">
        <w:rPr>
          <w:i/>
        </w:rPr>
        <w:t>kipedia</w:t>
      </w:r>
      <w:r w:rsidRPr="00320A86">
        <w:t xml:space="preserve"> et des </w:t>
      </w:r>
      <w:r w:rsidRPr="00390EC8">
        <w:rPr>
          <w:i/>
        </w:rPr>
        <w:t>iPhone</w:t>
      </w:r>
      <w:r w:rsidRPr="00320A86">
        <w:t>, on ne peut plus ignorer que les passions provoquent toujours des cons</w:t>
      </w:r>
      <w:r w:rsidRPr="00320A86">
        <w:t>é</w:t>
      </w:r>
      <w:r w:rsidRPr="00320A86">
        <w:t>quences non désirées même si, comme les convictions, les révo</w:t>
      </w:r>
      <w:r w:rsidRPr="00320A86">
        <w:t>l</w:t>
      </w:r>
      <w:r w:rsidRPr="00320A86">
        <w:t>tes restent d’actualité.</w:t>
      </w:r>
    </w:p>
    <w:p w14:paraId="7FC01C1F" w14:textId="77777777" w:rsidR="00B01930" w:rsidRPr="00320A86" w:rsidRDefault="00B01930" w:rsidP="00B01930">
      <w:pPr>
        <w:spacing w:before="120" w:after="120"/>
        <w:jc w:val="both"/>
      </w:pPr>
      <w:r w:rsidRPr="00320A86">
        <w:t>Dans les quelques républiques édifiées par les mouvements conseillistes, voulait-on que la violence des passions initiales soit d</w:t>
      </w:r>
      <w:r w:rsidRPr="00320A86">
        <w:t>u</w:t>
      </w:r>
      <w:r w:rsidRPr="00320A86">
        <w:t>rablement érigée en pri</w:t>
      </w:r>
      <w:r w:rsidRPr="00320A86">
        <w:t>n</w:t>
      </w:r>
      <w:r w:rsidRPr="00320A86">
        <w:t>cipe d’administration ? Était-il désirable que le régime d’assemblées initial laisse place à un régime hypercentral</w:t>
      </w:r>
      <w:r w:rsidRPr="00320A86">
        <w:t>i</w:t>
      </w:r>
      <w:r w:rsidRPr="00320A86">
        <w:t xml:space="preserve">sé ? </w:t>
      </w:r>
      <w:r w:rsidRPr="00320A86">
        <w:rPr>
          <w:szCs w:val="28"/>
        </w:rPr>
        <w:t>De même que les superstitions survivent aux progrès des connai</w:t>
      </w:r>
      <w:r w:rsidRPr="00320A86">
        <w:rPr>
          <w:szCs w:val="28"/>
        </w:rPr>
        <w:t>s</w:t>
      </w:r>
      <w:r w:rsidRPr="00320A86">
        <w:rPr>
          <w:szCs w:val="28"/>
        </w:rPr>
        <w:t xml:space="preserve">sances, beaucoup </w:t>
      </w:r>
      <w:r w:rsidRPr="00320A86">
        <w:t>s’efforcent encore de dissimuler l’ampleur et la n</w:t>
      </w:r>
      <w:r w:rsidRPr="00320A86">
        <w:t>a</w:t>
      </w:r>
      <w:r w:rsidRPr="00320A86">
        <w:t>ture des épreuves infligées à leur pays par ceux qui ont dirigé des « Républiques populaires » à la manière de Staline ou de Mao. Malgré les voiles idéologiques cependant, politistes, politologues et historiens des idées savent comment, appauvries et apeurées, les populations y ont été l’objet de propagandes presque religieuses : diabolisation des adversaires, divinisation du tyran, foi en un paradis à venir. Hommes d’État et diplomates savent que les alliances avec des États non rép</w:t>
      </w:r>
      <w:r w:rsidRPr="00320A86">
        <w:t>u</w:t>
      </w:r>
      <w:r w:rsidRPr="00320A86">
        <w:t>blicains sont illusoires : la pauvreté, l’asservissement et les mensonges infligés à leur population en font des alliés peu solides.</w:t>
      </w:r>
    </w:p>
    <w:p w14:paraId="0803D2AB" w14:textId="77777777" w:rsidR="00B01930" w:rsidRPr="00320A86" w:rsidRDefault="00B01930" w:rsidP="00B01930">
      <w:pPr>
        <w:spacing w:before="120" w:after="120"/>
        <w:jc w:val="both"/>
      </w:pPr>
      <w:r w:rsidRPr="00320A86">
        <w:t>Reste à s’interroger sur l’extrême brièveté des moments « conseillistes » d’effervescence populaire et d’agitation sociale dont il va être question plus loin. On a longtemps voulu voir dans cette brièveté le symptôme d’un échec. Ne doit-on pas maintenant co</w:t>
      </w:r>
      <w:r w:rsidRPr="00320A86">
        <w:t>m</w:t>
      </w:r>
      <w:r w:rsidRPr="00320A86">
        <w:t>prendre qu’elle pourrait exprimer un renoncement collectif, respect</w:t>
      </w:r>
      <w:r w:rsidRPr="00320A86">
        <w:t>a</w:t>
      </w:r>
      <w:r w:rsidRPr="00320A86">
        <w:t>ble et délibéré, à des passions qui s’avéraient trop dangereuses ?</w:t>
      </w:r>
    </w:p>
    <w:p w14:paraId="15B591E9" w14:textId="77777777" w:rsidR="00B01930" w:rsidRPr="00320A86" w:rsidRDefault="00B01930" w:rsidP="00B01930">
      <w:pPr>
        <w:spacing w:before="120" w:after="120"/>
        <w:jc w:val="both"/>
        <w:rPr>
          <w:szCs w:val="26"/>
        </w:rPr>
      </w:pPr>
      <w:r w:rsidRPr="00320A86">
        <w:rPr>
          <w:szCs w:val="26"/>
        </w:rPr>
        <w:t>Pour aborder cette question, on évoquera d’abord les années 1917 à 1923, et la multitude de républiques de conseils nées à la fin de la Grande Guerre. On observera ensuite, de 1934 à 1939, l’anarcho-syndicalisme dans la guerre civile espagnole. On rappellera enfin, de 1949 à 1969, quelques expériences d’autogestion ou de conseillisme ouvrier dans des pays d’Europe centrale.</w:t>
      </w:r>
    </w:p>
    <w:p w14:paraId="71AB5C6D" w14:textId="77777777" w:rsidR="00B01930" w:rsidRPr="00320A86" w:rsidRDefault="00B01930" w:rsidP="00B01930">
      <w:pPr>
        <w:spacing w:before="120" w:after="120"/>
        <w:jc w:val="both"/>
        <w:rPr>
          <w:szCs w:val="26"/>
        </w:rPr>
      </w:pPr>
    </w:p>
    <w:p w14:paraId="5605B80F" w14:textId="77777777" w:rsidR="00B01930" w:rsidRPr="00320A86" w:rsidRDefault="00B01930" w:rsidP="00B01930">
      <w:pPr>
        <w:pStyle w:val="planche"/>
      </w:pPr>
      <w:bookmarkStart w:id="189" w:name="Analyser_idees_pol_pt_3_texte_05_I"/>
      <w:r w:rsidRPr="00320A86">
        <w:t>I. Les républiques de conseils</w:t>
      </w:r>
      <w:r>
        <w:br/>
      </w:r>
      <w:r w:rsidRPr="00320A86">
        <w:t>des années 1917 à 1923</w:t>
      </w:r>
    </w:p>
    <w:bookmarkEnd w:id="189"/>
    <w:p w14:paraId="3472F808" w14:textId="77777777" w:rsidR="00B01930" w:rsidRDefault="00B01930" w:rsidP="00B01930">
      <w:pPr>
        <w:spacing w:before="120" w:after="120"/>
        <w:jc w:val="both"/>
      </w:pPr>
    </w:p>
    <w:p w14:paraId="39A229EB"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1D2EDC23" w14:textId="77777777" w:rsidR="00B01930" w:rsidRPr="00320A86" w:rsidRDefault="00B01930" w:rsidP="00B01930">
      <w:pPr>
        <w:spacing w:before="120" w:after="120"/>
        <w:jc w:val="both"/>
      </w:pPr>
      <w:r w:rsidRPr="00320A86">
        <w:t>La brutalité de la Première Guerre mondiale et sa longueur ont di</w:t>
      </w:r>
      <w:r w:rsidRPr="00320A86">
        <w:t>s</w:t>
      </w:r>
      <w:r w:rsidRPr="00320A86">
        <w:t>qualifié les « embusqués » au regard des millions d’hommes armés et expédiés « au front ». À la fin de cette guerre une vague révolutio</w:t>
      </w:r>
      <w:r w:rsidRPr="00320A86">
        <w:t>n</w:t>
      </w:r>
      <w:r w:rsidRPr="00320A86">
        <w:t>naire va dresser contre les priv</w:t>
      </w:r>
      <w:r w:rsidRPr="00320A86">
        <w:t>a</w:t>
      </w:r>
      <w:r w:rsidRPr="00320A86">
        <w:t>tions et contre les privilégiés, avec les démobilisés, une multitude de « conseils ». Après ou avec des « comités de soldats », elle va couvrir de conseils ouvriers les centres industriels et administratifs de nombreux pays, et ces conseils vont se fédérer en conseils territoriaux, voire en républiques de conseils. Cette vague d’exaspération vindicative frappe dès février 1917 au cœur de l’empire russe ; elle contribuera à faire chuter le tsarisme et à faire signer par les nouvelles autorités russes, en mars 1918, une paix sép</w:t>
      </w:r>
      <w:r w:rsidRPr="00320A86">
        <w:t>a</w:t>
      </w:r>
      <w:r w:rsidRPr="00320A86">
        <w:t>rée avec l’Allemagne. Elle déferle aux confins européens de l’empire russe : en Finlande, en Pologne puis, à partir de janvier 1918, dans l’ancien empire austro-hongrois, en Allem</w:t>
      </w:r>
      <w:r w:rsidRPr="00320A86">
        <w:t>a</w:t>
      </w:r>
      <w:r w:rsidRPr="00320A86">
        <w:t>gne et en Italie.</w:t>
      </w:r>
    </w:p>
    <w:p w14:paraId="29BFF44C" w14:textId="77777777" w:rsidR="00B01930" w:rsidRPr="00320A86" w:rsidRDefault="00B01930" w:rsidP="00B01930">
      <w:pPr>
        <w:spacing w:before="120" w:after="120"/>
        <w:jc w:val="both"/>
      </w:pPr>
      <w:r w:rsidRPr="00320A86">
        <w:t>Chacun sait qu’en Russie, après six mois véritablement soviétiques (c’est-à-dire conseillistes) d’agitation sociale et politique, « </w:t>
      </w:r>
      <w:r w:rsidRPr="00390EC8">
        <w:rPr>
          <w:i/>
        </w:rPr>
        <w:t>la Révol</w:t>
      </w:r>
      <w:r w:rsidRPr="00390EC8">
        <w:rPr>
          <w:i/>
        </w:rPr>
        <w:t>u</w:t>
      </w:r>
      <w:r w:rsidRPr="00390EC8">
        <w:rPr>
          <w:i/>
        </w:rPr>
        <w:t>tion a dévoré ses propres enfants </w:t>
      </w:r>
      <w:r w:rsidRPr="00320A86">
        <w:t>»</w:t>
      </w:r>
      <w:r>
        <w:t> </w:t>
      </w:r>
      <w:r>
        <w:rPr>
          <w:rStyle w:val="Appelnotedebasdep"/>
        </w:rPr>
        <w:footnoteReference w:id="638"/>
      </w:r>
      <w:r w:rsidRPr="00320A86">
        <w:t>. Bien des historiens rigoureux ont documenté les recherches sur l’histoire de l’U</w:t>
      </w:r>
      <w:r w:rsidRPr="00320A86">
        <w:rPr>
          <w:smallCaps/>
        </w:rPr>
        <w:t>rss</w:t>
      </w:r>
      <w:r w:rsidRPr="00320A86">
        <w:t>. Inutile ici de dév</w:t>
      </w:r>
      <w:r w:rsidRPr="00320A86">
        <w:t>e</w:t>
      </w:r>
      <w:r w:rsidRPr="00320A86">
        <w:t>lopper les principales séquences de ce phénomène : prise de contrôle par les bolcheviks des comités de soldats et des conseils d’entreprises et d’administrations ; élimination des anciens dirigeants du pays (aristocrates et rentiers, grands seigneurs terriens, entrepr</w:t>
      </w:r>
      <w:r w:rsidRPr="00320A86">
        <w:t>e</w:t>
      </w:r>
      <w:r w:rsidRPr="00320A86">
        <w:t>neurs et commerçants, haut clergé) ainsi que des militants rivaux (s</w:t>
      </w:r>
      <w:r w:rsidRPr="00320A86">
        <w:t>o</w:t>
      </w:r>
      <w:r w:rsidRPr="00320A86">
        <w:t>ciaux-démocrates, socialistes révolutionnaires, anarchistes, etc.) ; guerre civile contre les armées blanches puis contre les paysans ; l</w:t>
      </w:r>
      <w:r w:rsidRPr="00320A86">
        <w:t>i</w:t>
      </w:r>
      <w:r w:rsidRPr="00320A86">
        <w:t>quidation physique enfin de toute opposition ouvrière et des vieux bolcheviks. Une terreur massive a supprimé entre 1917 et 1937 tous les contre-pouvoirs. Elle a conféré au prétendu régime d’assemblée de l’Union des républiques socialistes soviétiques un caractère purement formel ou, pour mieux dire en évoquant une contribution d’un ouvr</w:t>
      </w:r>
      <w:r w:rsidRPr="00320A86">
        <w:t>a</w:t>
      </w:r>
      <w:r w:rsidRPr="00320A86">
        <w:t>ge dirigé par Jean-Louis Martres</w:t>
      </w:r>
      <w:r>
        <w:t> </w:t>
      </w:r>
      <w:r>
        <w:rPr>
          <w:rStyle w:val="Appelnotedebasdep"/>
        </w:rPr>
        <w:footnoteReference w:id="639"/>
      </w:r>
      <w:r w:rsidRPr="00320A86">
        <w:t>, une existence « </w:t>
      </w:r>
      <w:r w:rsidRPr="00390EC8">
        <w:rPr>
          <w:i/>
        </w:rPr>
        <w:t>fantomatique […] : les deux sessions [annue</w:t>
      </w:r>
      <w:r w:rsidRPr="00390EC8">
        <w:rPr>
          <w:i/>
        </w:rPr>
        <w:t>l</w:t>
      </w:r>
      <w:r w:rsidRPr="00390EC8">
        <w:rPr>
          <w:i/>
        </w:rPr>
        <w:t>les] du Soviet suprême [y] suffisent à peine pour acclamer, à la chaîne, les déc</w:t>
      </w:r>
      <w:r w:rsidRPr="00390EC8">
        <w:rPr>
          <w:i/>
        </w:rPr>
        <w:t>i</w:t>
      </w:r>
      <w:r w:rsidRPr="00390EC8">
        <w:rPr>
          <w:i/>
        </w:rPr>
        <w:t>sions prises entre-temps par les organes restreints […] du Parti </w:t>
      </w:r>
      <w:r w:rsidRPr="00320A86">
        <w:t>».</w:t>
      </w:r>
    </w:p>
    <w:p w14:paraId="440BC952" w14:textId="77777777" w:rsidR="00B01930" w:rsidRPr="00320A86" w:rsidRDefault="00B01930" w:rsidP="00B01930">
      <w:pPr>
        <w:spacing w:before="120" w:after="120"/>
        <w:jc w:val="both"/>
      </w:pPr>
      <w:r w:rsidRPr="00320A86">
        <w:t>En revanche, hormis quelques spécialistes, peu nombreux sont ceux qui connaissent les autres occurrences, parmi diverses popul</w:t>
      </w:r>
      <w:r w:rsidRPr="00320A86">
        <w:t>a</w:t>
      </w:r>
      <w:r w:rsidRPr="00320A86">
        <w:t>tions, de la grande v</w:t>
      </w:r>
      <w:r w:rsidRPr="00320A86">
        <w:t>a</w:t>
      </w:r>
      <w:r w:rsidRPr="00320A86">
        <w:t>gue de « républiques des conseils ».</w:t>
      </w:r>
    </w:p>
    <w:p w14:paraId="13373418" w14:textId="77777777" w:rsidR="00B01930" w:rsidRPr="00320A86" w:rsidRDefault="00B01930" w:rsidP="00B01930">
      <w:pPr>
        <w:spacing w:before="120" w:after="120"/>
        <w:jc w:val="both"/>
      </w:pPr>
      <w:r w:rsidRPr="00320A86">
        <w:t>Qui sait que la Finlande (pays peu peuplé, mais le premier dans l</w:t>
      </w:r>
      <w:r w:rsidRPr="00320A86">
        <w:t>e</w:t>
      </w:r>
      <w:r w:rsidRPr="00320A86">
        <w:t>quel les femmes obtinrent droit de vote et droit de siéger dans une Chambre des députés, cela en 1906), après avoir repris sa liberté vis-à-vis des Russes le 6 décembre 1917, connut une éphémère Républ</w:t>
      </w:r>
      <w:r w:rsidRPr="00320A86">
        <w:t>i</w:t>
      </w:r>
      <w:r w:rsidRPr="00320A86">
        <w:t>que de conseils ouvriers révolutionnaires jusqu’au 29 avril 1918 ? Le régime des « rouges » sera renversé par l’armée « blanche » dirigée par le général Mannerheim</w:t>
      </w:r>
      <w:r>
        <w:t> </w:t>
      </w:r>
      <w:r>
        <w:rPr>
          <w:rStyle w:val="Appelnotedebasdep"/>
        </w:rPr>
        <w:footnoteReference w:id="640"/>
      </w:r>
      <w:r w:rsidRPr="00320A86">
        <w:t>. Après avoir affermi l’État fi</w:t>
      </w:r>
      <w:r w:rsidRPr="00320A86">
        <w:t>n</w:t>
      </w:r>
      <w:r w:rsidRPr="00320A86">
        <w:t>landais pendant la fin de l’année 1918, il contribuera à mettre en place une R</w:t>
      </w:r>
      <w:r w:rsidRPr="00320A86">
        <w:t>é</w:t>
      </w:r>
      <w:r w:rsidRPr="00320A86">
        <w:t>publique parlementaire. Il présidera cette République de 1944 à 1946.</w:t>
      </w:r>
    </w:p>
    <w:p w14:paraId="47D64660" w14:textId="77777777" w:rsidR="00B01930" w:rsidRPr="00320A86" w:rsidRDefault="00B01930" w:rsidP="00B01930">
      <w:pPr>
        <w:spacing w:before="120" w:after="120"/>
        <w:jc w:val="both"/>
      </w:pPr>
      <w:r w:rsidRPr="00320A86">
        <w:t>Qui se souvient que la Hongrie, diminuée des deux tiers de ses possessions territoriales, détachée de l’Autriche, érigée en République le 16 novembre 1918, connut du 21 mars au 1</w:t>
      </w:r>
      <w:r w:rsidRPr="00320A86">
        <w:rPr>
          <w:vertAlign w:val="superscript"/>
        </w:rPr>
        <w:t>er</w:t>
      </w:r>
      <w:r w:rsidRPr="00320A86">
        <w:t> août 1919 un régime socialiste révolutionnaire : la R</w:t>
      </w:r>
      <w:r w:rsidRPr="00320A86">
        <w:t>é</w:t>
      </w:r>
      <w:r w:rsidRPr="00320A86">
        <w:t>publique des conseils de Hongrie ? L’opposition des campagnes aux mesures de réquisition des produits agricoles mit ce régime en difficulté. Avec l’assentiment des Alliés, l’entrée d’une armée roumaine à Budapest entraîna la démission du gouvernement de Béla Kun. Le pouvoir tomba entre les mains de l’amiral Horty (qui le conservera jusqu’à sa destitution par Hitler en 1944). Réfugié en U</w:t>
      </w:r>
      <w:r w:rsidRPr="00320A86">
        <w:rPr>
          <w:smallCaps/>
        </w:rPr>
        <w:t>rss</w:t>
      </w:r>
      <w:r w:rsidRPr="00320A86">
        <w:t>, Béla Kun imagina en mars 1921 de tenter d’agréger à Berlin ses camarades de l’extrême gauche activiste, afin de conférer au Parti communiste allemand un rôle central et de d</w:t>
      </w:r>
      <w:r w:rsidRPr="00320A86">
        <w:t>é</w:t>
      </w:r>
      <w:r w:rsidRPr="00320A86">
        <w:t>clencher en Allemagne grève générale et soulèvements a</w:t>
      </w:r>
      <w:r w:rsidRPr="00320A86">
        <w:t>r</w:t>
      </w:r>
      <w:r w:rsidRPr="00320A86">
        <w:t>més. L’échec de ces mots d’ordre sera immédiat : l’énorme proportion des ouvriers allemands non grévistes infligea un tel démenti aux anticip</w:t>
      </w:r>
      <w:r w:rsidRPr="00320A86">
        <w:t>a</w:t>
      </w:r>
      <w:r w:rsidRPr="00320A86">
        <w:t>tions de la Pravda que Béla Kun fut aussitôt désavoué et rappelé en Russie</w:t>
      </w:r>
      <w:r>
        <w:t> </w:t>
      </w:r>
      <w:r>
        <w:rPr>
          <w:rStyle w:val="Appelnotedebasdep"/>
        </w:rPr>
        <w:footnoteReference w:id="641"/>
      </w:r>
      <w:r w:rsidRPr="00320A86">
        <w:t>.</w:t>
      </w:r>
    </w:p>
    <w:p w14:paraId="0256998F" w14:textId="77777777" w:rsidR="00B01930" w:rsidRPr="00320A86" w:rsidRDefault="00B01930" w:rsidP="00B01930">
      <w:pPr>
        <w:spacing w:before="120" w:after="120"/>
        <w:jc w:val="both"/>
      </w:pPr>
      <w:r w:rsidRPr="00320A86">
        <w:t>Sur des territoires austro-hongrois et russes qui le 28 octobre 1918 devie</w:t>
      </w:r>
      <w:r w:rsidRPr="00320A86">
        <w:t>n</w:t>
      </w:r>
      <w:r w:rsidRPr="00320A86">
        <w:t>dront la Tchécoslovaquie, une éphémère République soviétique slovaque fut également proclamée. De même, la Pologne ressuscitée le 3 novembre 1918, arrachée à l’Autriche, à la Prusse et à la Russie, allait se doter à Lublin d’un Conseil de délégués ouvriers de Pologne (qui proclama la journée de 8 heures), d’un Conseil de district des d</w:t>
      </w:r>
      <w:r w:rsidRPr="00320A86">
        <w:t>é</w:t>
      </w:r>
      <w:r w:rsidRPr="00320A86">
        <w:t>légués ouvriers des fermes, d’une milice rouge et d’un gouvernement populaire. Dans le bassin houiller du Sud de la Pologne, en novembre et décembre 1918 et marginalement jusqu’en juillet 1919, dans ce qui fut appelé la République rouge de Dombrowa, un Conseil des dél</w:t>
      </w:r>
      <w:r w:rsidRPr="00320A86">
        <w:t>é</w:t>
      </w:r>
      <w:r w:rsidRPr="00320A86">
        <w:t>gués ouvriers exerça un double pouvoir avec l’administration et dans les entreprises. C’est l’un des fondateurs en 1892</w:t>
      </w:r>
      <w:r>
        <w:t> </w:t>
      </w:r>
      <w:r>
        <w:rPr>
          <w:rStyle w:val="Appelnotedebasdep"/>
        </w:rPr>
        <w:footnoteReference w:id="642"/>
      </w:r>
      <w:r w:rsidRPr="00320A86">
        <w:t xml:space="preserve"> du parti socialiste polonais, Josef Pilsudski, org</w:t>
      </w:r>
      <w:r w:rsidRPr="00320A86">
        <w:t>a</w:t>
      </w:r>
      <w:r w:rsidRPr="00320A86">
        <w:t>nisateur du terrorisme puis de la guerre antirusse, qui fut institué chef d’État de 1919 à 1922 par le pa</w:t>
      </w:r>
      <w:r w:rsidRPr="00320A86">
        <w:t>r</w:t>
      </w:r>
      <w:r w:rsidRPr="00320A86">
        <w:t>lement polonais ; on se rappelle qu’il fera en 1926 un coup d’État et gardera le pouvoir jusqu’à sa mort (en 1935). Quant à Félix Dzerjinski, inst</w:t>
      </w:r>
      <w:r w:rsidRPr="00320A86">
        <w:t>i</w:t>
      </w:r>
      <w:r w:rsidRPr="00320A86">
        <w:t>gateur, premier chef et icône de la redoutable police politique soviét</w:t>
      </w:r>
      <w:r w:rsidRPr="00320A86">
        <w:t>i</w:t>
      </w:r>
      <w:r w:rsidRPr="00320A86">
        <w:t xml:space="preserve">que (la Tcheka, ancêtre du </w:t>
      </w:r>
      <w:r w:rsidRPr="00320A86">
        <w:rPr>
          <w:smallCaps/>
        </w:rPr>
        <w:t>Gpu</w:t>
      </w:r>
      <w:r w:rsidRPr="00320A86">
        <w:t xml:space="preserve"> et du N</w:t>
      </w:r>
      <w:r w:rsidRPr="00320A86">
        <w:rPr>
          <w:smallCaps/>
        </w:rPr>
        <w:t>kvd</w:t>
      </w:r>
      <w:r w:rsidRPr="00320A86">
        <w:t>), il avait fondé en 1899 avec Rosa Luxembourg et Karl Radek un parti social-démocrate de Pologne et de Lituanie ; et il présida le comité révolutionnaire pol</w:t>
      </w:r>
      <w:r w:rsidRPr="00320A86">
        <w:t>o</w:t>
      </w:r>
      <w:r w:rsidRPr="00320A86">
        <w:t>nais brièvement installé dans les terr</w:t>
      </w:r>
      <w:r w:rsidRPr="00320A86">
        <w:t>i</w:t>
      </w:r>
      <w:r w:rsidRPr="00320A86">
        <w:t>toires « libérés » par l’Armée rouge, de juillet à octobre 1920. Dzerjinski sera le premier à entrevoir le déshonneur de sa vie : « </w:t>
      </w:r>
      <w:r w:rsidRPr="00390EC8">
        <w:rPr>
          <w:i/>
        </w:rPr>
        <w:t>Seuls des saints ou des scélérats peuvent offrir leurs services à la Tcheka. Mais les saints me fuient et je me r</w:t>
      </w:r>
      <w:r w:rsidRPr="00390EC8">
        <w:rPr>
          <w:i/>
        </w:rPr>
        <w:t>e</w:t>
      </w:r>
      <w:r w:rsidRPr="00390EC8">
        <w:rPr>
          <w:i/>
        </w:rPr>
        <w:t>trouve parmi les scélérats </w:t>
      </w:r>
      <w:r w:rsidRPr="00320A86">
        <w:t>»</w:t>
      </w:r>
      <w:r>
        <w:t> </w:t>
      </w:r>
      <w:r>
        <w:rPr>
          <w:rStyle w:val="Appelnotedebasdep"/>
        </w:rPr>
        <w:footnoteReference w:id="643"/>
      </w:r>
      <w:r w:rsidRPr="00320A86">
        <w:t>.</w:t>
      </w:r>
    </w:p>
    <w:p w14:paraId="4F4DBDC4" w14:textId="77777777" w:rsidR="00B01930" w:rsidRPr="00320A86" w:rsidRDefault="00B01930" w:rsidP="00B01930">
      <w:pPr>
        <w:spacing w:before="120" w:after="120"/>
        <w:jc w:val="both"/>
      </w:pPr>
      <w:r w:rsidRPr="00320A86">
        <w:t>Qui s’intéresse encore à l’Autriche, dont l’empire fut disloqué après la Pr</w:t>
      </w:r>
      <w:r w:rsidRPr="00320A86">
        <w:t>e</w:t>
      </w:r>
      <w:r w:rsidRPr="00320A86">
        <w:t>mière Guerre mondiale</w:t>
      </w:r>
      <w:r>
        <w:t> </w:t>
      </w:r>
      <w:r>
        <w:rPr>
          <w:rStyle w:val="Appelnotedebasdep"/>
        </w:rPr>
        <w:footnoteReference w:id="644"/>
      </w:r>
      <w:r w:rsidRPr="00320A86">
        <w:t> ? L’Autriche avait connu de grandes grèves pendant la guerre. La République y sera proclamée au lendemain du traité d’armistice, le 12 novembre 1918. Elle fut couve</w:t>
      </w:r>
      <w:r w:rsidRPr="00320A86">
        <w:t>r</w:t>
      </w:r>
      <w:r w:rsidRPr="00320A86">
        <w:t>te de conseils ouvriers jusqu’en octobre 1920. Plusieurs « </w:t>
      </w:r>
      <w:r w:rsidRPr="00390EC8">
        <w:rPr>
          <w:i/>
        </w:rPr>
        <w:t>conférences nationales des conseils ouvriers d’Autriche </w:t>
      </w:r>
      <w:r w:rsidRPr="00320A86">
        <w:t>» furent r</w:t>
      </w:r>
      <w:r w:rsidRPr="00320A86">
        <w:t>é</w:t>
      </w:r>
      <w:r w:rsidRPr="00320A86">
        <w:t>unies pendant cette période. Les dirigeants du puissant parti socialiste (330 000 membres rien qu’en Autriche) accordent beaucoup de soins à la coo</w:t>
      </w:r>
      <w:r w:rsidRPr="00320A86">
        <w:t>r</w:t>
      </w:r>
      <w:r w:rsidRPr="00320A86">
        <w:t>dination des conseils afin de ne pas se couper du monde ouvrier. Mais ils respecteront le principe de la souveraineté parlementaire en s’opposant à ceux qui réclament le transfert de la souveraineté à l’organe central des conseils ouvriers. Ce légalisme les expose à se faire taxer de « </w:t>
      </w:r>
      <w:r w:rsidRPr="00390EC8">
        <w:rPr>
          <w:i/>
        </w:rPr>
        <w:t>crétinisme parlementaire </w:t>
      </w:r>
      <w:r w:rsidRPr="00320A86">
        <w:t>» alors même qu’ils obtie</w:t>
      </w:r>
      <w:r w:rsidRPr="00320A86">
        <w:t>n</w:t>
      </w:r>
      <w:r w:rsidRPr="00320A86">
        <w:t>nent, au lendemain de la guerre, un sursis pour le désarmement par les Alliés de l’armée et des milices ouvrières ainsi que, dès mai 2019, la légalisation de la représentation des salariés dans les conseils de dire</w:t>
      </w:r>
      <w:r w:rsidRPr="00320A86">
        <w:t>c</w:t>
      </w:r>
      <w:r w:rsidRPr="00320A86">
        <w:t>tion des entreprises. En ce temps d’asphyxie économique des pays vaincus, de telles mesures protègent de la misère les soldats en voie de démobilisation. Elles les détournent de rallier en masse</w:t>
      </w:r>
      <w:r>
        <w:t> </w:t>
      </w:r>
      <w:r>
        <w:rPr>
          <w:rStyle w:val="Appelnotedebasdep"/>
        </w:rPr>
        <w:footnoteReference w:id="645"/>
      </w:r>
      <w:r w:rsidRPr="00320A86">
        <w:t xml:space="preserve"> les com</w:t>
      </w:r>
      <w:r w:rsidRPr="00320A86">
        <w:t>i</w:t>
      </w:r>
      <w:r w:rsidRPr="00320A86">
        <w:t>tés de soldats animés par le tout jeune PC, et la tentative d’insurrection pro soviétique que ce dernier lança le 15 juin 1919 à Vienne put être réprimée le jour même par une police… qui était fortement synd</w:t>
      </w:r>
      <w:r w:rsidRPr="00320A86">
        <w:t>i</w:t>
      </w:r>
      <w:r w:rsidRPr="00320A86">
        <w:t>quée ! Théoriciens de la démocratie des conseils et restés membres actifs du parti socialiste autrichien, Max Adler et Otto Bauer contr</w:t>
      </w:r>
      <w:r w:rsidRPr="00320A86">
        <w:t>i</w:t>
      </w:r>
      <w:r w:rsidRPr="00320A86">
        <w:t>bueront longtemps à nourrir de leur « </w:t>
      </w:r>
      <w:r w:rsidRPr="00390EC8">
        <w:rPr>
          <w:i/>
        </w:rPr>
        <w:t>austromarxisme </w:t>
      </w:r>
      <w:r w:rsidRPr="00320A86">
        <w:t>»</w:t>
      </w:r>
      <w:r>
        <w:t> </w:t>
      </w:r>
      <w:r>
        <w:rPr>
          <w:rStyle w:val="Appelnotedebasdep"/>
        </w:rPr>
        <w:footnoteReference w:id="646"/>
      </w:r>
      <w:r w:rsidRPr="00320A86">
        <w:t xml:space="preserve"> la puissa</w:t>
      </w:r>
      <w:r w:rsidRPr="00320A86">
        <w:t>n</w:t>
      </w:r>
      <w:r w:rsidRPr="00320A86">
        <w:t>ce économique et le libéralisme culturel de leur parti en Autr</w:t>
      </w:r>
      <w:r w:rsidRPr="00320A86">
        <w:t>i</w:t>
      </w:r>
      <w:r w:rsidRPr="00320A86">
        <w:t>che.</w:t>
      </w:r>
    </w:p>
    <w:p w14:paraId="7475F898" w14:textId="77777777" w:rsidR="00B01930" w:rsidRPr="00320A86" w:rsidRDefault="00B01930" w:rsidP="00B01930">
      <w:pPr>
        <w:spacing w:before="120" w:after="120"/>
        <w:jc w:val="both"/>
      </w:pPr>
      <w:r w:rsidRPr="00320A86">
        <w:t>Qui sait encore que le dernier chancelier de l’Allemagne impériale décida de céder la place à un Conseil des commissaires du peuple ? Ainsi en effet s’était dénommé le gouvernement social-démocrate du chancelier socialiste Ebert nommé le 12 novembre 1918, ce qui fit s’enfuir en Hollande l’empereur Gui</w:t>
      </w:r>
      <w:r w:rsidRPr="00320A86">
        <w:t>l</w:t>
      </w:r>
      <w:r w:rsidRPr="00320A86">
        <w:t>laume</w:t>
      </w:r>
      <w:r>
        <w:t> </w:t>
      </w:r>
      <w:r w:rsidRPr="00320A86">
        <w:t>II. Puis tout se passa comme si le pays s’était ainsi vacciné contre une révolution de type russe. Les comités de soldats furent investis de compétences officie</w:t>
      </w:r>
      <w:r w:rsidRPr="00320A86">
        <w:t>l</w:t>
      </w:r>
      <w:r w:rsidRPr="00320A86">
        <w:t>les, mais pas comme en Russie : limitées aux conditions d’approvisionnement et de logement, sans facultés de contester leur hiérarchie. D’importantes dispositions touchant les conditions de vie au travail furent adoptées par accord entre syndicats patronaux et o</w:t>
      </w:r>
      <w:r w:rsidRPr="00320A86">
        <w:t>u</w:t>
      </w:r>
      <w:r w:rsidRPr="00320A86">
        <w:t>vriers. Cependant, dans des régions tentées par l’effondrement du r</w:t>
      </w:r>
      <w:r w:rsidRPr="00320A86">
        <w:t>é</w:t>
      </w:r>
      <w:r w:rsidRPr="00320A86">
        <w:t>gime bismarckien de renouer avec les autonomies antérieures, les i</w:t>
      </w:r>
      <w:r w:rsidRPr="00320A86">
        <w:t>n</w:t>
      </w:r>
      <w:r w:rsidRPr="00320A86">
        <w:t>surrections ouvrières donnèrent aux conseils d’usines et à leurs coo</w:t>
      </w:r>
      <w:r w:rsidRPr="00320A86">
        <w:t>r</w:t>
      </w:r>
      <w:r w:rsidRPr="00320A86">
        <w:t>dinations des formes autonomes et singulières. Berlin, Brême, Ha</w:t>
      </w:r>
      <w:r w:rsidRPr="00320A86">
        <w:t>m</w:t>
      </w:r>
      <w:r w:rsidRPr="00320A86">
        <w:t>bourg, la Ruhr, le Brunswick, le Wurtemberg, la Saxe et la Bavière, la Thuringe</w:t>
      </w:r>
      <w:r>
        <w:t> </w:t>
      </w:r>
      <w:r>
        <w:rPr>
          <w:rStyle w:val="Appelnotedebasdep"/>
        </w:rPr>
        <w:footnoteReference w:id="647"/>
      </w:r>
      <w:r w:rsidRPr="00320A86">
        <w:t xml:space="preserve"> connurent des affrontements violemment sectaires (major</w:t>
      </w:r>
      <w:r w:rsidRPr="00320A86">
        <w:t>i</w:t>
      </w:r>
      <w:r w:rsidRPr="00320A86">
        <w:t>taires et rad</w:t>
      </w:r>
      <w:r w:rsidRPr="00320A86">
        <w:t>i</w:t>
      </w:r>
      <w:r w:rsidRPr="00320A86">
        <w:t>caux de gauche, syndicalistes et indépendants, activistes et spartakistes, gradualistes et révolutionnaires, prosoviétiques et ant</w:t>
      </w:r>
      <w:r w:rsidRPr="00320A86">
        <w:t>i</w:t>
      </w:r>
      <w:r w:rsidRPr="00320A86">
        <w:t>soviétiques). En Bavière par exemple, il y eut non pas une, mais deux éphémères républiques des conseils, l’une socialiste (proclamée le 8 novembre à l’issue d’une manifestation d’ouvriers et de soldats par Kurt Eisner – il fut assassiné le 28 février 1919), la seconde spartaki</w:t>
      </w:r>
      <w:r w:rsidRPr="00320A86">
        <w:t>s</w:t>
      </w:r>
      <w:r w:rsidRPr="00320A86">
        <w:t>te (d’avril à mai 1919) !</w:t>
      </w:r>
    </w:p>
    <w:p w14:paraId="6CCEE1BE" w14:textId="77777777" w:rsidR="00B01930" w:rsidRPr="00320A86" w:rsidRDefault="00B01930" w:rsidP="00B01930">
      <w:pPr>
        <w:spacing w:before="120" w:after="120"/>
        <w:jc w:val="both"/>
      </w:pPr>
      <w:r w:rsidRPr="00320A86">
        <w:t>Qui se souvient de la Troisième Internationale ouvrière, dite K</w:t>
      </w:r>
      <w:r w:rsidRPr="00320A86">
        <w:t>o</w:t>
      </w:r>
      <w:r w:rsidRPr="00320A86">
        <w:t xml:space="preserve">mintern, et de Karl Radek, son premier secrétaire ? Il se risqua à contrarier le blanquisme des jeunes partis communistes non seulement en Europe centrale, et particulièrement en </w:t>
      </w:r>
      <w:r>
        <w:t>Allemagne </w:t>
      </w:r>
      <w:r>
        <w:rPr>
          <w:rStyle w:val="Appelnotedebasdep"/>
        </w:rPr>
        <w:footnoteReference w:id="648"/>
      </w:r>
      <w:r w:rsidRPr="00320A86">
        <w:t>, mais aussi en Russie. Cosmopolite, il connaissait le caractère politiquement do</w:t>
      </w:r>
      <w:r w:rsidRPr="00320A86">
        <w:t>u</w:t>
      </w:r>
      <w:r w:rsidRPr="00320A86">
        <w:t>teux des diatribes contre « </w:t>
      </w:r>
      <w:r w:rsidRPr="00390EC8">
        <w:rPr>
          <w:i/>
        </w:rPr>
        <w:t>l’opportunisme socialiste </w:t>
      </w:r>
      <w:r w:rsidRPr="00320A86">
        <w:t>», contre les « </w:t>
      </w:r>
      <w:r w:rsidRPr="00390EC8">
        <w:rPr>
          <w:i/>
        </w:rPr>
        <w:t>attitudes conciliatrices </w:t>
      </w:r>
      <w:r w:rsidRPr="00320A86">
        <w:t>» et contre les « </w:t>
      </w:r>
      <w:r w:rsidRPr="00390EC8">
        <w:rPr>
          <w:i/>
        </w:rPr>
        <w:t>compromissions </w:t>
      </w:r>
      <w:r w:rsidRPr="00320A86">
        <w:t>», en un temps et dans des pays où les masses prolétarisées étaient ballottées entre démocratie, barbarie et pauvreté</w:t>
      </w:r>
      <w:r>
        <w:t> </w:t>
      </w:r>
      <w:r>
        <w:rPr>
          <w:rStyle w:val="Appelnotedebasdep"/>
        </w:rPr>
        <w:footnoteReference w:id="649"/>
      </w:r>
      <w:r w:rsidRPr="00320A86">
        <w:t>. Une hostilité véhémente e</w:t>
      </w:r>
      <w:r w:rsidRPr="00320A86">
        <w:t>n</w:t>
      </w:r>
      <w:r w:rsidRPr="00320A86">
        <w:t>vers leurs alliés fera très vite perdre la vie à ses proches, notamment à Berlin en 1919 : Karl Liebknecht et Rosa Luxembourg, entre autres. Des centrales de conseils d’usines furent const</w:t>
      </w:r>
      <w:r w:rsidRPr="00320A86">
        <w:t>i</w:t>
      </w:r>
      <w:r w:rsidRPr="00320A86">
        <w:t>tuées en 1920, tant à Berlin que dans la Ruhr, sans que cette deuxième période de multipl</w:t>
      </w:r>
      <w:r w:rsidRPr="00320A86">
        <w:t>i</w:t>
      </w:r>
      <w:r w:rsidRPr="00320A86">
        <w:t>cation des conseils ouvriers débouche sur la formation de « </w:t>
      </w:r>
      <w:r w:rsidRPr="00390EC8">
        <w:rPr>
          <w:i/>
        </w:rPr>
        <w:t>gouvernements ouvriers </w:t>
      </w:r>
      <w:r w:rsidRPr="00320A86">
        <w:t>». Du moins la contre-révolution militaire et anti ouvrière dite « putsch de Kapp » fut-elle en mars 1920 rapid</w:t>
      </w:r>
      <w:r w:rsidRPr="00320A86">
        <w:t>e</w:t>
      </w:r>
      <w:r w:rsidRPr="00320A86">
        <w:t>ment mise en échec par la grève générale due à la résistance unanime des activistes des partis et syndicats ouvriers. Et cela sans comité ce</w:t>
      </w:r>
      <w:r w:rsidRPr="00320A86">
        <w:t>n</w:t>
      </w:r>
      <w:r w:rsidRPr="00320A86">
        <w:t>tral de grève ni mots d’ordre unifo</w:t>
      </w:r>
      <w:r w:rsidRPr="00320A86">
        <w:t>r</w:t>
      </w:r>
      <w:r w:rsidRPr="00320A86">
        <w:t>mes</w:t>
      </w:r>
      <w:r>
        <w:t> </w:t>
      </w:r>
      <w:r>
        <w:rPr>
          <w:rStyle w:val="Appelnotedebasdep"/>
        </w:rPr>
        <w:footnoteReference w:id="650"/>
      </w:r>
      <w:r w:rsidRPr="00320A86">
        <w:t>.</w:t>
      </w:r>
    </w:p>
    <w:p w14:paraId="57B7200C" w14:textId="77777777" w:rsidR="00B01930" w:rsidRPr="00320A86" w:rsidRDefault="00B01930" w:rsidP="00B01930">
      <w:pPr>
        <w:spacing w:before="120" w:after="120"/>
        <w:jc w:val="both"/>
      </w:pPr>
      <w:r w:rsidRPr="00320A86">
        <w:t>Par la suite, faute d’analyse et de programme communs, le vieux parti social-démocrate et le jeune Parti communiste vont tous deux subir une scission. La division de leurs dirigeants essaimera troubles et confusion dans l’activité éc</w:t>
      </w:r>
      <w:r w:rsidRPr="00320A86">
        <w:t>o</w:t>
      </w:r>
      <w:r w:rsidRPr="00320A86">
        <w:t>nomique, dans la vie sociale et dans les milieux politiques. Le 24 mars 1921 par exemple, un appel à la grève générale était de nouveau lancé en Allemagne ; mais par un Parti communiste privé de ses dirigeants anti blanquistes (Paul Levi, Clara Zetkin) et pour soutenir le nouveau régime russe. Les ouvriers all</w:t>
      </w:r>
      <w:r w:rsidRPr="00320A86">
        <w:t>e</w:t>
      </w:r>
      <w:r w:rsidRPr="00320A86">
        <w:t>mands avaient d’autres intérêts à défendre. Cet appel ne reçut guère d’écho et près de la moitié de ses membres déserta un parti dont la direction put s’abandonner sans frein à son penchant pour l’invective. Cependant, deux ans plus tard, afin de contrer les opérations antirév</w:t>
      </w:r>
      <w:r w:rsidRPr="00320A86">
        <w:t>o</w:t>
      </w:r>
      <w:r w:rsidRPr="00320A86">
        <w:t>lutionnaires de chefs de corps de l’armée all</w:t>
      </w:r>
      <w:r w:rsidRPr="00320A86">
        <w:t>e</w:t>
      </w:r>
      <w:r w:rsidRPr="00320A86">
        <w:t>mande, les dirigeants de mouvements ouvriers envisagèrent ensemble de lancer une révolution prolétarienne appuyée sur les conseils d’usine. Ils esquissèrent pour la fin 1923 un programme de grève générale assortie d’une insurrection armée. Leur projet fut soigneusement analysé par le Komintern. La révolution des « </w:t>
      </w:r>
      <w:r w:rsidRPr="00390EC8">
        <w:rPr>
          <w:i/>
        </w:rPr>
        <w:t>20 millions de prolétaires allemands, trempés, cult</w:t>
      </w:r>
      <w:r w:rsidRPr="00390EC8">
        <w:rPr>
          <w:i/>
        </w:rPr>
        <w:t>i</w:t>
      </w:r>
      <w:r w:rsidRPr="00390EC8">
        <w:rPr>
          <w:i/>
        </w:rPr>
        <w:t>vés, organisés </w:t>
      </w:r>
      <w:r w:rsidRPr="00320A86">
        <w:t>», d</w:t>
      </w:r>
      <w:r w:rsidRPr="00320A86">
        <w:t>e</w:t>
      </w:r>
      <w:r w:rsidRPr="00320A86">
        <w:t>vrait veiller « </w:t>
      </w:r>
      <w:r w:rsidRPr="00390EC8">
        <w:rPr>
          <w:i/>
        </w:rPr>
        <w:t>à ne pas perdre de vue l’alliance entre la ville et la campagne, entre le prolétariat et la petite bourgeo</w:t>
      </w:r>
      <w:r w:rsidRPr="00390EC8">
        <w:rPr>
          <w:i/>
        </w:rPr>
        <w:t>i</w:t>
      </w:r>
      <w:r w:rsidRPr="00390EC8">
        <w:rPr>
          <w:i/>
        </w:rPr>
        <w:t>sie </w:t>
      </w:r>
      <w:r w:rsidRPr="00320A86">
        <w:t>», et prévoir un affrontement avec l’impérialisme international, écrivait Zinoviev dans la Pravda</w:t>
      </w:r>
      <w:r>
        <w:t> </w:t>
      </w:r>
      <w:r>
        <w:rPr>
          <w:rStyle w:val="Appelnotedebasdep"/>
        </w:rPr>
        <w:footnoteReference w:id="651"/>
      </w:r>
      <w:r w:rsidRPr="00320A86">
        <w:t>. Rendu prudent par les échecs ant</w:t>
      </w:r>
      <w:r w:rsidRPr="00320A86">
        <w:t>é</w:t>
      </w:r>
      <w:r w:rsidRPr="00320A86">
        <w:t>rieurs, le président du Komintern posait des conditions : il demandait</w:t>
      </w:r>
      <w:r>
        <w:t> </w:t>
      </w:r>
      <w:r>
        <w:rPr>
          <w:rStyle w:val="Appelnotedebasdep"/>
        </w:rPr>
        <w:footnoteReference w:id="652"/>
      </w:r>
      <w:r w:rsidRPr="00320A86">
        <w:t xml:space="preserve"> de s’assurer que le mouvement ouvrier était unanimement prêt à part</w:t>
      </w:r>
      <w:r w:rsidRPr="00320A86">
        <w:t>i</w:t>
      </w:r>
      <w:r w:rsidRPr="00320A86">
        <w:t>ciper à la grève ; il comptait pour la résorption du chômage sur la constitution d’une grande armée rouge ; pour le règlement des que</w:t>
      </w:r>
      <w:r w:rsidRPr="00320A86">
        <w:t>s</w:t>
      </w:r>
      <w:r w:rsidRPr="00320A86">
        <w:t>tions économiques sur des livraisons de blé russe et de charbon fra</w:t>
      </w:r>
      <w:r w:rsidRPr="00320A86">
        <w:t>n</w:t>
      </w:r>
      <w:r w:rsidRPr="00320A86">
        <w:t>çais, polonais et tchèque ; et pour faire évacuer l’armée d’occupation française, sur la signature d’un nouveau traité de paix.</w:t>
      </w:r>
    </w:p>
    <w:p w14:paraId="27554719" w14:textId="77777777" w:rsidR="00B01930" w:rsidRPr="00320A86" w:rsidRDefault="00B01930" w:rsidP="00B01930">
      <w:pPr>
        <w:spacing w:before="120" w:after="120"/>
        <w:jc w:val="both"/>
      </w:pPr>
      <w:r w:rsidRPr="00320A86">
        <w:t>La « </w:t>
      </w:r>
      <w:r w:rsidRPr="00390EC8">
        <w:rPr>
          <w:i/>
        </w:rPr>
        <w:t>Révolution allemande d’octobre 1923 </w:t>
      </w:r>
      <w:r w:rsidRPr="00320A86">
        <w:t>» sera décommandée par une conférence des conseils d’usine réunie à Chemnitz le 21. Deux épisodes de lu</w:t>
      </w:r>
      <w:r w:rsidRPr="00320A86">
        <w:t>t</w:t>
      </w:r>
      <w:r w:rsidRPr="00320A86">
        <w:t>te auront tout de même lieu : une insurrection de trois jours à Hambourg lancée par erreur le 22 et délibérément stoppée le 24 ; puis du 28 au 30 octobre trois jours de résistance du gouvern</w:t>
      </w:r>
      <w:r w:rsidRPr="00320A86">
        <w:t>e</w:t>
      </w:r>
      <w:r w:rsidRPr="00320A86">
        <w:t>ment et du parlement de la Saxe avant qu’il ne cède à l’exigence du président de la République allemande, le socialiste Ebert, d’exclure du gouvernement régional les ministres communistes. Reste qu’après avoir perçu ces divers signaux du monde ouvrier, l’armée régulière exécutera l’ordre d’Ebert de mater la tentative de putsch des nazis en Bavière et jettera Hitler en prison. Malgré les graves difficultés fina</w:t>
      </w:r>
      <w:r w:rsidRPr="00320A86">
        <w:t>n</w:t>
      </w:r>
      <w:r w:rsidRPr="00320A86">
        <w:t>cières, économiques et sociales de l’Allemagne, les institutions parl</w:t>
      </w:r>
      <w:r w:rsidRPr="00320A86">
        <w:t>e</w:t>
      </w:r>
      <w:r w:rsidRPr="00320A86">
        <w:t>mentaires de la République de Weimar tiendront jusqu’en 1934, avec des gouvernements de coalition sans durée ni a</w:t>
      </w:r>
      <w:r w:rsidRPr="00320A86">
        <w:t>u</w:t>
      </w:r>
      <w:r w:rsidRPr="00320A86">
        <w:t>torité. Mais les joutes individuelles alimenteront la propagande antiparlementaire et populi</w:t>
      </w:r>
      <w:r w:rsidRPr="00320A86">
        <w:t>s</w:t>
      </w:r>
      <w:r w:rsidRPr="00320A86">
        <w:t>te des nazis, facilitant leur accession au pouvoir.</w:t>
      </w:r>
    </w:p>
    <w:p w14:paraId="0D9562A7" w14:textId="77777777" w:rsidR="00B01930" w:rsidRPr="00320A86" w:rsidRDefault="00B01930" w:rsidP="00B01930">
      <w:pPr>
        <w:spacing w:before="120" w:after="120"/>
        <w:jc w:val="both"/>
        <w:rPr>
          <w:szCs w:val="26"/>
        </w:rPr>
      </w:pPr>
      <w:r w:rsidRPr="00320A86">
        <w:rPr>
          <w:szCs w:val="26"/>
        </w:rPr>
        <w:t>Qui sait enfin que l’Italie connaît à partir de juillet 1919, dans le Midi, une vague sans précédent d’occupations de terres par les paysans démobilisés et, dans le Nord, une douzaine de grèves génér</w:t>
      </w:r>
      <w:r w:rsidRPr="00320A86">
        <w:rPr>
          <w:szCs w:val="26"/>
        </w:rPr>
        <w:t>a</w:t>
      </w:r>
      <w:r w:rsidRPr="00320A86">
        <w:rPr>
          <w:szCs w:val="26"/>
        </w:rPr>
        <w:t>les de « </w:t>
      </w:r>
      <w:r w:rsidRPr="00390EC8">
        <w:rPr>
          <w:i/>
          <w:szCs w:val="26"/>
        </w:rPr>
        <w:t>solidarité envers la Russie et la Hongrie </w:t>
      </w:r>
      <w:r w:rsidRPr="00320A86">
        <w:rPr>
          <w:szCs w:val="26"/>
        </w:rPr>
        <w:t>», une vague d’attaques des magasins d’alimentation, la constit</w:t>
      </w:r>
      <w:r w:rsidRPr="00320A86">
        <w:rPr>
          <w:szCs w:val="26"/>
        </w:rPr>
        <w:t>u</w:t>
      </w:r>
      <w:r w:rsidRPr="00320A86">
        <w:rPr>
          <w:szCs w:val="26"/>
        </w:rPr>
        <w:t>tion de « </w:t>
      </w:r>
      <w:r w:rsidRPr="00390EC8">
        <w:rPr>
          <w:i/>
          <w:szCs w:val="26"/>
        </w:rPr>
        <w:t>gardes rouges </w:t>
      </w:r>
      <w:r w:rsidRPr="00320A86">
        <w:rPr>
          <w:szCs w:val="26"/>
        </w:rPr>
        <w:t>» et, surtout, l’extension d’un régime de conseils o</w:t>
      </w:r>
      <w:r w:rsidRPr="00320A86">
        <w:rPr>
          <w:szCs w:val="26"/>
        </w:rPr>
        <w:t>u</w:t>
      </w:r>
      <w:r w:rsidRPr="00320A86">
        <w:rPr>
          <w:szCs w:val="26"/>
        </w:rPr>
        <w:t>vriers à partir de l’agglomération de Turin ? Cet « </w:t>
      </w:r>
      <w:r w:rsidRPr="00390EC8">
        <w:rPr>
          <w:i/>
          <w:szCs w:val="26"/>
        </w:rPr>
        <w:t>Ordre nouveau </w:t>
      </w:r>
      <w:r w:rsidRPr="00320A86">
        <w:rPr>
          <w:szCs w:val="26"/>
        </w:rPr>
        <w:t xml:space="preserve">» s’étendra de Turin à d’autres villes du Piémont, de la Ligurie (Gênes) et de la Lombardie (Milan). </w:t>
      </w:r>
      <w:r w:rsidRPr="00320A86">
        <w:rPr>
          <w:szCs w:val="28"/>
        </w:rPr>
        <w:t>La tradition du socialisme libertaire (Cafiero et Malatesta) et le système des conseils ouvriers de Turin (mouvement et revue de l’Ordine nuovo impulsés notamment par Antonio Gramsci et Palmiro Togliatti) l’emportèrent contre la ligne (Bordiga p. ex.) visant à réserver la parole aux seuls militants syndicaux politiquement co</w:t>
      </w:r>
      <w:r w:rsidRPr="00320A86">
        <w:rPr>
          <w:szCs w:val="28"/>
        </w:rPr>
        <w:t>r</w:t>
      </w:r>
      <w:r w:rsidRPr="00320A86">
        <w:rPr>
          <w:szCs w:val="28"/>
        </w:rPr>
        <w:t>rects au regard du noyau des dirigeants nationaux. On vit pr</w:t>
      </w:r>
      <w:r w:rsidRPr="00320A86">
        <w:rPr>
          <w:szCs w:val="28"/>
        </w:rPr>
        <w:t>é</w:t>
      </w:r>
      <w:r w:rsidRPr="00320A86">
        <w:rPr>
          <w:szCs w:val="28"/>
        </w:rPr>
        <w:t>valoir la ligne d’un élargissement à tous les travailleurs dans chaque entrepr</w:t>
      </w:r>
      <w:r w:rsidRPr="00320A86">
        <w:rPr>
          <w:szCs w:val="28"/>
        </w:rPr>
        <w:t>i</w:t>
      </w:r>
      <w:r w:rsidRPr="00320A86">
        <w:rPr>
          <w:szCs w:val="28"/>
        </w:rPr>
        <w:t>se ; les commissions ouvrières se muèrent en conseils d’usine, struct</w:t>
      </w:r>
      <w:r w:rsidRPr="00320A86">
        <w:rPr>
          <w:szCs w:val="28"/>
        </w:rPr>
        <w:t>u</w:t>
      </w:r>
      <w:r w:rsidRPr="00320A86">
        <w:rPr>
          <w:szCs w:val="28"/>
        </w:rPr>
        <w:t>re de base d’une pyramide de conseils vouée à substituer une « </w:t>
      </w:r>
      <w:r w:rsidRPr="00390EC8">
        <w:rPr>
          <w:i/>
          <w:szCs w:val="28"/>
        </w:rPr>
        <w:t>gestion prolétarienne </w:t>
      </w:r>
      <w:r w:rsidRPr="00320A86">
        <w:rPr>
          <w:szCs w:val="28"/>
        </w:rPr>
        <w:t xml:space="preserve">» à la direction politicienne des affaires économiques et sociales. </w:t>
      </w:r>
      <w:r w:rsidRPr="00320A86">
        <w:rPr>
          <w:szCs w:val="26"/>
        </w:rPr>
        <w:t>Toutes les usines de l’industrie lourde furent occupées. C</w:t>
      </w:r>
      <w:r w:rsidRPr="00320A86">
        <w:rPr>
          <w:szCs w:val="26"/>
        </w:rPr>
        <w:t>e</w:t>
      </w:r>
      <w:r w:rsidRPr="00320A86">
        <w:rPr>
          <w:szCs w:val="26"/>
        </w:rPr>
        <w:t>pendant, comme l’Italie elle-même, le mouvement manquait d’unité nationale. Faute d’appuis dans le restant de la p</w:t>
      </w:r>
      <w:r w:rsidRPr="00320A86">
        <w:rPr>
          <w:szCs w:val="26"/>
        </w:rPr>
        <w:t>é</w:t>
      </w:r>
      <w:r w:rsidRPr="00320A86">
        <w:rPr>
          <w:szCs w:val="26"/>
        </w:rPr>
        <w:t>ninsule et d’alliés dans le gros de la population, l’Ordre nouveau refluera en septe</w:t>
      </w:r>
      <w:r w:rsidRPr="00320A86">
        <w:rPr>
          <w:szCs w:val="26"/>
        </w:rPr>
        <w:t>m</w:t>
      </w:r>
      <w:r w:rsidRPr="00320A86">
        <w:rPr>
          <w:szCs w:val="26"/>
        </w:rPr>
        <w:t>bre 1920. Les principales tendances du Parti socialiste italien ayant sollicité son adhésion au Komintern et Moscou ayant choisi en ja</w:t>
      </w:r>
      <w:r w:rsidRPr="00320A86">
        <w:rPr>
          <w:szCs w:val="26"/>
        </w:rPr>
        <w:t>n</w:t>
      </w:r>
      <w:r w:rsidRPr="00320A86">
        <w:rPr>
          <w:szCs w:val="26"/>
        </w:rPr>
        <w:t>vier 1921</w:t>
      </w:r>
      <w:r>
        <w:rPr>
          <w:szCs w:val="26"/>
        </w:rPr>
        <w:t> </w:t>
      </w:r>
      <w:r>
        <w:rPr>
          <w:rStyle w:val="Appelnotedebasdep"/>
          <w:szCs w:val="26"/>
        </w:rPr>
        <w:footnoteReference w:id="653"/>
      </w:r>
      <w:r w:rsidRPr="00320A86">
        <w:rPr>
          <w:szCs w:val="26"/>
        </w:rPr>
        <w:t xml:space="preserve"> de rejeter cette demande, préférant susciter une « </w:t>
      </w:r>
      <w:r w:rsidRPr="00390EC8">
        <w:rPr>
          <w:i/>
          <w:szCs w:val="26"/>
        </w:rPr>
        <w:t>scission exemplaire </w:t>
      </w:r>
      <w:r w:rsidRPr="00320A86">
        <w:rPr>
          <w:szCs w:val="26"/>
        </w:rPr>
        <w:t>» pour créer le Parti communiste italien et l’ériger en se</w:t>
      </w:r>
      <w:r w:rsidRPr="00320A86">
        <w:rPr>
          <w:szCs w:val="26"/>
        </w:rPr>
        <w:t>c</w:t>
      </w:r>
      <w:r w:rsidRPr="00320A86">
        <w:rPr>
          <w:szCs w:val="26"/>
        </w:rPr>
        <w:t>tion membre, la capacité de chaque fraction à exprimer des émotions largement partagées s’en trouva encore amoindrie. Et ce sont les fai</w:t>
      </w:r>
      <w:r w:rsidRPr="00320A86">
        <w:rPr>
          <w:szCs w:val="26"/>
        </w:rPr>
        <w:t>s</w:t>
      </w:r>
      <w:r w:rsidRPr="00320A86">
        <w:rPr>
          <w:szCs w:val="26"/>
        </w:rPr>
        <w:t>ceaux mussoliniens qui essaimeront dans la péninsule, y const</w:t>
      </w:r>
      <w:r w:rsidRPr="00320A86">
        <w:rPr>
          <w:szCs w:val="26"/>
        </w:rPr>
        <w:t>i</w:t>
      </w:r>
      <w:r w:rsidRPr="00320A86">
        <w:rPr>
          <w:szCs w:val="26"/>
        </w:rPr>
        <w:t>tuant durablement un mouvement de masse.</w:t>
      </w:r>
    </w:p>
    <w:p w14:paraId="36F6489B" w14:textId="77777777" w:rsidR="00B01930" w:rsidRPr="00320A86" w:rsidRDefault="00B01930" w:rsidP="00B01930">
      <w:pPr>
        <w:spacing w:before="120" w:after="120"/>
        <w:jc w:val="both"/>
      </w:pPr>
      <w:r>
        <w:br w:type="page"/>
      </w:r>
    </w:p>
    <w:p w14:paraId="214C3508" w14:textId="77777777" w:rsidR="00B01930" w:rsidRPr="00320A86" w:rsidRDefault="00B01930" w:rsidP="00B01930">
      <w:pPr>
        <w:pStyle w:val="planche"/>
      </w:pPr>
      <w:bookmarkStart w:id="190" w:name="Analyser_idees_pol_pt_3_texte_05_II"/>
      <w:r w:rsidRPr="00320A86">
        <w:t>II. Essais d’analyse de la brièveté des républiques</w:t>
      </w:r>
      <w:r>
        <w:br/>
      </w:r>
      <w:r w:rsidRPr="00320A86">
        <w:t>de conseils</w:t>
      </w:r>
      <w:r>
        <w:t xml:space="preserve"> </w:t>
      </w:r>
      <w:r w:rsidRPr="00320A86">
        <w:t>du premier après-guerre…</w:t>
      </w:r>
    </w:p>
    <w:bookmarkEnd w:id="190"/>
    <w:p w14:paraId="039B3BC4" w14:textId="77777777" w:rsidR="00B01930" w:rsidRDefault="00B01930" w:rsidP="00B01930">
      <w:pPr>
        <w:spacing w:before="120" w:after="120"/>
        <w:jc w:val="both"/>
        <w:rPr>
          <w:szCs w:val="28"/>
        </w:rPr>
      </w:pPr>
    </w:p>
    <w:p w14:paraId="75508918"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2DA85515" w14:textId="77777777" w:rsidR="00B01930" w:rsidRPr="00320A86" w:rsidRDefault="00B01930" w:rsidP="00B01930">
      <w:pPr>
        <w:spacing w:before="120" w:after="120"/>
        <w:jc w:val="both"/>
      </w:pPr>
      <w:r w:rsidRPr="00320A86">
        <w:rPr>
          <w:szCs w:val="28"/>
        </w:rPr>
        <w:t>À première vue, la brièveté des républiques de conseils issues des grèves i</w:t>
      </w:r>
      <w:r w:rsidRPr="00320A86">
        <w:rPr>
          <w:szCs w:val="28"/>
        </w:rPr>
        <w:t>n</w:t>
      </w:r>
      <w:r w:rsidRPr="00320A86">
        <w:rPr>
          <w:szCs w:val="28"/>
        </w:rPr>
        <w:t>surrectionnelles entre 1917 et 1923 semble révélatrice d’un échec politique g</w:t>
      </w:r>
      <w:r w:rsidRPr="00320A86">
        <w:rPr>
          <w:szCs w:val="28"/>
        </w:rPr>
        <w:t>é</w:t>
      </w:r>
      <w:r w:rsidRPr="00320A86">
        <w:rPr>
          <w:szCs w:val="28"/>
        </w:rPr>
        <w:t>néral. Mais y a-t-il lieu d’</w:t>
      </w:r>
      <w:r w:rsidRPr="00320A86">
        <w:t>identifier ou confondre la brièveté de ces moments avec une sorte d’échec politique personnel ? Pendant longtemps, l</w:t>
      </w:r>
      <w:r w:rsidRPr="00320A86">
        <w:rPr>
          <w:szCs w:val="28"/>
        </w:rPr>
        <w:t>es rares co</w:t>
      </w:r>
      <w:r w:rsidRPr="00320A86">
        <w:rPr>
          <w:szCs w:val="28"/>
        </w:rPr>
        <w:t>m</w:t>
      </w:r>
      <w:r w:rsidRPr="00320A86">
        <w:rPr>
          <w:szCs w:val="28"/>
        </w:rPr>
        <w:t>mentateurs se sont mal résignés à reconnaître que les républiques de conseils aient disparu aussi rap</w:t>
      </w:r>
      <w:r w:rsidRPr="00320A86">
        <w:rPr>
          <w:szCs w:val="28"/>
        </w:rPr>
        <w:t>i</w:t>
      </w:r>
      <w:r w:rsidRPr="00320A86">
        <w:rPr>
          <w:szCs w:val="28"/>
        </w:rPr>
        <w:t xml:space="preserve">dement qu’elles étaient apparues. </w:t>
      </w:r>
      <w:r w:rsidRPr="00320A86">
        <w:t>Ainsi donc, on a ente</w:t>
      </w:r>
      <w:r w:rsidRPr="00320A86">
        <w:t>n</w:t>
      </w:r>
      <w:r w:rsidRPr="00320A86">
        <w:t>du souligner que malgré les appels de Lénine, Trotski et Zinoviev aucune coordin</w:t>
      </w:r>
      <w:r w:rsidRPr="00320A86">
        <w:t>a</w:t>
      </w:r>
      <w:r w:rsidRPr="00320A86">
        <w:t>tion n’a renforcé mutuellement ces républiques face à leurs adversa</w:t>
      </w:r>
      <w:r w:rsidRPr="00320A86">
        <w:t>i</w:t>
      </w:r>
      <w:r w:rsidRPr="00320A86">
        <w:t>res. Et que, contrairement à l’espoir de Gramsci, les expériences et les idées conseillistes n’aient pas pris racine à l’intérieur des pays conce</w:t>
      </w:r>
      <w:r w:rsidRPr="00320A86">
        <w:t>r</w:t>
      </w:r>
      <w:r w:rsidRPr="00320A86">
        <w:t>nés. S</w:t>
      </w:r>
      <w:r w:rsidRPr="00320A86">
        <w:rPr>
          <w:szCs w:val="28"/>
        </w:rPr>
        <w:t>emblables comme</w:t>
      </w:r>
      <w:r w:rsidRPr="00320A86">
        <w:rPr>
          <w:szCs w:val="28"/>
        </w:rPr>
        <w:t>n</w:t>
      </w:r>
      <w:r w:rsidRPr="00320A86">
        <w:rPr>
          <w:szCs w:val="28"/>
        </w:rPr>
        <w:t>taires reviennent à déplorer le caractère éphémère d</w:t>
      </w:r>
      <w:r w:rsidRPr="00320A86">
        <w:t>e ces formes d’expression et d’action politique. D</w:t>
      </w:r>
      <w:r w:rsidRPr="00320A86">
        <w:rPr>
          <w:szCs w:val="28"/>
        </w:rPr>
        <w:t>e même que les pilleurs de magasins s’arrêteraient au pr</w:t>
      </w:r>
      <w:r w:rsidRPr="00320A86">
        <w:rPr>
          <w:szCs w:val="28"/>
        </w:rPr>
        <w:t>e</w:t>
      </w:r>
      <w:r w:rsidRPr="00320A86">
        <w:rPr>
          <w:szCs w:val="28"/>
        </w:rPr>
        <w:t xml:space="preserve">mier bistrot, les conseils ouvriers se satisferaient de quelques jours de vraie vie ! </w:t>
      </w:r>
      <w:r w:rsidRPr="00320A86">
        <w:t>Et c’est ainsi que l’on a imputé cette brièveté au mieux à la « naïveté spontanéiste », au pire à « l’imbécillité » ou au « crétinisme</w:t>
      </w:r>
      <w:r>
        <w:t xml:space="preserve"> </w:t>
      </w:r>
      <w:r w:rsidRPr="00320A86">
        <w:t>parleme</w:t>
      </w:r>
      <w:r w:rsidRPr="00320A86">
        <w:t>n</w:t>
      </w:r>
      <w:r w:rsidRPr="00320A86">
        <w:t>taire » des élus conseillistes. En termes moins polémiques, au pe</w:t>
      </w:r>
      <w:r w:rsidRPr="00320A86">
        <w:t>n</w:t>
      </w:r>
      <w:r w:rsidRPr="00320A86">
        <w:t>chant excessivement concili</w:t>
      </w:r>
      <w:r w:rsidRPr="00320A86">
        <w:t>a</w:t>
      </w:r>
      <w:r w:rsidRPr="00320A86">
        <w:t>teur des chefs que se donnent les conseils.</w:t>
      </w:r>
    </w:p>
    <w:p w14:paraId="2DD4C7BE" w14:textId="77777777" w:rsidR="00B01930" w:rsidRPr="00320A86" w:rsidRDefault="00B01930" w:rsidP="00B01930">
      <w:pPr>
        <w:spacing w:before="120" w:after="120"/>
        <w:jc w:val="both"/>
        <w:rPr>
          <w:caps/>
          <w:szCs w:val="26"/>
        </w:rPr>
      </w:pPr>
      <w:r w:rsidRPr="00320A86">
        <w:t>Très répandu, le point de vue de Khrouchtchev opposant en f</w:t>
      </w:r>
      <w:r w:rsidRPr="00320A86">
        <w:t>é</w:t>
      </w:r>
      <w:r w:rsidRPr="00320A86">
        <w:t xml:space="preserve">vrier 1956 le fourbe Staline au bon Lénine est exemplaire à cet égard. En somme, dit-il alors, il aurait juste été malencontreux pour Lénine, pour le </w:t>
      </w:r>
      <w:r w:rsidRPr="00320A86">
        <w:rPr>
          <w:smallCaps/>
        </w:rPr>
        <w:t>Pcus</w:t>
      </w:r>
      <w:r w:rsidRPr="00320A86">
        <w:t>, pour la Russie et pour le socialisme de croiser le chemin de Staline, « </w:t>
      </w:r>
      <w:r w:rsidRPr="00390EC8">
        <w:rPr>
          <w:i/>
        </w:rPr>
        <w:t>homme d’acier </w:t>
      </w:r>
      <w:r w:rsidRPr="00320A86">
        <w:t>» sans scrupule</w:t>
      </w:r>
      <w:r>
        <w:t> </w:t>
      </w:r>
      <w:r>
        <w:rPr>
          <w:rStyle w:val="Appelnotedebasdep"/>
        </w:rPr>
        <w:footnoteReference w:id="654"/>
      </w:r>
      <w:r w:rsidRPr="00320A86">
        <w:t>. Un tel récit ne rési</w:t>
      </w:r>
      <w:r w:rsidRPr="00320A86">
        <w:t>s</w:t>
      </w:r>
      <w:r w:rsidRPr="00320A86">
        <w:t>te pas à l’observation des faits. Lénine avait pour un Empire compo</w:t>
      </w:r>
      <w:r w:rsidRPr="00320A86">
        <w:t>r</w:t>
      </w:r>
      <w:r w:rsidRPr="00320A86">
        <w:t>tant 100 millions de paysans sans terre et 3 à 10 millions d’ouvriers et a</w:t>
      </w:r>
      <w:r w:rsidRPr="00320A86">
        <w:t>s</w:t>
      </w:r>
      <w:r w:rsidRPr="00320A86">
        <w:t>similés, préconisé un programme anarcho-syndicaliste</w:t>
      </w:r>
      <w:r>
        <w:t> </w:t>
      </w:r>
      <w:r>
        <w:rPr>
          <w:rStyle w:val="Appelnotedebasdep"/>
        </w:rPr>
        <w:footnoteReference w:id="655"/>
      </w:r>
      <w:r w:rsidRPr="00320A86">
        <w:t>. Au pouvoir, il fit volte-face. Machiavélique, tenant pour torchon de papier son pr</w:t>
      </w:r>
      <w:r w:rsidRPr="00320A86">
        <w:t>o</w:t>
      </w:r>
      <w:r w:rsidRPr="00320A86">
        <w:t>jet conseilliste, il réalisa une hypercentralisation des pouvoirs aux mains de son parti</w:t>
      </w:r>
      <w:r>
        <w:t> </w:t>
      </w:r>
      <w:r>
        <w:rPr>
          <w:rStyle w:val="Appelnotedebasdep"/>
        </w:rPr>
        <w:footnoteReference w:id="656"/>
      </w:r>
      <w:r w:rsidRPr="00320A86">
        <w:t>, ce qui attira vers lui une énorme quantité d’arrivistes. En mars 1921, la répression de l’insurrection des marins de Cronstadt et des ouvriers de Petr</w:t>
      </w:r>
      <w:r w:rsidRPr="00320A86">
        <w:t>o</w:t>
      </w:r>
      <w:r w:rsidRPr="00320A86">
        <w:t>grad</w:t>
      </w:r>
      <w:r>
        <w:t> </w:t>
      </w:r>
      <w:r>
        <w:rPr>
          <w:rStyle w:val="Appelnotedebasdep"/>
        </w:rPr>
        <w:footnoteReference w:id="657"/>
      </w:r>
      <w:r w:rsidRPr="00320A86">
        <w:t xml:space="preserve"> (décidée par le X</w:t>
      </w:r>
      <w:r w:rsidRPr="00320A86">
        <w:rPr>
          <w:vertAlign w:val="superscript"/>
        </w:rPr>
        <w:t>e</w:t>
      </w:r>
      <w:r w:rsidRPr="00320A86">
        <w:t xml:space="preserve"> Congrès du </w:t>
      </w:r>
      <w:r w:rsidRPr="00320A86">
        <w:rPr>
          <w:smallCaps/>
        </w:rPr>
        <w:t>Pcus</w:t>
      </w:r>
      <w:r w:rsidRPr="00320A86">
        <w:t>, effectuée sous les ordres de Trotski et Toukha</w:t>
      </w:r>
      <w:r w:rsidRPr="00320A86">
        <w:t>t</w:t>
      </w:r>
      <w:r w:rsidRPr="00320A86">
        <w:t>chevski) finit de dissiper la confiance de leurs soutiens populaires envers les bo</w:t>
      </w:r>
      <w:r w:rsidRPr="00320A86">
        <w:t>l</w:t>
      </w:r>
      <w:r w:rsidRPr="00320A86">
        <w:t>cheviks. Dés avant le début de la maladie de Lénine, les élus des s</w:t>
      </w:r>
      <w:r w:rsidRPr="00320A86">
        <w:t>o</w:t>
      </w:r>
      <w:r w:rsidRPr="00320A86">
        <w:t>viets découvrent l’insignifiance de leur force face aux hommes du sy</w:t>
      </w:r>
      <w:r w:rsidRPr="00320A86">
        <w:t>s</w:t>
      </w:r>
      <w:r w:rsidRPr="00320A86">
        <w:t>tème institué par lui. En mars 1922 (à l’issue du XI</w:t>
      </w:r>
      <w:r w:rsidRPr="00320A86">
        <w:rPr>
          <w:vertAlign w:val="superscript"/>
        </w:rPr>
        <w:t>e</w:t>
      </w:r>
      <w:r w:rsidRPr="00320A86">
        <w:t xml:space="preserve"> congrès), Staline cumule le secrétariat général, les secrétariats du </w:t>
      </w:r>
      <w:r w:rsidRPr="00390EC8">
        <w:rPr>
          <w:i/>
        </w:rPr>
        <w:t>P</w:t>
      </w:r>
      <w:r w:rsidRPr="00390EC8">
        <w:rPr>
          <w:i/>
        </w:rPr>
        <w:t>o</w:t>
      </w:r>
      <w:r w:rsidRPr="00390EC8">
        <w:rPr>
          <w:i/>
        </w:rPr>
        <w:t>litburo</w:t>
      </w:r>
      <w:r w:rsidRPr="00320A86">
        <w:t>, du bureau d’organisation et d’une douzaine de comités du Pa</w:t>
      </w:r>
      <w:r w:rsidRPr="00320A86">
        <w:t>r</w:t>
      </w:r>
      <w:r w:rsidRPr="00320A86">
        <w:t>ti, et deux des commissariats (ministères) russes</w:t>
      </w:r>
      <w:r>
        <w:t> </w:t>
      </w:r>
      <w:r>
        <w:rPr>
          <w:rStyle w:val="Appelnotedebasdep"/>
        </w:rPr>
        <w:footnoteReference w:id="658"/>
      </w:r>
      <w:r w:rsidRPr="00320A86">
        <w:t>. Deux chiffres illustrent la radic</w:t>
      </w:r>
      <w:r w:rsidRPr="00320A86">
        <w:t>a</w:t>
      </w:r>
      <w:r w:rsidRPr="00320A86">
        <w:t>lité de la liquidation des bolcheviks eux-mêmes. Sur les 1966 dél</w:t>
      </w:r>
      <w:r w:rsidRPr="00320A86">
        <w:t>é</w:t>
      </w:r>
      <w:r w:rsidRPr="00320A86">
        <w:t>gués que compte en janvier 1934 le XVII</w:t>
      </w:r>
      <w:r w:rsidRPr="00320A86">
        <w:rPr>
          <w:vertAlign w:val="superscript"/>
        </w:rPr>
        <w:t>e</w:t>
      </w:r>
      <w:r w:rsidRPr="00320A86">
        <w:t xml:space="preserve"> congrès du Parti, tous les auteurs s’accordent à écrire qu’une soixantaine seul</w:t>
      </w:r>
      <w:r w:rsidRPr="00320A86">
        <w:t>e</w:t>
      </w:r>
      <w:r w:rsidRPr="00320A86">
        <w:t>ment survivra aux procès et aux purges lancés après l’assassinat de Kirov, et partic</w:t>
      </w:r>
      <w:r w:rsidRPr="00320A86">
        <w:t>i</w:t>
      </w:r>
      <w:r w:rsidRPr="00320A86">
        <w:t>peront au congrès suivant</w:t>
      </w:r>
      <w:r>
        <w:t> </w:t>
      </w:r>
      <w:r>
        <w:rPr>
          <w:rStyle w:val="Appelnotedebasdep"/>
        </w:rPr>
        <w:footnoteReference w:id="659"/>
      </w:r>
      <w:r w:rsidRPr="00320A86">
        <w:t>.</w:t>
      </w:r>
    </w:p>
    <w:p w14:paraId="56FF97F1" w14:textId="77777777" w:rsidR="00B01930" w:rsidRPr="00320A86" w:rsidRDefault="00B01930" w:rsidP="00B01930">
      <w:pPr>
        <w:spacing w:before="120" w:after="120"/>
        <w:jc w:val="both"/>
      </w:pPr>
      <w:r w:rsidRPr="00320A86">
        <w:t>Comment alors ne pas donner crédit à la thèse selon laquelle, face aux t</w:t>
      </w:r>
      <w:r w:rsidRPr="00320A86">
        <w:t>e</w:t>
      </w:r>
      <w:r w:rsidRPr="00320A86">
        <w:t>nants de l’ordre établi, les expériences conseillistes furent très mal préparées par leurs cadres politiques ? Les républiques de conseils ont très vite été confrontées à des pénuries de vivres et à des mouv</w:t>
      </w:r>
      <w:r w:rsidRPr="00320A86">
        <w:t>e</w:t>
      </w:r>
      <w:r w:rsidRPr="00320A86">
        <w:t>ments sociaux incontournables. L’impréparation des conseils est p</w:t>
      </w:r>
      <w:r w:rsidRPr="00320A86">
        <w:t>a</w:t>
      </w:r>
      <w:r w:rsidRPr="00320A86">
        <w:t>tente. La plupart d’entre eux n’ont réalisé avec les associations de paysans pauvres, avec celles des travailleurs non o</w:t>
      </w:r>
      <w:r w:rsidRPr="00320A86">
        <w:t>u</w:t>
      </w:r>
      <w:r w:rsidRPr="00320A86">
        <w:t>vriers des villes, et avec les comités et syndicats des forces armées ni programme co</w:t>
      </w:r>
      <w:r w:rsidRPr="00320A86">
        <w:t>m</w:t>
      </w:r>
      <w:r w:rsidRPr="00320A86">
        <w:t>mun ni front populaire. De gré ou de force, les premiers élus doivent très vite céder le pouvoir soit à leurs « ennemis de classe », soit aux partisans d’un pouvoir plébéien autoritaire entourés d’auxiliaires po</w:t>
      </w:r>
      <w:r w:rsidRPr="00320A86">
        <w:t>r</w:t>
      </w:r>
      <w:r w:rsidRPr="00320A86">
        <w:t>tés aux réquisitions dans les campagnes et aux expropriations dans les villes.</w:t>
      </w:r>
    </w:p>
    <w:p w14:paraId="2674E32D" w14:textId="77777777" w:rsidR="00B01930" w:rsidRPr="00320A86" w:rsidRDefault="00B01930" w:rsidP="00B01930">
      <w:pPr>
        <w:spacing w:before="120" w:after="120"/>
        <w:jc w:val="both"/>
      </w:pPr>
      <w:r w:rsidRPr="00320A86">
        <w:t>Ainsi, à seconde vue, pour expliquer la brièveté des républiques de conseils, une lecture moins individualiste de l’histoire s’impose. Leur brièveté ne procède pas de questions de personnalités. On soulignera, comme il a été fait ci-dessus pour la Russie, le caractère ultra-minoritaire de leur base et de leur programme sociopolitiques initiaux. Le cas de l’Italie est exemplaire à cet égard, même si l’issue paraît fort différente. Le droit de vote y avait été élargi en 1882 et 1912, passant des 2 % les plus riches des plus de 25 ans à tous les hommes de plus de 21 ans sachant lire et écrire, puis à la quasi-totalité des hommes de plus de 21 ans. Au lendemain de la Grande Guerre, jeunes ouvriers, mais aussi fils de paysans, d’artisans, d’employés et de petits-bourgeois démobilisés sont bien d</w:t>
      </w:r>
      <w:r w:rsidRPr="00320A86">
        <w:t>é</w:t>
      </w:r>
      <w:r w:rsidRPr="00320A86">
        <w:t>cidés à utiliser tous les moyens pour en découdre avec les élites traditionnelles. La cruauté des cond</w:t>
      </w:r>
      <w:r w:rsidRPr="00320A86">
        <w:t>i</w:t>
      </w:r>
      <w:r w:rsidRPr="00320A86">
        <w:t>tions de survie partagées pendant les combats, la violence sans co</w:t>
      </w:r>
      <w:r w:rsidRPr="00320A86">
        <w:t>m</w:t>
      </w:r>
      <w:r w:rsidRPr="00320A86">
        <w:t>pensation du chômage accompagnant la reconversion de l’économie, l’indifférence enfin des gouvernements français et britannique vis-à-vis des pr</w:t>
      </w:r>
      <w:r w:rsidRPr="00320A86">
        <w:t>é</w:t>
      </w:r>
      <w:r w:rsidRPr="00320A86">
        <w:t>tentions italiennes dans le dépècement de l’empire austro-hongrois suscitent une agitation énorme.</w:t>
      </w:r>
    </w:p>
    <w:p w14:paraId="6D3BFB07" w14:textId="77777777" w:rsidR="00B01930" w:rsidRPr="00320A86" w:rsidRDefault="00B01930" w:rsidP="00B01930">
      <w:pPr>
        <w:spacing w:before="120" w:after="120"/>
        <w:jc w:val="both"/>
      </w:pPr>
      <w:r w:rsidRPr="00320A86">
        <w:t>Un appétit de camaraderie brutale et de profonds sentiments d’amertume animent d’innombrables anciens combattants en diff</w:t>
      </w:r>
      <w:r w:rsidRPr="00320A86">
        <w:t>i</w:t>
      </w:r>
      <w:r w:rsidRPr="00320A86">
        <w:t>cultés de réinsertion. Or dans les organisations se réclamant du soci</w:t>
      </w:r>
      <w:r w:rsidRPr="00320A86">
        <w:t>a</w:t>
      </w:r>
      <w:r w:rsidRPr="00320A86">
        <w:t>lisme prévaut un ouvriérisme de n</w:t>
      </w:r>
      <w:r w:rsidRPr="00320A86">
        <w:t>a</w:t>
      </w:r>
      <w:r w:rsidRPr="00320A86">
        <w:t>ture à rebuter les démobilisés. La plupart des syndicalistes, militants et intelle</w:t>
      </w:r>
      <w:r w:rsidRPr="00320A86">
        <w:t>c</w:t>
      </w:r>
      <w:r w:rsidRPr="00320A86">
        <w:t>tuels considèrent avec mépris le monde rural et celui des employés. De surcroît, s’il y a un peu plus de jeunes qu’ailleurs parmi les candidats du Parti socialiste italien aux élections de 1919, peu d’entre eux étaient montés au front et certains avaient déserté par pacifisme. Ne serait-ce qu’avec et vis-à-vis des paysans pauvres, les organisations socialistes ou révolutionna</w:t>
      </w:r>
      <w:r w:rsidRPr="00320A86">
        <w:t>i</w:t>
      </w:r>
      <w:r w:rsidRPr="00320A86">
        <w:t>res n’ont élaboré aucune pos</w:t>
      </w:r>
      <w:r w:rsidRPr="00320A86">
        <w:t>i</w:t>
      </w:r>
      <w:r w:rsidRPr="00320A86">
        <w:t>tion commune</w:t>
      </w:r>
      <w:r>
        <w:t> </w:t>
      </w:r>
      <w:r>
        <w:rPr>
          <w:rStyle w:val="Appelnotedebasdep"/>
        </w:rPr>
        <w:footnoteReference w:id="660"/>
      </w:r>
      <w:r w:rsidRPr="00320A86">
        <w:t>. Difficile de s’identifier à elles et d’adhérer à leur programme. Pourquoi voterait-on, pourquoi marcherait-on avec elles ? Les anciens comba</w:t>
      </w:r>
      <w:r w:rsidRPr="00320A86">
        <w:t>t</w:t>
      </w:r>
      <w:r w:rsidRPr="00320A86">
        <w:t>tants vont endosser en masse l’uniforme des associations fascistes.</w:t>
      </w:r>
    </w:p>
    <w:p w14:paraId="311A38E6" w14:textId="77777777" w:rsidR="00B01930" w:rsidRPr="00320A86" w:rsidRDefault="00B01930" w:rsidP="00B01930">
      <w:pPr>
        <w:spacing w:before="120" w:after="120"/>
        <w:jc w:val="both"/>
      </w:pPr>
      <w:r w:rsidRPr="00320A86">
        <w:t>L’ampleur et la puissance des émotions mobilisées par son parti f</w:t>
      </w:r>
      <w:r w:rsidRPr="00320A86">
        <w:t>e</w:t>
      </w:r>
      <w:r w:rsidRPr="00320A86">
        <w:t>ront de 1918 à 1943 la force d’un Mussolini. Dès 1924, il aura obtenu tous les pouvoirs. On sourit en apprenant qu’en 1926 ce Duce van</w:t>
      </w:r>
      <w:r w:rsidRPr="00320A86">
        <w:t>i</w:t>
      </w:r>
      <w:r w:rsidRPr="00320A86">
        <w:t>teux fit inscrire dans le Décal</w:t>
      </w:r>
      <w:r w:rsidRPr="00320A86">
        <w:t>o</w:t>
      </w:r>
      <w:r w:rsidRPr="00320A86">
        <w:t>gue du milicien fasciste que « </w:t>
      </w:r>
      <w:r w:rsidRPr="00390EC8">
        <w:rPr>
          <w:i/>
        </w:rPr>
        <w:t>Mussolini (avait) toujours raison </w:t>
      </w:r>
      <w:r w:rsidRPr="00320A86">
        <w:t>». On se rappe</w:t>
      </w:r>
      <w:r w:rsidRPr="00320A86">
        <w:t>l</w:t>
      </w:r>
      <w:r w:rsidRPr="00320A86">
        <w:t>le vaguement que c’était un orateur adulé des foules et que, fils d’une institutrice et d’un forgeron, ancien instituteur lui-même et cassé pour agitation révol</w:t>
      </w:r>
      <w:r w:rsidRPr="00320A86">
        <w:t>u</w:t>
      </w:r>
      <w:r w:rsidRPr="00320A86">
        <w:t>tionna</w:t>
      </w:r>
      <w:r w:rsidRPr="00320A86">
        <w:t>i</w:t>
      </w:r>
      <w:r w:rsidRPr="00320A86">
        <w:t xml:space="preserve">re, il fut porté à 27 ans fin 1912 à la direction de l’Avanti ! principal journal du parti socialiste. Il sut en tripler l’audience avant d’être démissionné fin 1914. Mais l’on oublie que le </w:t>
      </w:r>
      <w:r w:rsidRPr="00320A86">
        <w:rPr>
          <w:smallCaps/>
        </w:rPr>
        <w:t>Psi</w:t>
      </w:r>
      <w:r w:rsidRPr="00320A86">
        <w:t xml:space="preserve"> n’était auc</w:t>
      </w:r>
      <w:r w:rsidRPr="00320A86">
        <w:t>u</w:t>
      </w:r>
      <w:r w:rsidRPr="00320A86">
        <w:t>nement un parti de masse : il comptait 58 000 adhérents</w:t>
      </w:r>
      <w:r>
        <w:t> </w:t>
      </w:r>
      <w:r>
        <w:rPr>
          <w:rStyle w:val="Appelnotedebasdep"/>
        </w:rPr>
        <w:footnoteReference w:id="661"/>
      </w:r>
      <w:r w:rsidRPr="00320A86">
        <w:t>, tandis que les travailleurs de la terre étaient organisés en fédérations rasse</w:t>
      </w:r>
      <w:r w:rsidRPr="00320A86">
        <w:t>m</w:t>
      </w:r>
      <w:r w:rsidRPr="00320A86">
        <w:t xml:space="preserve">blant 500 000 personnes. On oublie que Mussolini aura très vite fait du </w:t>
      </w:r>
      <w:r w:rsidRPr="00390EC8">
        <w:rPr>
          <w:i/>
        </w:rPr>
        <w:t>P</w:t>
      </w:r>
      <w:r w:rsidRPr="00390EC8">
        <w:rPr>
          <w:i/>
        </w:rPr>
        <w:t>o</w:t>
      </w:r>
      <w:r w:rsidRPr="00390EC8">
        <w:rPr>
          <w:i/>
        </w:rPr>
        <w:t>polo d’Italia</w:t>
      </w:r>
      <w:r w:rsidRPr="00320A86">
        <w:t xml:space="preserve"> (placé sous les auspices de Napoléon Bonaparte et de Blanqui) un journal beaucoup plus lu qu’Avanti ! Et que, hostile à l’Autriche-Hongrie, il est de ceux qui entraînèrent l’Italie dans la guerre aux côtés des A</w:t>
      </w:r>
      <w:r w:rsidRPr="00320A86">
        <w:t>l</w:t>
      </w:r>
      <w:r w:rsidRPr="00320A86">
        <w:t>liés en mai 1915. La classe politique italienne fit en sorte de préserver jusqu’en 1924 un profond décalage entre son pays et sa représentation parlementaire. Elle réussit à tenir Mussolini et les anciens combattants écartés du pouvoir jusqu’en octobre 1922, mais pas davantage. Arborant des chemises noires comme aup</w:t>
      </w:r>
      <w:r w:rsidRPr="00320A86">
        <w:t>a</w:t>
      </w:r>
      <w:r w:rsidRPr="00320A86">
        <w:t>ravant les paysans travailleurs anarchistes de Romagne et rassemblés par quatre aventuriers proches de Mussolini, ses partisans avaient fait de quatre foules en marche vers Rome une irréfutable demande de rejet des politiciens en place. À 37 ans, Mussolini reçut alors du roi Victor Emmanuel</w:t>
      </w:r>
      <w:r>
        <w:t> </w:t>
      </w:r>
      <w:r w:rsidRPr="00320A86">
        <w:t>III la présidence du conseil (avec pouvoirs exceptionnels), par télégramme. Investi du pouvoir sans coup férir, Mussolini pria les aventuriers antiparlementaires de convertir leur rêve de coup d’État en programme de défilé pour célébrer la formation du nouveau gouve</w:t>
      </w:r>
      <w:r w:rsidRPr="00320A86">
        <w:t>r</w:t>
      </w:r>
      <w:r w:rsidRPr="00320A86">
        <w:t>nement</w:t>
      </w:r>
      <w:r>
        <w:t> </w:t>
      </w:r>
      <w:r>
        <w:rPr>
          <w:rStyle w:val="Appelnotedebasdep"/>
        </w:rPr>
        <w:footnoteReference w:id="662"/>
      </w:r>
      <w:r w:rsidRPr="00320A86">
        <w:t>. Il attendra 1924 pour transformer sa popularité en major</w:t>
      </w:r>
      <w:r w:rsidRPr="00320A86">
        <w:t>i</w:t>
      </w:r>
      <w:r w:rsidRPr="00320A86">
        <w:t>té parlementaire. Il s’en servira pour disloquer les partis et pour juxtap</w:t>
      </w:r>
      <w:r w:rsidRPr="00320A86">
        <w:t>o</w:t>
      </w:r>
      <w:r w:rsidRPr="00320A86">
        <w:t>ser un appareil d’État partisan à l’État administratif. De 58 % en 1924, sa majorité à la Chambre passera à 85 en 1929, 92 en 1934, et 98 % en 1939</w:t>
      </w:r>
      <w:r>
        <w:t> </w:t>
      </w:r>
      <w:r>
        <w:rPr>
          <w:rStyle w:val="Appelnotedebasdep"/>
        </w:rPr>
        <w:footnoteReference w:id="663"/>
      </w:r>
      <w:r w:rsidRPr="00320A86">
        <w:t>.</w:t>
      </w:r>
    </w:p>
    <w:p w14:paraId="5605A50C" w14:textId="77777777" w:rsidR="00B01930" w:rsidRPr="00320A86" w:rsidRDefault="00B01930" w:rsidP="00B01930">
      <w:pPr>
        <w:spacing w:before="120" w:after="120"/>
        <w:jc w:val="both"/>
      </w:pPr>
      <w:r w:rsidRPr="00320A86">
        <w:t>On oublie de même que le maréchal président Hindenburg, qui méprisait en Hitler un trublion et un petit caporal, avait observé que les socialistes renve</w:t>
      </w:r>
      <w:r w:rsidRPr="00320A86">
        <w:t>r</w:t>
      </w:r>
      <w:r w:rsidRPr="00320A86">
        <w:t>saient eux-mêmes (le 27 mars 1930) le chancelier Muller, qu’il avait choisi parmi eux, cependant que les nazis travai</w:t>
      </w:r>
      <w:r w:rsidRPr="00320A86">
        <w:t>l</w:t>
      </w:r>
      <w:r w:rsidRPr="00320A86">
        <w:t>laient avec méthode</w:t>
      </w:r>
      <w:r>
        <w:t> </w:t>
      </w:r>
      <w:r>
        <w:rPr>
          <w:rStyle w:val="Appelnotedebasdep"/>
        </w:rPr>
        <w:footnoteReference w:id="664"/>
      </w:r>
      <w:r w:rsidRPr="00320A86">
        <w:t xml:space="preserve"> à recueillir le vote protestataire des camp</w:t>
      </w:r>
      <w:r w:rsidRPr="00320A86">
        <w:t>a</w:t>
      </w:r>
      <w:r w:rsidRPr="00320A86">
        <w:t>gnes en crise. Réélu sans gloire grâce aux socialistes et aux centristes pr</w:t>
      </w:r>
      <w:r w:rsidRPr="00320A86">
        <w:t>é</w:t>
      </w:r>
      <w:r w:rsidRPr="00320A86">
        <w:t>sident contre Hitler en 1931, Hindenburg finira le 30 janvier 1933 par le nommer chancelier, prenant acte des majorités populistes issues des élections aux 6</w:t>
      </w:r>
      <w:r w:rsidRPr="00320A86">
        <w:rPr>
          <w:vertAlign w:val="superscript"/>
        </w:rPr>
        <w:t>e</w:t>
      </w:r>
      <w:r w:rsidRPr="00320A86">
        <w:t xml:space="preserve"> et 7</w:t>
      </w:r>
      <w:r w:rsidRPr="00320A86">
        <w:rPr>
          <w:vertAlign w:val="superscript"/>
        </w:rPr>
        <w:t>e</w:t>
      </w:r>
      <w:r w:rsidRPr="00320A86">
        <w:t xml:space="preserve"> Parlement, en 1931 et 1932. Hitler profita auss</w:t>
      </w:r>
      <w:r w:rsidRPr="00320A86">
        <w:t>i</w:t>
      </w:r>
      <w:r w:rsidRPr="00320A86">
        <w:t xml:space="preserve">tôt de ce pouvoir pour réhabiliter ses milices hors la loi : </w:t>
      </w:r>
      <w:r w:rsidRPr="00390EC8">
        <w:rPr>
          <w:i/>
        </w:rPr>
        <w:t>S</w:t>
      </w:r>
      <w:r w:rsidRPr="00390EC8">
        <w:rPr>
          <w:i/>
          <w:smallCaps/>
        </w:rPr>
        <w:t>a</w:t>
      </w:r>
      <w:r w:rsidRPr="00320A86">
        <w:t xml:space="preserve"> et </w:t>
      </w:r>
      <w:r w:rsidRPr="00390EC8">
        <w:rPr>
          <w:i/>
          <w:smallCaps/>
        </w:rPr>
        <w:t>Hj</w:t>
      </w:r>
      <w:r w:rsidRPr="00320A86">
        <w:t>. La popularité du « </w:t>
      </w:r>
      <w:r w:rsidRPr="00390EC8">
        <w:rPr>
          <w:i/>
        </w:rPr>
        <w:t>parti national socialiste allemand des travai</w:t>
      </w:r>
      <w:r w:rsidRPr="00390EC8">
        <w:rPr>
          <w:i/>
        </w:rPr>
        <w:t>l</w:t>
      </w:r>
      <w:r w:rsidRPr="00390EC8">
        <w:rPr>
          <w:i/>
        </w:rPr>
        <w:t>leurs </w:t>
      </w:r>
      <w:r w:rsidRPr="00320A86">
        <w:t>» et de ses alliés lui assura le 5 mars 1933 une solide majorité dans le 8</w:t>
      </w:r>
      <w:r w:rsidRPr="00320A86">
        <w:rPr>
          <w:vertAlign w:val="superscript"/>
        </w:rPr>
        <w:t>e</w:t>
      </w:r>
      <w:r w:rsidRPr="00320A86">
        <w:t xml:space="preserve"> </w:t>
      </w:r>
      <w:r w:rsidRPr="00390EC8">
        <w:rPr>
          <w:i/>
        </w:rPr>
        <w:t>Reichstag</w:t>
      </w:r>
      <w:r w:rsidRPr="00320A86">
        <w:t>. Après quoi Hitler rasse</w:t>
      </w:r>
      <w:r w:rsidRPr="00320A86">
        <w:t>m</w:t>
      </w:r>
      <w:r w:rsidRPr="00320A86">
        <w:t>bla tous les pouvoirs en terrifiant son propre parti et la classe politique. Non seulement il fusionna pr</w:t>
      </w:r>
      <w:r w:rsidRPr="00320A86">
        <w:t>é</w:t>
      </w:r>
      <w:r w:rsidRPr="00320A86">
        <w:t xml:space="preserve">sidence et chancellerie, supprima les </w:t>
      </w:r>
      <w:r w:rsidRPr="00390EC8">
        <w:rPr>
          <w:i/>
        </w:rPr>
        <w:t>Länder</w:t>
      </w:r>
      <w:r w:rsidRPr="00320A86">
        <w:t xml:space="preserve"> (30 janvier 1934) et le Conseil d’État (14 février 1934), mais surtout lors de la </w:t>
      </w:r>
      <w:r w:rsidRPr="00390EC8">
        <w:rPr>
          <w:i/>
        </w:rPr>
        <w:t>Nuit des longs couteaux</w:t>
      </w:r>
      <w:r w:rsidRPr="00320A86">
        <w:t xml:space="preserve"> (30 juin 1934) il fit massacrer non seulement les princ</w:t>
      </w:r>
      <w:r w:rsidRPr="00320A86">
        <w:t>i</w:t>
      </w:r>
      <w:r w:rsidRPr="00320A86">
        <w:t>paux membres des S</w:t>
      </w:r>
      <w:r w:rsidRPr="00320A86">
        <w:rPr>
          <w:smallCaps/>
        </w:rPr>
        <w:t>a,</w:t>
      </w:r>
      <w:r w:rsidRPr="00320A86">
        <w:t xml:space="preserve"> mais encore le chef de l’organisation du parti nazi (Gr. Strasser) et, entre autres non-nazis, son prédécesseur à la chance</w:t>
      </w:r>
      <w:r w:rsidRPr="00320A86">
        <w:t>l</w:t>
      </w:r>
      <w:r w:rsidRPr="00320A86">
        <w:t>lerie du Reich, le général von Schleicher.</w:t>
      </w:r>
    </w:p>
    <w:p w14:paraId="3199A0DE" w14:textId="77777777" w:rsidR="00B01930" w:rsidRPr="00320A86" w:rsidRDefault="00B01930" w:rsidP="00B01930">
      <w:pPr>
        <w:spacing w:before="120" w:after="120"/>
        <w:jc w:val="both"/>
        <w:rPr>
          <w:szCs w:val="28"/>
        </w:rPr>
      </w:pPr>
      <w:r w:rsidRPr="00320A86">
        <w:t>Il a paru opportun de faire un peu plus qu’allusion à la naissance des États autoritaires, voire totalitaires, qui virent le jour entre les deux guerres mondiales. Mais puisque l’on traite ici de l’apparition et du rapide reflux des républiques de conseils, il serait hors de propos de s’attarder davantage sur l’apparition et la longévité des dictatures. Aussi, revenant au cours de notre propos initial, passe-t-on maintenant à l’examen d</w:t>
      </w:r>
      <w:r w:rsidRPr="00320A86">
        <w:rPr>
          <w:szCs w:val="28"/>
        </w:rPr>
        <w:t>e résurgences récentes du conseillisme.</w:t>
      </w:r>
    </w:p>
    <w:p w14:paraId="6DBD2084" w14:textId="77777777" w:rsidR="00B01930" w:rsidRPr="00320A86" w:rsidRDefault="00B01930" w:rsidP="00B01930">
      <w:pPr>
        <w:spacing w:before="120" w:after="120"/>
        <w:jc w:val="both"/>
        <w:rPr>
          <w:szCs w:val="28"/>
        </w:rPr>
      </w:pPr>
      <w:r>
        <w:rPr>
          <w:szCs w:val="28"/>
        </w:rPr>
        <w:br w:type="page"/>
      </w:r>
    </w:p>
    <w:p w14:paraId="0B9546D1" w14:textId="77777777" w:rsidR="00B01930" w:rsidRPr="00320A86" w:rsidRDefault="00B01930" w:rsidP="00B01930">
      <w:pPr>
        <w:pStyle w:val="planche"/>
      </w:pPr>
      <w:bookmarkStart w:id="191" w:name="Analyser_idees_pol_pt_3_texte_05_III"/>
      <w:r w:rsidRPr="00320A86">
        <w:t>III. Caractères conseillistes du camp républicain</w:t>
      </w:r>
      <w:r>
        <w:br/>
      </w:r>
      <w:r w:rsidRPr="00320A86">
        <w:t>dans la Guerre d’Espagne (1936-1939)</w:t>
      </w:r>
    </w:p>
    <w:bookmarkEnd w:id="191"/>
    <w:p w14:paraId="78CA71E6" w14:textId="77777777" w:rsidR="00B01930" w:rsidRDefault="00B01930" w:rsidP="00B01930">
      <w:pPr>
        <w:spacing w:before="120" w:after="120"/>
        <w:jc w:val="both"/>
      </w:pPr>
    </w:p>
    <w:p w14:paraId="09808AAE"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2354EE15" w14:textId="77777777" w:rsidR="00B01930" w:rsidRPr="00320A86" w:rsidRDefault="00B01930" w:rsidP="00B01930">
      <w:pPr>
        <w:spacing w:before="120" w:after="120"/>
        <w:jc w:val="both"/>
      </w:pPr>
      <w:r w:rsidRPr="00320A86">
        <w:t>Bien des insurrections conseillistes sont à nouveau observables de 1934 à 1939 en Europe. Le format de notre texte limitant la portée de l’étude, on s’attachera ici au seul cas de l’Espagne.</w:t>
      </w:r>
    </w:p>
    <w:p w14:paraId="0C3E704D" w14:textId="77777777" w:rsidR="00B01930" w:rsidRPr="00320A86" w:rsidRDefault="00B01930" w:rsidP="00B01930">
      <w:pPr>
        <w:spacing w:before="120" w:after="120"/>
        <w:jc w:val="both"/>
      </w:pPr>
      <w:r w:rsidRPr="00320A86">
        <w:t>D’abord il convient de rappeler que la grande majorité des 30 millions d’habitants des années trente y vivaient pauvrement de l’agriculture, et dans un pays hiérarchisé avec arrogance par une mi</w:t>
      </w:r>
      <w:r w:rsidRPr="00320A86">
        <w:t>n</w:t>
      </w:r>
      <w:r w:rsidRPr="00320A86">
        <w:t xml:space="preserve">ce oligarchie et des </w:t>
      </w:r>
      <w:r w:rsidRPr="00390EC8">
        <w:rPr>
          <w:i/>
        </w:rPr>
        <w:t>señoritos</w:t>
      </w:r>
      <w:r w:rsidRPr="00320A86">
        <w:t xml:space="preserve"> locaux. De rappeler aussi que les hisp</w:t>
      </w:r>
      <w:r w:rsidRPr="00320A86">
        <w:t>a</w:t>
      </w:r>
      <w:r w:rsidRPr="00320A86">
        <w:t xml:space="preserve">nophones donnent au mot </w:t>
      </w:r>
      <w:r w:rsidRPr="00390EC8">
        <w:rPr>
          <w:i/>
        </w:rPr>
        <w:t>Pueblo</w:t>
      </w:r>
      <w:r w:rsidRPr="00320A86">
        <w:t xml:space="preserve"> un sens ambigu, car il désigne soit le Peuple (</w:t>
      </w:r>
      <w:r w:rsidRPr="00390EC8">
        <w:rPr>
          <w:i/>
        </w:rPr>
        <w:t>el pueblo… unido</w:t>
      </w:r>
      <w:r w:rsidRPr="00320A86">
        <w:t>…), soit les villages, le</w:t>
      </w:r>
      <w:r w:rsidRPr="00320A86">
        <w:t>s</w:t>
      </w:r>
      <w:r w:rsidRPr="00320A86">
        <w:t>quels sont autant de petits pays. De rappeler que sous le couvert de la mona</w:t>
      </w:r>
      <w:r w:rsidRPr="00320A86">
        <w:t>r</w:t>
      </w:r>
      <w:r w:rsidRPr="00320A86">
        <w:t>chie, un premier général, Primo de Rivera, avait exercé une dictature militaire de 1923 à 1930, avant que ne soit instituée la République qui connut de 1931 à 1936 un gouvernement de coalition dirigé par le républicain de gauche Azaña puis, après les élections de 1933, un gouvernement de droite. De rappeler enfin qu’en 1934 la droite avait fait réprimer par l’armée du Maroc espagnol confiée au général Franco le soulèv</w:t>
      </w:r>
      <w:r w:rsidRPr="00320A86">
        <w:t>e</w:t>
      </w:r>
      <w:r w:rsidRPr="00320A86">
        <w:t>ment ouvrier issu dans les Asturies d’un mot d’ordre de grève génér</w:t>
      </w:r>
      <w:r w:rsidRPr="00320A86">
        <w:t>a</w:t>
      </w:r>
      <w:r w:rsidRPr="00320A86">
        <w:t>le adopté plus ou moins largement selon les régions</w:t>
      </w:r>
      <w:r>
        <w:t> </w:t>
      </w:r>
      <w:r>
        <w:rPr>
          <w:rStyle w:val="Appelnotedebasdep"/>
        </w:rPr>
        <w:footnoteReference w:id="665"/>
      </w:r>
      <w:r w:rsidRPr="00320A86">
        <w:t>. Jeté en pr</w:t>
      </w:r>
      <w:r w:rsidRPr="00320A86">
        <w:t>i</w:t>
      </w:r>
      <w:r w:rsidRPr="00320A86">
        <w:t>son, l’ancien ministre socialiste du travail Largo Caballero va tourner le dos au réformisme. En acceptant de fusionner ses propres organis</w:t>
      </w:r>
      <w:r w:rsidRPr="00320A86">
        <w:t>a</w:t>
      </w:r>
      <w:r w:rsidRPr="00320A86">
        <w:t>tions avec celles du Parti socialiste, le petit Parti communiste va réu</w:t>
      </w:r>
      <w:r w:rsidRPr="00320A86">
        <w:t>s</w:t>
      </w:r>
      <w:r w:rsidRPr="00320A86">
        <w:t>sir à prendre la main sur la principale centrale syndicale, l’unions g</w:t>
      </w:r>
      <w:r w:rsidRPr="00320A86">
        <w:t>é</w:t>
      </w:r>
      <w:r w:rsidRPr="00320A86">
        <w:t>nérale du Travail (</w:t>
      </w:r>
      <w:r w:rsidRPr="00320A86">
        <w:rPr>
          <w:smallCaps/>
        </w:rPr>
        <w:t>Ugt</w:t>
      </w:r>
      <w:r w:rsidRPr="00320A86">
        <w:t>) et sur le mouvement de jeunesse du Parti s</w:t>
      </w:r>
      <w:r w:rsidRPr="00320A86">
        <w:t>o</w:t>
      </w:r>
      <w:r w:rsidRPr="00320A86">
        <w:t>cialiste</w:t>
      </w:r>
      <w:r>
        <w:t> </w:t>
      </w:r>
      <w:r>
        <w:rPr>
          <w:rStyle w:val="Appelnotedebasdep"/>
        </w:rPr>
        <w:footnoteReference w:id="666"/>
      </w:r>
      <w:r w:rsidRPr="00320A86">
        <w:t> ; tandis que les trotskystes se ra</w:t>
      </w:r>
      <w:r w:rsidRPr="00320A86">
        <w:t>p</w:t>
      </w:r>
      <w:r w:rsidRPr="00320A86">
        <w:t xml:space="preserve">prochent des anarchistes de l’union syndicale </w:t>
      </w:r>
      <w:r w:rsidRPr="00320A86">
        <w:rPr>
          <w:smallCaps/>
        </w:rPr>
        <w:t>Cnt-Fai</w:t>
      </w:r>
      <w:r>
        <w:rPr>
          <w:smallCaps/>
        </w:rPr>
        <w:t> </w:t>
      </w:r>
      <w:r>
        <w:rPr>
          <w:rStyle w:val="Appelnotedebasdep"/>
          <w:smallCaps/>
        </w:rPr>
        <w:footnoteReference w:id="667"/>
      </w:r>
      <w:r w:rsidRPr="00320A86">
        <w:t xml:space="preserve"> et du bloc ouvrier et paysan tentés par l’action directe et l’antiparlementarisme pour former le </w:t>
      </w:r>
      <w:r w:rsidRPr="00320A86">
        <w:rPr>
          <w:smallCaps/>
        </w:rPr>
        <w:t>Poum</w:t>
      </w:r>
      <w:r>
        <w:rPr>
          <w:smallCaps/>
        </w:rPr>
        <w:t> </w:t>
      </w:r>
      <w:r>
        <w:rPr>
          <w:rStyle w:val="Appelnotedebasdep"/>
          <w:smallCaps/>
        </w:rPr>
        <w:footnoteReference w:id="668"/>
      </w:r>
      <w:r w:rsidRPr="00320A86">
        <w:t>.</w:t>
      </w:r>
    </w:p>
    <w:p w14:paraId="5266F730" w14:textId="77777777" w:rsidR="00B01930" w:rsidRPr="00320A86" w:rsidRDefault="00B01930" w:rsidP="00B01930">
      <w:pPr>
        <w:spacing w:before="120" w:after="120"/>
        <w:jc w:val="both"/>
      </w:pPr>
      <w:r w:rsidRPr="00320A86">
        <w:t>Les élections de février 1936 donnent la grande majorité du Parl</w:t>
      </w:r>
      <w:r w:rsidRPr="00320A86">
        <w:t>e</w:t>
      </w:r>
      <w:r w:rsidRPr="00320A86">
        <w:t>ment esp</w:t>
      </w:r>
      <w:r w:rsidRPr="00320A86">
        <w:t>a</w:t>
      </w:r>
      <w:r w:rsidRPr="00320A86">
        <w:t>gnol à un Front populaire. Azaña (Gauche républicaine) prend la tête d’un go</w:t>
      </w:r>
      <w:r w:rsidRPr="00320A86">
        <w:t>u</w:t>
      </w:r>
      <w:r w:rsidRPr="00320A86">
        <w:t>vernement que les socialistes soutiennent sans y participer. Il prépare l’amnistie, la libération, l’indemnisation et la r</w:t>
      </w:r>
      <w:r w:rsidRPr="00320A86">
        <w:t>é</w:t>
      </w:r>
      <w:r w:rsidRPr="00320A86">
        <w:t>intégration des 30 000 prisonniers détenus depuis les insurrections ouvrières de 1934 ; il annonce une réforme agraire ; et il destitue et limoge aux Canaries le chef d’état-major des armées, Franco. Il o</w:t>
      </w:r>
      <w:r w:rsidRPr="00320A86">
        <w:t>b</w:t>
      </w:r>
      <w:r w:rsidRPr="00320A86">
        <w:t>tiendra en mai la présidence de la République. Mais d’ores et déjà des foules de manifestants avaient ouvert de force certaines prisons et des paysans avaient o</w:t>
      </w:r>
      <w:r w:rsidRPr="00320A86">
        <w:t>c</w:t>
      </w:r>
      <w:r w:rsidRPr="00320A86">
        <w:t>cupé sans titre de grands domaines fonciers. L. Caballero dénonce le réformisme prudent et réclame sans les obt</w:t>
      </w:r>
      <w:r w:rsidRPr="00320A86">
        <w:t>e</w:t>
      </w:r>
      <w:r w:rsidRPr="00320A86">
        <w:t>nir des armes pour les travailleurs, quitte à être désavoué par le Parti socialiste. De février jusqu’en octobre 1936 (date de livra</w:t>
      </w:r>
      <w:r w:rsidRPr="00320A86">
        <w:t>i</w:t>
      </w:r>
      <w:r w:rsidRPr="00320A86">
        <w:t>son des premières armes et de l’arrivée de cadres d’</w:t>
      </w:r>
      <w:r w:rsidRPr="00320A86">
        <w:rPr>
          <w:smallCaps/>
        </w:rPr>
        <w:t>Urss</w:t>
      </w:r>
      <w:r w:rsidRPr="00320A86">
        <w:t>), les salariés des gra</w:t>
      </w:r>
      <w:r w:rsidRPr="00320A86">
        <w:t>n</w:t>
      </w:r>
      <w:r w:rsidRPr="00320A86">
        <w:t>des entreprises comme les habitants pauvres du monde rural fragmentent les pouvoirs de l’État républicain en instituant des com</w:t>
      </w:r>
      <w:r w:rsidRPr="00320A86">
        <w:t>i</w:t>
      </w:r>
      <w:r w:rsidRPr="00320A86">
        <w:t>tés, des conseils et toutes sortes d’organes ; y compris des groupes armés destinés à « </w:t>
      </w:r>
      <w:r w:rsidRPr="00163497">
        <w:rPr>
          <w:i/>
        </w:rPr>
        <w:t>mettre hors d’état de nuire </w:t>
      </w:r>
      <w:r w:rsidRPr="00320A86">
        <w:t>» les représentants de l’ordre ancien. Cette résurgence des pratiques d’un « </w:t>
      </w:r>
      <w:r w:rsidRPr="00163497">
        <w:rPr>
          <w:i/>
        </w:rPr>
        <w:t>communisme libertaire </w:t>
      </w:r>
      <w:r w:rsidRPr="00320A86">
        <w:t>»</w:t>
      </w:r>
      <w:r>
        <w:t> </w:t>
      </w:r>
      <w:r>
        <w:rPr>
          <w:rStyle w:val="Appelnotedebasdep"/>
        </w:rPr>
        <w:footnoteReference w:id="669"/>
      </w:r>
      <w:r w:rsidRPr="00320A86">
        <w:t xml:space="preserve"> s’appuie rarement sur des comités de soldats</w:t>
      </w:r>
      <w:r>
        <w:t> </w:t>
      </w:r>
      <w:r>
        <w:rPr>
          <w:rStyle w:val="Appelnotedebasdep"/>
        </w:rPr>
        <w:footnoteReference w:id="670"/>
      </w:r>
      <w:r w:rsidRPr="00320A86">
        <w:t>. L’anarcho-syndicalisme a momentanément joué un rôle considérable. Créée en 1927 pour animer clandestinement et à sa m</w:t>
      </w:r>
      <w:r w:rsidRPr="00320A86">
        <w:t>a</w:t>
      </w:r>
      <w:r w:rsidRPr="00320A86">
        <w:t xml:space="preserve">nière le mouvement ouvrier, la </w:t>
      </w:r>
      <w:r w:rsidRPr="00320A86">
        <w:rPr>
          <w:smallCaps/>
        </w:rPr>
        <w:t>Fai</w:t>
      </w:r>
      <w:r w:rsidRPr="00320A86">
        <w:t xml:space="preserve"> a réussi à faire de la </w:t>
      </w:r>
      <w:r w:rsidRPr="00320A86">
        <w:rPr>
          <w:smallCaps/>
        </w:rPr>
        <w:t>Cnt</w:t>
      </w:r>
      <w:r w:rsidRPr="00320A86">
        <w:t xml:space="preserve"> une force syndicale importante, rivale de l’</w:t>
      </w:r>
      <w:r w:rsidRPr="00320A86">
        <w:rPr>
          <w:smallCaps/>
        </w:rPr>
        <w:t>Ugt</w:t>
      </w:r>
      <w:r w:rsidRPr="00320A86">
        <w:t xml:space="preserve"> en C</w:t>
      </w:r>
      <w:r w:rsidRPr="00320A86">
        <w:t>a</w:t>
      </w:r>
      <w:r w:rsidRPr="00320A86">
        <w:t>talogne et en Andalousie sinon dans les régions minières et les principales villes.</w:t>
      </w:r>
    </w:p>
    <w:p w14:paraId="5325D5A3" w14:textId="77777777" w:rsidR="00B01930" w:rsidRPr="00320A86" w:rsidRDefault="00B01930" w:rsidP="00B01930">
      <w:pPr>
        <w:spacing w:before="120" w:after="120"/>
        <w:jc w:val="both"/>
      </w:pPr>
      <w:r w:rsidRPr="00320A86">
        <w:t xml:space="preserve">La </w:t>
      </w:r>
      <w:r w:rsidRPr="00320A86">
        <w:rPr>
          <w:smallCaps/>
        </w:rPr>
        <w:t>Cnt-Fai</w:t>
      </w:r>
      <w:r w:rsidRPr="00320A86">
        <w:t xml:space="preserve"> a très efficacement excité l’hostilité de ses militants contre les réformes graduelles et contre ce qu’ils nommèrent les « </w:t>
      </w:r>
      <w:r w:rsidRPr="00163497">
        <w:rPr>
          <w:i/>
        </w:rPr>
        <w:t>duperies électorales et parlementaires </w:t>
      </w:r>
      <w:r w:rsidRPr="00320A86">
        <w:t>». En fait de modèles révol</w:t>
      </w:r>
      <w:r w:rsidRPr="00320A86">
        <w:t>u</w:t>
      </w:r>
      <w:r w:rsidRPr="00320A86">
        <w:t>tionnaires, elle a exalté trois figures classiques de révolte paysanne que sont les hors-la-loi justiciers, les jacqueries avec fourches, pierres et gourdins, et la mise à sac des couvents</w:t>
      </w:r>
      <w:r>
        <w:t> </w:t>
      </w:r>
      <w:r>
        <w:rPr>
          <w:rStyle w:val="Appelnotedebasdep"/>
        </w:rPr>
        <w:footnoteReference w:id="671"/>
      </w:r>
      <w:r w:rsidRPr="00320A86">
        <w:t>. Trop de brut</w:t>
      </w:r>
      <w:r w:rsidRPr="00320A86">
        <w:t>a</w:t>
      </w:r>
      <w:r w:rsidRPr="00320A86">
        <w:t>lités ont très vite exposé la République espagnole à une multiplication de ses diff</w:t>
      </w:r>
      <w:r w:rsidRPr="00320A86">
        <w:t>i</w:t>
      </w:r>
      <w:r w:rsidRPr="00320A86">
        <w:t>cultés. D’abord des difficultés politiques : en Galice, en Andalo</w:t>
      </w:r>
      <w:r w:rsidRPr="00320A86">
        <w:t>u</w:t>
      </w:r>
      <w:r w:rsidRPr="00320A86">
        <w:t>sie et en Aragon, puis en Catalogne, les excès de violence vont détourner du camp républicain bien d’autres que ceux qui ont une fort</w:t>
      </w:r>
      <w:r w:rsidRPr="00320A86">
        <w:t>u</w:t>
      </w:r>
      <w:r w:rsidRPr="00320A86">
        <w:t>ne à perdre. Dés juillet</w:t>
      </w:r>
      <w:r>
        <w:t xml:space="preserve"> </w:t>
      </w:r>
      <w:r w:rsidRPr="00320A86">
        <w:t>1936 les difficultés militaires</w:t>
      </w:r>
      <w:r>
        <w:t xml:space="preserve"> </w:t>
      </w:r>
      <w:r w:rsidRPr="00320A86">
        <w:t>commencent. Le général Franco a soulevé l’armée au Maroc espagnol ; il a amplifié le mouv</w:t>
      </w:r>
      <w:r w:rsidRPr="00320A86">
        <w:t>e</w:t>
      </w:r>
      <w:r w:rsidRPr="00320A86">
        <w:t>ment contre-révolutionnaire en Espagne après s’être assuré une aide militaire discrète d’Hitler et de Mussolini (sans reconnaissance dipl</w:t>
      </w:r>
      <w:r w:rsidRPr="00320A86">
        <w:t>o</w:t>
      </w:r>
      <w:r w:rsidRPr="00320A86">
        <w:t>matique avant novembre) ; il forme à Burgos une junte proviso</w:t>
      </w:r>
      <w:r w:rsidRPr="00320A86">
        <w:t>i</w:t>
      </w:r>
      <w:r w:rsidRPr="00320A86">
        <w:t>re. Les petites communautés prolétariennes vont quant à elles investir leurs forces dans des milliers d’initiatives de défense locales.</w:t>
      </w:r>
    </w:p>
    <w:p w14:paraId="6D81A8F3" w14:textId="77777777" w:rsidR="00B01930" w:rsidRPr="00320A86" w:rsidRDefault="00B01930" w:rsidP="00B01930">
      <w:pPr>
        <w:spacing w:before="120" w:after="120"/>
        <w:jc w:val="both"/>
      </w:pPr>
      <w:r w:rsidRPr="00320A86">
        <w:t>Contre les troupes de la junte militaire, à côté d’un État républicain privé du gros de ses forces armées, ces initiatives constituent certes un troisième po</w:t>
      </w:r>
      <w:r w:rsidRPr="00320A86">
        <w:t>u</w:t>
      </w:r>
      <w:r w:rsidRPr="00320A86">
        <w:t>voir : le pouvoir multiforme et décentralisé des comités de communes et d’entreprises. Mais il est doté tout au plus d’instances provinciales de gouve</w:t>
      </w:r>
      <w:r w:rsidRPr="00320A86">
        <w:t>r</w:t>
      </w:r>
      <w:r w:rsidRPr="00320A86">
        <w:t>nement, et il est mal étayé par les colonnes de combat de volontaires (telles à Barcelone la colonne de l’anarchiste Durruti ou à Madrid le Quinto regimiento communiste) et par les m</w:t>
      </w:r>
      <w:r w:rsidRPr="00320A86">
        <w:t>i</w:t>
      </w:r>
      <w:r w:rsidRPr="00320A86">
        <w:t>lices locales de l’arrière. Milices et colonnes ont un caractère partisan et local. Leurs hommes sont héroïques certes, mais c’est m</w:t>
      </w:r>
      <w:r w:rsidRPr="00320A86">
        <w:t>a</w:t>
      </w:r>
      <w:r w:rsidRPr="00320A86">
        <w:t xml:space="preserve">nière de dire qu’ils ne sont ménagers ni de leur vie ni de leur armement. Or ils ne sont pas toujours bien armés et suffisamment nombreux, ce qui les voue à la peur et à la brutalité. En quelques jours dans bien des villes et des régions, le nouveau pouvoir s’effondrera face à l’armée rebelle (comme en Andalousie, en Navarre, et dans les Asturies) ou face à la popularité du mouvement nationaliste basque. </w:t>
      </w:r>
    </w:p>
    <w:p w14:paraId="223B7135" w14:textId="77777777" w:rsidR="00B01930" w:rsidRPr="00320A86" w:rsidRDefault="00B01930" w:rsidP="00B01930">
      <w:pPr>
        <w:spacing w:before="120" w:after="120"/>
        <w:jc w:val="both"/>
      </w:pPr>
      <w:r w:rsidRPr="00320A86">
        <w:t>Quand il l’emporte, notamment à Barcelone ou en Aragon, susp</w:t>
      </w:r>
      <w:r w:rsidRPr="00320A86">
        <w:t>i</w:t>
      </w:r>
      <w:r w:rsidRPr="00320A86">
        <w:t>cion et te</w:t>
      </w:r>
      <w:r w:rsidRPr="00320A86">
        <w:t>r</w:t>
      </w:r>
      <w:r w:rsidRPr="00320A86">
        <w:t>reur conduisent à la liquidation immédiate et sans procès des adversaires qual</w:t>
      </w:r>
      <w:r w:rsidRPr="00320A86">
        <w:t>i</w:t>
      </w:r>
      <w:r w:rsidRPr="00320A86">
        <w:t>fiés de fascistes. Les ennemis de classe : « </w:t>
      </w:r>
      <w:r w:rsidRPr="00163497">
        <w:rPr>
          <w:i/>
        </w:rPr>
        <w:t>officiers, gardes, phalangistes et s</w:t>
      </w:r>
      <w:r w:rsidRPr="00163497">
        <w:rPr>
          <w:i/>
        </w:rPr>
        <w:t>e</w:t>
      </w:r>
      <w:r w:rsidRPr="00163497">
        <w:rPr>
          <w:i/>
        </w:rPr>
        <w:t>ñoritos sont abattus chaque fois qu’aucun militant responsable connu, aucune unité de police loyaliste n’empêche la curée et ne protège les vaincus </w:t>
      </w:r>
      <w:r w:rsidRPr="00320A86">
        <w:t>», écrivent Pierre Broué et Émile Témime</w:t>
      </w:r>
      <w:r>
        <w:t> </w:t>
      </w:r>
      <w:r>
        <w:rPr>
          <w:rStyle w:val="Appelnotedebasdep"/>
        </w:rPr>
        <w:footnoteReference w:id="672"/>
      </w:r>
      <w:r w:rsidRPr="00320A86">
        <w:t>. L’appartenance à la classe ouvrière n’ayant assuré aucune protection aux militants des syndicats et partis rivaux, ces a</w:t>
      </w:r>
      <w:r w:rsidRPr="00320A86">
        <w:t>u</w:t>
      </w:r>
      <w:r w:rsidRPr="00320A86">
        <w:t xml:space="preserve">teurs indiquent que la </w:t>
      </w:r>
      <w:r w:rsidRPr="00320A86">
        <w:rPr>
          <w:smallCaps/>
        </w:rPr>
        <w:t>Cnt-Fai</w:t>
      </w:r>
      <w:r w:rsidRPr="00320A86">
        <w:t>, « </w:t>
      </w:r>
      <w:r w:rsidRPr="00163497">
        <w:rPr>
          <w:i/>
        </w:rPr>
        <w:t>au nom de l’honneur révolutionna</w:t>
      </w:r>
      <w:r w:rsidRPr="00163497">
        <w:rPr>
          <w:i/>
        </w:rPr>
        <w:t>i</w:t>
      </w:r>
      <w:r w:rsidRPr="00163497">
        <w:rPr>
          <w:i/>
        </w:rPr>
        <w:t>re », a tenté « d’en finir avec la danse macabre de toutes les nuits de [paseo], avec ceux qui tuent pour tuer </w:t>
      </w:r>
      <w:r w:rsidRPr="00320A86">
        <w:t>» en faisant exécuter que</w:t>
      </w:r>
      <w:r w:rsidRPr="00320A86">
        <w:t>l</w:t>
      </w:r>
      <w:r w:rsidRPr="00320A86">
        <w:t>ques-uns de ses propres exécuteurs. En août 1936, les difficultés diplomat</w:t>
      </w:r>
      <w:r w:rsidRPr="00320A86">
        <w:t>i</w:t>
      </w:r>
      <w:r w:rsidRPr="00320A86">
        <w:t>ques aggravent les difficultés militaires. Croyant priver l’insurrection des soutiens apportés du Portugal, d’Italie et d’Allemagne, le gouve</w:t>
      </w:r>
      <w:r w:rsidRPr="00320A86">
        <w:t>r</w:t>
      </w:r>
      <w:r w:rsidRPr="00320A86">
        <w:t>nement républicain propose l’adoption par tous les États d’un principe de non-intervention qui le perdra. En effet, confronté au réarm</w:t>
      </w:r>
      <w:r w:rsidRPr="00320A86">
        <w:t>e</w:t>
      </w:r>
      <w:r w:rsidRPr="00320A86">
        <w:t>ment allemand, le gouvernement français du Front populaire élu en mai va priv</w:t>
      </w:r>
      <w:r w:rsidRPr="00320A86">
        <w:t>i</w:t>
      </w:r>
      <w:r w:rsidRPr="00320A86">
        <w:t>légier l’alliance avec les Britanniques et défendra comme eux le principe de « non-intervention » en Espagne. Au lieu de tricher mass</w:t>
      </w:r>
      <w:r w:rsidRPr="00320A86">
        <w:t>i</w:t>
      </w:r>
      <w:r w:rsidRPr="00320A86">
        <w:t>vement, comme font les gouvernements hitlériens et mussoliniens, le gouvernement français dénoncera ses eng</w:t>
      </w:r>
      <w:r w:rsidRPr="00320A86">
        <w:t>a</w:t>
      </w:r>
      <w:r w:rsidRPr="00320A86">
        <w:t>gements de fournitures d’armes et d’avions ; il ira jusqu’à bloquer des transferts en cours e</w:t>
      </w:r>
      <w:r w:rsidRPr="00320A86">
        <w:t>n</w:t>
      </w:r>
      <w:r w:rsidRPr="00320A86">
        <w:t>tre Catalogne et Pyrénées occidentales</w:t>
      </w:r>
      <w:r>
        <w:t> </w:t>
      </w:r>
      <w:r>
        <w:rPr>
          <w:rStyle w:val="Appelnotedebasdep"/>
        </w:rPr>
        <w:footnoteReference w:id="673"/>
      </w:r>
      <w:r w:rsidRPr="00320A86">
        <w:t>.</w:t>
      </w:r>
    </w:p>
    <w:p w14:paraId="5D72CCB4" w14:textId="77777777" w:rsidR="00B01930" w:rsidRPr="00320A86" w:rsidRDefault="00B01930" w:rsidP="00B01930">
      <w:pPr>
        <w:spacing w:before="120" w:after="120"/>
        <w:jc w:val="both"/>
      </w:pPr>
      <w:r w:rsidRPr="00320A86">
        <w:t>Fin août 1936, six semaines après le déclenchement de l’insurrection milita</w:t>
      </w:r>
      <w:r w:rsidRPr="00320A86">
        <w:t>i</w:t>
      </w:r>
      <w:r w:rsidRPr="00320A86">
        <w:t>re, le gouvernement républicain ne disposait plus des forces d’un État solide. Il survivait formellement en entérinant les nominations des comités révolutionna</w:t>
      </w:r>
      <w:r w:rsidRPr="00320A86">
        <w:t>i</w:t>
      </w:r>
      <w:r w:rsidRPr="00320A86">
        <w:t>res, tandis que certains groupes armés défilaient en affirmant : « </w:t>
      </w:r>
      <w:r w:rsidRPr="00163497">
        <w:rPr>
          <w:i/>
        </w:rPr>
        <w:t>Miliciens de la liberté, oui ! Soldats sous l’uniforme, jamais ! </w:t>
      </w:r>
      <w:r w:rsidRPr="00320A86">
        <w:t>». Les difficultés économiques et sociales s’aggravèrent rapidement. La recette des expropriations s’avéra ill</w:t>
      </w:r>
      <w:r w:rsidRPr="00320A86">
        <w:t>u</w:t>
      </w:r>
      <w:r w:rsidRPr="00320A86">
        <w:t>soire : la trésorerie, quand il y avait des liquidités et des devises, ne se renouvelle pas spontanément, non plus que les stocks de matières premières et les crédits nécessaires à la production. Les conseils appr</w:t>
      </w:r>
      <w:r w:rsidRPr="00320A86">
        <w:t>i</w:t>
      </w:r>
      <w:r w:rsidRPr="00320A86">
        <w:t>rent dans l’urgence à se procurer du crédit et des devises ou à s’en passer. Dans les usines saisies ou collectiv</w:t>
      </w:r>
      <w:r w:rsidRPr="00320A86">
        <w:t>i</w:t>
      </w:r>
      <w:r w:rsidRPr="00320A86">
        <w:t>sées, le contrôle ouvrier était exercé diversement. Ainsi en matière de rémunér</w:t>
      </w:r>
      <w:r w:rsidRPr="00320A86">
        <w:t>a</w:t>
      </w:r>
      <w:r w:rsidRPr="00320A86">
        <w:t>tion va-t-on de l’uniformisation radicale (sauf entre hommes et femmes) au maintien de l’ancienne hiérarchie des salaires. Dans les campagnes, après l’enthousiasme suscité par l’expropriation des gros propriétaires, les réquisitions se succédèrent et personne n’était plus certain d’avoir g</w:t>
      </w:r>
      <w:r w:rsidRPr="00320A86">
        <w:t>a</w:t>
      </w:r>
      <w:r w:rsidRPr="00320A86">
        <w:t>gné durablement au partage proclamé.</w:t>
      </w:r>
    </w:p>
    <w:p w14:paraId="1823F60D" w14:textId="77777777" w:rsidR="00B01930" w:rsidRPr="00320A86" w:rsidRDefault="00B01930" w:rsidP="00B01930">
      <w:pPr>
        <w:spacing w:before="120" w:after="120"/>
        <w:jc w:val="both"/>
      </w:pPr>
      <w:r w:rsidRPr="00320A86">
        <w:t>Le 4 septembre 1936, fort des engagements de soutien de l’</w:t>
      </w:r>
      <w:r w:rsidRPr="00320A86">
        <w:rPr>
          <w:smallCaps/>
        </w:rPr>
        <w:t xml:space="preserve">Urss </w:t>
      </w:r>
      <w:r w:rsidRPr="00320A86">
        <w:t xml:space="preserve">et de la </w:t>
      </w:r>
      <w:r w:rsidRPr="00320A86">
        <w:rPr>
          <w:smallCaps/>
        </w:rPr>
        <w:t>Cnt</w:t>
      </w:r>
      <w:r w:rsidRPr="00320A86">
        <w:t>, Largo Caballero prend la présidence du Conseil et le mini</w:t>
      </w:r>
      <w:r w:rsidRPr="00320A86">
        <w:t>s</w:t>
      </w:r>
      <w:r w:rsidRPr="00320A86">
        <w:t>tère de la Guerre. Son programme consista à mettre un terme au rég</w:t>
      </w:r>
      <w:r w:rsidRPr="00320A86">
        <w:t>i</w:t>
      </w:r>
      <w:r w:rsidRPr="00320A86">
        <w:t>me de double pouvoir qui empêchait les républicains de se défendre contre les rebelles. Le 26 septembre, le gouvernement indépendantiste de la généralité de Catalogne se rallia à cet e</w:t>
      </w:r>
      <w:r w:rsidRPr="00320A86">
        <w:t>f</w:t>
      </w:r>
      <w:r w:rsidRPr="00320A86">
        <w:t>fort de recentralisation et dissout son comité des milices. Les autonomistes ba</w:t>
      </w:r>
      <w:r w:rsidRPr="00320A86">
        <w:t>s</w:t>
      </w:r>
      <w:r w:rsidRPr="00320A86">
        <w:t xml:space="preserve">ques consentirent à participer au gouvernement. Le Conseil de défense de l’Aragon fera de même le 31 octobre 1936. </w:t>
      </w:r>
      <w:r w:rsidRPr="00320A86">
        <w:rPr>
          <w:smallCaps/>
        </w:rPr>
        <w:t>Poum</w:t>
      </w:r>
      <w:r w:rsidRPr="00320A86">
        <w:t xml:space="preserve"> et </w:t>
      </w:r>
      <w:r w:rsidRPr="00320A86">
        <w:rPr>
          <w:smallCaps/>
        </w:rPr>
        <w:t>Cnt</w:t>
      </w:r>
      <w:r w:rsidRPr="00320A86">
        <w:t xml:space="preserve"> acceptèrent de « </w:t>
      </w:r>
      <w:r w:rsidRPr="00163497">
        <w:rPr>
          <w:i/>
        </w:rPr>
        <w:t>collaborer avec les autres fractions ouvrières </w:t>
      </w:r>
      <w:r w:rsidRPr="00320A86">
        <w:t>». À l’épreuve d’une guerre c</w:t>
      </w:r>
      <w:r w:rsidRPr="00320A86">
        <w:t>i</w:t>
      </w:r>
      <w:r w:rsidRPr="00320A86">
        <w:t>vile inexorable, élus autonomistes ou révolutionnaires en convinrent : il fallait « </w:t>
      </w:r>
      <w:r w:rsidRPr="00163497">
        <w:rPr>
          <w:i/>
        </w:rPr>
        <w:t>d’abord gagner la guerre, après seulement nous pourrons parler de révol</w:t>
      </w:r>
      <w:r w:rsidRPr="00163497">
        <w:rPr>
          <w:i/>
        </w:rPr>
        <w:t>u</w:t>
      </w:r>
      <w:r w:rsidRPr="00163497">
        <w:rPr>
          <w:i/>
        </w:rPr>
        <w:t>tion </w:t>
      </w:r>
      <w:r w:rsidRPr="00320A86">
        <w:t>». Ils consentirent à l’incorporation de leurs institutions et de leurs hommes dans les stru</w:t>
      </w:r>
      <w:r w:rsidRPr="00320A86">
        <w:t>c</w:t>
      </w:r>
      <w:r w:rsidRPr="00320A86">
        <w:t>tures de l’État.</w:t>
      </w:r>
    </w:p>
    <w:p w14:paraId="36A31056" w14:textId="77777777" w:rsidR="00B01930" w:rsidRPr="00320A86" w:rsidRDefault="00B01930" w:rsidP="00B01930">
      <w:pPr>
        <w:spacing w:before="120" w:after="120"/>
        <w:jc w:val="both"/>
      </w:pPr>
      <w:r w:rsidRPr="00320A86">
        <w:t>Aux yeux de ces partisans, s’agissait-il d’un État et d’une armée « </w:t>
      </w:r>
      <w:r w:rsidRPr="00163497">
        <w:rPr>
          <w:i/>
        </w:rPr>
        <w:t>comme les autres </w:t>
      </w:r>
      <w:r w:rsidRPr="00320A86">
        <w:t>», ou d’un État prolétarien et d’une armée popula</w:t>
      </w:r>
      <w:r w:rsidRPr="00320A86">
        <w:t>i</w:t>
      </w:r>
      <w:r w:rsidRPr="00320A86">
        <w:t>re ? Quoi qu’il en soit, ces hommes se battront avec acharnement : Barcelone</w:t>
      </w:r>
      <w:r>
        <w:t> </w:t>
      </w:r>
      <w:r>
        <w:rPr>
          <w:rStyle w:val="Appelnotedebasdep"/>
        </w:rPr>
        <w:footnoteReference w:id="674"/>
      </w:r>
      <w:r w:rsidRPr="00320A86">
        <w:t xml:space="preserve"> tiendra jusqu’en ja</w:t>
      </w:r>
      <w:r w:rsidRPr="00320A86">
        <w:t>n</w:t>
      </w:r>
      <w:r w:rsidRPr="00320A86">
        <w:t>vier 1939, et Madrid ne tombera que le 29 mars 1939. Entrée en guerre le 3 septembre 1939, la Rép</w:t>
      </w:r>
      <w:r w:rsidRPr="00320A86">
        <w:t>u</w:t>
      </w:r>
      <w:r w:rsidRPr="00320A86">
        <w:t>blique française rendra les armes dès le 22 juin 1940.</w:t>
      </w:r>
    </w:p>
    <w:p w14:paraId="28B69540" w14:textId="77777777" w:rsidR="00B01930" w:rsidRPr="00320A86" w:rsidRDefault="00B01930" w:rsidP="00B01930">
      <w:pPr>
        <w:spacing w:before="120" w:after="120"/>
        <w:jc w:val="both"/>
      </w:pPr>
      <w:r>
        <w:br w:type="page"/>
      </w:r>
    </w:p>
    <w:p w14:paraId="7F888233" w14:textId="77777777" w:rsidR="00B01930" w:rsidRPr="00320A86" w:rsidRDefault="00B01930" w:rsidP="00B01930">
      <w:pPr>
        <w:pStyle w:val="planche"/>
      </w:pPr>
      <w:bookmarkStart w:id="192" w:name="Analyser_idees_pol_pt_3_texte_05_IV"/>
      <w:r w:rsidRPr="00320A86">
        <w:t>IV. Historique sommaire</w:t>
      </w:r>
      <w:r>
        <w:br/>
      </w:r>
      <w:r w:rsidRPr="00320A86">
        <w:t>des expériences postérieures</w:t>
      </w:r>
      <w:r>
        <w:br/>
      </w:r>
      <w:r w:rsidRPr="00320A86">
        <w:t>à la Seconde Guerre mondiale</w:t>
      </w:r>
    </w:p>
    <w:bookmarkEnd w:id="192"/>
    <w:p w14:paraId="32F7E972" w14:textId="77777777" w:rsidR="00B01930" w:rsidRDefault="00B01930" w:rsidP="00B01930">
      <w:pPr>
        <w:spacing w:before="120" w:after="120"/>
        <w:jc w:val="both"/>
      </w:pPr>
    </w:p>
    <w:p w14:paraId="6BC38B42"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47C262CE" w14:textId="77777777" w:rsidR="00B01930" w:rsidRPr="00320A86" w:rsidRDefault="00B01930" w:rsidP="00B01930">
      <w:pPr>
        <w:spacing w:before="120" w:after="120"/>
        <w:jc w:val="both"/>
      </w:pPr>
      <w:r w:rsidRPr="00320A86">
        <w:t>Après la Seconde Guerre mondiale, le plus connu des mouvements dits d’autogestion ouvrière a été décidé et entretenu non pas spont</w:t>
      </w:r>
      <w:r w:rsidRPr="00320A86">
        <w:t>a</w:t>
      </w:r>
      <w:r w:rsidRPr="00320A86">
        <w:t>nément par le monde ouvrier, mais par décret d’un Parti communiste au pouvoir. Après avoir rapidement évoqué cette expérience, on s’attardera davantage sur des mouvements conseillistes plus auton</w:t>
      </w:r>
      <w:r w:rsidRPr="00320A86">
        <w:t>o</w:t>
      </w:r>
      <w:r w:rsidRPr="00320A86">
        <w:t>mes, tels l’Octobre polonais puis Solidarnosc, qui relèvent de mult</w:t>
      </w:r>
      <w:r w:rsidRPr="00320A86">
        <w:t>i</w:t>
      </w:r>
      <w:r w:rsidRPr="00320A86">
        <w:t>ples influences idéologiques.</w:t>
      </w:r>
    </w:p>
    <w:p w14:paraId="07554E2F" w14:textId="77777777" w:rsidR="00B01930" w:rsidRPr="00320A86" w:rsidRDefault="00B01930" w:rsidP="00B01930">
      <w:pPr>
        <w:spacing w:before="120" w:after="120"/>
        <w:jc w:val="both"/>
      </w:pPr>
      <w:r w:rsidRPr="00320A86">
        <w:t>Une expérience durable et bien médiatisée d’institution de « </w:t>
      </w:r>
      <w:r w:rsidRPr="00163497">
        <w:rPr>
          <w:i/>
        </w:rPr>
        <w:t>conseils o</w:t>
      </w:r>
      <w:r w:rsidRPr="00163497">
        <w:rPr>
          <w:i/>
        </w:rPr>
        <w:t>u</w:t>
      </w:r>
      <w:r w:rsidRPr="00163497">
        <w:rPr>
          <w:i/>
        </w:rPr>
        <w:t>vriers </w:t>
      </w:r>
      <w:r w:rsidRPr="00320A86">
        <w:t>» fut réalisée en Yougoslavie de 1950 à 1990. Le maréchal Tito et son camarade Kardelj la baptisèrent du nom d’« autogestion »</w:t>
      </w:r>
      <w:r>
        <w:t> </w:t>
      </w:r>
      <w:r>
        <w:rPr>
          <w:rStyle w:val="Appelnotedebasdep"/>
        </w:rPr>
        <w:footnoteReference w:id="675"/>
      </w:r>
      <w:r w:rsidRPr="00320A86">
        <w:t>. Présentée comme annonciatrice d’une ère nouve</w:t>
      </w:r>
      <w:r w:rsidRPr="00320A86">
        <w:t>l</w:t>
      </w:r>
      <w:r w:rsidRPr="00320A86">
        <w:t>le de gestion ouvrière, leur formule consistait à mettre en place des conseils élus auprès de la direction des entreprises et des co</w:t>
      </w:r>
      <w:r w:rsidRPr="00320A86">
        <w:t>l</w:t>
      </w:r>
      <w:r w:rsidRPr="00320A86">
        <w:t>lectivités territoriales. L’objectif était officiellement de renforcer l’efficacité de la gestion grâce à l’obligation de prendre en compte les « critiques ouvrières p</w:t>
      </w:r>
      <w:r w:rsidRPr="00320A86">
        <w:t>o</w:t>
      </w:r>
      <w:r w:rsidRPr="00320A86">
        <w:t>sitives ». Un redressement du taux de croissance de la production allait effect</w:t>
      </w:r>
      <w:r w:rsidRPr="00320A86">
        <w:t>i</w:t>
      </w:r>
      <w:r w:rsidRPr="00320A86">
        <w:t>vement en résulter. Mais rien ne fut mis en œuvre vis-à-vis de la planification centrale, du Parti et des forces a</w:t>
      </w:r>
      <w:r w:rsidRPr="00320A86">
        <w:t>r</w:t>
      </w:r>
      <w:r w:rsidRPr="00320A86">
        <w:t>mées. Malgré un prétendu régime d’autogestion, on peut donc sout</w:t>
      </w:r>
      <w:r w:rsidRPr="00320A86">
        <w:t>e</w:t>
      </w:r>
      <w:r w:rsidRPr="00320A86">
        <w:t>nir que la « nouvelle classe » dirigeante ne c</w:t>
      </w:r>
      <w:r w:rsidRPr="00320A86">
        <w:t>é</w:t>
      </w:r>
      <w:r w:rsidRPr="00320A86">
        <w:t>dait pas grand-chose de ses pouvoirs : elle tentait d’étayer son État un peu mieux que le « </w:t>
      </w:r>
      <w:r w:rsidRPr="00163497">
        <w:rPr>
          <w:i/>
        </w:rPr>
        <w:t>socialisme bureaucratique </w:t>
      </w:r>
      <w:r w:rsidRPr="00320A86">
        <w:t>» (ainsi désignait-elle le régime de ses vo</w:t>
      </w:r>
      <w:r w:rsidRPr="00320A86">
        <w:t>i</w:t>
      </w:r>
      <w:r w:rsidRPr="00320A86">
        <w:t>sins « </w:t>
      </w:r>
      <w:r w:rsidRPr="00163497">
        <w:rPr>
          <w:i/>
        </w:rPr>
        <w:t>soviétisés </w:t>
      </w:r>
      <w:r w:rsidRPr="00320A86">
        <w:t>»), lequel la menaçait constamment de subversion et de plus grande pauvreté</w:t>
      </w:r>
      <w:r>
        <w:t> </w:t>
      </w:r>
      <w:r>
        <w:rPr>
          <w:rStyle w:val="Appelnotedebasdep"/>
        </w:rPr>
        <w:footnoteReference w:id="676"/>
      </w:r>
      <w:r w:rsidRPr="00320A86">
        <w:t>.</w:t>
      </w:r>
    </w:p>
    <w:p w14:paraId="6EA51047" w14:textId="77777777" w:rsidR="00B01930" w:rsidRPr="00320A86" w:rsidRDefault="00B01930" w:rsidP="00B01930">
      <w:pPr>
        <w:spacing w:before="120" w:after="120"/>
        <w:jc w:val="both"/>
      </w:pPr>
      <w:r w:rsidRPr="00320A86">
        <w:t>De leur côté les travailleurs de Hongrie, d’Allemagne de l’Est et de Pologne avaient particulièrement souffert du régime imposé par l’Union soviétique. Dans les années 1945/1956 en effet le niveau de vie, notamment dans les villes o</w:t>
      </w:r>
      <w:r w:rsidRPr="00320A86">
        <w:t>u</w:t>
      </w:r>
      <w:r w:rsidRPr="00320A86">
        <w:t>vrières et dans les campagnes, était resté misérable en Europe centrale, ce qui allait finir par susciter des émeutes. En 1956/1957, un discours semblable à celui de Tito fut ut</w:t>
      </w:r>
      <w:r w:rsidRPr="00320A86">
        <w:t>i</w:t>
      </w:r>
      <w:r w:rsidRPr="00320A86">
        <w:t>lisé par les dirigeants de plusieurs pays du « </w:t>
      </w:r>
      <w:r w:rsidRPr="00163497">
        <w:rPr>
          <w:i/>
        </w:rPr>
        <w:t>bloc socialiste </w:t>
      </w:r>
      <w:r w:rsidRPr="00320A86">
        <w:t>». Des e</w:t>
      </w:r>
      <w:r w:rsidRPr="00320A86">
        <w:t>x</w:t>
      </w:r>
      <w:r w:rsidRPr="00320A86">
        <w:t>périences conseillistes furent momentanément tolérées, voire enco</w:t>
      </w:r>
      <w:r w:rsidRPr="00320A86">
        <w:t>u</w:t>
      </w:r>
      <w:r w:rsidRPr="00320A86">
        <w:t>ragées d’une manière « </w:t>
      </w:r>
      <w:r w:rsidRPr="00163497">
        <w:rPr>
          <w:i/>
        </w:rPr>
        <w:t>titiste et révisionniste </w:t>
      </w:r>
      <w:r w:rsidRPr="00320A86">
        <w:t>». Ce à quoi s’opposèrent aussitôt l’albanais Enver Hodja</w:t>
      </w:r>
      <w:r>
        <w:t> </w:t>
      </w:r>
      <w:r>
        <w:rPr>
          <w:rStyle w:val="Appelnotedebasdep"/>
        </w:rPr>
        <w:footnoteReference w:id="677"/>
      </w:r>
      <w:r w:rsidRPr="00320A86">
        <w:t xml:space="preserve"> puis les tenants russes et chinois de la répression. Ch</w:t>
      </w:r>
      <w:r w:rsidRPr="00320A86">
        <w:t>a</w:t>
      </w:r>
      <w:r w:rsidRPr="00320A86">
        <w:t>cun à sa façon cherchait à amortir les répercussions du rapport Khrouc</w:t>
      </w:r>
      <w:r w:rsidRPr="00320A86">
        <w:t>h</w:t>
      </w:r>
      <w:r w:rsidRPr="00320A86">
        <w:t>tchev au XX</w:t>
      </w:r>
      <w:r w:rsidRPr="00320A86">
        <w:rPr>
          <w:vertAlign w:val="superscript"/>
        </w:rPr>
        <w:t>e</w:t>
      </w:r>
      <w:r w:rsidRPr="00320A86">
        <w:t xml:space="preserve"> Congrès du </w:t>
      </w:r>
      <w:r w:rsidRPr="00320A86">
        <w:rPr>
          <w:smallCaps/>
        </w:rPr>
        <w:t>Pcus</w:t>
      </w:r>
      <w:r w:rsidRPr="00320A86">
        <w:t xml:space="preserve"> et les répliques des grandes grèves polonaises de juin à octobre 1956, dont il sera question plus loin.</w:t>
      </w:r>
    </w:p>
    <w:p w14:paraId="4D6E5E44" w14:textId="77777777" w:rsidR="00B01930" w:rsidRPr="00320A86" w:rsidRDefault="00B01930" w:rsidP="00B01930">
      <w:pPr>
        <w:spacing w:before="120" w:after="120"/>
        <w:jc w:val="both"/>
      </w:pPr>
      <w:r w:rsidRPr="00320A86">
        <w:t>Rappelons d’abord ce que furent le soulèvement de la Hongrie et la répre</w:t>
      </w:r>
      <w:r w:rsidRPr="00320A86">
        <w:t>s</w:t>
      </w:r>
      <w:r w:rsidRPr="00320A86">
        <w:t>sion de sa nouvelle république de conseils</w:t>
      </w:r>
      <w:r>
        <w:t> </w:t>
      </w:r>
      <w:r>
        <w:rPr>
          <w:rStyle w:val="Appelnotedebasdep"/>
        </w:rPr>
        <w:footnoteReference w:id="678"/>
      </w:r>
      <w:r w:rsidRPr="00320A86">
        <w:t>. Accompagnée par le Cercle des intellectuels communistes, l’agitation étudiante et o</w:t>
      </w:r>
      <w:r w:rsidRPr="00320A86">
        <w:t>u</w:t>
      </w:r>
      <w:r w:rsidRPr="00320A86">
        <w:t>vrière avait conduit en Juillet à écarter de nouveau Rákosi du po</w:t>
      </w:r>
      <w:r w:rsidRPr="00320A86">
        <w:t>u</w:t>
      </w:r>
      <w:r w:rsidRPr="00320A86">
        <w:t>voir puis le 24 octobre à ramener (comme en juillet 1953) Imre Nagy à la tête du gouvernement. Alors que se multipliaient les comités révol</w:t>
      </w:r>
      <w:r w:rsidRPr="00320A86">
        <w:t>u</w:t>
      </w:r>
      <w:r w:rsidRPr="00320A86">
        <w:t>tionnaires et les conseils de travailleurs d’entreprise, d’administration, de localité, de métiers et leurs fédérations, le Parti lança lui-même le 26 un appel à l’institution de conseils ouvriers. Les Soviétiques M</w:t>
      </w:r>
      <w:r w:rsidRPr="00320A86">
        <w:t>i</w:t>
      </w:r>
      <w:r w:rsidRPr="00320A86">
        <w:t>koyan et Souslov vinrent le 24 et revinrent le 29 en conciliateurs, d</w:t>
      </w:r>
      <w:r w:rsidRPr="00320A86">
        <w:t>é</w:t>
      </w:r>
      <w:r w:rsidRPr="00320A86">
        <w:t>clarant reconnaître que des erreurs avaient été co</w:t>
      </w:r>
      <w:r w:rsidRPr="00320A86">
        <w:t>m</w:t>
      </w:r>
      <w:r w:rsidRPr="00320A86">
        <w:t>mises, affirmant l’égalité des peuples selon Lénine et le XX</w:t>
      </w:r>
      <w:r w:rsidRPr="00320A86">
        <w:rPr>
          <w:vertAlign w:val="superscript"/>
        </w:rPr>
        <w:t>e</w:t>
      </w:r>
      <w:r w:rsidRPr="00320A86">
        <w:t xml:space="preserve"> Congrès, et expliquant que le pacte militaire de Varsovie serait assoupli. Les nombreux conseils de travailleurs et conseils régionaux qui venaient de surgir se dotèrent d’un conseil central de Budapest. Les chars russes se retir</w:t>
      </w:r>
      <w:r w:rsidRPr="00320A86">
        <w:t>è</w:t>
      </w:r>
      <w:r w:rsidRPr="00320A86">
        <w:t>rent. Nagy alla jusqu’à proclamer le 30 octobre la formation d’un c</w:t>
      </w:r>
      <w:r w:rsidRPr="00320A86">
        <w:t>a</w:t>
      </w:r>
      <w:r w:rsidRPr="00320A86">
        <w:t>binet de coalition et fit savoir le 1</w:t>
      </w:r>
      <w:r w:rsidRPr="00320A86">
        <w:rPr>
          <w:vertAlign w:val="superscript"/>
        </w:rPr>
        <w:t>er</w:t>
      </w:r>
      <w:r w:rsidRPr="00320A86">
        <w:t> novembre qu’il dénoncerait l’adhésion au Pacte de Varsovie et se rallierait au neutralisme youg</w:t>
      </w:r>
      <w:r w:rsidRPr="00320A86">
        <w:t>o</w:t>
      </w:r>
      <w:r w:rsidRPr="00320A86">
        <w:t>slave. Mais sa destitution su</w:t>
      </w:r>
      <w:r w:rsidRPr="00320A86">
        <w:t>i</w:t>
      </w:r>
      <w:r w:rsidRPr="00320A86">
        <w:t>vit immédiatement le 4 novembre 1956 le retour en masse des blindés russes à Budapest : séquestration de Pal Maleter, ministre de la Défense, enlèvement le 22 novembre de Nagy et de ses derniers compagnons (réfugiés et isolés depuis le 4 dans l’ambassade yougoslave) ; ils seront jugés et exécutés en secret en juin 1958. Le conseil ouvrier central fut dissous le 9 décembre. Le 30 septembre 1957, tous les conseils avaient été remplacés par des comités d’établissement gérés par l’organisation syndicale officielle et dotés d’attributions limitées.</w:t>
      </w:r>
    </w:p>
    <w:p w14:paraId="1E2334E4" w14:textId="77777777" w:rsidR="00B01930" w:rsidRPr="00320A86" w:rsidRDefault="00B01930" w:rsidP="00B01930">
      <w:pPr>
        <w:spacing w:before="120" w:after="120"/>
        <w:jc w:val="both"/>
      </w:pPr>
      <w:r w:rsidRPr="00320A86">
        <w:t>En Allemagne de l’Est, une allusion conseilliste fut brièvement t</w:t>
      </w:r>
      <w:r w:rsidRPr="00320A86">
        <w:t>o</w:t>
      </w:r>
      <w:r w:rsidRPr="00320A86">
        <w:t>lérée, en écho direct de l’Octobre polonais. L’institution de comités ouvriers consultatifs fut autorisée par Ulbricht le 20 novembre 1956, avec des attributions débordant celles des sections syndicales d’entreprise, et l’on rappela qu’il avait existé des conseils d’entreprises jusqu’en novembre 1948, puis des comités de grève lors de l’insurrection de juin 1953</w:t>
      </w:r>
      <w:r>
        <w:t> </w:t>
      </w:r>
      <w:r>
        <w:rPr>
          <w:rStyle w:val="Appelnotedebasdep"/>
        </w:rPr>
        <w:footnoteReference w:id="679"/>
      </w:r>
      <w:r w:rsidRPr="00320A86">
        <w:t>. Cette faculté fut supprimée le 10 mars 1958, et les dix-huit comités encore officiellement recensés furent di</w:t>
      </w:r>
      <w:r w:rsidRPr="00320A86">
        <w:t>s</w:t>
      </w:r>
      <w:r w:rsidRPr="00320A86">
        <w:t>sous.</w:t>
      </w:r>
    </w:p>
    <w:p w14:paraId="47B0CEAB" w14:textId="77777777" w:rsidR="00B01930" w:rsidRPr="00320A86" w:rsidRDefault="00B01930" w:rsidP="00B01930">
      <w:pPr>
        <w:spacing w:before="120" w:after="120"/>
        <w:jc w:val="both"/>
      </w:pPr>
      <w:r w:rsidRPr="00320A86">
        <w:t>En écho plus lointain au rapport Khrouchtchev et aux grandes gr</w:t>
      </w:r>
      <w:r w:rsidRPr="00320A86">
        <w:t>è</w:t>
      </w:r>
      <w:r w:rsidRPr="00320A86">
        <w:t>ves polonaises, le huitième Congrès du Parti communiste chinois d</w:t>
      </w:r>
      <w:r w:rsidRPr="00320A86">
        <w:t>é</w:t>
      </w:r>
      <w:r w:rsidRPr="00320A86">
        <w:t>savoua Mao en se</w:t>
      </w:r>
      <w:r w:rsidRPr="00320A86">
        <w:t>p</w:t>
      </w:r>
      <w:r w:rsidRPr="00320A86">
        <w:t>tembre 1956 et décida lui aussi d’envisager une direction collective et l’association des travailleurs à la gestion des entreprises. Des conférences de délégués ouvriers sont créées en 1957 à des fins expérimentales dans quelques grandes entreprises de la c</w:t>
      </w:r>
      <w:r w:rsidRPr="00320A86">
        <w:t>a</w:t>
      </w:r>
      <w:r w:rsidRPr="00320A86">
        <w:t>pitale. Mais de vives luttes de clans pour le pouvoir à l’intérieur du noyau dirigeant du Parti tournent en défaveur de ces expériences, et « l’antirévisionnisme » sera utilisé par Mao et ses alliés pour se d</w:t>
      </w:r>
      <w:r w:rsidRPr="00320A86">
        <w:t>é</w:t>
      </w:r>
      <w:r w:rsidRPr="00320A86">
        <w:t>marquer de Khrouchtchev et des grands frères russes avec laquelle les ponts sont coupés.</w:t>
      </w:r>
    </w:p>
    <w:p w14:paraId="64F546AB" w14:textId="77777777" w:rsidR="00B01930" w:rsidRPr="00320A86" w:rsidRDefault="00B01930" w:rsidP="00B01930">
      <w:pPr>
        <w:spacing w:before="120" w:after="120"/>
        <w:jc w:val="both"/>
      </w:pPr>
      <w:r w:rsidRPr="00320A86">
        <w:t>Deux générations plus tard, après « </w:t>
      </w:r>
      <w:r w:rsidRPr="00163497">
        <w:rPr>
          <w:i/>
        </w:rPr>
        <w:t>Révolution culturelle </w:t>
      </w:r>
      <w:r w:rsidRPr="00320A86">
        <w:t>», « </w:t>
      </w:r>
      <w:r w:rsidRPr="00163497">
        <w:rPr>
          <w:i/>
        </w:rPr>
        <w:t>Grand Bond en Avant </w:t>
      </w:r>
      <w:r w:rsidRPr="00320A86">
        <w:t>», « Bande des Quatre », puis « </w:t>
      </w:r>
      <w:r w:rsidRPr="00163497">
        <w:rPr>
          <w:i/>
        </w:rPr>
        <w:t>M. Deng et ses successeurs </w:t>
      </w:r>
      <w:r w:rsidRPr="00320A86">
        <w:t>», il est moins question que jamais parmi les dir</w:t>
      </w:r>
      <w:r w:rsidRPr="00320A86">
        <w:t>i</w:t>
      </w:r>
      <w:r w:rsidRPr="00320A86">
        <w:t>geants de l’État chinois de s’inspirer d’utopies occidentales. La Chine a retrouvé l’importance énorme qu’elle avait perdue dans le cours hi</w:t>
      </w:r>
      <w:r w:rsidRPr="00320A86">
        <w:t>s</w:t>
      </w:r>
      <w:r w:rsidRPr="00320A86">
        <w:t>torique de l’humanité. Il n’y a plus lieu de croire que l’on y néglige ses propres traditions culturelles dans la recherche des principes et des valeurs propres à renforcer la concorde au sein de sa population et à assurer le respect de la part de ses voisins, ces harmonies qui sont les plus propres à garantir l’autorité des dirigeants. On peut lire désormais dans les journaux officiels que « la puissance se mérite.</w:t>
      </w:r>
      <w:r>
        <w:t xml:space="preserve"> </w:t>
      </w:r>
      <w:r w:rsidRPr="00320A86">
        <w:t>Le Mandat céleste se démontre, il ne se présume pas », comme le notait déjà en 1995 le Pr Martres</w:t>
      </w:r>
      <w:r>
        <w:t> </w:t>
      </w:r>
      <w:r>
        <w:rPr>
          <w:rStyle w:val="Appelnotedebasdep"/>
        </w:rPr>
        <w:footnoteReference w:id="680"/>
      </w:r>
      <w:r w:rsidRPr="00320A86">
        <w:t>, politiste inclassable et sinophile passionné.</w:t>
      </w:r>
    </w:p>
    <w:p w14:paraId="30A4F214" w14:textId="77777777" w:rsidR="00B01930" w:rsidRPr="00320A86" w:rsidRDefault="00B01930" w:rsidP="00B01930">
      <w:pPr>
        <w:spacing w:before="120" w:after="120"/>
        <w:jc w:val="both"/>
      </w:pPr>
    </w:p>
    <w:p w14:paraId="42E7A895" w14:textId="77777777" w:rsidR="00B01930" w:rsidRPr="00320A86" w:rsidRDefault="00B01930" w:rsidP="00B01930">
      <w:pPr>
        <w:pStyle w:val="planche"/>
      </w:pPr>
      <w:bookmarkStart w:id="193" w:name="Analyser_idees_pol_pt_3_texte_05_V"/>
      <w:r>
        <w:t>V. L’Octobre polonais :</w:t>
      </w:r>
      <w:r>
        <w:br/>
      </w:r>
      <w:r w:rsidRPr="00320A86">
        <w:t>de 1956 à 1970 et à Solidarnosc</w:t>
      </w:r>
    </w:p>
    <w:bookmarkEnd w:id="193"/>
    <w:p w14:paraId="4C3B2243" w14:textId="77777777" w:rsidR="00B01930" w:rsidRDefault="00B01930" w:rsidP="00B01930">
      <w:pPr>
        <w:spacing w:before="120" w:after="120"/>
        <w:jc w:val="both"/>
      </w:pPr>
    </w:p>
    <w:p w14:paraId="139E3EC8"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38DB3B59" w14:textId="77777777" w:rsidR="00B01930" w:rsidRPr="00320A86" w:rsidRDefault="00B01930" w:rsidP="00B01930">
      <w:pPr>
        <w:spacing w:before="120" w:after="120"/>
        <w:jc w:val="both"/>
      </w:pPr>
      <w:r w:rsidRPr="00320A86">
        <w:t>Pour finir sur un dernier cas associant grèves insurrectionnelles et surgissement en masse de conseils ouvriers, nous évoquerons maint</w:t>
      </w:r>
      <w:r w:rsidRPr="00320A86">
        <w:t>e</w:t>
      </w:r>
      <w:r w:rsidRPr="00320A86">
        <w:t>nant « l’Octobre polonais » et ses répercussions. Étant bien admis que l’histoire politique récente de la Pologne est extrêmement originale et complexe : il s’agit ici de mettre en lumière la composante conseilliste de cette histoire, pas de la surévaluer, non plus que de faire la part (i</w:t>
      </w:r>
      <w:r w:rsidRPr="00320A86">
        <w:t>n</w:t>
      </w:r>
      <w:r w:rsidRPr="00320A86">
        <w:t>contestable) du catholicisme social dans sa résurge</w:t>
      </w:r>
      <w:r w:rsidRPr="00320A86">
        <w:t>n</w:t>
      </w:r>
      <w:r w:rsidRPr="00320A86">
        <w:t>ce.</w:t>
      </w:r>
    </w:p>
    <w:p w14:paraId="4D80A41E" w14:textId="77777777" w:rsidR="00B01930" w:rsidRPr="00320A86" w:rsidRDefault="00B01930" w:rsidP="00B01930">
      <w:pPr>
        <w:spacing w:before="120" w:after="120"/>
        <w:jc w:val="both"/>
      </w:pPr>
      <w:r w:rsidRPr="00320A86">
        <w:t>Dans la Pologne satellisée par l’</w:t>
      </w:r>
      <w:r w:rsidRPr="00320A86">
        <w:rPr>
          <w:smallCaps/>
        </w:rPr>
        <w:t>Urss</w:t>
      </w:r>
      <w:r w:rsidRPr="00320A86">
        <w:t>, les conseils ouvriers apparus en 1956 purent se maintenir pendant une période de plus de deux ans. Fort de travaux solides et célèbres conduits avant la guerre à Chicago sur la théorie économique du socialisme, fort surtout du « </w:t>
      </w:r>
      <w:r w:rsidRPr="00163497">
        <w:rPr>
          <w:i/>
        </w:rPr>
        <w:t>Printemps polonais en automne </w:t>
      </w:r>
      <w:r w:rsidRPr="00320A86">
        <w:t>» qui avait su</w:t>
      </w:r>
      <w:r w:rsidRPr="00320A86">
        <w:t>c</w:t>
      </w:r>
      <w:r w:rsidRPr="00320A86">
        <w:t>cédé aux émeutes de juin 1956 à Poznań et aux grèves qui secouèrent le pays tout entier jusqu’en oct</w:t>
      </w:r>
      <w:r w:rsidRPr="00320A86">
        <w:t>o</w:t>
      </w:r>
      <w:r w:rsidRPr="00320A86">
        <w:t>bre, le vieil économiste Oscar Lange avait préconisé officiellement</w:t>
      </w:r>
      <w:r>
        <w:t> </w:t>
      </w:r>
      <w:r>
        <w:rPr>
          <w:rStyle w:val="Appelnotedebasdep"/>
        </w:rPr>
        <w:footnoteReference w:id="681"/>
      </w:r>
      <w:r w:rsidRPr="00320A86">
        <w:t xml:space="preserve"> et théorisé vigoureusement pour la Pologne un « </w:t>
      </w:r>
      <w:r w:rsidRPr="00163497">
        <w:rPr>
          <w:i/>
        </w:rPr>
        <w:t>nouveau modèle s</w:t>
      </w:r>
      <w:r w:rsidRPr="00163497">
        <w:rPr>
          <w:i/>
        </w:rPr>
        <w:t>o</w:t>
      </w:r>
      <w:r w:rsidRPr="00163497">
        <w:rPr>
          <w:i/>
        </w:rPr>
        <w:t>cialiste </w:t>
      </w:r>
      <w:r w:rsidRPr="00320A86">
        <w:t>» fusionnant planification centrale et grande autonomie des entreprises. Une autonomie fondée sur des conseils de gestion ouvri</w:t>
      </w:r>
      <w:r w:rsidRPr="00320A86">
        <w:t>è</w:t>
      </w:r>
      <w:r w:rsidRPr="00320A86">
        <w:t>re. Schémat</w:t>
      </w:r>
      <w:r w:rsidRPr="00320A86">
        <w:t>i</w:t>
      </w:r>
      <w:r w:rsidRPr="00320A86">
        <w:t>quement : le caractère collectif des formes de propriété ne stimule guère l’initiative des travailleurs. Conservons dit-il la planif</w:t>
      </w:r>
      <w:r w:rsidRPr="00320A86">
        <w:t>i</w:t>
      </w:r>
      <w:r w:rsidRPr="00320A86">
        <w:t>cation centrale pour éviter les risques d’égoïsme d’entreprise, mais circonscrivons son domaine utile. Remplaçons au</w:t>
      </w:r>
      <w:r w:rsidRPr="00320A86">
        <w:t>s</w:t>
      </w:r>
      <w:r w:rsidRPr="00320A86">
        <w:t>si largement que possible les ordres (car ils génèrent la paresse, les vols et le gaspillage caractéristiques du socialisme de style bureaucratique) par les incit</w:t>
      </w:r>
      <w:r w:rsidRPr="00320A86">
        <w:t>a</w:t>
      </w:r>
      <w:r w:rsidRPr="00320A86">
        <w:t>tions (et donc des réactions économiquement a</w:t>
      </w:r>
      <w:r w:rsidRPr="00320A86">
        <w:t>p</w:t>
      </w:r>
      <w:r w:rsidRPr="00320A86">
        <w:t>propriées aux signaux des prix et des impôts). Pour accroître le bien-être de la nation, plan</w:t>
      </w:r>
      <w:r w:rsidRPr="00320A86">
        <w:t>i</w:t>
      </w:r>
      <w:r w:rsidRPr="00320A86">
        <w:t>fions plus ou moins selon les particularités de chaque secteur écon</w:t>
      </w:r>
      <w:r w:rsidRPr="00320A86">
        <w:t>o</w:t>
      </w:r>
      <w:r w:rsidRPr="00320A86">
        <w:t>mique, et associons toujours les travailleurs à la gestion de la produ</w:t>
      </w:r>
      <w:r w:rsidRPr="00320A86">
        <w:t>c</w:t>
      </w:r>
      <w:r w:rsidRPr="00320A86">
        <w:t>tion et du plan grâce à l’institution d’une pyramide de conseils o</w:t>
      </w:r>
      <w:r w:rsidRPr="00320A86">
        <w:t>u</w:t>
      </w:r>
      <w:r w:rsidRPr="00320A86">
        <w:t>vriers.</w:t>
      </w:r>
    </w:p>
    <w:p w14:paraId="5B24E41F" w14:textId="77777777" w:rsidR="00B01930" w:rsidRPr="00320A86" w:rsidRDefault="00B01930" w:rsidP="00B01930">
      <w:pPr>
        <w:spacing w:before="120" w:after="120"/>
        <w:jc w:val="both"/>
      </w:pPr>
      <w:r w:rsidRPr="00320A86">
        <w:t>La mise en œuvre était problématique : une organisation pyramid</w:t>
      </w:r>
      <w:r w:rsidRPr="00320A86">
        <w:t>a</w:t>
      </w:r>
      <w:r w:rsidRPr="00320A86">
        <w:t>le jusqu’au Parlement permettrait aux conseils ouvriers d’élargir leur rôle et de contester la bureaucratie du parti et la structure de l’État. Rappelé au pouvoir</w:t>
      </w:r>
      <w:r>
        <w:t> </w:t>
      </w:r>
      <w:r>
        <w:rPr>
          <w:rStyle w:val="Appelnotedebasdep"/>
        </w:rPr>
        <w:footnoteReference w:id="682"/>
      </w:r>
      <w:r w:rsidRPr="00320A86">
        <w:t xml:space="preserve"> en octobre 1956 et débarrassé du maréchal ru</w:t>
      </w:r>
      <w:r w:rsidRPr="00320A86">
        <w:t>s</w:t>
      </w:r>
      <w:r w:rsidRPr="00320A86">
        <w:t>so-polonais Rokossovki, ministre de la Défense, Gomulka prendra position en mai 1957 contre le « </w:t>
      </w:r>
      <w:r w:rsidRPr="00163497">
        <w:rPr>
          <w:i/>
        </w:rPr>
        <w:t>système des conseils </w:t>
      </w:r>
      <w:r w:rsidRPr="00320A86">
        <w:t>». Il abolira en décembre 1958 les dispositions d’octobre 1956 sur les attributions et l’autonomie des conseils ouvriers. Il leur substitue une régleme</w:t>
      </w:r>
      <w:r w:rsidRPr="00320A86">
        <w:t>n</w:t>
      </w:r>
      <w:r w:rsidRPr="00320A86">
        <w:t>tation restrictive et qui réinsère dans les conseils, sans faculté de révocation, les élus du syndicat et du parti. Le dépérissement de la participation ouvrière à la gestion était relancé, et la sécheresse exceptionnelle de l’année 1959 achèvera de dissiper dans les difficultés agroalimentaires les programmes de gestion ouvrière autonome.</w:t>
      </w:r>
    </w:p>
    <w:p w14:paraId="31504F35" w14:textId="77777777" w:rsidR="00B01930" w:rsidRPr="00320A86" w:rsidRDefault="00B01930" w:rsidP="00B01930">
      <w:pPr>
        <w:spacing w:before="120" w:after="120"/>
        <w:jc w:val="both"/>
      </w:pPr>
      <w:r w:rsidRPr="00320A86">
        <w:t>Dix ans après toutefois, la formule d’un double pouvoir était dans toutes les mémoires. Les ouvriers de l’agglomération de Gdansk sa</w:t>
      </w:r>
      <w:r w:rsidRPr="00320A86">
        <w:t>u</w:t>
      </w:r>
      <w:r w:rsidRPr="00320A86">
        <w:t>ront s’en servir pour contrer la sanglante répression des émeutes contre le froid et la faim survenues pendant l’hiver 1969/70. Ils util</w:t>
      </w:r>
      <w:r w:rsidRPr="00320A86">
        <w:t>i</w:t>
      </w:r>
      <w:r w:rsidRPr="00320A86">
        <w:t>seront l’arme des conseils pour désarmer loc</w:t>
      </w:r>
      <w:r w:rsidRPr="00320A86">
        <w:t>a</w:t>
      </w:r>
      <w:r w:rsidRPr="00320A86">
        <w:t>lement la milice, rallier l’opinion publique du pays entier, renverser Gomulka, puis convoquer à deux reprises son successeur Gierek et obtenir l’abrogation des hausses de prix et l’approvisionnement des magasins. Aussitôt après (car l’invasion de la Tchécoslovaquie en août 1968 par les troupes du Pacte de Va</w:t>
      </w:r>
      <w:r w:rsidRPr="00320A86">
        <w:t>r</w:t>
      </w:r>
      <w:r w:rsidRPr="00320A86">
        <w:t>sovie ne peut être oubliée), ils rentreront prudemment dans le rang. Le dégel khrouchtchévien ayant tourné à la gérontocratie dans le bloc soviétique, il faudra attendre 1980 et l’apparition en P</w:t>
      </w:r>
      <w:r w:rsidRPr="00320A86">
        <w:t>o</w:t>
      </w:r>
      <w:r w:rsidRPr="00320A86">
        <w:t>logne d’un syndicat ouvrier autonome (</w:t>
      </w:r>
      <w:r w:rsidRPr="00163497">
        <w:rPr>
          <w:i/>
        </w:rPr>
        <w:t>Solidarnosc</w:t>
      </w:r>
      <w:r w:rsidRPr="00320A86">
        <w:t>) pour que repre</w:t>
      </w:r>
      <w:r w:rsidRPr="00320A86">
        <w:t>n</w:t>
      </w:r>
      <w:r w:rsidRPr="00320A86">
        <w:t>ne le dégel de la vie sociopolitique en Europe centrale et en Russie. Cela prendra dix ans de combats clandestins, sans parler des évén</w:t>
      </w:r>
      <w:r w:rsidRPr="00320A86">
        <w:t>e</w:t>
      </w:r>
      <w:r w:rsidRPr="00320A86">
        <w:t>ments internationaux. Qui aurait imaginé qu’en Pologne, de 1990 à 1995, Lech Walesa (ouvrier opposant et catholique fervent) serait pr</w:t>
      </w:r>
      <w:r w:rsidRPr="00320A86">
        <w:t>é</w:t>
      </w:r>
      <w:r w:rsidRPr="00320A86">
        <w:t>sident de la R</w:t>
      </w:r>
      <w:r w:rsidRPr="00320A86">
        <w:t>é</w:t>
      </w:r>
      <w:r w:rsidRPr="00320A86">
        <w:t>publique ?</w:t>
      </w:r>
    </w:p>
    <w:p w14:paraId="70FB64D7" w14:textId="77777777" w:rsidR="00B01930" w:rsidRPr="00320A86" w:rsidRDefault="00B01930" w:rsidP="00B01930">
      <w:pPr>
        <w:spacing w:before="120" w:after="120"/>
        <w:jc w:val="both"/>
      </w:pPr>
    </w:p>
    <w:p w14:paraId="77587BF8" w14:textId="77777777" w:rsidR="00B01930" w:rsidRPr="00320A86" w:rsidRDefault="00B01930" w:rsidP="00B01930">
      <w:pPr>
        <w:pStyle w:val="planche"/>
        <w:rPr>
          <w:szCs w:val="22"/>
        </w:rPr>
      </w:pPr>
      <w:bookmarkStart w:id="194" w:name="Analyser_idees_pol_pt_3_texte_05_VI"/>
      <w:r>
        <w:t>VI. Propos d’étape :</w:t>
      </w:r>
      <w:r>
        <w:br/>
      </w:r>
      <w:r w:rsidRPr="00320A86">
        <w:t>Albert Camus et les révolutions prolétariennes</w:t>
      </w:r>
    </w:p>
    <w:bookmarkEnd w:id="194"/>
    <w:p w14:paraId="1898E0A4" w14:textId="77777777" w:rsidR="00B01930" w:rsidRDefault="00B01930" w:rsidP="00B01930">
      <w:pPr>
        <w:spacing w:before="120" w:after="120"/>
        <w:jc w:val="both"/>
        <w:rPr>
          <w:szCs w:val="28"/>
        </w:rPr>
      </w:pPr>
    </w:p>
    <w:p w14:paraId="3BEEBDAF"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50EFAEB3" w14:textId="77777777" w:rsidR="00B01930" w:rsidRPr="00320A86" w:rsidRDefault="00B01930" w:rsidP="00B01930">
      <w:pPr>
        <w:spacing w:before="120" w:after="120"/>
        <w:jc w:val="both"/>
        <w:rPr>
          <w:szCs w:val="28"/>
        </w:rPr>
      </w:pPr>
      <w:r w:rsidRPr="00320A86">
        <w:rPr>
          <w:szCs w:val="28"/>
        </w:rPr>
        <w:t>Sans nier la brièveté des moments d’histoire passés ici en revue, il paraît maintenant possible d’en faire une lecture positive. Car enfin, pour éphémères qu’elles aient été, ne doit-on pas assimiler l’apparition des républiques de conseils à une démonstration de force, sinon d’efficacité, pour le mouvement social ? Et leur disparition r</w:t>
      </w:r>
      <w:r w:rsidRPr="00320A86">
        <w:rPr>
          <w:szCs w:val="28"/>
        </w:rPr>
        <w:t>a</w:t>
      </w:r>
      <w:r w:rsidRPr="00320A86">
        <w:rPr>
          <w:szCs w:val="28"/>
        </w:rPr>
        <w:t>pide, à la décision raisonnable de ne pas s’engager dans des combats douteux ?</w:t>
      </w:r>
    </w:p>
    <w:p w14:paraId="160DF7D9" w14:textId="77777777" w:rsidR="00B01930" w:rsidRPr="00320A86" w:rsidRDefault="00B01930" w:rsidP="00B01930">
      <w:pPr>
        <w:spacing w:before="120" w:after="120"/>
        <w:jc w:val="both"/>
        <w:rPr>
          <w:szCs w:val="28"/>
        </w:rPr>
      </w:pPr>
      <w:r w:rsidRPr="00320A86">
        <w:t>Pendan</w:t>
      </w:r>
      <w:r w:rsidRPr="00320A86">
        <w:rPr>
          <w:szCs w:val="28"/>
        </w:rPr>
        <w:t>t les périodes d’apathie du monde prolétarien, celles où les médias ne diffusent à son propos aucune information sensationnelle, c’est à la manière d’une « taupe » pourrait-on dire à la façon du jeune Marx, qu’il défend ses int</w:t>
      </w:r>
      <w:r w:rsidRPr="00320A86">
        <w:rPr>
          <w:szCs w:val="28"/>
        </w:rPr>
        <w:t>é</w:t>
      </w:r>
      <w:r w:rsidRPr="00320A86">
        <w:rPr>
          <w:szCs w:val="28"/>
        </w:rPr>
        <w:t>rêts dans les profondeurs des sociétés contemporaines. Les sociologues du travail et les juristes attentifs o</w:t>
      </w:r>
      <w:r w:rsidRPr="00320A86">
        <w:rPr>
          <w:szCs w:val="28"/>
        </w:rPr>
        <w:t>b</w:t>
      </w:r>
      <w:r w:rsidRPr="00320A86">
        <w:rPr>
          <w:szCs w:val="28"/>
        </w:rPr>
        <w:t>servent dans les entreprises qu’il y existe presque toujours des contre-pouvoirs à l’état informel. Des contre-pouvoirs et des usages peu vis</w:t>
      </w:r>
      <w:r w:rsidRPr="00320A86">
        <w:rPr>
          <w:szCs w:val="28"/>
        </w:rPr>
        <w:t>i</w:t>
      </w:r>
      <w:r w:rsidRPr="00320A86">
        <w:rPr>
          <w:szCs w:val="28"/>
        </w:rPr>
        <w:t>bles se manifestent aux yeux de tous, là où l’autorité des pouvoirs fo</w:t>
      </w:r>
      <w:r w:rsidRPr="00320A86">
        <w:rPr>
          <w:szCs w:val="28"/>
        </w:rPr>
        <w:t>r</w:t>
      </w:r>
      <w:r w:rsidRPr="00320A86">
        <w:rPr>
          <w:szCs w:val="28"/>
        </w:rPr>
        <w:t>mels apparaît intolérable, quand salaires, conditions de travail et recours sont trop insuffisants. Syndicats et partis les servent ou s’en servent. Des délégués sans mandat vont s’avérer puissants aux n</w:t>
      </w:r>
      <w:r w:rsidRPr="00320A86">
        <w:rPr>
          <w:szCs w:val="28"/>
        </w:rPr>
        <w:t>i</w:t>
      </w:r>
      <w:r w:rsidRPr="00320A86">
        <w:rPr>
          <w:szCs w:val="28"/>
        </w:rPr>
        <w:t>veaux où les pouvoirs formels ma</w:t>
      </w:r>
      <w:r w:rsidRPr="00320A86">
        <w:rPr>
          <w:szCs w:val="28"/>
        </w:rPr>
        <w:t>n</w:t>
      </w:r>
      <w:r w:rsidRPr="00320A86">
        <w:rPr>
          <w:szCs w:val="28"/>
        </w:rPr>
        <w:t>quent d’autorité, par l’expression de suggestions individuelles, l’animation de comités d’atelier, de c</w:t>
      </w:r>
      <w:r w:rsidRPr="00320A86">
        <w:rPr>
          <w:szCs w:val="28"/>
        </w:rPr>
        <w:t>o</w:t>
      </w:r>
      <w:r w:rsidRPr="00320A86">
        <w:rPr>
          <w:szCs w:val="28"/>
        </w:rPr>
        <w:t>mités de grève ; parfois surgissent des conseils ouvriers gestionnaires, parfois aussi des grèves insurrectionnelles, qui stupéfient un pays. En de tels « </w:t>
      </w:r>
      <w:r w:rsidRPr="00163497">
        <w:rPr>
          <w:i/>
          <w:szCs w:val="28"/>
        </w:rPr>
        <w:t>moments de conscience de classe aiguë </w:t>
      </w:r>
      <w:r w:rsidRPr="00320A86">
        <w:rPr>
          <w:szCs w:val="28"/>
        </w:rPr>
        <w:t>»</w:t>
      </w:r>
      <w:r>
        <w:rPr>
          <w:szCs w:val="28"/>
        </w:rPr>
        <w:t> </w:t>
      </w:r>
      <w:r>
        <w:rPr>
          <w:rStyle w:val="Appelnotedebasdep"/>
          <w:szCs w:val="28"/>
        </w:rPr>
        <w:footnoteReference w:id="683"/>
      </w:r>
      <w:r w:rsidRPr="00320A86">
        <w:rPr>
          <w:szCs w:val="28"/>
        </w:rPr>
        <w:t xml:space="preserve"> se multiplient des conseils ouvriers. Si ces institutions ne se révèlent pas ou plus appr</w:t>
      </w:r>
      <w:r w:rsidRPr="00320A86">
        <w:rPr>
          <w:szCs w:val="28"/>
        </w:rPr>
        <w:t>o</w:t>
      </w:r>
      <w:r w:rsidRPr="00320A86">
        <w:rPr>
          <w:szCs w:val="28"/>
        </w:rPr>
        <w:t>priées pour affronter les questions du moment, qui pourrait blâmer ceux qui leur ont donné vie d’avoir tout aussi rapidement décidé de ne pas les défendre jusqu’à la mort</w:t>
      </w:r>
      <w:r>
        <w:rPr>
          <w:szCs w:val="28"/>
        </w:rPr>
        <w:t> </w:t>
      </w:r>
      <w:r>
        <w:rPr>
          <w:rStyle w:val="Appelnotedebasdep"/>
          <w:szCs w:val="28"/>
        </w:rPr>
        <w:footnoteReference w:id="684"/>
      </w:r>
      <w:r w:rsidRPr="00320A86">
        <w:rPr>
          <w:szCs w:val="28"/>
        </w:rPr>
        <w:t> ? Selon cette façon de voir, plutôt qu’une forme institutionnelle admirable et reproductible de Cité idé</w:t>
      </w:r>
      <w:r w:rsidRPr="00320A86">
        <w:rPr>
          <w:szCs w:val="28"/>
        </w:rPr>
        <w:t>a</w:t>
      </w:r>
      <w:r w:rsidRPr="00320A86">
        <w:rPr>
          <w:szCs w:val="28"/>
        </w:rPr>
        <w:t>le, les républiques de conseils et le syndicalisme conseilliste nous l</w:t>
      </w:r>
      <w:r w:rsidRPr="00320A86">
        <w:rPr>
          <w:szCs w:val="28"/>
        </w:rPr>
        <w:t>i</w:t>
      </w:r>
      <w:r w:rsidRPr="00320A86">
        <w:rPr>
          <w:szCs w:val="28"/>
        </w:rPr>
        <w:t>vrent le témoignage irréfutable de la capacité du monde o</w:t>
      </w:r>
      <w:r w:rsidRPr="00320A86">
        <w:rPr>
          <w:szCs w:val="28"/>
        </w:rPr>
        <w:t>u</w:t>
      </w:r>
      <w:r w:rsidRPr="00320A86">
        <w:rPr>
          <w:szCs w:val="28"/>
        </w:rPr>
        <w:t>vrier à se doter d’une organisation quasiment étatique en période d’agitation i</w:t>
      </w:r>
      <w:r w:rsidRPr="00320A86">
        <w:rPr>
          <w:szCs w:val="28"/>
        </w:rPr>
        <w:t>n</w:t>
      </w:r>
      <w:r w:rsidRPr="00320A86">
        <w:rPr>
          <w:szCs w:val="28"/>
        </w:rPr>
        <w:t>surrectionnelle. Étant bien entendu qu’il s’agit d’une sorte de vaste bricol</w:t>
      </w:r>
      <w:r w:rsidRPr="00320A86">
        <w:rPr>
          <w:szCs w:val="28"/>
        </w:rPr>
        <w:t>a</w:t>
      </w:r>
      <w:r w:rsidRPr="00320A86">
        <w:rPr>
          <w:szCs w:val="28"/>
        </w:rPr>
        <w:t>ge collectif ; et que ce dispositif sera délaissé aussi vite qu’il a été mis en œuvre si les objectifs sont atteints, ou s’ils s’avèrent hors de portée, ou s’il paraît trop dangereux de persévérer.</w:t>
      </w:r>
    </w:p>
    <w:p w14:paraId="30EA0C1C" w14:textId="77777777" w:rsidR="00B01930" w:rsidRPr="00320A86" w:rsidRDefault="00B01930" w:rsidP="00B01930">
      <w:pPr>
        <w:spacing w:before="120" w:after="120"/>
        <w:jc w:val="both"/>
        <w:rPr>
          <w:rFonts w:cs="Arial"/>
          <w:szCs w:val="28"/>
        </w:rPr>
      </w:pPr>
      <w:r w:rsidRPr="00320A86">
        <w:rPr>
          <w:rFonts w:cs="Arial"/>
          <w:szCs w:val="28"/>
        </w:rPr>
        <w:t>« </w:t>
      </w:r>
      <w:r w:rsidRPr="00163497">
        <w:rPr>
          <w:rFonts w:cs="Arial"/>
          <w:i/>
          <w:szCs w:val="28"/>
        </w:rPr>
        <w:t>La violence est à la fois inévitable et injustifiable. Je crois qu’il faut lui garder son caractère exceptionnel et la resserrer dans les l</w:t>
      </w:r>
      <w:r w:rsidRPr="00163497">
        <w:rPr>
          <w:rFonts w:cs="Arial"/>
          <w:i/>
          <w:szCs w:val="28"/>
        </w:rPr>
        <w:t>i</w:t>
      </w:r>
      <w:r w:rsidRPr="00163497">
        <w:rPr>
          <w:rFonts w:cs="Arial"/>
          <w:i/>
          <w:szCs w:val="28"/>
        </w:rPr>
        <w:t>mites qu’on peut </w:t>
      </w:r>
      <w:r w:rsidRPr="00320A86">
        <w:rPr>
          <w:rFonts w:cs="Arial"/>
          <w:szCs w:val="28"/>
        </w:rPr>
        <w:t>», écrit Albert Camus</w:t>
      </w:r>
      <w:r>
        <w:rPr>
          <w:rFonts w:cs="Arial"/>
          <w:szCs w:val="28"/>
        </w:rPr>
        <w:t> </w:t>
      </w:r>
      <w:r>
        <w:rPr>
          <w:rStyle w:val="Appelnotedebasdep"/>
          <w:rFonts w:cs="Arial"/>
          <w:szCs w:val="28"/>
        </w:rPr>
        <w:footnoteReference w:id="685"/>
      </w:r>
      <w:r w:rsidRPr="00320A86">
        <w:rPr>
          <w:rFonts w:cs="Arial"/>
          <w:szCs w:val="28"/>
        </w:rPr>
        <w:t>. Il portraiture ses Justes en « </w:t>
      </w:r>
      <w:r w:rsidRPr="00163497">
        <w:rPr>
          <w:rFonts w:cs="Arial"/>
          <w:i/>
          <w:szCs w:val="28"/>
        </w:rPr>
        <w:t>meurtriers délicats </w:t>
      </w:r>
      <w:r w:rsidRPr="00320A86">
        <w:rPr>
          <w:rFonts w:cs="Arial"/>
          <w:szCs w:val="28"/>
        </w:rPr>
        <w:t>». C’était sans doute pour mettre en relief l’immoralisme de ceux qui moquaient en eux des révolutionnaires « </w:t>
      </w:r>
      <w:r w:rsidRPr="00163497">
        <w:rPr>
          <w:rFonts w:cs="Arial"/>
          <w:i/>
          <w:szCs w:val="28"/>
        </w:rPr>
        <w:t>ratés </w:t>
      </w:r>
      <w:r w:rsidRPr="00320A86">
        <w:rPr>
          <w:rFonts w:cs="Arial"/>
          <w:szCs w:val="28"/>
        </w:rPr>
        <w:t>». « </w:t>
      </w:r>
      <w:r w:rsidRPr="00163497">
        <w:rPr>
          <w:rFonts w:cs="Arial"/>
          <w:i/>
          <w:szCs w:val="28"/>
        </w:rPr>
        <w:t>Nécessaire et inexcusable, c’est ainsi que le meurtre leur apparaissait </w:t>
      </w:r>
      <w:r w:rsidRPr="00320A86">
        <w:rPr>
          <w:rFonts w:cs="Arial"/>
          <w:szCs w:val="28"/>
        </w:rPr>
        <w:t>» ; telle est la formule par laquelle Camus exalte la part</w:t>
      </w:r>
      <w:r w:rsidRPr="00320A86">
        <w:rPr>
          <w:rFonts w:cs="Arial"/>
          <w:szCs w:val="28"/>
        </w:rPr>
        <w:t>i</w:t>
      </w:r>
      <w:r w:rsidRPr="00320A86">
        <w:rPr>
          <w:rFonts w:cs="Arial"/>
          <w:szCs w:val="28"/>
        </w:rPr>
        <w:t>cularité des terroristes russes de 1905</w:t>
      </w:r>
      <w:r>
        <w:rPr>
          <w:rFonts w:cs="Arial"/>
          <w:szCs w:val="28"/>
        </w:rPr>
        <w:t> </w:t>
      </w:r>
      <w:r>
        <w:rPr>
          <w:rStyle w:val="Appelnotedebasdep"/>
          <w:rFonts w:cs="Arial"/>
          <w:szCs w:val="28"/>
        </w:rPr>
        <w:footnoteReference w:id="686"/>
      </w:r>
      <w:r w:rsidRPr="00320A86">
        <w:rPr>
          <w:rFonts w:cs="Arial"/>
          <w:szCs w:val="28"/>
        </w:rPr>
        <w:t>. Il a probablement forcé le trait. L’adversaire était-il tel ministre, tel général, tel gouverneur ? Les terroristes ru</w:t>
      </w:r>
      <w:r w:rsidRPr="00320A86">
        <w:rPr>
          <w:rFonts w:cs="Arial"/>
          <w:szCs w:val="28"/>
        </w:rPr>
        <w:t>s</w:t>
      </w:r>
      <w:r w:rsidRPr="00320A86">
        <w:rPr>
          <w:rFonts w:cs="Arial"/>
          <w:szCs w:val="28"/>
        </w:rPr>
        <w:t>ses s’autoriseront bientôt à tuer plantons, gendarmes, instituteurs et autres serv</w:t>
      </w:r>
      <w:r w:rsidRPr="00320A86">
        <w:rPr>
          <w:rFonts w:cs="Arial"/>
          <w:szCs w:val="28"/>
        </w:rPr>
        <w:t>i</w:t>
      </w:r>
      <w:r w:rsidRPr="00320A86">
        <w:rPr>
          <w:rFonts w:cs="Arial"/>
          <w:szCs w:val="28"/>
        </w:rPr>
        <w:t>teurs de l’ordre honni ; puis des quidams, sans faire de tri</w:t>
      </w:r>
      <w:r>
        <w:rPr>
          <w:rFonts w:cs="Arial"/>
          <w:szCs w:val="28"/>
        </w:rPr>
        <w:t> </w:t>
      </w:r>
      <w:r>
        <w:rPr>
          <w:rStyle w:val="Appelnotedebasdep"/>
          <w:rFonts w:cs="Arial"/>
          <w:szCs w:val="28"/>
        </w:rPr>
        <w:footnoteReference w:id="687"/>
      </w:r>
      <w:r w:rsidRPr="00320A86">
        <w:rPr>
          <w:rFonts w:cs="Arial"/>
          <w:szCs w:val="28"/>
        </w:rPr>
        <w:t>.</w:t>
      </w:r>
    </w:p>
    <w:p w14:paraId="1DDF6491" w14:textId="77777777" w:rsidR="00B01930" w:rsidRPr="00320A86" w:rsidRDefault="00B01930" w:rsidP="00B01930">
      <w:pPr>
        <w:spacing w:before="120" w:after="120"/>
        <w:jc w:val="both"/>
        <w:rPr>
          <w:szCs w:val="28"/>
        </w:rPr>
      </w:pPr>
      <w:r w:rsidRPr="00320A86">
        <w:rPr>
          <w:szCs w:val="28"/>
        </w:rPr>
        <w:t>« </w:t>
      </w:r>
      <w:r w:rsidRPr="00163497">
        <w:rPr>
          <w:i/>
          <w:szCs w:val="28"/>
        </w:rPr>
        <w:t>Le jugement délibéré et réfléchi du peuple doit prévaloir, non ses pa</w:t>
      </w:r>
      <w:r w:rsidRPr="00163497">
        <w:rPr>
          <w:i/>
          <w:szCs w:val="28"/>
        </w:rPr>
        <w:t>s</w:t>
      </w:r>
      <w:r w:rsidRPr="00163497">
        <w:rPr>
          <w:i/>
          <w:szCs w:val="28"/>
        </w:rPr>
        <w:t>sions </w:t>
      </w:r>
      <w:r w:rsidRPr="00320A86">
        <w:rPr>
          <w:szCs w:val="28"/>
        </w:rPr>
        <w:t>», proclamait un lecteur attentif de Montesquieu</w:t>
      </w:r>
      <w:r>
        <w:rPr>
          <w:szCs w:val="28"/>
        </w:rPr>
        <w:t> </w:t>
      </w:r>
      <w:r>
        <w:rPr>
          <w:rStyle w:val="Appelnotedebasdep"/>
          <w:szCs w:val="28"/>
        </w:rPr>
        <w:footnoteReference w:id="688"/>
      </w:r>
      <w:r w:rsidRPr="00320A86">
        <w:rPr>
          <w:szCs w:val="28"/>
        </w:rPr>
        <w:t>. Les très grands mo</w:t>
      </w:r>
      <w:r w:rsidRPr="00320A86">
        <w:rPr>
          <w:szCs w:val="28"/>
        </w:rPr>
        <w:t>u</w:t>
      </w:r>
      <w:r w:rsidRPr="00320A86">
        <w:rPr>
          <w:szCs w:val="28"/>
        </w:rPr>
        <w:t>vements politiques et sociaux sont investis de passions, ce qui leur confère une énergie redoutable. C’est en la bridant que les « </w:t>
      </w:r>
      <w:r w:rsidRPr="00163497">
        <w:rPr>
          <w:i/>
          <w:szCs w:val="28"/>
        </w:rPr>
        <w:t>Républiques populaires </w:t>
      </w:r>
      <w:r w:rsidRPr="00320A86">
        <w:rPr>
          <w:szCs w:val="28"/>
        </w:rPr>
        <w:t>» ont défiguré l’utopie irénique des part</w:t>
      </w:r>
      <w:r w:rsidRPr="00320A86">
        <w:rPr>
          <w:szCs w:val="28"/>
        </w:rPr>
        <w:t>i</w:t>
      </w:r>
      <w:r w:rsidRPr="00320A86">
        <w:rPr>
          <w:szCs w:val="28"/>
        </w:rPr>
        <w:t>sans de l’économie administrée et d’un État socialiste</w:t>
      </w:r>
      <w:r>
        <w:rPr>
          <w:szCs w:val="28"/>
        </w:rPr>
        <w:t> </w:t>
      </w:r>
      <w:r>
        <w:rPr>
          <w:rStyle w:val="Appelnotedebasdep"/>
          <w:szCs w:val="28"/>
        </w:rPr>
        <w:footnoteReference w:id="689"/>
      </w:r>
      <w:r w:rsidRPr="00320A86">
        <w:rPr>
          <w:szCs w:val="28"/>
        </w:rPr>
        <w:t>.</w:t>
      </w:r>
    </w:p>
    <w:p w14:paraId="1E21D2B7" w14:textId="77777777" w:rsidR="00B01930" w:rsidRPr="00320A86" w:rsidRDefault="00B01930" w:rsidP="00B01930">
      <w:pPr>
        <w:spacing w:before="120" w:after="120"/>
        <w:jc w:val="both"/>
        <w:rPr>
          <w:szCs w:val="28"/>
        </w:rPr>
      </w:pPr>
      <w:r w:rsidRPr="00320A86">
        <w:rPr>
          <w:szCs w:val="28"/>
        </w:rPr>
        <w:t>Gardons toutefois en mémoire qu’en maints pays de puissantes v</w:t>
      </w:r>
      <w:r w:rsidRPr="00320A86">
        <w:rPr>
          <w:szCs w:val="28"/>
        </w:rPr>
        <w:t>a</w:t>
      </w:r>
      <w:r w:rsidRPr="00320A86">
        <w:rPr>
          <w:szCs w:val="28"/>
        </w:rPr>
        <w:t>gues d’exaspération populaire ont su, en déferlant, inspirer des crai</w:t>
      </w:r>
      <w:r w:rsidRPr="00320A86">
        <w:rPr>
          <w:szCs w:val="28"/>
        </w:rPr>
        <w:t>n</w:t>
      </w:r>
      <w:r w:rsidRPr="00320A86">
        <w:rPr>
          <w:szCs w:val="28"/>
        </w:rPr>
        <w:t>tes salutaires dans les milieux dirigeants puis, en se retirant, déjouer l’emprise des ambitieux s’agitant parmi les révoltés. Que résultera-t-il demain des passions excitées ces temps-ci dans les profondeurs du « </w:t>
      </w:r>
      <w:r w:rsidRPr="00163497">
        <w:rPr>
          <w:i/>
          <w:szCs w:val="28"/>
        </w:rPr>
        <w:t>monde musulman </w:t>
      </w:r>
      <w:r w:rsidRPr="00320A86">
        <w:rPr>
          <w:szCs w:val="28"/>
        </w:rPr>
        <w:t>» ? Il est juste de reconna</w:t>
      </w:r>
      <w:r w:rsidRPr="00320A86">
        <w:rPr>
          <w:szCs w:val="28"/>
        </w:rPr>
        <w:t>î</w:t>
      </w:r>
      <w:r w:rsidRPr="00320A86">
        <w:rPr>
          <w:szCs w:val="28"/>
        </w:rPr>
        <w:t>tre, comme on a tenté ici de l’établir en évoquant la brève histoire des nombreuses républ</w:t>
      </w:r>
      <w:r w:rsidRPr="00320A86">
        <w:rPr>
          <w:szCs w:val="28"/>
        </w:rPr>
        <w:t>i</w:t>
      </w:r>
      <w:r w:rsidRPr="00320A86">
        <w:rPr>
          <w:szCs w:val="28"/>
        </w:rPr>
        <w:t>ques de conseils, que l’histoire est toujours « à suivre ». Les hommes, et certainement pas les seuls Européens, sont capables de barbarie mais dotés de raison, pour le meilleur et pour le pire.</w:t>
      </w:r>
    </w:p>
    <w:p w14:paraId="129D6743" w14:textId="77777777" w:rsidR="00B01930" w:rsidRDefault="00B01930" w:rsidP="00B01930">
      <w:pPr>
        <w:jc w:val="both"/>
      </w:pPr>
    </w:p>
    <w:p w14:paraId="3B8F3255" w14:textId="77777777" w:rsidR="00B01930" w:rsidRDefault="00B01930" w:rsidP="00B01930">
      <w:pPr>
        <w:jc w:val="both"/>
      </w:pPr>
    </w:p>
    <w:p w14:paraId="7F8ABB2B" w14:textId="77777777" w:rsidR="00B01930" w:rsidRDefault="00B01930" w:rsidP="00B01930">
      <w:pPr>
        <w:jc w:val="both"/>
      </w:pPr>
      <w:r>
        <w:br w:type="page"/>
      </w:r>
    </w:p>
    <w:p w14:paraId="083B6E17" w14:textId="77777777" w:rsidR="00B01930" w:rsidRDefault="00B01930" w:rsidP="00B01930">
      <w:pPr>
        <w:jc w:val="both"/>
      </w:pPr>
    </w:p>
    <w:p w14:paraId="6AFB196E" w14:textId="77777777" w:rsidR="00B01930" w:rsidRDefault="00B01930" w:rsidP="00B01930">
      <w:pPr>
        <w:jc w:val="both"/>
      </w:pPr>
    </w:p>
    <w:p w14:paraId="3E0B9031" w14:textId="77777777" w:rsidR="00B01930" w:rsidRPr="009D4882" w:rsidRDefault="00B01930" w:rsidP="00B01930">
      <w:pPr>
        <w:spacing w:after="120"/>
        <w:ind w:firstLine="0"/>
        <w:jc w:val="center"/>
        <w:rPr>
          <w:b/>
          <w:color w:val="000080"/>
        </w:rPr>
      </w:pPr>
      <w:bookmarkStart w:id="195" w:name="Analyser_idees_pol_pt_3_texte_06"/>
      <w:r>
        <w:rPr>
          <w:b/>
          <w:color w:val="000080"/>
        </w:rPr>
        <w:t>Troisième</w:t>
      </w:r>
      <w:r w:rsidRPr="009D4882">
        <w:rPr>
          <w:b/>
          <w:color w:val="000080"/>
        </w:rPr>
        <w:t xml:space="preserve"> partie</w:t>
      </w:r>
      <w:r w:rsidRPr="009D4882">
        <w:rPr>
          <w:b/>
          <w:color w:val="000080"/>
        </w:rPr>
        <w:br/>
      </w:r>
      <w:r>
        <w:rPr>
          <w:i/>
          <w:color w:val="000080"/>
        </w:rPr>
        <w:t>De quelques idées politiques «modernes»</w:t>
      </w:r>
    </w:p>
    <w:p w14:paraId="5CA76BC2" w14:textId="77777777" w:rsidR="00B01930" w:rsidRDefault="00B01930" w:rsidP="00B01930">
      <w:pPr>
        <w:pStyle w:val="Titreniveau1"/>
        <w:rPr>
          <w:szCs w:val="36"/>
        </w:rPr>
      </w:pPr>
      <w:r>
        <w:rPr>
          <w:szCs w:val="36"/>
        </w:rPr>
        <w:t>6</w:t>
      </w:r>
    </w:p>
    <w:p w14:paraId="1DDDE804" w14:textId="77777777" w:rsidR="00B01930" w:rsidRDefault="00B01930" w:rsidP="00B01930">
      <w:pPr>
        <w:jc w:val="both"/>
        <w:rPr>
          <w:szCs w:val="36"/>
        </w:rPr>
      </w:pPr>
    </w:p>
    <w:p w14:paraId="651AA290" w14:textId="77777777" w:rsidR="00B01930" w:rsidRPr="00843F3E" w:rsidRDefault="00B01930" w:rsidP="00B01930">
      <w:pPr>
        <w:pStyle w:val="Titreniveau2"/>
      </w:pPr>
      <w:r>
        <w:t>“Lire Carl Schmitt autrement.</w:t>
      </w:r>
      <w:r>
        <w:br/>
        <w:t>Essai d’interprétation martrienne.”</w:t>
      </w:r>
    </w:p>
    <w:bookmarkEnd w:id="195"/>
    <w:p w14:paraId="49DB6898" w14:textId="77777777" w:rsidR="00B01930" w:rsidRDefault="00B01930" w:rsidP="00B01930">
      <w:pPr>
        <w:jc w:val="both"/>
        <w:rPr>
          <w:szCs w:val="36"/>
        </w:rPr>
      </w:pPr>
    </w:p>
    <w:p w14:paraId="014879D9" w14:textId="77777777" w:rsidR="00B01930" w:rsidRDefault="00B01930" w:rsidP="00B01930">
      <w:pPr>
        <w:pStyle w:val="suite"/>
      </w:pPr>
      <w:r>
        <w:t>Daniel LAGRAULA</w:t>
      </w:r>
    </w:p>
    <w:p w14:paraId="54771927" w14:textId="77777777" w:rsidR="00B01930" w:rsidRDefault="00B01930" w:rsidP="00B01930">
      <w:pPr>
        <w:jc w:val="both"/>
      </w:pPr>
    </w:p>
    <w:p w14:paraId="780CC428" w14:textId="77777777" w:rsidR="00B01930" w:rsidRDefault="00B01930" w:rsidP="00B01930">
      <w:pPr>
        <w:jc w:val="both"/>
      </w:pPr>
    </w:p>
    <w:p w14:paraId="1CCE39C7" w14:textId="77777777" w:rsidR="00B01930" w:rsidRPr="00E627B1" w:rsidRDefault="00B01930" w:rsidP="00B01930">
      <w:pPr>
        <w:spacing w:before="120" w:after="120"/>
        <w:ind w:left="2880"/>
        <w:jc w:val="both"/>
        <w:rPr>
          <w:sz w:val="24"/>
        </w:rPr>
      </w:pPr>
      <w:r w:rsidRPr="00E627B1">
        <w:rPr>
          <w:sz w:val="24"/>
        </w:rPr>
        <w:t>« </w:t>
      </w:r>
      <w:r w:rsidRPr="00E627B1">
        <w:rPr>
          <w:color w:val="000090"/>
          <w:sz w:val="24"/>
        </w:rPr>
        <w:t>La façon qu’a un théoricien d’interpréter d’autres penseurs jette un éclair</w:t>
      </w:r>
      <w:r w:rsidRPr="00E627B1">
        <w:rPr>
          <w:color w:val="000090"/>
          <w:sz w:val="24"/>
        </w:rPr>
        <w:t>a</w:t>
      </w:r>
      <w:r w:rsidRPr="00E627B1">
        <w:rPr>
          <w:color w:val="000090"/>
          <w:sz w:val="24"/>
        </w:rPr>
        <w:t>ge sur sa pensée propre. Ses lectures façonnent son écrit</w:t>
      </w:r>
      <w:r w:rsidRPr="00E627B1">
        <w:rPr>
          <w:color w:val="000090"/>
          <w:sz w:val="24"/>
        </w:rPr>
        <w:t>u</w:t>
      </w:r>
      <w:r w:rsidRPr="00E627B1">
        <w:rPr>
          <w:color w:val="000090"/>
          <w:sz w:val="24"/>
        </w:rPr>
        <w:t>re</w:t>
      </w:r>
      <w:r w:rsidRPr="00E627B1">
        <w:rPr>
          <w:sz w:val="24"/>
        </w:rPr>
        <w:t>. »</w:t>
      </w:r>
    </w:p>
    <w:p w14:paraId="2E8B5BE3" w14:textId="77777777" w:rsidR="00B01930" w:rsidRPr="00E627B1" w:rsidRDefault="00B01930" w:rsidP="00B01930">
      <w:pPr>
        <w:spacing w:before="120" w:after="120"/>
        <w:ind w:left="2880"/>
        <w:jc w:val="both"/>
        <w:rPr>
          <w:sz w:val="24"/>
        </w:rPr>
      </w:pPr>
      <w:r w:rsidRPr="00E627B1">
        <w:rPr>
          <w:sz w:val="24"/>
        </w:rPr>
        <w:t>Heinrich Meier, La Leçon de Carl Schmitt, P</w:t>
      </w:r>
      <w:r w:rsidRPr="00E627B1">
        <w:rPr>
          <w:sz w:val="24"/>
        </w:rPr>
        <w:t>a</w:t>
      </w:r>
      <w:r w:rsidRPr="00E627B1">
        <w:rPr>
          <w:sz w:val="24"/>
        </w:rPr>
        <w:t>ris, Cerf, 2014, p. 11.</w:t>
      </w:r>
    </w:p>
    <w:p w14:paraId="3350F014" w14:textId="77777777" w:rsidR="00B01930" w:rsidRDefault="00B01930" w:rsidP="00B01930">
      <w:pPr>
        <w:spacing w:before="120" w:after="120"/>
        <w:jc w:val="both"/>
      </w:pPr>
    </w:p>
    <w:p w14:paraId="4316F639"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62F0C312" w14:textId="77777777" w:rsidR="00B01930" w:rsidRPr="00320A86" w:rsidRDefault="00B01930" w:rsidP="00B01930">
      <w:pPr>
        <w:spacing w:before="120" w:after="120"/>
        <w:jc w:val="both"/>
      </w:pPr>
      <w:r w:rsidRPr="00320A86">
        <w:t>Entre savoir « que faire de Carl Schmitt »</w:t>
      </w:r>
      <w:r>
        <w:t> </w:t>
      </w:r>
      <w:r>
        <w:rPr>
          <w:rStyle w:val="Appelnotedebasdep"/>
        </w:rPr>
        <w:footnoteReference w:id="690"/>
      </w:r>
      <w:r w:rsidRPr="00320A86">
        <w:t>, ou si, au contraire, « on ne faisait rien de Carl Schmitt »</w:t>
      </w:r>
      <w:r>
        <w:t> </w:t>
      </w:r>
      <w:r>
        <w:rPr>
          <w:rStyle w:val="Appelnotedebasdep"/>
        </w:rPr>
        <w:footnoteReference w:id="691"/>
      </w:r>
      <w:r w:rsidRPr="00320A86">
        <w:t>, nous pensons, depuis lon</w:t>
      </w:r>
      <w:r w:rsidRPr="00320A86">
        <w:t>g</w:t>
      </w:r>
      <w:r w:rsidRPr="00320A86">
        <w:t>temps, qu’on peut lire le « dangereux Carl Schmitt »</w:t>
      </w:r>
      <w:r>
        <w:t> </w:t>
      </w:r>
      <w:r>
        <w:rPr>
          <w:rStyle w:val="Appelnotedebasdep"/>
        </w:rPr>
        <w:footnoteReference w:id="692"/>
      </w:r>
      <w:r w:rsidRPr="00320A86">
        <w:t xml:space="preserve"> d’une autre manière que celle qui consiste à disc</w:t>
      </w:r>
      <w:r w:rsidRPr="00320A86">
        <w:t>u</w:t>
      </w:r>
      <w:r w:rsidRPr="00320A86">
        <w:t>ter de la validité des concepts schmittiens, de leur actualité, en termes épistém</w:t>
      </w:r>
      <w:r w:rsidRPr="00320A86">
        <w:t>o</w:t>
      </w:r>
      <w:r w:rsidRPr="00320A86">
        <w:t>logiques au regard de la carrière discutable, et discutée, de l’auteur. Autrement dit sans e</w:t>
      </w:r>
      <w:r w:rsidRPr="00320A86">
        <w:t>n</w:t>
      </w:r>
      <w:r w:rsidRPr="00320A86">
        <w:t>trer, de prime abord, dans des controverses dont, au demeurant, on peut comprendre qu’elles aient eu lieu, tant « cette œuvre divise et suscite même chez ses défenseurs des réserves fondamentales »</w:t>
      </w:r>
      <w:r>
        <w:t> </w:t>
      </w:r>
      <w:r>
        <w:rPr>
          <w:rStyle w:val="Appelnotedebasdep"/>
        </w:rPr>
        <w:footnoteReference w:id="693"/>
      </w:r>
      <w:r w:rsidRPr="00320A86">
        <w:t>, mais « il semble aussi peu utile d’abandonner Schmitt à son ignominie que de renoncer à toute lecture cr</w:t>
      </w:r>
      <w:r w:rsidRPr="00320A86">
        <w:t>i</w:t>
      </w:r>
      <w:r w:rsidRPr="00320A86">
        <w:t>tique de son œuvre »</w:t>
      </w:r>
      <w:r>
        <w:t> </w:t>
      </w:r>
      <w:r>
        <w:rPr>
          <w:rStyle w:val="Appelnotedebasdep"/>
        </w:rPr>
        <w:footnoteReference w:id="694"/>
      </w:r>
      <w:r w:rsidRPr="00320A86">
        <w:t>.</w:t>
      </w:r>
    </w:p>
    <w:p w14:paraId="497865A0" w14:textId="77777777" w:rsidR="00B01930" w:rsidRPr="00320A86" w:rsidRDefault="00B01930" w:rsidP="00B01930">
      <w:pPr>
        <w:spacing w:before="120" w:after="120"/>
        <w:jc w:val="both"/>
      </w:pPr>
      <w:r w:rsidRPr="00320A86">
        <w:t>Nous appuyant sur l’analyse martrienne des idées politiques</w:t>
      </w:r>
      <w:r>
        <w:t> </w:t>
      </w:r>
      <w:r>
        <w:rPr>
          <w:rStyle w:val="Appelnotedebasdep"/>
        </w:rPr>
        <w:footnoteReference w:id="695"/>
      </w:r>
      <w:r w:rsidRPr="00320A86">
        <w:t>, n</w:t>
      </w:r>
      <w:r w:rsidRPr="00320A86">
        <w:t>o</w:t>
      </w:r>
      <w:r w:rsidRPr="00320A86">
        <w:t>tre que</w:t>
      </w:r>
      <w:r w:rsidRPr="00320A86">
        <w:t>s</w:t>
      </w:r>
      <w:r w:rsidRPr="00320A86">
        <w:t>tionnement porte sur ce qui explique la construction de sa pensée et de ses conséquences dans le discours, comme sa postérité. Qu’est-ce qui explique que ses écrits aient pu revenir sur le devant de la scène intellectuelle, non seulement par la mouvance d’extrême dro</w:t>
      </w:r>
      <w:r w:rsidRPr="00320A86">
        <w:t>i</w:t>
      </w:r>
      <w:r w:rsidRPr="00320A86">
        <w:t>te, mais aussi – et surtout – par le truchement d’intellectuels d’extrême gauche (qui ont pour adversaire, pour ennemis, leurs hom</w:t>
      </w:r>
      <w:r w:rsidRPr="00320A86">
        <w:t>o</w:t>
      </w:r>
      <w:r w:rsidRPr="00320A86">
        <w:t>logues de l’autre extrême) ?</w:t>
      </w:r>
    </w:p>
    <w:p w14:paraId="2ADF8E08" w14:textId="77777777" w:rsidR="00B01930" w:rsidRPr="00320A86" w:rsidRDefault="00B01930" w:rsidP="00B01930">
      <w:pPr>
        <w:spacing w:before="120" w:after="120"/>
        <w:jc w:val="both"/>
      </w:pPr>
      <w:r w:rsidRPr="00320A86">
        <w:t>Autre problématique qui traverse toute « la glose » sur Carl Schmitt : y a-t-il eu évolution significative de sa pensée dans le temps (entre ses premiers écrits du début des années vingt, et les derniers – post 1945 – et jusqu’à sa mort) ? Ses concepts auraient-ils gagné en vigueur, seraient-ils devenus différents en fonction d’un travail de r</w:t>
      </w:r>
      <w:r w:rsidRPr="00320A86">
        <w:t>e</w:t>
      </w:r>
      <w:r w:rsidRPr="00320A86">
        <w:t>cherche approfondie, tenant compte de l’évolution de la science et des sciences humaines ? Ou bien l’évolution serait-elle seulement due à un opportunisme politique et carriériste l’ayant conduit à adhérer au nazisme, à soutenir les mesures antijuives, pour devenir le premier « </w:t>
      </w:r>
      <w:r w:rsidRPr="00163497">
        <w:rPr>
          <w:i/>
        </w:rPr>
        <w:t>Kronjurist </w:t>
      </w:r>
      <w:r w:rsidRPr="00320A86">
        <w:t>» du Troisième Reich et satisfaire un besoin de reco</w:t>
      </w:r>
      <w:r w:rsidRPr="00320A86">
        <w:t>n</w:t>
      </w:r>
      <w:r w:rsidRPr="00320A86">
        <w:t>naissance et de pouvoir (ce qui n’est pas exclusif avec la première question) ? Ou les « évolutions » ne sont pas, non plus, à analyser comme de véritables « dérives », ni comme le fruit d’une a</w:t>
      </w:r>
      <w:r w:rsidRPr="00320A86">
        <w:t>u</w:t>
      </w:r>
      <w:r w:rsidRPr="00320A86">
        <w:t>thentique évolution conceptuelle, mais sont, en réalité une continuité dont le re</w:t>
      </w:r>
      <w:r w:rsidRPr="00320A86">
        <w:t>s</w:t>
      </w:r>
      <w:r w:rsidRPr="00320A86">
        <w:t>sort serait infratextuel et sous-tendrait toute sa pensée et qu’il s’agirait de d</w:t>
      </w:r>
      <w:r w:rsidRPr="00320A86">
        <w:t>é</w:t>
      </w:r>
      <w:r w:rsidRPr="00320A86">
        <w:t>crypter ?</w:t>
      </w:r>
    </w:p>
    <w:p w14:paraId="5D5899C1" w14:textId="77777777" w:rsidR="00B01930" w:rsidRPr="00320A86" w:rsidRDefault="00B01930" w:rsidP="00B01930">
      <w:pPr>
        <w:spacing w:before="120" w:after="120"/>
        <w:jc w:val="both"/>
      </w:pPr>
      <w:r w:rsidRPr="00320A86">
        <w:t>Nous pensons que l’hypothèse martrienne de structures de la pe</w:t>
      </w:r>
      <w:r w:rsidRPr="00320A86">
        <w:t>n</w:t>
      </w:r>
      <w:r w:rsidRPr="00320A86">
        <w:t>sée politique est de nature à rendre compte aussi bien des engag</w:t>
      </w:r>
      <w:r w:rsidRPr="00320A86">
        <w:t>e</w:t>
      </w:r>
      <w:r w:rsidRPr="00320A86">
        <w:t>ments politiques et des écrits de Carl Schmitt, que de la circulation de ses idées aux deux extrêmes du « fer à cheval des idéologies »</w:t>
      </w:r>
      <w:r>
        <w:t> </w:t>
      </w:r>
      <w:r>
        <w:rPr>
          <w:rStyle w:val="Appelnotedebasdep"/>
        </w:rPr>
        <w:footnoteReference w:id="696"/>
      </w:r>
      <w:r w:rsidRPr="00320A86">
        <w:t>, ou encore la permanence des polémiques sur l’intérêt ou la portée de sa pensée. À nos yeux, l’hypothèse en question permet d’unifier l’interprétation de ces phénomènes.</w:t>
      </w:r>
    </w:p>
    <w:p w14:paraId="2B0F5A94" w14:textId="77777777" w:rsidR="00B01930" w:rsidRPr="00320A86" w:rsidRDefault="00B01930" w:rsidP="00B01930">
      <w:pPr>
        <w:spacing w:before="120" w:after="120"/>
        <w:jc w:val="both"/>
      </w:pPr>
      <w:r w:rsidRPr="00320A86">
        <w:t>On pourrait objecter que l’œuvre de Carl Schmitt relève du doma</w:t>
      </w:r>
      <w:r w:rsidRPr="00320A86">
        <w:t>i</w:t>
      </w:r>
      <w:r w:rsidRPr="00320A86">
        <w:t>ne du Droit, comme il le soutient à de nombreuses reprises, de la r</w:t>
      </w:r>
      <w:r w:rsidRPr="00320A86">
        <w:t>e</w:t>
      </w:r>
      <w:r w:rsidRPr="00320A86">
        <w:t>cherche universita</w:t>
      </w:r>
      <w:r w:rsidRPr="00320A86">
        <w:t>i</w:t>
      </w:r>
      <w:r w:rsidRPr="00320A86">
        <w:t>re et, de ce fait, ne pourrait relever du mode d’analyse martrienne des idées politiques. Nonobstant le fait que ce</w:t>
      </w:r>
      <w:r w:rsidRPr="00320A86">
        <w:t>l</w:t>
      </w:r>
      <w:r w:rsidRPr="00320A86">
        <w:t>les-ci sont protéiformes et peuvent se parer des atours les plus scinti</w:t>
      </w:r>
      <w:r w:rsidRPr="00320A86">
        <w:t>l</w:t>
      </w:r>
      <w:r w:rsidRPr="00320A86">
        <w:t>lants de la science, il s’avère que la pensée schmittienne, par son intr</w:t>
      </w:r>
      <w:r w:rsidRPr="00320A86">
        <w:t>i</w:t>
      </w:r>
      <w:r w:rsidRPr="00320A86">
        <w:t>cation avec les prises de position politique de son auteur, rend d’autant plus utiles les conceptions martriennes pour la comprendre et l’expliquer. Comme l’écrit Olivier Beaud</w:t>
      </w:r>
      <w:r>
        <w:t> </w:t>
      </w:r>
      <w:r>
        <w:rPr>
          <w:rStyle w:val="Appelnotedebasdep"/>
        </w:rPr>
        <w:footnoteReference w:id="697"/>
      </w:r>
      <w:r w:rsidRPr="00320A86">
        <w:t>, « la Théorie de la Const</w:t>
      </w:r>
      <w:r w:rsidRPr="00320A86">
        <w:t>i</w:t>
      </w:r>
      <w:r w:rsidRPr="00320A86">
        <w:t>tution peut […] être interprétée […] comme son ouvrage de philos</w:t>
      </w:r>
      <w:r w:rsidRPr="00320A86">
        <w:t>o</w:t>
      </w:r>
      <w:r w:rsidRPr="00320A86">
        <w:t>phie politique ou de science politique [et qu’] il figure désormais dans le dictionnaire des œuvres politiques », et il ajoute, citant un comme</w:t>
      </w:r>
      <w:r w:rsidRPr="00320A86">
        <w:t>n</w:t>
      </w:r>
      <w:r w:rsidRPr="00320A86">
        <w:t>tateur : « on peut étudier “la Théorie politique” de Schmitt à partir de sa position juridique fondamentale, mais l’inverse est tout à fait pe</w:t>
      </w:r>
      <w:r w:rsidRPr="00320A86">
        <w:t>n</w:t>
      </w:r>
      <w:r w:rsidRPr="00320A86">
        <w:t>sable »</w:t>
      </w:r>
      <w:r>
        <w:t> </w:t>
      </w:r>
      <w:r>
        <w:rPr>
          <w:rStyle w:val="Appelnotedebasdep"/>
        </w:rPr>
        <w:footnoteReference w:id="698"/>
      </w:r>
      <w:r w:rsidRPr="00320A86">
        <w:t>.</w:t>
      </w:r>
    </w:p>
    <w:p w14:paraId="0712B4F7" w14:textId="77777777" w:rsidR="00B01930" w:rsidRPr="00320A86" w:rsidRDefault="00B01930" w:rsidP="00B01930">
      <w:pPr>
        <w:spacing w:before="120" w:after="120"/>
        <w:jc w:val="both"/>
      </w:pPr>
      <w:r w:rsidRPr="00320A86">
        <w:t>L’interprétation de Jean-Louis Martres a pour hypothèse que, par-delà le di</w:t>
      </w:r>
      <w:r w:rsidRPr="00320A86">
        <w:t>s</w:t>
      </w:r>
      <w:r w:rsidRPr="00320A86">
        <w:t>cours, il existe un principe ordonnateur qui permet de dire que « malgré son entière mobilité [la pensée de Carl Schmitt] a su fa</w:t>
      </w:r>
      <w:r w:rsidRPr="00320A86">
        <w:t>i</w:t>
      </w:r>
      <w:r w:rsidRPr="00320A86">
        <w:t>re preuve d’une grande coh</w:t>
      </w:r>
      <w:r w:rsidRPr="00320A86">
        <w:t>é</w:t>
      </w:r>
      <w:r w:rsidRPr="00320A86">
        <w:t>rence et d’une constance indéniable dans sa manière de poser les problèmes […] ; l’opportunisme [n’éclaire] ni la totalité du contenu de son œuvre pendant cette période [des années trente], ni même sa réception</w:t>
      </w:r>
      <w:r>
        <w:t> </w:t>
      </w:r>
      <w:r>
        <w:rPr>
          <w:rStyle w:val="Appelnotedebasdep"/>
        </w:rPr>
        <w:footnoteReference w:id="699"/>
      </w:r>
      <w:r w:rsidRPr="00320A86">
        <w:t> ».</w:t>
      </w:r>
    </w:p>
    <w:p w14:paraId="73B508FF" w14:textId="77777777" w:rsidR="00B01930" w:rsidRPr="00320A86" w:rsidRDefault="00B01930" w:rsidP="00B01930">
      <w:pPr>
        <w:spacing w:before="120" w:after="120"/>
        <w:jc w:val="both"/>
      </w:pPr>
      <w:r w:rsidRPr="00320A86">
        <w:t>Notre étude, qui n’est qu’un essai, « n’entrera pas […] dans un examen minutieux des textes nombreux et divers […] de ce ratioc</w:t>
      </w:r>
      <w:r w:rsidRPr="00320A86">
        <w:t>i</w:t>
      </w:r>
      <w:r w:rsidRPr="00320A86">
        <w:t>neur inspiré »</w:t>
      </w:r>
      <w:r>
        <w:t> </w:t>
      </w:r>
      <w:r>
        <w:rPr>
          <w:rStyle w:val="Appelnotedebasdep"/>
        </w:rPr>
        <w:footnoteReference w:id="700"/>
      </w:r>
      <w:r w:rsidRPr="00320A86">
        <w:t>. Pas plus que nous nous prononcerons sur l’intérêt – ou non – sur le plan épistémol</w:t>
      </w:r>
      <w:r w:rsidRPr="00320A86">
        <w:t>o</w:t>
      </w:r>
      <w:r w:rsidRPr="00320A86">
        <w:t>gique et théorique de ses notions (même revisitées). Bien que les critiques portées par Carl Schmitt e</w:t>
      </w:r>
      <w:r w:rsidRPr="00320A86">
        <w:t>n</w:t>
      </w:r>
      <w:r w:rsidRPr="00320A86">
        <w:t>vers les gouvernements allemands d’après 1918 et contre la pe</w:t>
      </w:r>
      <w:r w:rsidRPr="00320A86">
        <w:t>n</w:t>
      </w:r>
      <w:r w:rsidRPr="00320A86">
        <w:t>sée « normativiste » ne soient pas dépourvues de fondement, eu égard à la situ</w:t>
      </w:r>
      <w:r w:rsidRPr="00320A86">
        <w:t>a</w:t>
      </w:r>
      <w:r w:rsidRPr="00320A86">
        <w:t>tion politique, économique et sociale des années vingt et trente. Ce qui nous i</w:t>
      </w:r>
      <w:r w:rsidRPr="00320A86">
        <w:t>m</w:t>
      </w:r>
      <w:r w:rsidRPr="00320A86">
        <w:t>porte ici, c’est la manière dont il a sélectionné dans ce matériau ce qui lui servit à construire son discours et pourquoi il en a été ainsi, d’autant plus qu’il s’agit d’une « œuvre dont la sombre a</w:t>
      </w:r>
      <w:r w:rsidRPr="00320A86">
        <w:t>t</w:t>
      </w:r>
      <w:r w:rsidRPr="00320A86">
        <w:t>traction semble provenir de la nostalgie du politique qu’elle expr</w:t>
      </w:r>
      <w:r w:rsidRPr="00320A86">
        <w:t>i</w:t>
      </w:r>
      <w:r w:rsidRPr="00320A86">
        <w:t>me</w:t>
      </w:r>
      <w:r>
        <w:t> </w:t>
      </w:r>
      <w:r>
        <w:rPr>
          <w:rStyle w:val="Appelnotedebasdep"/>
        </w:rPr>
        <w:footnoteReference w:id="701"/>
      </w:r>
      <w:r w:rsidRPr="00320A86">
        <w:t> ». Formule qui prend tout son sens à la lumière de la pensée ma</w:t>
      </w:r>
      <w:r w:rsidRPr="00320A86">
        <w:t>r</w:t>
      </w:r>
      <w:r w:rsidRPr="00320A86">
        <w:t>trienne, qui fait apparaître un Occident façonné par le code de v</w:t>
      </w:r>
      <w:r w:rsidRPr="00320A86">
        <w:t>a</w:t>
      </w:r>
      <w:r w:rsidRPr="00320A86">
        <w:t>leurs « manichéen inégalitaire » (ou Code n° 1) et postule donc qu’on peut réal</w:t>
      </w:r>
      <w:r w:rsidRPr="00320A86">
        <w:t>i</w:t>
      </w:r>
      <w:r w:rsidRPr="00320A86">
        <w:t>ser sur terre la cité idéale, la Cité du Bien débarrassée de tout Mal.</w:t>
      </w:r>
    </w:p>
    <w:p w14:paraId="0327115B" w14:textId="77777777" w:rsidR="00B01930" w:rsidRPr="00320A86" w:rsidRDefault="00B01930" w:rsidP="00B01930">
      <w:pPr>
        <w:spacing w:before="120" w:after="120"/>
        <w:jc w:val="both"/>
      </w:pPr>
    </w:p>
    <w:p w14:paraId="0CD18722" w14:textId="77777777" w:rsidR="00B01930" w:rsidRPr="00320A86" w:rsidRDefault="00B01930" w:rsidP="00B01930">
      <w:pPr>
        <w:pStyle w:val="planche"/>
      </w:pPr>
      <w:bookmarkStart w:id="196" w:name="Analyser_idees_pol_pt_3_texte_06_I"/>
      <w:r>
        <w:t>I. Le code de valeurs :</w:t>
      </w:r>
      <w:r>
        <w:br/>
      </w:r>
      <w:r w:rsidRPr="00320A86">
        <w:t>le contenu apparent (ou « secondaire »)</w:t>
      </w:r>
    </w:p>
    <w:bookmarkEnd w:id="196"/>
    <w:p w14:paraId="5D39EA3C" w14:textId="77777777" w:rsidR="00B01930" w:rsidRDefault="00B01930" w:rsidP="00B01930">
      <w:pPr>
        <w:spacing w:before="120" w:after="120"/>
        <w:jc w:val="both"/>
      </w:pPr>
    </w:p>
    <w:p w14:paraId="11DBEA30"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3CB3FB4B" w14:textId="77777777" w:rsidR="00B01930" w:rsidRPr="00320A86" w:rsidRDefault="00B01930" w:rsidP="00B01930">
      <w:pPr>
        <w:spacing w:before="120" w:after="120"/>
        <w:jc w:val="both"/>
      </w:pPr>
      <w:r w:rsidRPr="00320A86">
        <w:t>La détermination du code qui prévaut chez Carl Schmitt est fon</w:t>
      </w:r>
      <w:r w:rsidRPr="00320A86">
        <w:t>c</w:t>
      </w:r>
      <w:r w:rsidRPr="00320A86">
        <w:t>tion du rapport au Bien et au Mal. À n’en point douter toute son œ</w:t>
      </w:r>
      <w:r w:rsidRPr="00320A86">
        <w:t>u</w:t>
      </w:r>
      <w:r w:rsidRPr="00320A86">
        <w:t>vre ressort du Code n° 1, tel que nous avons pu l’appliquer préc</w:t>
      </w:r>
      <w:r w:rsidRPr="00320A86">
        <w:t>é</w:t>
      </w:r>
      <w:r w:rsidRPr="00320A86">
        <w:t>demment. Dès 1916, il écrit : « la distinction du Bien et du Mal a été remplacée par celle d’utilité, de nocivité, sublimement différe</w:t>
      </w:r>
      <w:r w:rsidRPr="00320A86">
        <w:t>n</w:t>
      </w:r>
      <w:r w:rsidRPr="00320A86">
        <w:t>ciées »</w:t>
      </w:r>
      <w:r>
        <w:t> </w:t>
      </w:r>
      <w:r>
        <w:rPr>
          <w:rStyle w:val="Appelnotedebasdep"/>
        </w:rPr>
        <w:footnoteReference w:id="702"/>
      </w:r>
      <w:r w:rsidRPr="00320A86">
        <w:t>. Mais la singularité de cette pensée, au regard de l’analyse martrienne, ne réside pas tant – selon nous – dans la détermination du code de valeurs, mais dans le fait que le code, s’il est bien unitaire (et non sy</w:t>
      </w:r>
      <w:r w:rsidRPr="00320A86">
        <w:t>n</w:t>
      </w:r>
      <w:r w:rsidRPr="00320A86">
        <w:t>crétique), en revanche il serait dédoublé en deux niveaux. Le premier niveau devenant, en quelque sorte, « la surface » du second, lequel, par sa puissance et sa cohérence, expliquerait largement la pensée schmittienne et sa postérité.</w:t>
      </w:r>
    </w:p>
    <w:p w14:paraId="5FBC4D80" w14:textId="77777777" w:rsidR="00B01930" w:rsidRPr="00320A86" w:rsidRDefault="00B01930" w:rsidP="00B01930">
      <w:pPr>
        <w:spacing w:before="120" w:after="120"/>
        <w:jc w:val="both"/>
      </w:pPr>
      <w:r w:rsidRPr="00320A86">
        <w:t>Le contenu du Bien et du Mal, qu’on peut qualifier d’« explicite », est « surdéterminé » par un autre contenu du Bien et du Mal, que ce</w:t>
      </w:r>
      <w:r w:rsidRPr="00320A86">
        <w:t>r</w:t>
      </w:r>
      <w:r w:rsidRPr="00320A86">
        <w:t>tains auteurs pressentent ou évoquent, à l’exception de l’un d’entre eux qui (dans une appr</w:t>
      </w:r>
      <w:r w:rsidRPr="00320A86">
        <w:t>o</w:t>
      </w:r>
      <w:r w:rsidRPr="00320A86">
        <w:t>che classique) l’a nettement identifié et fait apparaître son importance dans le discours schmittien</w:t>
      </w:r>
      <w:r>
        <w:t> </w:t>
      </w:r>
      <w:r>
        <w:rPr>
          <w:rStyle w:val="Appelnotedebasdep"/>
        </w:rPr>
        <w:footnoteReference w:id="703"/>
      </w:r>
      <w:r w:rsidRPr="00320A86">
        <w:t>.</w:t>
      </w:r>
    </w:p>
    <w:p w14:paraId="55F61EDC" w14:textId="77777777" w:rsidR="00B01930" w:rsidRPr="00320A86" w:rsidRDefault="00B01930" w:rsidP="00B01930">
      <w:pPr>
        <w:spacing w:before="120" w:after="120"/>
        <w:jc w:val="both"/>
      </w:pPr>
    </w:p>
    <w:p w14:paraId="5E0AC552" w14:textId="77777777" w:rsidR="00B01930" w:rsidRPr="00320A86" w:rsidRDefault="00B01930" w:rsidP="00B01930">
      <w:pPr>
        <w:spacing w:before="120" w:after="120"/>
        <w:jc w:val="both"/>
      </w:pPr>
      <w:r w:rsidRPr="00320A86">
        <w:t xml:space="preserve">I. 1. </w:t>
      </w:r>
      <w:r w:rsidRPr="007661C1">
        <w:rPr>
          <w:i/>
          <w:color w:val="FF0000"/>
        </w:rPr>
        <w:t>Détermination du Code</w:t>
      </w:r>
    </w:p>
    <w:p w14:paraId="5E40CE1A" w14:textId="77777777" w:rsidR="00B01930" w:rsidRDefault="00B01930" w:rsidP="00B01930">
      <w:pPr>
        <w:spacing w:before="120" w:after="120"/>
        <w:jc w:val="both"/>
      </w:pPr>
    </w:p>
    <w:p w14:paraId="772FAA30" w14:textId="77777777" w:rsidR="00B01930" w:rsidRPr="00320A86" w:rsidRDefault="00B01930" w:rsidP="00B01930">
      <w:pPr>
        <w:spacing w:before="120" w:after="120"/>
        <w:jc w:val="both"/>
      </w:pPr>
      <w:r w:rsidRPr="00320A86">
        <w:t>Le premier niveau du code de valeur n° 1 chez Carl Schmitt est a</w:t>
      </w:r>
      <w:r w:rsidRPr="00320A86">
        <w:t>i</w:t>
      </w:r>
      <w:r w:rsidRPr="00320A86">
        <w:t>sément perceptible. Ce dernier ne se contente pas de décrire les forces et faiblesses de la République de Weimar (1918-1933) et d’en faire la sociologie</w:t>
      </w:r>
      <w:r>
        <w:t> </w:t>
      </w:r>
      <w:r>
        <w:rPr>
          <w:rStyle w:val="Appelnotedebasdep"/>
        </w:rPr>
        <w:footnoteReference w:id="704"/>
      </w:r>
      <w:r w:rsidRPr="00320A86">
        <w:t>. Il abhorre ce</w:t>
      </w:r>
      <w:r w:rsidRPr="00320A86">
        <w:t>t</w:t>
      </w:r>
      <w:r w:rsidRPr="00320A86">
        <w:t>te République, non seulement en raison des circonstances de son instauration (d</w:t>
      </w:r>
      <w:r w:rsidRPr="00320A86">
        <w:t>é</w:t>
      </w:r>
      <w:r w:rsidRPr="00320A86">
        <w:t>faite de 1918), mais surtout parce que c’est une démocratie parlementaire ab</w:t>
      </w:r>
      <w:r w:rsidRPr="00320A86">
        <w:t>o</w:t>
      </w:r>
      <w:r w:rsidRPr="00320A86">
        <w:t>minée à ses yeux. Cette vindicte est d’autant plus réitérée que ce système polit</w:t>
      </w:r>
      <w:r w:rsidRPr="00320A86">
        <w:t>i</w:t>
      </w:r>
      <w:r w:rsidRPr="00320A86">
        <w:t>que est l’incarnation de ce qui, pour lui, est le Mal : le libéralisme objet d’une véritable « détestation »</w:t>
      </w:r>
      <w:r>
        <w:t> </w:t>
      </w:r>
      <w:r>
        <w:rPr>
          <w:rStyle w:val="Appelnotedebasdep"/>
        </w:rPr>
        <w:footnoteReference w:id="705"/>
      </w:r>
      <w:r w:rsidRPr="00320A86">
        <w:t>. Il promeut les libertés individuelles, le co</w:t>
      </w:r>
      <w:r w:rsidRPr="00320A86">
        <w:t>m</w:t>
      </w:r>
      <w:r w:rsidRPr="00320A86">
        <w:t>merce, etc., et donne des méthodes pour freiner la puissance de l’État. Il évolue, selon Schmitt, entre l’Éthique et l’Économique et veut annihiler le Politique, lequel est violence. La lutte politique se transforme, avec le libéralisme, en concurrence et débat sans fin</w:t>
      </w:r>
      <w:r>
        <w:t> </w:t>
      </w:r>
      <w:r>
        <w:rPr>
          <w:rStyle w:val="Appelnotedebasdep"/>
        </w:rPr>
        <w:footnoteReference w:id="706"/>
      </w:r>
      <w:r w:rsidRPr="00320A86">
        <w:t>. Le dogme absolu est l’autonomie de l’Économie, son corollaire, est la neutralité, autrement dit éviter, pense-t-il, la décision politique. Le maître mot du libéralisme est « État de Droit », c’est-à-dire une impa</w:t>
      </w:r>
      <w:r w:rsidRPr="00320A86">
        <w:t>r</w:t>
      </w:r>
      <w:r w:rsidRPr="00320A86">
        <w:t>tialité sur « La Norme ».</w:t>
      </w:r>
    </w:p>
    <w:p w14:paraId="7AA0DF1B" w14:textId="77777777" w:rsidR="00B01930" w:rsidRPr="00320A86" w:rsidRDefault="00B01930" w:rsidP="00B01930">
      <w:pPr>
        <w:spacing w:before="120" w:after="120"/>
        <w:jc w:val="both"/>
      </w:pPr>
      <w:r w:rsidRPr="00320A86">
        <w:t>Le gouvernement devient un lieu de concertation et d’arbitrage. Le bourgeois libéral est taxé d’être un adepte compulsif de compromis, ne cherchant qu’à éluder la décision. Il y a même, pour lui, une mét</w:t>
      </w:r>
      <w:r w:rsidRPr="00320A86">
        <w:t>a</w:t>
      </w:r>
      <w:r w:rsidRPr="00320A86">
        <w:t>physique de l’indécision. Il d</w:t>
      </w:r>
      <w:r w:rsidRPr="00320A86">
        <w:t>é</w:t>
      </w:r>
      <w:r w:rsidRPr="00320A86">
        <w:t>nonce « l’emprise totale de l’économie sur la vie intellectuelle et […] une mentalité qui voit dans la produ</w:t>
      </w:r>
      <w:r w:rsidRPr="00320A86">
        <w:t>c</w:t>
      </w:r>
      <w:r w:rsidRPr="00320A86">
        <w:t>tion et dans la consommation les catégories centr</w:t>
      </w:r>
      <w:r w:rsidRPr="00320A86">
        <w:t>a</w:t>
      </w:r>
      <w:r w:rsidRPr="00320A86">
        <w:t>les de l’existence humaine</w:t>
      </w:r>
      <w:r>
        <w:t> </w:t>
      </w:r>
      <w:r>
        <w:rPr>
          <w:rStyle w:val="Appelnotedebasdep"/>
        </w:rPr>
        <w:footnoteReference w:id="707"/>
      </w:r>
      <w:r w:rsidRPr="00320A86">
        <w:t> ». Il pourfend la bourgeoisie libérale en ces te</w:t>
      </w:r>
      <w:r w:rsidRPr="00320A86">
        <w:t>r</w:t>
      </w:r>
      <w:r w:rsidRPr="00320A86">
        <w:t>mes : « [Elle] permet le règne impudent de l’aristocratie financière, la forme d’aristocratie la plus stupide et la plus vulgaire</w:t>
      </w:r>
      <w:r>
        <w:t> </w:t>
      </w:r>
      <w:r>
        <w:rPr>
          <w:rStyle w:val="Appelnotedebasdep"/>
        </w:rPr>
        <w:footnoteReference w:id="708"/>
      </w:r>
      <w:r w:rsidRPr="00320A86">
        <w:t> ».</w:t>
      </w:r>
    </w:p>
    <w:p w14:paraId="089C0FC4" w14:textId="77777777" w:rsidR="00B01930" w:rsidRPr="00320A86" w:rsidRDefault="00B01930" w:rsidP="00B01930">
      <w:pPr>
        <w:spacing w:before="120" w:after="120"/>
        <w:jc w:val="both"/>
      </w:pPr>
      <w:r w:rsidRPr="00320A86">
        <w:t>Dès lors, le libéralisme souffre d’un vice irrémédiable. Il ne peut être établi avec de tels principes une théorie positive de l’État. L’idéologie libérale n’a pas donné naissance à une conception spécif</w:t>
      </w:r>
      <w:r w:rsidRPr="00320A86">
        <w:t>i</w:t>
      </w:r>
      <w:r w:rsidRPr="00320A86">
        <w:t>que du Politique ; il y a bien une praxis politique de défiance, pas une théorie positive de l’État. Le libéralisme se cara</w:t>
      </w:r>
      <w:r w:rsidRPr="00320A86">
        <w:t>c</w:t>
      </w:r>
      <w:r w:rsidRPr="00320A86">
        <w:t>térise aussi par son juridisme. Il se construit au détriment de la souveraineté de l’État en favorisant le droit positif et l’économie, ainsi que le pluralisme et le consensus, ce qui ne peut qu’entraîner l’impuissance politique</w:t>
      </w:r>
      <w:r>
        <w:t> </w:t>
      </w:r>
      <w:r>
        <w:rPr>
          <w:rStyle w:val="Appelnotedebasdep"/>
        </w:rPr>
        <w:footnoteReference w:id="709"/>
      </w:r>
      <w:r w:rsidRPr="00320A86">
        <w:t>.</w:t>
      </w:r>
    </w:p>
    <w:p w14:paraId="6615768B" w14:textId="77777777" w:rsidR="00B01930" w:rsidRPr="00320A86" w:rsidRDefault="00B01930" w:rsidP="00B01930">
      <w:pPr>
        <w:spacing w:before="120" w:after="120"/>
        <w:jc w:val="both"/>
      </w:pPr>
      <w:r w:rsidRPr="00320A86">
        <w:t>La politique devient affaire de normes objectives dont les hommes sont les exécutants. La Loi fait l’Autorité avec pour conséquence qu’est légitime ce qui est légal. Par glissement, dû à la pensée légiste, le légal s’assimile au Droit et l’État libéral tente ainsi d’évacuer la querelle, l’affrontement entre Ami et E</w:t>
      </w:r>
      <w:r w:rsidRPr="00320A86">
        <w:t>n</w:t>
      </w:r>
      <w:r w:rsidRPr="00320A86">
        <w:t>nemi qui, en vérité, est au cœur du Politique selon Carl Schmitt.</w:t>
      </w:r>
    </w:p>
    <w:p w14:paraId="60719001" w14:textId="77777777" w:rsidR="00B01930" w:rsidRPr="00320A86" w:rsidRDefault="00B01930" w:rsidP="00B01930">
      <w:pPr>
        <w:spacing w:before="120" w:after="120"/>
        <w:jc w:val="both"/>
      </w:pPr>
      <w:r w:rsidRPr="00320A86">
        <w:t>Le Mal étant identifié, qu’en est-il du Bien pour lui ?</w:t>
      </w:r>
    </w:p>
    <w:p w14:paraId="7FAE6A93" w14:textId="77777777" w:rsidR="00B01930" w:rsidRPr="00320A86" w:rsidRDefault="00B01930" w:rsidP="00B01930">
      <w:pPr>
        <w:spacing w:before="120" w:after="120"/>
        <w:jc w:val="both"/>
      </w:pPr>
      <w:r w:rsidRPr="00320A86">
        <w:t>Ainsi que le montre Jean-Louis Martres, le Bien se construit par rapport au contexte historique dans lequel vit l’auteur. En l’espèce les désordres politiques, économiques et sociaux qui minaient la Républ</w:t>
      </w:r>
      <w:r w:rsidRPr="00320A86">
        <w:t>i</w:t>
      </w:r>
      <w:r w:rsidRPr="00320A86">
        <w:t>que de Weimar</w:t>
      </w:r>
      <w:r>
        <w:t> </w:t>
      </w:r>
      <w:r>
        <w:rPr>
          <w:rStyle w:val="Appelnotedebasdep"/>
        </w:rPr>
        <w:footnoteReference w:id="710"/>
      </w:r>
      <w:r w:rsidRPr="00320A86">
        <w:t>, vont lui donner la matière pour forger sa conce</w:t>
      </w:r>
      <w:r w:rsidRPr="00320A86">
        <w:t>p</w:t>
      </w:r>
      <w:r w:rsidRPr="00320A86">
        <w:t>tion du Bien qui doit terrasser le Mal : le libéralisme honni. Son refus de la démocratie parlementaire et libérale lui fait rechercher la stabil</w:t>
      </w:r>
      <w:r w:rsidRPr="00320A86">
        <w:t>i</w:t>
      </w:r>
      <w:r w:rsidRPr="00320A86">
        <w:t>té et la puissance, ce qui explique « son intérêt marqué par l’état d’exception et la dictature</w:t>
      </w:r>
      <w:r>
        <w:t> </w:t>
      </w:r>
      <w:r>
        <w:rPr>
          <w:rStyle w:val="Appelnotedebasdep"/>
        </w:rPr>
        <w:footnoteReference w:id="711"/>
      </w:r>
      <w:r w:rsidRPr="00320A86">
        <w:t> ».</w:t>
      </w:r>
    </w:p>
    <w:p w14:paraId="613B7F0A" w14:textId="77777777" w:rsidR="00B01930" w:rsidRPr="00320A86" w:rsidRDefault="00B01930" w:rsidP="00B01930">
      <w:pPr>
        <w:spacing w:before="120" w:after="120"/>
        <w:jc w:val="both"/>
      </w:pPr>
      <w:r w:rsidRPr="00320A86">
        <w:t>Le Bien sera l’antithèse du libéralisme : un État fort doté d’un chef incarnant l’unité du peuple. Il faut donc redéfinir les concepts hab</w:t>
      </w:r>
      <w:r w:rsidRPr="00320A86">
        <w:t>i</w:t>
      </w:r>
      <w:r w:rsidRPr="00320A86">
        <w:t>tuels et leur donner leur vrai sens.</w:t>
      </w:r>
    </w:p>
    <w:p w14:paraId="4285835E" w14:textId="77777777" w:rsidR="00B01930" w:rsidRPr="00320A86" w:rsidRDefault="00B01930" w:rsidP="00B01930">
      <w:pPr>
        <w:spacing w:before="120" w:after="120"/>
        <w:jc w:val="both"/>
      </w:pPr>
      <w:r w:rsidRPr="00320A86">
        <w:t>Schmitt va s’opposer radicalement aux tenants du positivisme jur</w:t>
      </w:r>
      <w:r w:rsidRPr="00320A86">
        <w:t>i</w:t>
      </w:r>
      <w:r w:rsidRPr="00320A86">
        <w:t>dique (puisque, peu ou prou, figures du libéralisme détesté). Il va p</w:t>
      </w:r>
      <w:r w:rsidRPr="00320A86">
        <w:t>o</w:t>
      </w:r>
      <w:r w:rsidRPr="00320A86">
        <w:t>ser que le Droit ne peut procéder de lui-même. La réalité est tout a</w:t>
      </w:r>
      <w:r w:rsidRPr="00320A86">
        <w:t>u</w:t>
      </w:r>
      <w:r w:rsidRPr="00320A86">
        <w:t>tre. Le Droit, de tout temps, a découlé du pouvoir. C’est le résultat d’une « Décision » (comprendre : d’une décision politique fondatrice). Son « décisionnisme » vise à se positionner aussi bien contre le fo</w:t>
      </w:r>
      <w:r w:rsidRPr="00320A86">
        <w:t>r</w:t>
      </w:r>
      <w:r w:rsidRPr="00320A86">
        <w:t>malisme du positivisme juridique – selon lequel le droit est un corps de normes édicté selon les formes prévues à cet effet et approché par les techniques juridiques</w:t>
      </w:r>
      <w:r>
        <w:t> </w:t>
      </w:r>
      <w:r>
        <w:rPr>
          <w:rStyle w:val="Appelnotedebasdep"/>
        </w:rPr>
        <w:footnoteReference w:id="712"/>
      </w:r>
      <w:r w:rsidRPr="00320A86">
        <w:t>, que contre le jus naturalisme, selon l</w:t>
      </w:r>
      <w:r w:rsidRPr="00320A86">
        <w:t>e</w:t>
      </w:r>
      <w:r w:rsidRPr="00320A86">
        <w:t>quel c’est un corps de normes, valeurs, réalités dans le but de servir la Ju</w:t>
      </w:r>
      <w:r w:rsidRPr="00320A86">
        <w:t>s</w:t>
      </w:r>
      <w:r w:rsidRPr="00320A86">
        <w:t>tice</w:t>
      </w:r>
      <w:r>
        <w:t> </w:t>
      </w:r>
      <w:r>
        <w:rPr>
          <w:rStyle w:val="Appelnotedebasdep"/>
        </w:rPr>
        <w:footnoteReference w:id="713"/>
      </w:r>
      <w:r w:rsidRPr="00320A86">
        <w:t>. Ce n’est pas la fo</w:t>
      </w:r>
      <w:r w:rsidRPr="00320A86">
        <w:t>r</w:t>
      </w:r>
      <w:r w:rsidRPr="00320A86">
        <w:t>mulation d’une norme qui importe pour Carl Schmitt, c’est le pouvoir et qui le détient, le « qui » est plus important que le « quoi » et le « comment » ; la question clé devient, « qui déc</w:t>
      </w:r>
      <w:r w:rsidRPr="00320A86">
        <w:t>i</w:t>
      </w:r>
      <w:r w:rsidRPr="00320A86">
        <w:t>de</w:t>
      </w:r>
      <w:r>
        <w:t> </w:t>
      </w:r>
      <w:r>
        <w:rPr>
          <w:rStyle w:val="Appelnotedebasdep"/>
        </w:rPr>
        <w:footnoteReference w:id="714"/>
      </w:r>
      <w:r w:rsidRPr="00320A86">
        <w:t> ? ». Ce n’est pas la Loi qui fait l’Autorité, mais l’Autorité qui fait la Loi</w:t>
      </w:r>
      <w:r>
        <w:t> </w:t>
      </w:r>
      <w:r>
        <w:rPr>
          <w:rStyle w:val="Appelnotedebasdep"/>
        </w:rPr>
        <w:footnoteReference w:id="715"/>
      </w:r>
      <w:r w:rsidRPr="00320A86">
        <w:t>. « Le sujet détenant le pouvoir ultime de décider est souv</w:t>
      </w:r>
      <w:r w:rsidRPr="00320A86">
        <w:t>e</w:t>
      </w:r>
      <w:r w:rsidRPr="00320A86">
        <w:t>rain, il est automatiquement le “Chef du Droit” »</w:t>
      </w:r>
      <w:r>
        <w:t> </w:t>
      </w:r>
      <w:r>
        <w:rPr>
          <w:rStyle w:val="Appelnotedebasdep"/>
        </w:rPr>
        <w:footnoteReference w:id="716"/>
      </w:r>
      <w:r w:rsidRPr="00320A86">
        <w:t>. Notons ici que ce</w:t>
      </w:r>
      <w:r w:rsidRPr="00320A86">
        <w:t>t</w:t>
      </w:r>
      <w:r w:rsidRPr="00320A86">
        <w:t>te idée de « Chef » correspond tout à fait à « l’illuminé », celui qui a contemplé La Vérité, Le Bien, qui est une constante structurale du Code n° 1.</w:t>
      </w:r>
    </w:p>
    <w:p w14:paraId="170D73BC" w14:textId="77777777" w:rsidR="00B01930" w:rsidRPr="00320A86" w:rsidRDefault="00B01930" w:rsidP="00B01930">
      <w:pPr>
        <w:spacing w:before="120" w:after="120"/>
        <w:jc w:val="both"/>
      </w:pPr>
      <w:r w:rsidRPr="00320A86">
        <w:t>Dès lors, le Droit, comme Norme, se dissout, la décision comme puissance s’affirme. « L’État de droit disparaît de l’horizon »</w:t>
      </w:r>
      <w:r>
        <w:t> </w:t>
      </w:r>
      <w:r>
        <w:rPr>
          <w:rStyle w:val="Appelnotedebasdep"/>
        </w:rPr>
        <w:footnoteReference w:id="717"/>
      </w:r>
      <w:r w:rsidRPr="00320A86">
        <w:t>. La paix sociale ne peut résulter que de la décision qui s’impose par l’épée. La décision, ainsi conçue (c’est-à-dire comme rupture), débo</w:t>
      </w:r>
      <w:r w:rsidRPr="00320A86">
        <w:t>u</w:t>
      </w:r>
      <w:r w:rsidRPr="00320A86">
        <w:t>che sur l’affirmation qu’est souverain celui qui décide de l’état d’exception : Décision, Souveraineté, état d’exception fo</w:t>
      </w:r>
      <w:r w:rsidRPr="00320A86">
        <w:t>r</w:t>
      </w:r>
      <w:r w:rsidRPr="00320A86">
        <w:t>mant un triptyque-clé dans la pensée du juriste allemand, qui le conduit à r</w:t>
      </w:r>
      <w:r w:rsidRPr="00320A86">
        <w:t>é</w:t>
      </w:r>
      <w:r w:rsidRPr="00320A86">
        <w:t>duire à néant le libéralisme de la République de Weimar. Il décrète « nulle et non avenue », de non-application, la partie de la Constit</w:t>
      </w:r>
      <w:r w:rsidRPr="00320A86">
        <w:t>u</w:t>
      </w:r>
      <w:r w:rsidRPr="00320A86">
        <w:t xml:space="preserve">tion de Weimar qui n’entre pas dans sa logique démonstrative. C’est ainsi que son essai, </w:t>
      </w:r>
      <w:r w:rsidRPr="00163497">
        <w:rPr>
          <w:i/>
        </w:rPr>
        <w:t>Légalité et légitimité</w:t>
      </w:r>
      <w:r w:rsidRPr="00320A86">
        <w:t>, est « un ouvrage mil</w:t>
      </w:r>
      <w:r w:rsidRPr="00320A86">
        <w:t>i</w:t>
      </w:r>
      <w:r w:rsidRPr="00320A86">
        <w:t>tant »</w:t>
      </w:r>
      <w:r>
        <w:t> </w:t>
      </w:r>
      <w:r>
        <w:rPr>
          <w:rStyle w:val="Appelnotedebasdep"/>
        </w:rPr>
        <w:footnoteReference w:id="718"/>
      </w:r>
      <w:r w:rsidRPr="00320A86">
        <w:t>.</w:t>
      </w:r>
    </w:p>
    <w:p w14:paraId="7A1DAAD1" w14:textId="77777777" w:rsidR="00B01930" w:rsidRPr="00320A86" w:rsidRDefault="00B01930" w:rsidP="00B01930">
      <w:pPr>
        <w:spacing w:before="120" w:after="120"/>
        <w:jc w:val="both"/>
      </w:pPr>
      <w:r w:rsidRPr="00320A86">
        <w:t>Sa conception de la légitimité va s’appuyer sur une redéfinition de ce qu’il faut entendre par « Constitution ». Celle en vigueur étant contraire à l’esprit allemand</w:t>
      </w:r>
      <w:r>
        <w:t> </w:t>
      </w:r>
      <w:r>
        <w:rPr>
          <w:rStyle w:val="Appelnotedebasdep"/>
        </w:rPr>
        <w:footnoteReference w:id="719"/>
      </w:r>
      <w:r w:rsidRPr="00320A86">
        <w:t>. Refusant catégoriquement le juridi</w:t>
      </w:r>
      <w:r w:rsidRPr="00320A86">
        <w:t>s</w:t>
      </w:r>
      <w:r w:rsidRPr="00320A86">
        <w:t>me, ne pouvant revenir au droit naturel, Schmitt va produire l’idée d’« ordre concret », qui naît de la volonté du peuple de s’inscrire sur un sol et de s’ordonner en vie collective. Le Droit résulte du processus social et la réalité sociale est elle-même empreinte de normes pré-juridiques qu’il ne saurait négliger</w:t>
      </w:r>
      <w:r>
        <w:t> </w:t>
      </w:r>
      <w:r>
        <w:rPr>
          <w:rStyle w:val="Appelnotedebasdep"/>
        </w:rPr>
        <w:footnoteReference w:id="720"/>
      </w:r>
      <w:r w:rsidRPr="00320A86">
        <w:t>. Il y a une « essence de la Const</w:t>
      </w:r>
      <w:r w:rsidRPr="00320A86">
        <w:t>i</w:t>
      </w:r>
      <w:r w:rsidRPr="00320A86">
        <w:t>tution allemande » qui doit revivre. Le fondement de cette e</w:t>
      </w:r>
      <w:r w:rsidRPr="00320A86">
        <w:t>s</w:t>
      </w:r>
      <w:r w:rsidRPr="00320A86">
        <w:t>sence est l’homogénéité « substantielle » du peuple, condition préal</w:t>
      </w:r>
      <w:r w:rsidRPr="00320A86">
        <w:t>a</w:t>
      </w:r>
      <w:r w:rsidRPr="00320A86">
        <w:t>ble à la démocratie</w:t>
      </w:r>
      <w:r>
        <w:t> </w:t>
      </w:r>
      <w:r>
        <w:rPr>
          <w:rStyle w:val="Appelnotedebasdep"/>
        </w:rPr>
        <w:footnoteReference w:id="721"/>
      </w:r>
      <w:r w:rsidRPr="00320A86">
        <w:t>. Il en découle une contestation des droits indiv</w:t>
      </w:r>
      <w:r w:rsidRPr="00320A86">
        <w:t>i</w:t>
      </w:r>
      <w:r w:rsidRPr="00320A86">
        <w:t>duels classiques (Le Mal) remplacés par des « droits fondame</w:t>
      </w:r>
      <w:r w:rsidRPr="00320A86">
        <w:t>n</w:t>
      </w:r>
      <w:r w:rsidRPr="00320A86">
        <w:t>taux »</w:t>
      </w:r>
      <w:r>
        <w:t> </w:t>
      </w:r>
      <w:r>
        <w:rPr>
          <w:rStyle w:val="Appelnotedebasdep"/>
        </w:rPr>
        <w:footnoteReference w:id="722"/>
      </w:r>
      <w:r w:rsidRPr="00320A86">
        <w:t>. Nous savons vu que si l’une des caractéristiques structurales du Code n° 1 est de postuler l’existence de la liberté pour expl</w:t>
      </w:r>
      <w:r w:rsidRPr="00320A86">
        <w:t>i</w:t>
      </w:r>
      <w:r w:rsidRPr="00320A86">
        <w:t>quer pourquoi l’homme ne choisit pas Le Bien, immédiatement est redéf</w:t>
      </w:r>
      <w:r w:rsidRPr="00320A86">
        <w:t>i</w:t>
      </w:r>
      <w:r w:rsidRPr="00320A86">
        <w:t>nie La Vraie Liberté. C’est-à-dire celle intrinsèquement liée au Bien (qui seul permet l’épanouissement de l’homme) – et qui consiste, en fait, à su</w:t>
      </w:r>
      <w:r w:rsidRPr="00320A86">
        <w:t>p</w:t>
      </w:r>
      <w:r w:rsidRPr="00320A86">
        <w:t>primer les libertés et à lui donner, à tout le moins, un caractère mo</w:t>
      </w:r>
      <w:r w:rsidRPr="00320A86">
        <w:t>u</w:t>
      </w:r>
      <w:r w:rsidRPr="00320A86">
        <w:t>vant en fonction de l’état de la lutte contre Le Mal.</w:t>
      </w:r>
    </w:p>
    <w:p w14:paraId="5F2F049E" w14:textId="77777777" w:rsidR="00B01930" w:rsidRPr="00320A86" w:rsidRDefault="00B01930" w:rsidP="00B01930">
      <w:pPr>
        <w:spacing w:before="120" w:after="120"/>
        <w:jc w:val="both"/>
      </w:pPr>
      <w:r w:rsidRPr="00320A86">
        <w:t>C’est aussi, en toute logique (et non pas nécessairement par pe</w:t>
      </w:r>
      <w:r w:rsidRPr="00320A86">
        <w:t>r</w:t>
      </w:r>
      <w:r w:rsidRPr="00320A86">
        <w:t>versité de l’esprit), qu’il gratifia les Lois de Nuremberg de « Constitution de la liberté »</w:t>
      </w:r>
      <w:r>
        <w:t> </w:t>
      </w:r>
      <w:r>
        <w:rPr>
          <w:rStyle w:val="Appelnotedebasdep"/>
        </w:rPr>
        <w:footnoteReference w:id="723"/>
      </w:r>
      <w:r w:rsidRPr="00320A86">
        <w:t>. Il n’y a pas là, seulement, de l’opportunisme. Ces « droits fondamentaux » ont pour objectif de supplanter des droits, des libertés, l’autonomie même de la l</w:t>
      </w:r>
      <w:r w:rsidRPr="00320A86">
        <w:t>i</w:t>
      </w:r>
      <w:r w:rsidRPr="00320A86">
        <w:t>berté. L’ensemble des droits ainsi définis est encadré par les diverses instit</w:t>
      </w:r>
      <w:r w:rsidRPr="00320A86">
        <w:t>u</w:t>
      </w:r>
      <w:r w:rsidRPr="00320A86">
        <w:t>tions « organiques » de l’État, ce qui l’amène à distinguer garantie de la liberté et… garanties institutionnelles</w:t>
      </w:r>
      <w:r>
        <w:t> </w:t>
      </w:r>
      <w:r>
        <w:rPr>
          <w:rStyle w:val="Appelnotedebasdep"/>
        </w:rPr>
        <w:footnoteReference w:id="724"/>
      </w:r>
      <w:r w:rsidRPr="00320A86">
        <w:t>. On aboutit à un État fort dirigé par un président censé incarner l’unité du peuple et devenant le Souverain, gardien de la Const</w:t>
      </w:r>
      <w:r w:rsidRPr="00320A86">
        <w:t>i</w:t>
      </w:r>
      <w:r w:rsidRPr="00320A86">
        <w:t>tution.</w:t>
      </w:r>
    </w:p>
    <w:p w14:paraId="29D1026F" w14:textId="77777777" w:rsidR="00B01930" w:rsidRPr="00320A86" w:rsidRDefault="00B01930" w:rsidP="00B01930">
      <w:pPr>
        <w:spacing w:before="120" w:after="120"/>
        <w:jc w:val="both"/>
      </w:pPr>
      <w:r w:rsidRPr="00320A86">
        <w:t>Mais celle-ci ne doit pas s’entendre au sens ordinaire, juridique ; il y a un pouvoir constituant originaire, supérieur à tous les pouvoirs constitués. Dès lors même une nouvelle Constitution ne saurait reme</w:t>
      </w:r>
      <w:r w:rsidRPr="00320A86">
        <w:t>t</w:t>
      </w:r>
      <w:r w:rsidRPr="00320A86">
        <w:t>tre en cause ce pouvoir, exercé au nom du peuple, par une entité (ou une personne) capable d’instaurer un ordre constitutionnel et investie de la dictature souveraine. La Constitution doit donc s’entendre co</w:t>
      </w:r>
      <w:r w:rsidRPr="00320A86">
        <w:t>m</w:t>
      </w:r>
      <w:r w:rsidRPr="00320A86">
        <w:t>me « les décisions politiques fondamentales qui constituent la sub</w:t>
      </w:r>
      <w:r w:rsidRPr="00320A86">
        <w:t>s</w:t>
      </w:r>
      <w:r w:rsidRPr="00320A86">
        <w:t>tance » de l’ordre constitutionnel</w:t>
      </w:r>
      <w:r>
        <w:t> </w:t>
      </w:r>
      <w:r>
        <w:rPr>
          <w:rStyle w:val="Appelnotedebasdep"/>
        </w:rPr>
        <w:footnoteReference w:id="725"/>
      </w:r>
      <w:r w:rsidRPr="00320A86">
        <w:t>. Dérivée du pouvoir constituant origina</w:t>
      </w:r>
      <w:r w:rsidRPr="00320A86">
        <w:t>i</w:t>
      </w:r>
      <w:r w:rsidRPr="00320A86">
        <w:t>re elle ne peut être modifiée par ce que Schmitt appelle, pour les besoins de la cause, le pouvoir constituant dérivé</w:t>
      </w:r>
      <w:r>
        <w:t> </w:t>
      </w:r>
      <w:r>
        <w:rPr>
          <w:rStyle w:val="Appelnotedebasdep"/>
        </w:rPr>
        <w:footnoteReference w:id="726"/>
      </w:r>
      <w:r w:rsidRPr="00320A86">
        <w:t>.</w:t>
      </w:r>
    </w:p>
    <w:p w14:paraId="5257186A" w14:textId="77777777" w:rsidR="00B01930" w:rsidRPr="00320A86" w:rsidRDefault="00B01930" w:rsidP="00B01930">
      <w:pPr>
        <w:spacing w:before="120" w:after="120"/>
        <w:jc w:val="both"/>
      </w:pPr>
      <w:r w:rsidRPr="00320A86">
        <w:t>En revanche, les « lois constitutionnelles » ne sont pas inviolables, car ce sont des règles de moindre importance. Les révisions constit</w:t>
      </w:r>
      <w:r w:rsidRPr="00320A86">
        <w:t>u</w:t>
      </w:r>
      <w:r w:rsidRPr="00320A86">
        <w:t>tionnelles sont donc possibles. Il découle de ce dispositif que la vraie colonne vertébrale d’un ordre juridique est « l’état d’exception »</w:t>
      </w:r>
      <w:r>
        <w:t> </w:t>
      </w:r>
      <w:r>
        <w:rPr>
          <w:rStyle w:val="Appelnotedebasdep"/>
        </w:rPr>
        <w:footnoteReference w:id="727"/>
      </w:r>
      <w:r w:rsidRPr="00320A86">
        <w:t>.</w:t>
      </w:r>
    </w:p>
    <w:p w14:paraId="72508E45" w14:textId="77777777" w:rsidR="00B01930" w:rsidRPr="00320A86" w:rsidRDefault="00B01930" w:rsidP="00B01930">
      <w:pPr>
        <w:spacing w:before="120" w:after="120"/>
        <w:jc w:val="both"/>
      </w:pPr>
      <w:r w:rsidRPr="00320A86">
        <w:t>À la métaphysique de l’indécision du libéralisme, répond donc le « décisionnisme ». Tout acte constitutionnel, tout juridisme, ont pour origine une décision « substantielle » fondatrice de laquelle tout pr</w:t>
      </w:r>
      <w:r w:rsidRPr="00320A86">
        <w:t>o</w:t>
      </w:r>
      <w:r w:rsidRPr="00320A86">
        <w:t>cède</w:t>
      </w:r>
      <w:r>
        <w:t> </w:t>
      </w:r>
      <w:r>
        <w:rPr>
          <w:rStyle w:val="Appelnotedebasdep"/>
        </w:rPr>
        <w:footnoteReference w:id="728"/>
      </w:r>
      <w:r w:rsidRPr="00320A86">
        <w:t>. Et cette déc</w:t>
      </w:r>
      <w:r w:rsidRPr="00320A86">
        <w:t>i</w:t>
      </w:r>
      <w:r w:rsidRPr="00320A86">
        <w:t xml:space="preserve">sion se ramène, </w:t>
      </w:r>
      <w:r w:rsidRPr="00163497">
        <w:rPr>
          <w:i/>
        </w:rPr>
        <w:t>in fine</w:t>
      </w:r>
      <w:r w:rsidRPr="00320A86">
        <w:t xml:space="preserve"> chez Schmitt, à « l’état d’exception », vers lequel tend toute sa pensée. Moment paroxystique qui révèle, au sens religieux, le cœur du Politique, que le libéralisme s’évertue à vouloir neutraliser, à savoir la distin</w:t>
      </w:r>
      <w:r w:rsidRPr="00320A86">
        <w:t>c</w:t>
      </w:r>
      <w:r w:rsidRPr="00320A86">
        <w:t>tion « Ami-Ennemi ».</w:t>
      </w:r>
    </w:p>
    <w:p w14:paraId="176EDF43" w14:textId="77777777" w:rsidR="00B01930" w:rsidRPr="00320A86" w:rsidRDefault="00B01930" w:rsidP="00B01930">
      <w:pPr>
        <w:spacing w:before="120" w:after="120"/>
        <w:jc w:val="both"/>
      </w:pPr>
      <w:r w:rsidRPr="00320A86">
        <w:t>Il suffit qu’un problème atteigne un point d’incandescence tel qu’il opère le regroupement ami-ennemi, pour déterminer qu’il est devenu politique</w:t>
      </w:r>
      <w:r>
        <w:t> </w:t>
      </w:r>
      <w:r>
        <w:rPr>
          <w:rStyle w:val="Appelnotedebasdep"/>
        </w:rPr>
        <w:footnoteReference w:id="729"/>
      </w:r>
      <w:r w:rsidRPr="00320A86">
        <w:t>. Tout antagonisme religieux, moral, économique, éth</w:t>
      </w:r>
      <w:r w:rsidRPr="00320A86">
        <w:t>i</w:t>
      </w:r>
      <w:r w:rsidRPr="00320A86">
        <w:t>que ou autre se transforme en antagonisme politique dès lors qu’il est a</w:t>
      </w:r>
      <w:r w:rsidRPr="00320A86">
        <w:t>s</w:t>
      </w:r>
      <w:r w:rsidRPr="00320A86">
        <w:t>sez fort pour proposer un regroup</w:t>
      </w:r>
      <w:r w:rsidRPr="00320A86">
        <w:t>e</w:t>
      </w:r>
      <w:r w:rsidRPr="00320A86">
        <w:t>ment effectif en amis-ennemis. Bien sûr, tout n’est pas politique, mais tout peut le devenir</w:t>
      </w:r>
      <w:r>
        <w:t> </w:t>
      </w:r>
      <w:r>
        <w:rPr>
          <w:rStyle w:val="Appelnotedebasdep"/>
        </w:rPr>
        <w:footnoteReference w:id="730"/>
      </w:r>
      <w:r w:rsidRPr="00320A86">
        <w:t>, ou dit encore autrement, « toute divergence d’intérêts, ou autre, peut à tout moment donner à la rivalité et au conflit, et ce conflit, dès qu’il prend l’aspect d’une épreuve de force entre les groupements qui expriment ces intérêts […], devient politique</w:t>
      </w:r>
      <w:r>
        <w:t> </w:t>
      </w:r>
      <w:r>
        <w:rPr>
          <w:rStyle w:val="Appelnotedebasdep"/>
        </w:rPr>
        <w:footnoteReference w:id="731"/>
      </w:r>
      <w:r w:rsidRPr="00320A86">
        <w:t> ». Le politique définit toujours un degré extrême d’union et de désunion. Il y a politique « dès l’instant où se rencontre la distinction entre ami et ennemi et où, par cons</w:t>
      </w:r>
      <w:r w:rsidRPr="00320A86">
        <w:t>é</w:t>
      </w:r>
      <w:r w:rsidRPr="00320A86">
        <w:t>quent, on atteint le degré extrême d’association ou de dissoci</w:t>
      </w:r>
      <w:r w:rsidRPr="00320A86">
        <w:t>a</w:t>
      </w:r>
      <w:r w:rsidRPr="00320A86">
        <w:t>tion</w:t>
      </w:r>
      <w:r>
        <w:t> </w:t>
      </w:r>
      <w:r>
        <w:rPr>
          <w:rStyle w:val="Appelnotedebasdep"/>
        </w:rPr>
        <w:footnoteReference w:id="732"/>
      </w:r>
      <w:r w:rsidRPr="00320A86">
        <w:t> ». On ne peut éliminer du monde l’inimitié entre les hommes. Est polit</w:t>
      </w:r>
      <w:r w:rsidRPr="00320A86">
        <w:t>i</w:t>
      </w:r>
      <w:r w:rsidRPr="00320A86">
        <w:t>que tout regroupement qui se fait dans la perspective de l’épreuve de force. Le critère essentiel devient le conflit décisif ; c’est la po</w:t>
      </w:r>
      <w:r w:rsidRPr="00320A86">
        <w:t>s</w:t>
      </w:r>
      <w:r w:rsidRPr="00320A86">
        <w:t>sibilité pour une opposition quelconque dévolue vers le conflit extrême</w:t>
      </w:r>
      <w:r>
        <w:t> </w:t>
      </w:r>
      <w:r>
        <w:rPr>
          <w:rStyle w:val="Appelnotedebasdep"/>
        </w:rPr>
        <w:footnoteReference w:id="733"/>
      </w:r>
      <w:r w:rsidRPr="00320A86">
        <w:t>, de provoquer la mort physique</w:t>
      </w:r>
      <w:r>
        <w:t> </w:t>
      </w:r>
      <w:r>
        <w:rPr>
          <w:rStyle w:val="Appelnotedebasdep"/>
        </w:rPr>
        <w:footnoteReference w:id="734"/>
      </w:r>
      <w:r w:rsidRPr="00320A86">
        <w:t>. L’ennemi est l’ennemi public (</w:t>
      </w:r>
      <w:r w:rsidRPr="00163497">
        <w:rPr>
          <w:i/>
        </w:rPr>
        <w:t>hostis</w:t>
      </w:r>
      <w:r w:rsidRPr="00320A86">
        <w:t>), non le r</w:t>
      </w:r>
      <w:r w:rsidRPr="00320A86">
        <w:t>i</w:t>
      </w:r>
      <w:r w:rsidRPr="00320A86">
        <w:t>val (</w:t>
      </w:r>
      <w:r w:rsidRPr="00163497">
        <w:rPr>
          <w:i/>
        </w:rPr>
        <w:t>inimicus</w:t>
      </w:r>
      <w:r w:rsidRPr="00320A86">
        <w:t>). Le Politique engage donc l’existence de ceux qui se trouvent de part et d’autre de la ligne ami-ennemi. Le concept de « </w:t>
      </w:r>
      <w:r w:rsidRPr="00163497">
        <w:rPr>
          <w:i/>
        </w:rPr>
        <w:t>politique </w:t>
      </w:r>
      <w:r w:rsidRPr="00320A86">
        <w:t>» est donc existe</w:t>
      </w:r>
      <w:r w:rsidRPr="00320A86">
        <w:t>n</w:t>
      </w:r>
      <w:r w:rsidRPr="00320A86">
        <w:t>tiel</w:t>
      </w:r>
      <w:r>
        <w:t> </w:t>
      </w:r>
      <w:r>
        <w:rPr>
          <w:rStyle w:val="Appelnotedebasdep"/>
        </w:rPr>
        <w:footnoteReference w:id="735"/>
      </w:r>
      <w:r w:rsidRPr="00320A86">
        <w:t>. Schmitt ajoute que toutes les notions et tous les vocables ont un sens p</w:t>
      </w:r>
      <w:r w:rsidRPr="00320A86">
        <w:t>o</w:t>
      </w:r>
      <w:r w:rsidRPr="00320A86">
        <w:t>lémique. À l’intérieur de l’État, l’idée d’antagonisme reste présente comme cr</w:t>
      </w:r>
      <w:r w:rsidRPr="00320A86">
        <w:t>i</w:t>
      </w:r>
      <w:r w:rsidRPr="00320A86">
        <w:t>tère du politique. Aussi lorsque les conflits interpartis o</w:t>
      </w:r>
      <w:r w:rsidRPr="00320A86">
        <w:t>c</w:t>
      </w:r>
      <w:r w:rsidRPr="00320A86">
        <w:t>cupent tout le champ sociétal, c’est le regroupement en ami-ennemis à l’intérieur qui détermine le conflit armé. L’éventualité du combat po</w:t>
      </w:r>
      <w:r w:rsidRPr="00320A86">
        <w:t>r</w:t>
      </w:r>
      <w:r w:rsidRPr="00320A86">
        <w:t>te, alors, sur la guerre civile.</w:t>
      </w:r>
    </w:p>
    <w:p w14:paraId="1377B9ED" w14:textId="77777777" w:rsidR="00B01930" w:rsidRPr="00320A86" w:rsidRDefault="00B01930" w:rsidP="00B01930">
      <w:pPr>
        <w:spacing w:before="120" w:after="120"/>
        <w:jc w:val="both"/>
      </w:pPr>
    </w:p>
    <w:p w14:paraId="73246F7E" w14:textId="77777777" w:rsidR="00B01930" w:rsidRPr="00320A86" w:rsidRDefault="00B01930" w:rsidP="00B01930">
      <w:pPr>
        <w:spacing w:before="120" w:after="120"/>
        <w:jc w:val="both"/>
      </w:pPr>
      <w:r w:rsidRPr="00320A86">
        <w:t xml:space="preserve">I. 2. </w:t>
      </w:r>
      <w:r w:rsidRPr="007661C1">
        <w:rPr>
          <w:i/>
          <w:color w:val="FF0000"/>
        </w:rPr>
        <w:t>Implications du contenu du Code</w:t>
      </w:r>
    </w:p>
    <w:p w14:paraId="57D63008" w14:textId="77777777" w:rsidR="00B01930" w:rsidRDefault="00B01930" w:rsidP="00B01930">
      <w:pPr>
        <w:spacing w:before="120" w:after="120"/>
        <w:jc w:val="both"/>
      </w:pPr>
    </w:p>
    <w:p w14:paraId="4EFD751A" w14:textId="77777777" w:rsidR="00B01930" w:rsidRPr="00320A86" w:rsidRDefault="00B01930" w:rsidP="00B01930">
      <w:pPr>
        <w:spacing w:before="120" w:after="120"/>
        <w:jc w:val="both"/>
      </w:pPr>
      <w:r w:rsidRPr="00320A86">
        <w:t>Le Mal étant identifié et nommé (le libéralisme), le Bien, par s</w:t>
      </w:r>
      <w:r w:rsidRPr="00320A86">
        <w:t>y</w:t>
      </w:r>
      <w:r w:rsidRPr="00320A86">
        <w:t>métrie inverse, l’étant aussi, avec les notions utiles à sa victoire et se</w:t>
      </w:r>
      <w:r w:rsidRPr="00320A86">
        <w:t>u</w:t>
      </w:r>
      <w:r w:rsidRPr="00320A86">
        <w:t>les, par le fait même, légitimes, il est dans la logique du Code n° 1 de voir évoluer la pensée dans un sens toujours plus radical quant à l’argumentation.</w:t>
      </w:r>
    </w:p>
    <w:p w14:paraId="6C824A3F" w14:textId="77777777" w:rsidR="00B01930" w:rsidRPr="00320A86" w:rsidRDefault="00B01930" w:rsidP="00B01930">
      <w:pPr>
        <w:spacing w:before="120" w:after="120"/>
        <w:jc w:val="both"/>
      </w:pPr>
      <w:r w:rsidRPr="00320A86">
        <w:t>Carl Schmitt ne se contente jamais de décrire, d’expliquer, il pense et arg</w:t>
      </w:r>
      <w:r w:rsidRPr="00320A86">
        <w:t>u</w:t>
      </w:r>
      <w:r w:rsidRPr="00320A86">
        <w:t>mente toujours de manière polémique dans ce qu’il estime être un combat, qui prend ce caractère existentiel.</w:t>
      </w:r>
    </w:p>
    <w:p w14:paraId="5D6750FD" w14:textId="77777777" w:rsidR="00B01930" w:rsidRPr="00320A86" w:rsidRDefault="00B01930" w:rsidP="00B01930">
      <w:pPr>
        <w:spacing w:before="120" w:after="120"/>
        <w:jc w:val="both"/>
      </w:pPr>
      <w:r w:rsidRPr="00320A86">
        <w:t>Le droit positif n’a plus sa place, « </w:t>
      </w:r>
      <w:r w:rsidRPr="00163497">
        <w:rPr>
          <w:i/>
        </w:rPr>
        <w:t>le représentant tire sa légitimité de l’idée, de l’institution qu’il incarne </w:t>
      </w:r>
      <w:r w:rsidRPr="00320A86">
        <w:t>»</w:t>
      </w:r>
      <w:r>
        <w:t> </w:t>
      </w:r>
      <w:r>
        <w:rPr>
          <w:rStyle w:val="Appelnotedebasdep"/>
        </w:rPr>
        <w:footnoteReference w:id="736"/>
      </w:r>
      <w:r w:rsidRPr="00320A86">
        <w:t>. Souveraineté et décision (au sens schmittien) donnent « un cocktail détonnant : la fondation de l’État par le droit idéal aboutit paradoxalement […] à l’impossibilité de le lier par le droit positif. Le cadre par une théorie absolutiste de l’État existe déjà dans sa thèse de 1914. Elle sera complétée et adaptée entre 1917 et 1921 lorsqu’avec la dictature, la décision s</w:t>
      </w:r>
      <w:r w:rsidRPr="00320A86">
        <w:t>e</w:t>
      </w:r>
      <w:r w:rsidRPr="00320A86">
        <w:t>ra fixée sur le cas d’exception et l’ensemble de l’ordre constitutionnel</w:t>
      </w:r>
      <w:r>
        <w:t> </w:t>
      </w:r>
      <w:r>
        <w:rPr>
          <w:rStyle w:val="Appelnotedebasdep"/>
        </w:rPr>
        <w:footnoteReference w:id="737"/>
      </w:r>
      <w:r w:rsidRPr="00320A86">
        <w:t> ».</w:t>
      </w:r>
    </w:p>
    <w:p w14:paraId="5F9AEEB9" w14:textId="77777777" w:rsidR="00B01930" w:rsidRPr="00320A86" w:rsidRDefault="00B01930" w:rsidP="00B01930">
      <w:pPr>
        <w:spacing w:before="120" w:after="120"/>
        <w:jc w:val="both"/>
      </w:pPr>
      <w:r w:rsidRPr="00320A86">
        <w:t>La notion d’« </w:t>
      </w:r>
      <w:r w:rsidRPr="00163497">
        <w:rPr>
          <w:i/>
        </w:rPr>
        <w:t>essence du peuple allemand </w:t>
      </w:r>
      <w:r w:rsidRPr="00320A86">
        <w:t>» va trouver sa réalis</w:t>
      </w:r>
      <w:r w:rsidRPr="00320A86">
        <w:t>a</w:t>
      </w:r>
      <w:r w:rsidRPr="00320A86">
        <w:t>tion avec la révolution nazie. Dès 1934, Schmitt va saluer l’ordre nazi nouveau qu’il estime nécessaire. Donc, il faut élaborer de nouveaux outils juridiques en adéquation avec ce constat. Ainsi lorsqu’Hitler obtient les pleins pouvoirs (le 24 mars 1933), il s’ensuit que l’état d’exception va devenir permanent (jusqu’à la chute du régime en 1945). La loi, dès lors, peut procéder du gouvernement, et même du Führer, car il n’y a plus de différenciation des pouvoirs. Mais Schmitt, en toute logique de combat Bien et Mal, va estimer que cette loi de 1933 n’est pas une mesure d’exception provisoire (c’est la « constitution provisoire de la Rév</w:t>
      </w:r>
      <w:r w:rsidRPr="00320A86">
        <w:t>o</w:t>
      </w:r>
      <w:r w:rsidRPr="00320A86">
        <w:t>lution allemande »</w:t>
      </w:r>
      <w:r>
        <w:t> </w:t>
      </w:r>
      <w:r>
        <w:rPr>
          <w:rStyle w:val="Appelnotedebasdep"/>
        </w:rPr>
        <w:footnoteReference w:id="738"/>
      </w:r>
      <w:r w:rsidRPr="00320A86">
        <w:t>).</w:t>
      </w:r>
    </w:p>
    <w:p w14:paraId="55C50FDD" w14:textId="77777777" w:rsidR="00B01930" w:rsidRPr="00320A86" w:rsidRDefault="00B01930" w:rsidP="00B01930">
      <w:pPr>
        <w:spacing w:before="120" w:after="120"/>
        <w:jc w:val="both"/>
      </w:pPr>
      <w:r w:rsidRPr="00320A86">
        <w:t>Carl Schmitt va subvertir la notion de régime parlementaire (le Mal) en le qualifiant d’« État total », au motif qu’il intervient dans tous les domaines et, par là même, politise l’ensemble de la société. Il le disqualifie et se pose en prom</w:t>
      </w:r>
      <w:r w:rsidRPr="00320A86">
        <w:t>o</w:t>
      </w:r>
      <w:r w:rsidRPr="00320A86">
        <w:t>teur d’un État authentique, politique (Le Bien), centré sur les institutions polit</w:t>
      </w:r>
      <w:r w:rsidRPr="00320A86">
        <w:t>i</w:t>
      </w:r>
      <w:r w:rsidRPr="00320A86">
        <w:t>ques qui sont issues de sa notion (« substantielle ») de Constitution alors même qu’il va ouvrir la voie à un régime « totalitaire » (conformément à la logique du Code n° 1).</w:t>
      </w:r>
    </w:p>
    <w:p w14:paraId="03FE7744" w14:textId="77777777" w:rsidR="00B01930" w:rsidRPr="00320A86" w:rsidRDefault="00B01930" w:rsidP="00B01930">
      <w:pPr>
        <w:spacing w:before="120" w:after="120"/>
        <w:jc w:val="both"/>
      </w:pPr>
      <w:r w:rsidRPr="00320A86">
        <w:t>Le concept de légitimité, en 1932, compte tenu du contexte, n’a pas d’autre fonction que de convaincre que la Constitution et le Rég</w:t>
      </w:r>
      <w:r w:rsidRPr="00320A86">
        <w:t>i</w:t>
      </w:r>
      <w:r w:rsidRPr="00320A86">
        <w:t>me de Weimar sont étrangers à l’esprit allemand</w:t>
      </w:r>
      <w:r>
        <w:t> </w:t>
      </w:r>
      <w:r>
        <w:rPr>
          <w:rStyle w:val="Appelnotedebasdep"/>
        </w:rPr>
        <w:footnoteReference w:id="739"/>
      </w:r>
      <w:r w:rsidRPr="00320A86">
        <w:t>. Lorsqu’à la m</w:t>
      </w:r>
      <w:r w:rsidRPr="00320A86">
        <w:t>ê</w:t>
      </w:r>
      <w:r w:rsidRPr="00320A86">
        <w:t>me période il plaide pour « interdire les partis communistes et nazis, ce n’était pas pour défendre la Con</w:t>
      </w:r>
      <w:r w:rsidRPr="00320A86">
        <w:t>s</w:t>
      </w:r>
      <w:r w:rsidRPr="00320A86">
        <w:t>titution de Weimar […] ni d’ailleurs la République », mais pour sa conception de « l’État all</w:t>
      </w:r>
      <w:r w:rsidRPr="00320A86">
        <w:t>e</w:t>
      </w:r>
      <w:r w:rsidRPr="00320A86">
        <w:t>mand » et « la Constitution allemande »</w:t>
      </w:r>
      <w:r>
        <w:t> </w:t>
      </w:r>
      <w:r>
        <w:rPr>
          <w:rStyle w:val="Appelnotedebasdep"/>
        </w:rPr>
        <w:footnoteReference w:id="740"/>
      </w:r>
      <w:r w:rsidRPr="00320A86">
        <w:t>. Et au fond, ce ne sont pas les partis antidémocratiques qu’il visait, mais les partis « ennemis de la Const</w:t>
      </w:r>
      <w:r w:rsidRPr="00320A86">
        <w:t>i</w:t>
      </w:r>
      <w:r w:rsidRPr="00320A86">
        <w:t>tution » [ au sens schmittien] et « ennemis de l’État »</w:t>
      </w:r>
      <w:r>
        <w:t> </w:t>
      </w:r>
      <w:r>
        <w:rPr>
          <w:rStyle w:val="Appelnotedebasdep"/>
        </w:rPr>
        <w:footnoteReference w:id="741"/>
      </w:r>
      <w:r w:rsidRPr="00320A86">
        <w:t>.</w:t>
      </w:r>
    </w:p>
    <w:p w14:paraId="54322758" w14:textId="77777777" w:rsidR="00B01930" w:rsidRPr="00320A86" w:rsidRDefault="00B01930" w:rsidP="00B01930">
      <w:pPr>
        <w:spacing w:before="120" w:after="120"/>
        <w:jc w:val="both"/>
      </w:pPr>
      <w:r w:rsidRPr="00320A86">
        <w:t>Souveraineté, essence allemande, etc., sont les supports de son idée de Bien qui dicte la stratégie</w:t>
      </w:r>
      <w:r>
        <w:t> </w:t>
      </w:r>
      <w:r>
        <w:rPr>
          <w:rStyle w:val="Appelnotedebasdep"/>
        </w:rPr>
        <w:footnoteReference w:id="742"/>
      </w:r>
      <w:r w:rsidRPr="00320A86">
        <w:t xml:space="preserve"> intellectuelle pour lutter contre le Mal. Aussi « l’ordre concret » permet de se rattacher à la doctrine nazie, selon laquelle c’est la co</w:t>
      </w:r>
      <w:r w:rsidRPr="00320A86">
        <w:t>m</w:t>
      </w:r>
      <w:r w:rsidRPr="00320A86">
        <w:t>munauté « </w:t>
      </w:r>
      <w:r w:rsidRPr="00163497">
        <w:rPr>
          <w:i/>
        </w:rPr>
        <w:t>völkisch </w:t>
      </w:r>
      <w:r w:rsidRPr="00320A86">
        <w:t>» qui est le sujet de droit</w:t>
      </w:r>
      <w:r>
        <w:t> </w:t>
      </w:r>
      <w:r>
        <w:rPr>
          <w:rStyle w:val="Appelnotedebasdep"/>
        </w:rPr>
        <w:footnoteReference w:id="743"/>
      </w:r>
      <w:r w:rsidRPr="00320A86">
        <w:t>. Comme à ce moment c’est le F</w:t>
      </w:r>
      <w:r w:rsidRPr="00320A86">
        <w:t>ü</w:t>
      </w:r>
      <w:r w:rsidRPr="00320A86">
        <w:t>hrer qui détient la Vérité du peuple allemand</w:t>
      </w:r>
      <w:r>
        <w:t> </w:t>
      </w:r>
      <w:r>
        <w:rPr>
          <w:rStyle w:val="Appelnotedebasdep"/>
        </w:rPr>
        <w:footnoteReference w:id="744"/>
      </w:r>
      <w:r w:rsidRPr="00320A86">
        <w:t>, c’est lui le souverain. Or le So</w:t>
      </w:r>
      <w:r w:rsidRPr="00320A86">
        <w:t>u</w:t>
      </w:r>
      <w:r w:rsidRPr="00320A86">
        <w:t>verain détient la décision qui peut fonder la Constitution. Toutes les décisions du F</w:t>
      </w:r>
      <w:r w:rsidRPr="00320A86">
        <w:t>ü</w:t>
      </w:r>
      <w:r w:rsidRPr="00320A86">
        <w:t>hrer sont donc des actes de réalisation de l’essence du peuple all</w:t>
      </w:r>
      <w:r w:rsidRPr="00320A86">
        <w:t>e</w:t>
      </w:r>
      <w:r w:rsidRPr="00320A86">
        <w:t>mand</w:t>
      </w:r>
      <w:r>
        <w:t> </w:t>
      </w:r>
      <w:r>
        <w:rPr>
          <w:rStyle w:val="Appelnotedebasdep"/>
        </w:rPr>
        <w:footnoteReference w:id="745"/>
      </w:r>
      <w:r w:rsidRPr="00320A86">
        <w:t>.</w:t>
      </w:r>
    </w:p>
    <w:p w14:paraId="231C4B4A" w14:textId="77777777" w:rsidR="00B01930" w:rsidRPr="00320A86" w:rsidRDefault="00B01930" w:rsidP="00B01930">
      <w:pPr>
        <w:spacing w:before="120" w:after="120"/>
        <w:jc w:val="both"/>
      </w:pPr>
      <w:r w:rsidRPr="00320A86">
        <w:t>La conception raciste de la révolution nazie n’est pas une rupture, mais un accomplissement de la « substance organique du peuple »</w:t>
      </w:r>
      <w:r>
        <w:t> </w:t>
      </w:r>
      <w:r>
        <w:rPr>
          <w:rStyle w:val="Appelnotedebasdep"/>
        </w:rPr>
        <w:footnoteReference w:id="746"/>
      </w:r>
      <w:r w:rsidRPr="00320A86">
        <w:t>. En se ralliant à la prise du pouvoir par Hitler (qui fusionne les fon</w:t>
      </w:r>
      <w:r w:rsidRPr="00320A86">
        <w:t>c</w:t>
      </w:r>
      <w:r w:rsidRPr="00320A86">
        <w:t>tions de Chancelier avec celles de Président et abolit, de facto, la R</w:t>
      </w:r>
      <w:r w:rsidRPr="00320A86">
        <w:t>é</w:t>
      </w:r>
      <w:r w:rsidRPr="00320A86">
        <w:t>publique), Schmitt, adepte de l’ordre co</w:t>
      </w:r>
      <w:r w:rsidRPr="00320A86">
        <w:t>m</w:t>
      </w:r>
      <w:r w:rsidRPr="00320A86">
        <w:t>me condition du Droit, va légitimer l’idée que la notion d’État de droit prend un sens nouveau et il décrète que l’État nazi est un « État juste ». Il peut alors aff</w:t>
      </w:r>
      <w:r w:rsidRPr="00320A86">
        <w:t>i</w:t>
      </w:r>
      <w:r w:rsidRPr="00320A86">
        <w:t>cher son antijudaïsme</w:t>
      </w:r>
      <w:r>
        <w:t> </w:t>
      </w:r>
      <w:r>
        <w:rPr>
          <w:rStyle w:val="Appelnotedebasdep"/>
        </w:rPr>
        <w:footnoteReference w:id="747"/>
      </w:r>
      <w:r w:rsidRPr="00320A86">
        <w:t xml:space="preserve"> et en 1934, il dénonce l’influence de la pensée juive sur le droit. La notion d’homogénéité substantielle (qui pouvait se co</w:t>
      </w:r>
      <w:r w:rsidRPr="00320A86">
        <w:t>m</w:t>
      </w:r>
      <w:r w:rsidRPr="00320A86">
        <w:t>prendre comme égalité) devient en 1933 identité raciale, et la notion d’ennemi s’y co</w:t>
      </w:r>
      <w:r w:rsidRPr="00320A86">
        <w:t>m</w:t>
      </w:r>
      <w:r w:rsidRPr="00320A86">
        <w:t>bine, pour dériver vers l’ennemi intérieur. Or, selon Schmitt, le peuple juif ne vit pas dans un État et sur un sol – clefs du fondement du régime politique perme</w:t>
      </w:r>
      <w:r w:rsidRPr="00320A86">
        <w:t>t</w:t>
      </w:r>
      <w:r w:rsidRPr="00320A86">
        <w:t>tant l’instauration du Bien –, mais uniquement dans la loi et la norme. C’est un peuple « essentiellement normativiste</w:t>
      </w:r>
      <w:r>
        <w:t> </w:t>
      </w:r>
      <w:r>
        <w:rPr>
          <w:rStyle w:val="Appelnotedebasdep"/>
        </w:rPr>
        <w:footnoteReference w:id="748"/>
      </w:r>
      <w:r w:rsidRPr="00320A86">
        <w:t> ». Or le normativisme est associé au Mal chez Schmitt, comme nous l’avons vu. Les Juifs incarnent la pe</w:t>
      </w:r>
      <w:r w:rsidRPr="00320A86">
        <w:t>n</w:t>
      </w:r>
      <w:r w:rsidRPr="00320A86">
        <w:t>sée légali</w:t>
      </w:r>
      <w:r w:rsidRPr="00320A86">
        <w:t>s</w:t>
      </w:r>
      <w:r w:rsidRPr="00320A86">
        <w:t xml:space="preserve">te. Mettant la loi à la place du Droit (« la </w:t>
      </w:r>
      <w:r w:rsidRPr="00163497">
        <w:rPr>
          <w:i/>
        </w:rPr>
        <w:t xml:space="preserve">lex </w:t>
      </w:r>
      <w:r w:rsidRPr="00163497">
        <w:t>assujettit</w:t>
      </w:r>
      <w:r w:rsidRPr="00320A86">
        <w:t xml:space="preserve"> </w:t>
      </w:r>
      <w:r w:rsidRPr="00163497">
        <w:rPr>
          <w:i/>
        </w:rPr>
        <w:t>Rex </w:t>
      </w:r>
      <w:r>
        <w:rPr>
          <w:rStyle w:val="Appelnotedebasdep"/>
        </w:rPr>
        <w:footnoteReference w:id="749"/>
      </w:r>
      <w:r w:rsidRPr="00320A86">
        <w:t> »). Le peuple juif, très logiquement par rapport à sa conce</w:t>
      </w:r>
      <w:r w:rsidRPr="00320A86">
        <w:t>p</w:t>
      </w:r>
      <w:r w:rsidRPr="00320A86">
        <w:t>tion du Bien, devient suppôt du Mal et son éradication, au moins des lieux de production intellectuelle, est nécessaire. La diversité des op</w:t>
      </w:r>
      <w:r w:rsidRPr="00320A86">
        <w:t>i</w:t>
      </w:r>
      <w:r w:rsidRPr="00320A86">
        <w:t>nions et des champs d’intérêt des savants juifs montre qu’il n’y a pas de « pensée juive », car le Juif est inadaptable par disposition raciale et « il serait proprement impensable de citer un auteur juif comme t</w:t>
      </w:r>
      <w:r w:rsidRPr="00320A86">
        <w:t>é</w:t>
      </w:r>
      <w:r w:rsidRPr="00320A86">
        <w:t>moin principal ou même seulement comme une sorte d’autorité », car « pour nous un auteur juif n’a pas d’autorité ».</w:t>
      </w:r>
      <w:r>
        <w:t> </w:t>
      </w:r>
      <w:r>
        <w:rPr>
          <w:rStyle w:val="Appelnotedebasdep"/>
        </w:rPr>
        <w:footnoteReference w:id="750"/>
      </w:r>
    </w:p>
    <w:p w14:paraId="0F811414" w14:textId="77777777" w:rsidR="00B01930" w:rsidRPr="00320A86" w:rsidRDefault="00B01930" w:rsidP="00B01930">
      <w:pPr>
        <w:spacing w:before="120" w:after="120"/>
        <w:jc w:val="both"/>
      </w:pPr>
      <w:r w:rsidRPr="00163497">
        <w:rPr>
          <w:i/>
        </w:rPr>
        <w:t>In fine</w:t>
      </w:r>
      <w:r w:rsidRPr="00320A86">
        <w:t>, Carl Schmitt substitue à l’État libéral bourgeois (Le Mal), un autre idéal, l’État homogène, sous direction unitaire (le Bien). D’où, en stricte logique du Code n° 1, son soutien à Hitler, qui devient le chef charismatique</w:t>
      </w:r>
      <w:r>
        <w:t> </w:t>
      </w:r>
      <w:r>
        <w:rPr>
          <w:rStyle w:val="Appelnotedebasdep"/>
        </w:rPr>
        <w:footnoteReference w:id="751"/>
      </w:r>
      <w:r w:rsidRPr="00320A86">
        <w:t xml:space="preserve"> incarnant la Constitution allemande</w:t>
      </w:r>
      <w:r>
        <w:t> </w:t>
      </w:r>
      <w:r>
        <w:rPr>
          <w:rStyle w:val="Appelnotedebasdep"/>
        </w:rPr>
        <w:footnoteReference w:id="752"/>
      </w:r>
      <w:r w:rsidRPr="00320A86">
        <w:t>. Aupar</w:t>
      </w:r>
      <w:r w:rsidRPr="00320A86">
        <w:t>a</w:t>
      </w:r>
      <w:r w:rsidRPr="00320A86">
        <w:t>vant, il avait justifié, avec toutes ses ressources intellectuelles, le r</w:t>
      </w:r>
      <w:r w:rsidRPr="00320A86">
        <w:t>e</w:t>
      </w:r>
      <w:r w:rsidRPr="00320A86">
        <w:t>cours au suffrage universel direct et secret pour élire le président de la République</w:t>
      </w:r>
      <w:r>
        <w:t> </w:t>
      </w:r>
      <w:r>
        <w:rPr>
          <w:rStyle w:val="Appelnotedebasdep"/>
        </w:rPr>
        <w:footnoteReference w:id="753"/>
      </w:r>
      <w:r w:rsidRPr="00320A86">
        <w:t xml:space="preserve"> qui devait incarner l’unité et assurer le rôle de ga</w:t>
      </w:r>
      <w:r w:rsidRPr="00320A86">
        <w:t>r</w:t>
      </w:r>
      <w:r w:rsidRPr="00320A86">
        <w:t>dien de la Constitution</w:t>
      </w:r>
      <w:r>
        <w:t> </w:t>
      </w:r>
      <w:r>
        <w:rPr>
          <w:rStyle w:val="Appelnotedebasdep"/>
        </w:rPr>
        <w:footnoteReference w:id="754"/>
      </w:r>
      <w:r w:rsidRPr="00320A86">
        <w:t xml:space="preserve"> – au motif de vouloir sauver la République. Toute sa démarche consiste à inverser le sens des termes. Il déc</w:t>
      </w:r>
      <w:r w:rsidRPr="00320A86">
        <w:t>è</w:t>
      </w:r>
      <w:r w:rsidRPr="00320A86">
        <w:t>le dans la constitution de Weimar, les éléments de ce qu’il appelle « </w:t>
      </w:r>
      <w:r w:rsidRPr="00163497">
        <w:rPr>
          <w:i/>
        </w:rPr>
        <w:t>Constitution allemande </w:t>
      </w:r>
      <w:r w:rsidRPr="00320A86">
        <w:t>», mais dont l’existence n’est révélée que par l’interprète du Droit – c’est-à-dire lui</w:t>
      </w:r>
      <w:r>
        <w:t> </w:t>
      </w:r>
      <w:r>
        <w:rPr>
          <w:rStyle w:val="Appelnotedebasdep"/>
        </w:rPr>
        <w:footnoteReference w:id="755"/>
      </w:r>
      <w:r w:rsidRPr="00320A86">
        <w:t> – qui avait déjà défini ce qu’était l’État, la Constitution et le Droit et de qui ils proc</w:t>
      </w:r>
      <w:r w:rsidRPr="00320A86">
        <w:t>è</w:t>
      </w:r>
      <w:r w:rsidRPr="00320A86">
        <w:t>dent : le Souverain, lui-même rattaché à l’état d’exception (qui aura toutes les possibilités pour détruire le Mal).</w:t>
      </w:r>
    </w:p>
    <w:p w14:paraId="65EBED99" w14:textId="77777777" w:rsidR="00B01930" w:rsidRPr="00320A86" w:rsidRDefault="00B01930" w:rsidP="00B01930">
      <w:pPr>
        <w:spacing w:before="120" w:after="120"/>
        <w:jc w:val="both"/>
      </w:pPr>
      <w:r w:rsidRPr="00320A86">
        <w:t>En toute logique du Code n° 1, il lui revient de séparer le « </w:t>
      </w:r>
      <w:r w:rsidRPr="00163497">
        <w:rPr>
          <w:i/>
        </w:rPr>
        <w:t>bon grain de l’ivraie </w:t>
      </w:r>
      <w:r w:rsidRPr="00320A86">
        <w:t>»</w:t>
      </w:r>
      <w:r>
        <w:t> </w:t>
      </w:r>
      <w:r>
        <w:rPr>
          <w:rStyle w:val="Appelnotedebasdep"/>
        </w:rPr>
        <w:footnoteReference w:id="756"/>
      </w:r>
      <w:r w:rsidRPr="00320A86">
        <w:t xml:space="preserve"> et d’interpréter « </w:t>
      </w:r>
      <w:r w:rsidRPr="00163497">
        <w:rPr>
          <w:i/>
        </w:rPr>
        <w:t>la pratique constitutionnelle en s’affranchissant de contraintes textuelles </w:t>
      </w:r>
      <w:r>
        <w:rPr>
          <w:rStyle w:val="Appelnotedebasdep"/>
        </w:rPr>
        <w:footnoteReference w:id="757"/>
      </w:r>
      <w:r w:rsidRPr="00320A86">
        <w:t> ». On comprend mieux pourquoi, en détenant la clef du Bien, il a « l’obsession […] de « démasquer » les mythes, de regarder derrière les façades</w:t>
      </w:r>
      <w:r>
        <w:t> </w:t>
      </w:r>
      <w:r>
        <w:rPr>
          <w:rStyle w:val="Appelnotedebasdep"/>
        </w:rPr>
        <w:footnoteReference w:id="758"/>
      </w:r>
      <w:r w:rsidRPr="00320A86">
        <w:t> ».</w:t>
      </w:r>
    </w:p>
    <w:p w14:paraId="2706F87A" w14:textId="77777777" w:rsidR="00B01930" w:rsidRPr="00320A86" w:rsidRDefault="00B01930" w:rsidP="00B01930">
      <w:pPr>
        <w:spacing w:before="120" w:after="120"/>
        <w:jc w:val="both"/>
      </w:pPr>
      <w:r w:rsidRPr="00320A86">
        <w:t>Cette plume « </w:t>
      </w:r>
      <w:r w:rsidRPr="00163497">
        <w:rPr>
          <w:i/>
        </w:rPr>
        <w:t>chargée de polémique […] éloignée de la probité historienne de Lœwenstein [ou] de la rigueur analytique de Th</w:t>
      </w:r>
      <w:r w:rsidRPr="00163497">
        <w:rPr>
          <w:i/>
        </w:rPr>
        <w:t>o</w:t>
      </w:r>
      <w:r w:rsidRPr="00163497">
        <w:rPr>
          <w:i/>
        </w:rPr>
        <w:t>ma </w:t>
      </w:r>
      <w:r>
        <w:rPr>
          <w:rStyle w:val="Appelnotedebasdep"/>
        </w:rPr>
        <w:footnoteReference w:id="759"/>
      </w:r>
      <w:r w:rsidRPr="00320A86">
        <w:t> », a fabriqué une œ</w:t>
      </w:r>
      <w:r w:rsidRPr="00320A86">
        <w:t>u</w:t>
      </w:r>
      <w:r w:rsidRPr="00320A86">
        <w:t>vre qui est le « </w:t>
      </w:r>
      <w:r w:rsidRPr="00163497">
        <w:rPr>
          <w:i/>
        </w:rPr>
        <w:t>produit d’un processus d’euphémisation de thèses politiquement radicales mené à bien grâce au recours […] à l’art d’écrire </w:t>
      </w:r>
      <w:r>
        <w:rPr>
          <w:rStyle w:val="Appelnotedebasdep"/>
        </w:rPr>
        <w:footnoteReference w:id="760"/>
      </w:r>
      <w:r w:rsidRPr="00320A86">
        <w:t> », et c’est un fait que Schmitt « </w:t>
      </w:r>
      <w:r w:rsidRPr="00163497">
        <w:rPr>
          <w:i/>
        </w:rPr>
        <w:t>a [réussi] à dissimuler cette entreprise subversive en inventant des n</w:t>
      </w:r>
      <w:r w:rsidRPr="00163497">
        <w:rPr>
          <w:i/>
        </w:rPr>
        <w:t>o</w:t>
      </w:r>
      <w:r w:rsidRPr="00163497">
        <w:rPr>
          <w:i/>
        </w:rPr>
        <w:t>tions, en recourant à sa prodigieuse érudition et en jouant de ses t</w:t>
      </w:r>
      <w:r w:rsidRPr="00163497">
        <w:rPr>
          <w:i/>
        </w:rPr>
        <w:t>a</w:t>
      </w:r>
      <w:r w:rsidRPr="00163497">
        <w:rPr>
          <w:i/>
        </w:rPr>
        <w:t>lents rh</w:t>
      </w:r>
      <w:r w:rsidRPr="00163497">
        <w:rPr>
          <w:i/>
        </w:rPr>
        <w:t>é</w:t>
      </w:r>
      <w:r w:rsidRPr="00163497">
        <w:rPr>
          <w:i/>
        </w:rPr>
        <w:t>toriques </w:t>
      </w:r>
      <w:r>
        <w:rPr>
          <w:rStyle w:val="Appelnotedebasdep"/>
        </w:rPr>
        <w:footnoteReference w:id="761"/>
      </w:r>
      <w:r w:rsidRPr="00320A86">
        <w:t> ».</w:t>
      </w:r>
    </w:p>
    <w:p w14:paraId="51771764" w14:textId="77777777" w:rsidR="00B01930" w:rsidRPr="00320A86" w:rsidRDefault="00B01930" w:rsidP="00B01930">
      <w:pPr>
        <w:spacing w:before="120" w:after="120"/>
        <w:jc w:val="both"/>
      </w:pPr>
      <w:r w:rsidRPr="00320A86">
        <w:t>Cette dimension trouve sa suite dans les controverses qui entourent la réce</w:t>
      </w:r>
      <w:r w:rsidRPr="00320A86">
        <w:t>p</w:t>
      </w:r>
      <w:r w:rsidRPr="00320A86">
        <w:t>tion de son œuvre, surtout après son éclipse due à la défaite du III</w:t>
      </w:r>
      <w:r w:rsidRPr="00320A86">
        <w:rPr>
          <w:vertAlign w:val="superscript"/>
        </w:rPr>
        <w:t>e</w:t>
      </w:r>
      <w:r w:rsidRPr="00320A86">
        <w:t> Reich, et son retour sur la scène intellectuelle dans les années soixante-dix et surtout à partir de sa mort en 1985. Que ce soit pour en relever les approximations conceptuelles</w:t>
      </w:r>
      <w:r>
        <w:t> </w:t>
      </w:r>
      <w:r>
        <w:rPr>
          <w:rStyle w:val="Appelnotedebasdep"/>
        </w:rPr>
        <w:footnoteReference w:id="762"/>
      </w:r>
      <w:r w:rsidRPr="00320A86">
        <w:t>, en raison de sa lecture s</w:t>
      </w:r>
      <w:r w:rsidRPr="00320A86">
        <w:t>u</w:t>
      </w:r>
      <w:r w:rsidRPr="00320A86">
        <w:t>jette à caution de grands auteurs de philosophie politique (surtout Thomas Hobbes) ou, au contraire, pour mettre en avant une continu</w:t>
      </w:r>
      <w:r w:rsidRPr="00320A86">
        <w:t>i</w:t>
      </w:r>
      <w:r w:rsidRPr="00320A86">
        <w:t>té, voire une cohérence dans sa prolifique production, sans oublier une fin de non-recevoir, « de non-relecture » pour cause de nazisme, et pour certains de nazisme inscrit dans l’origine de son œuvre.</w:t>
      </w:r>
    </w:p>
    <w:p w14:paraId="60C94492" w14:textId="77777777" w:rsidR="00B01930" w:rsidRPr="00320A86" w:rsidRDefault="00B01930" w:rsidP="00B01930">
      <w:pPr>
        <w:spacing w:before="120" w:after="120"/>
        <w:jc w:val="both"/>
      </w:pPr>
      <w:r w:rsidRPr="00320A86">
        <w:t>Le recours à la notion de structures de la pensée politique, en l’espèce la mise en évidence du Code n° 1 qui est « </w:t>
      </w:r>
      <w:r w:rsidRPr="00163497">
        <w:rPr>
          <w:i/>
        </w:rPr>
        <w:t>la charpente </w:t>
      </w:r>
      <w:r w:rsidRPr="00320A86">
        <w:t>» de l’œuvre permet effectiv</w:t>
      </w:r>
      <w:r w:rsidRPr="00320A86">
        <w:t>e</w:t>
      </w:r>
      <w:r w:rsidRPr="00320A86">
        <w:t>ment de dire que « </w:t>
      </w:r>
      <w:r w:rsidRPr="00163497">
        <w:rPr>
          <w:i/>
        </w:rPr>
        <w:t>derrière la sinuosité du parcours nous constatons une cont</w:t>
      </w:r>
      <w:r w:rsidRPr="00163497">
        <w:rPr>
          <w:i/>
        </w:rPr>
        <w:t>i</w:t>
      </w:r>
      <w:r w:rsidRPr="00163497">
        <w:rPr>
          <w:i/>
        </w:rPr>
        <w:t>nuité intellectuelle </w:t>
      </w:r>
      <w:r w:rsidRPr="00320A86">
        <w:t>»</w:t>
      </w:r>
      <w:r>
        <w:t> </w:t>
      </w:r>
      <w:r>
        <w:rPr>
          <w:rStyle w:val="Appelnotedebasdep"/>
        </w:rPr>
        <w:footnoteReference w:id="763"/>
      </w:r>
      <w:r w:rsidRPr="00320A86">
        <w:t>. Le noyau principal ne serait-il pas ce qui aurait rendu possible son ralliement au nazisme, sans qu’il ait lui-même besoin d’être « </w:t>
      </w:r>
      <w:r w:rsidRPr="00163497">
        <w:rPr>
          <w:i/>
        </w:rPr>
        <w:t>nazifié </w:t>
      </w:r>
      <w:r>
        <w:rPr>
          <w:rStyle w:val="Appelnotedebasdep"/>
        </w:rPr>
        <w:footnoteReference w:id="764"/>
      </w:r>
      <w:r w:rsidRPr="00320A86">
        <w:t> » ?</w:t>
      </w:r>
    </w:p>
    <w:p w14:paraId="24588ECD" w14:textId="77777777" w:rsidR="00B01930" w:rsidRPr="00320A86" w:rsidRDefault="00B01930" w:rsidP="00B01930">
      <w:pPr>
        <w:spacing w:before="120" w:after="120"/>
        <w:jc w:val="both"/>
      </w:pPr>
      <w:r w:rsidRPr="00320A86">
        <w:t>Selon l’analyse martrienne, la logique du Code n° 1 ne pouvait qu’aboutir à ouvrir la boîte de Pandore et à libérer les maux qui se sont abattus sur la pensée juridique</w:t>
      </w:r>
      <w:r>
        <w:t> </w:t>
      </w:r>
      <w:r>
        <w:rPr>
          <w:rStyle w:val="Appelnotedebasdep"/>
        </w:rPr>
        <w:footnoteReference w:id="765"/>
      </w:r>
      <w:r w:rsidRPr="00320A86">
        <w:t>, d’autant que Schmitt avait une « capacité peu commune à inventer des concepts afin de dominer la situation</w:t>
      </w:r>
      <w:r>
        <w:t> </w:t>
      </w:r>
      <w:r>
        <w:rPr>
          <w:rStyle w:val="Appelnotedebasdep"/>
        </w:rPr>
        <w:footnoteReference w:id="766"/>
      </w:r>
      <w:r w:rsidRPr="00320A86">
        <w:t> ». Mais si l’on suit la pensée martrienne, encore fa</w:t>
      </w:r>
      <w:r w:rsidRPr="00320A86">
        <w:t>l</w:t>
      </w:r>
      <w:r w:rsidRPr="00320A86">
        <w:t>lait-il que les circonstances s’y prêtent. Autrement dit, « ses positions ant</w:t>
      </w:r>
      <w:r w:rsidRPr="00320A86">
        <w:t>é</w:t>
      </w:r>
      <w:r w:rsidRPr="00320A86">
        <w:t>rieures rendaient possible la prise de position ultérieure, sans la rendre nécessaire : c’est dans cette marque que peut s’introduire l’opportunisme personnel de Schmitt</w:t>
      </w:r>
      <w:r>
        <w:t> </w:t>
      </w:r>
      <w:r>
        <w:rPr>
          <w:rStyle w:val="Appelnotedebasdep"/>
        </w:rPr>
        <w:footnoteReference w:id="767"/>
      </w:r>
      <w:r w:rsidRPr="00320A86">
        <w:t> ».</w:t>
      </w:r>
    </w:p>
    <w:p w14:paraId="746B0850" w14:textId="77777777" w:rsidR="00B01930" w:rsidRPr="00320A86" w:rsidRDefault="00B01930" w:rsidP="00B01930">
      <w:pPr>
        <w:spacing w:before="120" w:after="120"/>
        <w:jc w:val="both"/>
      </w:pPr>
    </w:p>
    <w:p w14:paraId="492AEDF5" w14:textId="77777777" w:rsidR="00B01930" w:rsidRPr="00320A86" w:rsidRDefault="00B01930" w:rsidP="00B01930">
      <w:pPr>
        <w:spacing w:before="120" w:after="120"/>
        <w:jc w:val="both"/>
      </w:pPr>
      <w:r w:rsidRPr="00D86B44">
        <w:rPr>
          <w:i/>
          <w:color w:val="FF0000"/>
        </w:rPr>
        <w:t>Postlude</w:t>
      </w:r>
    </w:p>
    <w:p w14:paraId="0EF7A474" w14:textId="77777777" w:rsidR="00B01930" w:rsidRDefault="00B01930" w:rsidP="00B01930">
      <w:pPr>
        <w:spacing w:before="120" w:after="120"/>
        <w:jc w:val="both"/>
      </w:pPr>
    </w:p>
    <w:p w14:paraId="4D6C9E74" w14:textId="77777777" w:rsidR="00B01930" w:rsidRPr="00320A86" w:rsidRDefault="00B01930" w:rsidP="00B01930">
      <w:pPr>
        <w:spacing w:before="120" w:after="120"/>
        <w:jc w:val="both"/>
      </w:pPr>
      <w:r w:rsidRPr="00320A86">
        <w:t>En rester là ne nous paraît pas suffisant pour comprendre Carl Schmitt et e</w:t>
      </w:r>
      <w:r w:rsidRPr="00320A86">
        <w:t>x</w:t>
      </w:r>
      <w:r w:rsidRPr="00320A86">
        <w:t>pliquer qu’on puisse écrire à son propos : « une certaine imprégnation religieuse [n’est pas] absente de [sa pensée] plus proche d’un Joseph de Maistre, d’un pr</w:t>
      </w:r>
      <w:r w:rsidRPr="00320A86">
        <w:t>o</w:t>
      </w:r>
      <w:r w:rsidRPr="00320A86">
        <w:t>vincialisme catastrophique qui voit dans le monde une géhenne biblique</w:t>
      </w:r>
      <w:r>
        <w:t> </w:t>
      </w:r>
      <w:r>
        <w:rPr>
          <w:rStyle w:val="Appelnotedebasdep"/>
        </w:rPr>
        <w:footnoteReference w:id="768"/>
      </w:r>
      <w:r w:rsidRPr="00320A86">
        <w:t> ». Ou encore qu’un problème non résolu reste la discussion politico-théologique autour des a</w:t>
      </w:r>
      <w:r w:rsidRPr="00320A86">
        <w:t>c</w:t>
      </w:r>
      <w:r w:rsidRPr="00320A86">
        <w:t>cents eschatologiques qui traversent les essais tardifs de Schmitt</w:t>
      </w:r>
      <w:r>
        <w:t> </w:t>
      </w:r>
      <w:r>
        <w:rPr>
          <w:rStyle w:val="Appelnotedebasdep"/>
        </w:rPr>
        <w:footnoteReference w:id="769"/>
      </w:r>
      <w:r w:rsidRPr="00320A86">
        <w:t>.</w:t>
      </w:r>
    </w:p>
    <w:p w14:paraId="5B079757" w14:textId="77777777" w:rsidR="00B01930" w:rsidRPr="00320A86" w:rsidRDefault="00B01930" w:rsidP="00B01930">
      <w:pPr>
        <w:spacing w:before="120" w:after="120"/>
        <w:jc w:val="both"/>
      </w:pPr>
      <w:r w:rsidRPr="00320A86">
        <w:t>Pour notre part, nous pensons que cette dimension sous-tend toute la pensée schmittienne. Le recours par exemple, à la notion biblique de « </w:t>
      </w:r>
      <w:r w:rsidRPr="00163497">
        <w:rPr>
          <w:i/>
        </w:rPr>
        <w:t>Katechon </w:t>
      </w:r>
      <w:r w:rsidRPr="00320A86">
        <w:t>»</w:t>
      </w:r>
      <w:r>
        <w:t> </w:t>
      </w:r>
      <w:r>
        <w:rPr>
          <w:rStyle w:val="Appelnotedebasdep"/>
        </w:rPr>
        <w:footnoteReference w:id="770"/>
      </w:r>
      <w:r w:rsidRPr="00320A86">
        <w:t xml:space="preserve"> pour nommer le Chef charismatique qui incarnera le Droit, la Constitution fo</w:t>
      </w:r>
      <w:r w:rsidRPr="00320A86">
        <w:t>n</w:t>
      </w:r>
      <w:r w:rsidRPr="00320A86">
        <w:t>datrice d’un ordre nouveau, n’est pas le fruit du hasard. Comme ne l’est pas non plus le fait que d’aucuns ont pu déceler que l’ennemi politique (qui vise l’homogénéité de la n</w:t>
      </w:r>
      <w:r w:rsidRPr="00320A86">
        <w:t>a</w:t>
      </w:r>
      <w:r w:rsidRPr="00320A86">
        <w:t>tion) serait la figure théologique de l’hérétique (qui brise l’homogénéité religieuse)</w:t>
      </w:r>
      <w:r>
        <w:t> </w:t>
      </w:r>
      <w:r>
        <w:rPr>
          <w:rStyle w:val="Appelnotedebasdep"/>
        </w:rPr>
        <w:footnoteReference w:id="771"/>
      </w:r>
      <w:r w:rsidRPr="00320A86">
        <w:t>.</w:t>
      </w:r>
    </w:p>
    <w:p w14:paraId="4D45BE38" w14:textId="77777777" w:rsidR="00B01930" w:rsidRPr="00320A86" w:rsidRDefault="00B01930" w:rsidP="00B01930">
      <w:pPr>
        <w:spacing w:before="120" w:after="120"/>
        <w:jc w:val="both"/>
      </w:pPr>
      <w:r w:rsidRPr="00320A86">
        <w:t>Il y a donc un autre volet au contenu du Code n° 1 que nous d</w:t>
      </w:r>
      <w:r w:rsidRPr="00320A86">
        <w:t>e</w:t>
      </w:r>
      <w:r w:rsidRPr="00320A86">
        <w:t>vons mettre en évidence. C’est-à-dire, si on nous permet cette image tirée du Cinéma, un « </w:t>
      </w:r>
      <w:r w:rsidRPr="00163497">
        <w:rPr>
          <w:i/>
        </w:rPr>
        <w:t>Alien </w:t>
      </w:r>
      <w:r w:rsidRPr="00320A86">
        <w:t>» dans le discours et le code de valeur schmittien. Nous pensons que le Code n° 1 à l’œuvre chez Schmitt est « surdéterminé », façonné par un contenu de même nature, mais plus puissant que celui décrit. Il en est le cœur et explique aussi bien la constante virulence de ses propos, l’attitude à l’égard des Juifs</w:t>
      </w:r>
      <w:r>
        <w:t> </w:t>
      </w:r>
      <w:r>
        <w:rPr>
          <w:rStyle w:val="Appelnotedebasdep"/>
        </w:rPr>
        <w:footnoteReference w:id="772"/>
      </w:r>
      <w:r w:rsidRPr="00320A86">
        <w:t>, ou son obstination à penser, jusqu’à sa mort, qu’il avait toujours eu ra</w:t>
      </w:r>
      <w:r w:rsidRPr="00320A86">
        <w:t>i</w:t>
      </w:r>
      <w:r w:rsidRPr="00320A86">
        <w:t>son</w:t>
      </w:r>
      <w:r>
        <w:t> </w:t>
      </w:r>
      <w:r>
        <w:rPr>
          <w:rStyle w:val="Appelnotedebasdep"/>
        </w:rPr>
        <w:footnoteReference w:id="773"/>
      </w:r>
      <w:r w:rsidRPr="00320A86">
        <w:t>.</w:t>
      </w:r>
    </w:p>
    <w:p w14:paraId="079F4D7A" w14:textId="77777777" w:rsidR="00B01930" w:rsidRPr="00320A86" w:rsidRDefault="00B01930" w:rsidP="00B01930">
      <w:pPr>
        <w:spacing w:before="120" w:after="120"/>
        <w:jc w:val="both"/>
      </w:pPr>
    </w:p>
    <w:p w14:paraId="056C00B7" w14:textId="77777777" w:rsidR="00B01930" w:rsidRPr="00320A86" w:rsidRDefault="00B01930" w:rsidP="00B01930">
      <w:pPr>
        <w:pStyle w:val="planche"/>
      </w:pPr>
      <w:bookmarkStart w:id="197" w:name="Analyser_idees_pol_pt_3_texte_06_II"/>
      <w:r>
        <w:t>II. Le code de valeur :</w:t>
      </w:r>
      <w:r>
        <w:br/>
      </w:r>
      <w:r w:rsidRPr="00320A86">
        <w:t>le contenu caché (ou primaire)</w:t>
      </w:r>
    </w:p>
    <w:bookmarkEnd w:id="197"/>
    <w:p w14:paraId="1B641339" w14:textId="77777777" w:rsidR="00B01930" w:rsidRDefault="00B01930" w:rsidP="00B01930">
      <w:pPr>
        <w:spacing w:before="120" w:after="120"/>
        <w:jc w:val="both"/>
      </w:pPr>
    </w:p>
    <w:p w14:paraId="694221A9"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291233D3" w14:textId="77777777" w:rsidR="00B01930" w:rsidRPr="00320A86" w:rsidRDefault="00B01930" w:rsidP="00B01930">
      <w:pPr>
        <w:spacing w:before="120" w:after="120"/>
        <w:jc w:val="both"/>
      </w:pPr>
      <w:r w:rsidRPr="00320A86">
        <w:t>« L’</w:t>
      </w:r>
      <w:r w:rsidRPr="00163497">
        <w:rPr>
          <w:i/>
        </w:rPr>
        <w:t>Alien</w:t>
      </w:r>
      <w:r w:rsidRPr="00320A86">
        <w:t xml:space="preserve"> schmittien » se niche dans le « labyrinthe personnel » de Schmitt</w:t>
      </w:r>
      <w:r>
        <w:t> </w:t>
      </w:r>
      <w:r>
        <w:rPr>
          <w:rStyle w:val="Appelnotedebasdep"/>
        </w:rPr>
        <w:footnoteReference w:id="774"/>
      </w:r>
      <w:r w:rsidRPr="00320A86">
        <w:t xml:space="preserve"> et « quiconque veut parler des présuppositions qui se</w:t>
      </w:r>
      <w:r w:rsidRPr="00320A86">
        <w:t>r</w:t>
      </w:r>
      <w:r w:rsidRPr="00320A86">
        <w:t>vent de fondement à la théorie de Schmitt ne peut passer sous silence la foi dans la Révélation »</w:t>
      </w:r>
      <w:r>
        <w:t> </w:t>
      </w:r>
      <w:r>
        <w:rPr>
          <w:rStyle w:val="Appelnotedebasdep"/>
        </w:rPr>
        <w:footnoteReference w:id="775"/>
      </w:r>
      <w:r w:rsidRPr="00320A86">
        <w:t>.</w:t>
      </w:r>
    </w:p>
    <w:p w14:paraId="3A5B00EA" w14:textId="77777777" w:rsidR="00B01930" w:rsidRPr="00320A86" w:rsidRDefault="00B01930" w:rsidP="00B01930">
      <w:pPr>
        <w:spacing w:before="120" w:after="120"/>
        <w:jc w:val="both"/>
      </w:pPr>
      <w:r w:rsidRPr="00320A86">
        <w:t>Or, nous savons que celle-ci, en tant que manifestation la plus a</w:t>
      </w:r>
      <w:r w:rsidRPr="00320A86">
        <w:t>r</w:t>
      </w:r>
      <w:r w:rsidRPr="00320A86">
        <w:t>chétypale et durable dans l’Histoire occidentale du Code n° 1 est ant</w:t>
      </w:r>
      <w:r w:rsidRPr="00320A86">
        <w:t>i</w:t>
      </w:r>
      <w:r w:rsidRPr="00320A86">
        <w:t>nomique avec le libér</w:t>
      </w:r>
      <w:r w:rsidRPr="00320A86">
        <w:t>a</w:t>
      </w:r>
      <w:r w:rsidRPr="00320A86">
        <w:t>lisme. Ce ne sont pas, seulement, des raisons politiques qui poussent à Schmitt à le considérer comme le Mal. De</w:t>
      </w:r>
      <w:r w:rsidRPr="00320A86">
        <w:t>r</w:t>
      </w:r>
      <w:r w:rsidRPr="00320A86">
        <w:t>rière cette idéologie se profile le Mal absolu : le relativisme. C’est ce Mal qui est la clef de voûte de l’édifice schmittien, par-delà son cara</w:t>
      </w:r>
      <w:r w:rsidRPr="00320A86">
        <w:t>c</w:t>
      </w:r>
      <w:r w:rsidRPr="00320A86">
        <w:t>tère protéiforme.</w:t>
      </w:r>
    </w:p>
    <w:p w14:paraId="503EF3FD" w14:textId="77777777" w:rsidR="00B01930" w:rsidRPr="00320A86" w:rsidRDefault="00B01930" w:rsidP="00B01930">
      <w:pPr>
        <w:spacing w:before="120" w:after="120"/>
        <w:jc w:val="both"/>
      </w:pPr>
      <w:r w:rsidRPr="00320A86">
        <w:t>Cette hypothèse d’un Code n° 1 « surdéterminé » par un contenu foncièrement existentiel est validée par Carl Schmitt lui-même lor</w:t>
      </w:r>
      <w:r w:rsidRPr="00320A86">
        <w:t>s</w:t>
      </w:r>
      <w:r w:rsidRPr="00320A86">
        <w:t>qu’il déclare : « le mot-clé secret de l’ensemble de mon existence sp</w:t>
      </w:r>
      <w:r w:rsidRPr="00320A86">
        <w:t>i</w:t>
      </w:r>
      <w:r w:rsidRPr="00320A86">
        <w:t>rituelle et de mon existence d’auteur est la lutte pour un renouveau véritablement catholique (contre les ne</w:t>
      </w:r>
      <w:r w:rsidRPr="00320A86">
        <w:t>u</w:t>
      </w:r>
      <w:r w:rsidRPr="00320A86">
        <w:t>tralistes, le paradis esthétique, contre les avorteurs, les crémateurs et les pacifistes) »</w:t>
      </w:r>
      <w:r>
        <w:t> </w:t>
      </w:r>
      <w:r>
        <w:rPr>
          <w:rStyle w:val="Appelnotedebasdep"/>
        </w:rPr>
        <w:footnoteReference w:id="776"/>
      </w:r>
      <w:r w:rsidRPr="00320A86">
        <w:t>. La doctr</w:t>
      </w:r>
      <w:r w:rsidRPr="00320A86">
        <w:t>i</w:t>
      </w:r>
      <w:r w:rsidRPr="00320A86">
        <w:t>ne juridique, et politique, n’est que l’extension de sa foi en La Vérité qu’est le christianisme.</w:t>
      </w:r>
    </w:p>
    <w:p w14:paraId="1A2308BB" w14:textId="77777777" w:rsidR="00B01930" w:rsidRPr="00320A86" w:rsidRDefault="00B01930" w:rsidP="00B01930">
      <w:pPr>
        <w:spacing w:before="120" w:after="120"/>
        <w:jc w:val="both"/>
      </w:pPr>
      <w:r w:rsidRPr="00320A86">
        <w:t>On comprendra mieux pourquoi on a pu écrire que dans sa théorie, « le vér</w:t>
      </w:r>
      <w:r w:rsidRPr="00320A86">
        <w:t>i</w:t>
      </w:r>
      <w:r w:rsidRPr="00320A86">
        <w:t>table souverain est celui qui est le plus apte à représenter les vraies valeurs, c’est-à-dire les valeurs découlant de l’ordre divin »</w:t>
      </w:r>
      <w:r>
        <w:t> </w:t>
      </w:r>
      <w:r>
        <w:rPr>
          <w:rStyle w:val="Appelnotedebasdep"/>
        </w:rPr>
        <w:footnoteReference w:id="777"/>
      </w:r>
      <w:r w:rsidRPr="00320A86">
        <w:t>.</w:t>
      </w:r>
    </w:p>
    <w:p w14:paraId="4D129CEA" w14:textId="77777777" w:rsidR="00B01930" w:rsidRPr="00320A86" w:rsidRDefault="00B01930" w:rsidP="00B01930">
      <w:pPr>
        <w:spacing w:before="120" w:after="120"/>
        <w:jc w:val="both"/>
      </w:pPr>
      <w:r w:rsidRPr="00320A86">
        <w:t>L’immanence – propre au relativisme – qui refuse la transcendance théolog</w:t>
      </w:r>
      <w:r w:rsidRPr="00320A86">
        <w:t>i</w:t>
      </w:r>
      <w:r w:rsidRPr="00320A86">
        <w:t>que ne peut être que l’adversaire de Dieu. Il n’y a pas d’alternative à la seule Vérité que Jésus est le Christ, et que le péché originel a introduit le Mal. Nier le péché, le péché originel, c’est d</w:t>
      </w:r>
      <w:r w:rsidRPr="00320A86">
        <w:t>é</w:t>
      </w:r>
      <w:r w:rsidRPr="00320A86">
        <w:t>truire l’ordre social, écrit-il en 1933</w:t>
      </w:r>
      <w:r>
        <w:t> </w:t>
      </w:r>
      <w:r>
        <w:rPr>
          <w:rStyle w:val="Appelnotedebasdep"/>
        </w:rPr>
        <w:footnoteReference w:id="778"/>
      </w:r>
      <w:r w:rsidRPr="00320A86">
        <w:t xml:space="preserve"> et il ne saurait accepter que ch</w:t>
      </w:r>
      <w:r w:rsidRPr="00320A86">
        <w:t>a</w:t>
      </w:r>
      <w:r w:rsidRPr="00320A86">
        <w:t>cun puisse mener une vie selon ses propres raisons et jugement.</w:t>
      </w:r>
    </w:p>
    <w:p w14:paraId="5E1A9293" w14:textId="77777777" w:rsidR="00B01930" w:rsidRPr="00320A86" w:rsidRDefault="00B01930" w:rsidP="00B01930">
      <w:pPr>
        <w:spacing w:before="120" w:after="120"/>
        <w:jc w:val="both"/>
      </w:pPr>
      <w:r w:rsidRPr="00320A86">
        <w:t>La « théologie politique » prônée par Schmitt postule donc la Vér</w:t>
      </w:r>
      <w:r w:rsidRPr="00320A86">
        <w:t>i</w:t>
      </w:r>
      <w:r w:rsidRPr="00320A86">
        <w:t>té de la Révélation chrétienne. Il en découle, ipso facto, que l’incroyant est l’ennemi,</w:t>
      </w:r>
      <w:r>
        <w:t> </w:t>
      </w:r>
      <w:r>
        <w:rPr>
          <w:rStyle w:val="Appelnotedebasdep"/>
        </w:rPr>
        <w:footnoteReference w:id="779"/>
      </w:r>
      <w:r w:rsidRPr="00320A86">
        <w:t xml:space="preserve"> car il peut mettre en question la Vérité pr</w:t>
      </w:r>
      <w:r w:rsidRPr="00320A86">
        <w:t>o</w:t>
      </w:r>
      <w:r w:rsidRPr="00320A86">
        <w:t>fessée. Autrement dit, la proposition qui en découle est que nous sommes dans un combat foi / hérésie, sans possibil</w:t>
      </w:r>
      <w:r w:rsidRPr="00320A86">
        <w:t>i</w:t>
      </w:r>
      <w:r w:rsidRPr="00320A86">
        <w:t>té de neutralité. L’homme est placé devant la décision « </w:t>
      </w:r>
      <w:r w:rsidRPr="00163497">
        <w:rPr>
          <w:i/>
        </w:rPr>
        <w:t>ou bien […] ou bien </w:t>
      </w:r>
      <w:r w:rsidRPr="00320A86">
        <w:t>», du « </w:t>
      </w:r>
      <w:r w:rsidRPr="00163497">
        <w:rPr>
          <w:i/>
        </w:rPr>
        <w:t>credo / non-credo </w:t>
      </w:r>
      <w:r w:rsidRPr="00320A86">
        <w:t>»</w:t>
      </w:r>
      <w:r>
        <w:t> </w:t>
      </w:r>
      <w:r>
        <w:rPr>
          <w:rStyle w:val="Appelnotedebasdep"/>
        </w:rPr>
        <w:footnoteReference w:id="780"/>
      </w:r>
      <w:r w:rsidRPr="00320A86">
        <w:t>.</w:t>
      </w:r>
    </w:p>
    <w:p w14:paraId="3C75FBE0" w14:textId="77777777" w:rsidR="00B01930" w:rsidRPr="00320A86" w:rsidRDefault="00B01930" w:rsidP="00B01930">
      <w:pPr>
        <w:spacing w:before="120" w:after="120"/>
        <w:jc w:val="both"/>
      </w:pPr>
      <w:r w:rsidRPr="00320A86">
        <w:t>La logique du Code est implacable et Schmitt s’en fait le digne « porte-parole ». Observer ne suffit pas, il faut prendre parti et décider entre Dieu et S</w:t>
      </w:r>
      <w:r w:rsidRPr="00320A86">
        <w:t>a</w:t>
      </w:r>
      <w:r w:rsidRPr="00320A86">
        <w:t>tan. Le véritable fondement de la distinction ami-ennemi est là. Tous les concepts utilisés, forgés « au fil de l’eau » r</w:t>
      </w:r>
      <w:r w:rsidRPr="00320A86">
        <w:t>é</w:t>
      </w:r>
      <w:r w:rsidRPr="00320A86">
        <w:t>sident en réalité, d’une vision qui suppose une communauté, mais une communauté de croyants qui devient, alors, l’association politique la plus accomplie, la plus intense. Le combat pour la foi devient le co</w:t>
      </w:r>
      <w:r w:rsidRPr="00320A86">
        <w:t>m</w:t>
      </w:r>
      <w:r w:rsidRPr="00320A86">
        <w:t>bat politique le plus extrême. « </w:t>
      </w:r>
      <w:r w:rsidRPr="00163497">
        <w:rPr>
          <w:i/>
        </w:rPr>
        <w:t>Le combat pour la foi [qui] donne sa mesure à l’ensemble des concepts forgés par Schmitt est le combat dans l</w:t>
      </w:r>
      <w:r w:rsidRPr="00163497">
        <w:rPr>
          <w:i/>
        </w:rPr>
        <w:t>e</w:t>
      </w:r>
      <w:r w:rsidRPr="00163497">
        <w:rPr>
          <w:i/>
        </w:rPr>
        <w:t>quel la vraie foi fait face à la foi hérétique </w:t>
      </w:r>
      <w:r w:rsidRPr="00320A86">
        <w:t>»</w:t>
      </w:r>
      <w:r>
        <w:t> </w:t>
      </w:r>
      <w:r>
        <w:rPr>
          <w:rStyle w:val="Appelnotedebasdep"/>
        </w:rPr>
        <w:footnoteReference w:id="781"/>
      </w:r>
      <w:r w:rsidRPr="00320A86">
        <w:t>. Le croyant doit guetter la menace satanique du régime de l’Antéchrist et rasse</w:t>
      </w:r>
      <w:r w:rsidRPr="00320A86">
        <w:t>m</w:t>
      </w:r>
      <w:r w:rsidRPr="00320A86">
        <w:t>bler les forces pour en retarder l’avènement</w:t>
      </w:r>
      <w:r>
        <w:t> </w:t>
      </w:r>
      <w:r>
        <w:rPr>
          <w:rStyle w:val="Appelnotedebasdep"/>
        </w:rPr>
        <w:footnoteReference w:id="782"/>
      </w:r>
      <w:r w:rsidRPr="00320A86">
        <w:t>. Nous trouvons ici l’origine de l’idée de « </w:t>
      </w:r>
      <w:r w:rsidRPr="00163497">
        <w:rPr>
          <w:i/>
        </w:rPr>
        <w:t>Katechon </w:t>
      </w:r>
      <w:r w:rsidRPr="00320A86">
        <w:t>» qui n’est pas un hasard. Il faut so</w:t>
      </w:r>
      <w:r w:rsidRPr="00320A86">
        <w:t>u</w:t>
      </w:r>
      <w:r w:rsidRPr="00320A86">
        <w:t>ligner que le Code trouve, aussi, sa pleine expression dans le fait que « </w:t>
      </w:r>
      <w:r w:rsidRPr="00163497">
        <w:rPr>
          <w:i/>
        </w:rPr>
        <w:t>seuls les participants au conflit peuvent décider </w:t>
      </w:r>
      <w:r w:rsidRPr="00320A86">
        <w:t>». Or, nous savons que seuls le détenteur du Bien et ses partisans, peuvent exercer le po</w:t>
      </w:r>
      <w:r w:rsidRPr="00320A86">
        <w:t>u</w:t>
      </w:r>
      <w:r w:rsidRPr="00320A86">
        <w:t>voir et se trouvent en droit d’écraser, d’exterminer même, les r</w:t>
      </w:r>
      <w:r w:rsidRPr="00320A86">
        <w:t>é</w:t>
      </w:r>
      <w:r w:rsidRPr="00320A86">
        <w:t>calcitrants. Dès lors, l’hostilité, au cœur du politique, n’est que le r</w:t>
      </w:r>
      <w:r w:rsidRPr="00320A86">
        <w:t>e</w:t>
      </w:r>
      <w:r w:rsidRPr="00320A86">
        <w:t>flet de l’hostilité permanente qui est intimement et nécessairement liée à cette conce</w:t>
      </w:r>
      <w:r w:rsidRPr="00320A86">
        <w:t>p</w:t>
      </w:r>
      <w:r w:rsidRPr="00320A86">
        <w:t>tion radicale du combat du Bien et du Mal</w:t>
      </w:r>
      <w:r>
        <w:t> </w:t>
      </w:r>
      <w:r>
        <w:rPr>
          <w:rStyle w:val="Appelnotedebasdep"/>
        </w:rPr>
        <w:footnoteReference w:id="783"/>
      </w:r>
      <w:r w:rsidRPr="00320A86">
        <w:t>.</w:t>
      </w:r>
    </w:p>
    <w:p w14:paraId="154C9E7D" w14:textId="77777777" w:rsidR="00B01930" w:rsidRPr="00320A86" w:rsidRDefault="00B01930" w:rsidP="00B01930">
      <w:pPr>
        <w:spacing w:before="120" w:after="120"/>
        <w:jc w:val="both"/>
      </w:pPr>
      <w:r w:rsidRPr="00320A86">
        <w:t>Le salut, en politique, qui réside dans la soumission au « </w:t>
      </w:r>
      <w:r w:rsidRPr="003A302E">
        <w:rPr>
          <w:i/>
        </w:rPr>
        <w:t>Katechon </w:t>
      </w:r>
      <w:r w:rsidRPr="00320A86">
        <w:t>»</w:t>
      </w:r>
      <w:r>
        <w:t> </w:t>
      </w:r>
      <w:r>
        <w:rPr>
          <w:rStyle w:val="Appelnotedebasdep"/>
        </w:rPr>
        <w:footnoteReference w:id="784"/>
      </w:r>
      <w:r w:rsidRPr="00320A86">
        <w:t>, n’est, chez Carl Schmitt, que l’avers du Code dont l’envers est « </w:t>
      </w:r>
      <w:r w:rsidRPr="003A302E">
        <w:rPr>
          <w:i/>
        </w:rPr>
        <w:t>l’obéissance de la foi </w:t>
      </w:r>
      <w:r w:rsidRPr="00320A86">
        <w:t>»</w:t>
      </w:r>
      <w:r>
        <w:t> </w:t>
      </w:r>
      <w:r>
        <w:rPr>
          <w:rStyle w:val="Appelnotedebasdep"/>
        </w:rPr>
        <w:footnoteReference w:id="785"/>
      </w:r>
      <w:r w:rsidRPr="00320A86">
        <w:t>, condition du salut chrétien qui commande d’agir contre Satan, l’ennemi. L’humanitarisme n’est qu’une usurpation des valeurs chrétiennes, une hérésie redoutable puisque se prétendant morale, qu’il faut combattre sans merci. Les libertés et les droits, tels que promus par les pervers libéraux, sont i</w:t>
      </w:r>
      <w:r w:rsidRPr="00320A86">
        <w:t>r</w:t>
      </w:r>
      <w:r w:rsidRPr="00320A86">
        <w:t>recevables. Le droit divin est « </w:t>
      </w:r>
      <w:r w:rsidRPr="003A302E">
        <w:rPr>
          <w:i/>
        </w:rPr>
        <w:t>le véritable droit </w:t>
      </w:r>
      <w:r w:rsidRPr="00320A86">
        <w:t>»</w:t>
      </w:r>
      <w:r>
        <w:t> </w:t>
      </w:r>
      <w:r>
        <w:rPr>
          <w:rStyle w:val="Appelnotedebasdep"/>
        </w:rPr>
        <w:footnoteReference w:id="786"/>
      </w:r>
      <w:r w:rsidRPr="00320A86">
        <w:t>. La conception juridique schmittienne évoquée plus haut prend ici toute sa signific</w:t>
      </w:r>
      <w:r w:rsidRPr="00320A86">
        <w:t>a</w:t>
      </w:r>
      <w:r w:rsidRPr="00320A86">
        <w:t>tion et se trouve en totale adéqu</w:t>
      </w:r>
      <w:r w:rsidRPr="00320A86">
        <w:t>a</w:t>
      </w:r>
      <w:r w:rsidRPr="00320A86">
        <w:t>tion avec la logique du Code n° 1. L’État se voit attribuer le rôle de gardien de ce qui devient le droit n</w:t>
      </w:r>
      <w:r w:rsidRPr="00320A86">
        <w:t>a</w:t>
      </w:r>
      <w:r w:rsidRPr="00320A86">
        <w:t>turel</w:t>
      </w:r>
      <w:r>
        <w:t> </w:t>
      </w:r>
      <w:r>
        <w:rPr>
          <w:rStyle w:val="Appelnotedebasdep"/>
        </w:rPr>
        <w:footnoteReference w:id="787"/>
      </w:r>
      <w:r w:rsidRPr="00320A86">
        <w:t>, c’est-à-dire pour Schmitt fondé exclusivement sur le christi</w:t>
      </w:r>
      <w:r w:rsidRPr="00320A86">
        <w:t>a</w:t>
      </w:r>
      <w:r w:rsidRPr="00320A86">
        <w:t>nisme.</w:t>
      </w:r>
    </w:p>
    <w:p w14:paraId="3768DA48" w14:textId="77777777" w:rsidR="00B01930" w:rsidRPr="00320A86" w:rsidRDefault="00B01930" w:rsidP="00B01930">
      <w:pPr>
        <w:spacing w:before="120" w:after="120"/>
        <w:jc w:val="both"/>
      </w:pPr>
      <w:r w:rsidRPr="00320A86">
        <w:t>Souverain, Droit, Constitution, décisionnisme, état d’exception, homogénéité du peuple…, autant de notions qui sont la transposition, adaptée au contexte du combat titanesque entre le Bien et le Mal que conduit l’Église catholique depuis que la Révélation a eu lieu. Car seule l’Église est la médiatrice entre le Christ et les hommes. Elle est le modèle de sa conception de l’État</w:t>
      </w:r>
      <w:r>
        <w:t> </w:t>
      </w:r>
      <w:r>
        <w:rPr>
          <w:rStyle w:val="Appelnotedebasdep"/>
        </w:rPr>
        <w:footnoteReference w:id="788"/>
      </w:r>
      <w:r w:rsidRPr="00320A86">
        <w:t>. Dieu est devenu « visible » par l’incarnation de l’Église comme l’essence du peuple, de la comm</w:t>
      </w:r>
      <w:r w:rsidRPr="00320A86">
        <w:t>u</w:t>
      </w:r>
      <w:r w:rsidRPr="00320A86">
        <w:t>nauté, devient « visible » en s’incarnant dans l’État schmittien et qui connaît sa plénitude dans le « Katechon ».</w:t>
      </w:r>
    </w:p>
    <w:p w14:paraId="4C8AD0D3" w14:textId="77777777" w:rsidR="00B01930" w:rsidRPr="00320A86" w:rsidRDefault="00B01930" w:rsidP="00B01930">
      <w:pPr>
        <w:spacing w:before="120" w:after="120"/>
        <w:jc w:val="both"/>
      </w:pPr>
      <w:r w:rsidRPr="00320A86">
        <w:t>Mais si l’État n’est pas chrétien, on doit, néanmoins le tolérer, vo</w:t>
      </w:r>
      <w:r w:rsidRPr="00320A86">
        <w:t>i</w:t>
      </w:r>
      <w:r w:rsidRPr="00320A86">
        <w:t>re lui obéir comme l’expression de la Providence divine. L’État est nécessité pour maintenir l’ordre qui, depuis la Chute dans le Mal par le péché originel, est constamment mis en péril par la faiblesse de l’homme. L’État de droit schmittien est… abs</w:t>
      </w:r>
      <w:r w:rsidRPr="00320A86">
        <w:t>o</w:t>
      </w:r>
      <w:r w:rsidRPr="00320A86">
        <w:t>lutiste et chrétien</w:t>
      </w:r>
      <w:r>
        <w:t> </w:t>
      </w:r>
      <w:r>
        <w:rPr>
          <w:rStyle w:val="Appelnotedebasdep"/>
        </w:rPr>
        <w:footnoteReference w:id="789"/>
      </w:r>
      <w:r w:rsidRPr="00320A86">
        <w:t xml:space="preserve">. On comprend pourquoi la SS de Himmler, qui cultivait les mythes païens nordiques et n’admettait que le Peuple, personnifié par le parti nazi et le Führer, ne pouvait accepter cette « statolâtrie », </w:t>
      </w:r>
      <w:r w:rsidRPr="003A302E">
        <w:rPr>
          <w:i/>
        </w:rPr>
        <w:t>a fortiori</w:t>
      </w:r>
      <w:r w:rsidRPr="00320A86">
        <w:t xml:space="preserve"> connotée conservatrice traditionnelle, ce qu’elle abhorrait. Mais on comprend aussi pou</w:t>
      </w:r>
      <w:r w:rsidRPr="00320A86">
        <w:t>r</w:t>
      </w:r>
      <w:r w:rsidRPr="00320A86">
        <w:t>quoi Carl Schmitt, du fait du Code n° 1 et de ses deux contenus imbriqués, pourra verser dans le nazisme, poussé to</w:t>
      </w:r>
      <w:r w:rsidRPr="00320A86">
        <w:t>u</w:t>
      </w:r>
      <w:r w:rsidRPr="00320A86">
        <w:t>jours plus loin par sa lutte contre le Mal en politique : le libéralisme, lequel est le cheval de Troie du relativisme, Mal absolu au regard de la Vér</w:t>
      </w:r>
      <w:r w:rsidRPr="00320A86">
        <w:t>i</w:t>
      </w:r>
      <w:r w:rsidRPr="00320A86">
        <w:t>té chrétienne</w:t>
      </w:r>
      <w:r>
        <w:t> </w:t>
      </w:r>
      <w:r>
        <w:rPr>
          <w:rStyle w:val="Appelnotedebasdep"/>
        </w:rPr>
        <w:footnoteReference w:id="790"/>
      </w:r>
      <w:r w:rsidRPr="00320A86">
        <w:t>.</w:t>
      </w:r>
    </w:p>
    <w:p w14:paraId="047A123C" w14:textId="77777777" w:rsidR="00B01930" w:rsidRPr="00320A86" w:rsidRDefault="00B01930" w:rsidP="00B01930">
      <w:pPr>
        <w:spacing w:before="120" w:after="120"/>
        <w:jc w:val="both"/>
      </w:pPr>
      <w:r w:rsidRPr="00320A86">
        <w:t>En définitive, son œuvre ne peut donc correspondre ni à un besoin théorét</w:t>
      </w:r>
      <w:r w:rsidRPr="00320A86">
        <w:t>i</w:t>
      </w:r>
      <w:r w:rsidRPr="00320A86">
        <w:t>que qui aurait été conduit avec un souci zététique, pas plus qu’on ne peut lui trouver un caractère protreptique authentique.</w:t>
      </w:r>
    </w:p>
    <w:p w14:paraId="5A1A4AA2" w14:textId="77777777" w:rsidR="00B01930" w:rsidRPr="00320A86" w:rsidRDefault="00B01930" w:rsidP="00B01930">
      <w:pPr>
        <w:spacing w:before="120" w:after="120"/>
        <w:jc w:val="both"/>
      </w:pPr>
    </w:p>
    <w:p w14:paraId="3DAE0397" w14:textId="77777777" w:rsidR="00B01930" w:rsidRPr="00320A86" w:rsidRDefault="00B01930" w:rsidP="00B01930">
      <w:pPr>
        <w:pStyle w:val="planche"/>
      </w:pPr>
      <w:bookmarkStart w:id="198" w:name="Analyser_idees_pol_pt_3_texte_06_concl"/>
      <w:r w:rsidRPr="00320A86">
        <w:t>Conclusion</w:t>
      </w:r>
    </w:p>
    <w:bookmarkEnd w:id="198"/>
    <w:p w14:paraId="57CC906B" w14:textId="77777777" w:rsidR="00B01930" w:rsidRDefault="00B01930" w:rsidP="00B01930">
      <w:pPr>
        <w:spacing w:before="120" w:after="120"/>
        <w:jc w:val="both"/>
      </w:pPr>
    </w:p>
    <w:p w14:paraId="5DCD4D88"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2824537E" w14:textId="77777777" w:rsidR="00B01930" w:rsidRPr="00320A86" w:rsidRDefault="00B01930" w:rsidP="00B01930">
      <w:pPr>
        <w:spacing w:before="120" w:after="120"/>
        <w:jc w:val="both"/>
      </w:pPr>
      <w:r w:rsidRPr="00320A86">
        <w:t>Au terme de cette courte étude, de cet essai, on peut dire que c’est à juste titre qu’on a pu écrire que chez Schmitt, sa « </w:t>
      </w:r>
      <w:r w:rsidRPr="003A302E">
        <w:rPr>
          <w:i/>
        </w:rPr>
        <w:t>théologie chr</w:t>
      </w:r>
      <w:r w:rsidRPr="003A302E">
        <w:rPr>
          <w:i/>
        </w:rPr>
        <w:t>é</w:t>
      </w:r>
      <w:r w:rsidRPr="003A302E">
        <w:rPr>
          <w:i/>
        </w:rPr>
        <w:t>tienne détermine l’ensemble de son œuvre, autant sa notion de polit</w:t>
      </w:r>
      <w:r w:rsidRPr="003A302E">
        <w:rPr>
          <w:i/>
        </w:rPr>
        <w:t>i</w:t>
      </w:r>
      <w:r w:rsidRPr="003A302E">
        <w:rPr>
          <w:i/>
        </w:rPr>
        <w:t>que que sa théorie du droit </w:t>
      </w:r>
      <w:r w:rsidRPr="00320A86">
        <w:t>»</w:t>
      </w:r>
      <w:r>
        <w:t> </w:t>
      </w:r>
      <w:r>
        <w:rPr>
          <w:rStyle w:val="Appelnotedebasdep"/>
        </w:rPr>
        <w:footnoteReference w:id="791"/>
      </w:r>
      <w:r w:rsidRPr="00320A86">
        <w:t>. Ce qui cimente l’ensemble et en est la couche la plus profonde, est la croyance en la Révélation, et que « </w:t>
      </w:r>
      <w:r w:rsidRPr="003A302E">
        <w:rPr>
          <w:i/>
        </w:rPr>
        <w:t>l’axe de l’histoire du monde </w:t>
      </w:r>
      <w:r w:rsidRPr="00320A86">
        <w:t>» est « </w:t>
      </w:r>
      <w:r w:rsidRPr="003A302E">
        <w:rPr>
          <w:i/>
        </w:rPr>
        <w:t>Jésus et le Christ </w:t>
      </w:r>
      <w:r w:rsidRPr="00320A86">
        <w:t>»</w:t>
      </w:r>
      <w:r>
        <w:t> </w:t>
      </w:r>
      <w:r>
        <w:rPr>
          <w:rStyle w:val="Appelnotedebasdep"/>
        </w:rPr>
        <w:footnoteReference w:id="792"/>
      </w:r>
      <w:r w:rsidRPr="00320A86">
        <w:t>.</w:t>
      </w:r>
    </w:p>
    <w:p w14:paraId="14A3D0A2" w14:textId="77777777" w:rsidR="00B01930" w:rsidRPr="00320A86" w:rsidRDefault="00B01930" w:rsidP="00B01930">
      <w:pPr>
        <w:spacing w:before="120" w:after="120"/>
        <w:jc w:val="both"/>
      </w:pPr>
      <w:r w:rsidRPr="00320A86">
        <w:t>Heinrich Meier a bien mis à jour tous les présupposés religieux qui alimentaient le discours schmittien. Mais l’analyse structurale ma</w:t>
      </w:r>
      <w:r w:rsidRPr="00320A86">
        <w:t>r</w:t>
      </w:r>
      <w:r w:rsidRPr="00320A86">
        <w:t>trienne, ici le Code n° 1, explique pourquoi les concepts, comme l’itinéraire de Carl Schmitt, ne peuvent se déployer, et se comprendre, que dans un sens, au-delà de toute dive</w:t>
      </w:r>
      <w:r w:rsidRPr="00320A86">
        <w:t>r</w:t>
      </w:r>
      <w:r w:rsidRPr="00320A86">
        <w:t>sité, du caractère protéiforme, au-delà même des péripéties</w:t>
      </w:r>
      <w:r>
        <w:t> </w:t>
      </w:r>
      <w:r>
        <w:rPr>
          <w:rStyle w:val="Appelnotedebasdep"/>
        </w:rPr>
        <w:footnoteReference w:id="793"/>
      </w:r>
      <w:r w:rsidRPr="00320A86">
        <w:t>, celui du radicali</w:t>
      </w:r>
      <w:r w:rsidRPr="00320A86">
        <w:t>s</w:t>
      </w:r>
      <w:r w:rsidRPr="00320A86">
        <w:t>me, consubstantiel au Code, et que sa pensée ne pouvait être porteuse, une fois en acte, que de la tentation totalitaire.</w:t>
      </w:r>
    </w:p>
    <w:p w14:paraId="6B8791BE" w14:textId="77777777" w:rsidR="00B01930" w:rsidRPr="00320A86" w:rsidRDefault="00B01930" w:rsidP="00B01930">
      <w:pPr>
        <w:spacing w:before="120" w:after="120"/>
        <w:jc w:val="both"/>
      </w:pPr>
      <w:r w:rsidRPr="00320A86">
        <w:t>On peut nous objecter que son catholicisme était peu compatible avec un e</w:t>
      </w:r>
      <w:r w:rsidRPr="00320A86">
        <w:t>n</w:t>
      </w:r>
      <w:r w:rsidRPr="00320A86">
        <w:t>gagement nazi. Mais nous avons signalé que les deux, non seulement au plan circonstanciel ne s’excluaient pas</w:t>
      </w:r>
      <w:r>
        <w:t> </w:t>
      </w:r>
      <w:r>
        <w:rPr>
          <w:rStyle w:val="Appelnotedebasdep"/>
        </w:rPr>
        <w:footnoteReference w:id="794"/>
      </w:r>
      <w:r w:rsidRPr="00320A86">
        <w:t xml:space="preserve">, mais, et c’est là tout l’apport martrien, </w:t>
      </w:r>
      <w:r w:rsidRPr="003A302E">
        <w:rPr>
          <w:i/>
        </w:rPr>
        <w:t>structuralement</w:t>
      </w:r>
      <w:r w:rsidRPr="00320A86">
        <w:t>, les deux sont identiques. D’où, même sans conscience des i</w:t>
      </w:r>
      <w:r w:rsidRPr="00320A86">
        <w:t>n</w:t>
      </w:r>
      <w:r w:rsidRPr="00320A86">
        <w:t>dividus, les compatibilités, les gliss</w:t>
      </w:r>
      <w:r w:rsidRPr="00320A86">
        <w:t>e</w:t>
      </w:r>
      <w:r w:rsidRPr="00320A86">
        <w:t>ments, d’un discours à l’autre, voire d’une vie à l’autre, sans que l’auteur, l’acteur, y voit une quelconque contradiction ou ru</w:t>
      </w:r>
      <w:r w:rsidRPr="00320A86">
        <w:t>p</w:t>
      </w:r>
      <w:r w:rsidRPr="00320A86">
        <w:t>ture dans sa manière de penser</w:t>
      </w:r>
      <w:r>
        <w:t> </w:t>
      </w:r>
      <w:r>
        <w:rPr>
          <w:rStyle w:val="Appelnotedebasdep"/>
        </w:rPr>
        <w:footnoteReference w:id="795"/>
      </w:r>
      <w:r w:rsidRPr="00320A86">
        <w:t>.</w:t>
      </w:r>
    </w:p>
    <w:p w14:paraId="4AEF1D62" w14:textId="77777777" w:rsidR="00B01930" w:rsidRPr="00320A86" w:rsidRDefault="00B01930" w:rsidP="00B01930">
      <w:pPr>
        <w:spacing w:before="120" w:after="120"/>
        <w:jc w:val="both"/>
      </w:pPr>
      <w:r w:rsidRPr="00320A86">
        <w:t>L’approche martrienne a pour intérêt de mettre l’accent sur le fait que quel que soit l’objet de son discours, il y aura prévalence de la logique du Code, ici le Code n° 1. Son déploiement et son intensité, comme sa réception, in concreto, seront titulaires des circonstances et conditionnés par celles-ci.</w:t>
      </w:r>
    </w:p>
    <w:p w14:paraId="52472014" w14:textId="77777777" w:rsidR="00B01930" w:rsidRPr="00320A86" w:rsidRDefault="00B01930" w:rsidP="00B01930">
      <w:pPr>
        <w:spacing w:before="120" w:after="120"/>
        <w:jc w:val="both"/>
      </w:pPr>
      <w:r w:rsidRPr="00320A86">
        <w:t>La personnalité et le génie du locuteur n’étant pas à ignorer non plus. Il se trouve, en l’occurrence que Carl Schmitt avait indéniabl</w:t>
      </w:r>
      <w:r w:rsidRPr="00320A86">
        <w:t>e</w:t>
      </w:r>
      <w:r w:rsidRPr="00320A86">
        <w:t>ment toutes les qualités requises pour donner à ses écrits toute la force et la séduction nécessaires et que, par ailleurs, les suites de la Grande Guerre ouvraient grande la porte à une concrétisation doctrinale du Code. L’impact du discours est d’autant plus fort qu’il est l’instrument d’un Code dont le contenu s’articule sur une double racine « manichéenne inégalitaire » dont l’une transcende l’autre et lui confère un caractère « dangereux », rendant le juriste allemand fasc</w:t>
      </w:r>
      <w:r w:rsidRPr="00320A86">
        <w:t>i</w:t>
      </w:r>
      <w:r w:rsidRPr="00320A86">
        <w:t>nant pour les uns, sulf</w:t>
      </w:r>
      <w:r w:rsidRPr="00320A86">
        <w:t>u</w:t>
      </w:r>
      <w:r w:rsidRPr="00320A86">
        <w:t>reux pour les autres.</w:t>
      </w:r>
    </w:p>
    <w:p w14:paraId="0DA67330" w14:textId="77777777" w:rsidR="00B01930" w:rsidRPr="00320A86" w:rsidRDefault="00B01930" w:rsidP="00B01930">
      <w:pPr>
        <w:spacing w:before="120" w:after="120"/>
        <w:jc w:val="both"/>
      </w:pPr>
      <w:r w:rsidRPr="00320A86">
        <w:t>« </w:t>
      </w:r>
      <w:r w:rsidRPr="003A302E">
        <w:rPr>
          <w:i/>
        </w:rPr>
        <w:t>Sous l’aile [de Carl Schmitt] peuvent s’abriter, tant sa position conserv</w:t>
      </w:r>
      <w:r w:rsidRPr="003A302E">
        <w:rPr>
          <w:i/>
        </w:rPr>
        <w:t>a</w:t>
      </w:r>
      <w:r w:rsidRPr="003A302E">
        <w:rPr>
          <w:i/>
        </w:rPr>
        <w:t>trice radicale, insistant sur la nécessité de défendre le statu quo en tant qu’ordre concret, qu’une critique d’extrême gauche qui attaquerait l’État légal en exaltant ce qu’il réprime : l’insurrection révolutionnaire et la Décision dont elle est porteuse </w:t>
      </w:r>
      <w:r w:rsidRPr="00320A86">
        <w:t>»</w:t>
      </w:r>
      <w:r>
        <w:t> </w:t>
      </w:r>
      <w:r>
        <w:rPr>
          <w:rStyle w:val="Appelnotedebasdep"/>
        </w:rPr>
        <w:footnoteReference w:id="796"/>
      </w:r>
      <w:r w:rsidRPr="00320A86">
        <w:t>. Mais il est log</w:t>
      </w:r>
      <w:r w:rsidRPr="00320A86">
        <w:t>i</w:t>
      </w:r>
      <w:r w:rsidRPr="00320A86">
        <w:t>que que les tenants de chacun des extrêmes de l’arc de cercle des idéologies se reconnaissent dans le discours schmittien, puisqu’ils pr</w:t>
      </w:r>
      <w:r w:rsidRPr="00320A86">
        <w:t>é</w:t>
      </w:r>
      <w:r w:rsidRPr="00320A86">
        <w:t>tendent, de leur côté, détenir la science du Bien et du Mal, et ont pour ennemi commun la démocratie libérale. Qu’ils transforment, défo</w:t>
      </w:r>
      <w:r w:rsidRPr="00320A86">
        <w:t>r</w:t>
      </w:r>
      <w:r w:rsidRPr="00320A86">
        <w:t>ment ou extrapolent le discours schmittien, n’a que peu d’intérêt, ce qui explique la m</w:t>
      </w:r>
      <w:r w:rsidRPr="00320A86">
        <w:t>i</w:t>
      </w:r>
      <w:r w:rsidRPr="00320A86">
        <w:t>gration de la pensée schmittienne d’un bord à l’autre, voire, le cas échéant, sa mutation (au niveau du discours) et que celle-ci, comme celle-là, ont pour racine le Code n° 1, qui, par la seule logique structurale, produit le même mode de f</w:t>
      </w:r>
      <w:r w:rsidRPr="00320A86">
        <w:t>a</w:t>
      </w:r>
      <w:r w:rsidRPr="00320A86">
        <w:t>brication des discours et, si les circonstances s’y prêtent, les mêmes conséque</w:t>
      </w:r>
      <w:r w:rsidRPr="00320A86">
        <w:t>n</w:t>
      </w:r>
      <w:r w:rsidRPr="00320A86">
        <w:t>ces, tant en termes de séduction et propagation, qu’en termes d’éventuelles conséquences politiques.</w:t>
      </w:r>
    </w:p>
    <w:p w14:paraId="459DBCB2" w14:textId="77777777" w:rsidR="00B01930" w:rsidRPr="00320A86" w:rsidRDefault="00B01930" w:rsidP="00B01930">
      <w:pPr>
        <w:spacing w:before="120" w:after="120"/>
        <w:jc w:val="both"/>
      </w:pPr>
      <w:r w:rsidRPr="00320A86">
        <w:t>Pour autant, la question de la pertinence d’étudier, par exemple, les rapports entre légalité et légitimité, ou la notion d’état d’exception, n’est pas à rejeter. Ces sujets se posent de façon récurrente à travers l’histoire</w:t>
      </w:r>
      <w:r>
        <w:t> </w:t>
      </w:r>
      <w:r>
        <w:rPr>
          <w:rStyle w:val="Appelnotedebasdep"/>
        </w:rPr>
        <w:footnoteReference w:id="797"/>
      </w:r>
      <w:r w:rsidRPr="00320A86">
        <w:t xml:space="preserve"> et à nouveau ces dernières années</w:t>
      </w:r>
      <w:r>
        <w:t> </w:t>
      </w:r>
      <w:r>
        <w:rPr>
          <w:rStyle w:val="Appelnotedebasdep"/>
        </w:rPr>
        <w:footnoteReference w:id="798"/>
      </w:r>
      <w:r w:rsidRPr="00320A86">
        <w:t>.</w:t>
      </w:r>
    </w:p>
    <w:p w14:paraId="4F5CE4B6" w14:textId="77777777" w:rsidR="00B01930" w:rsidRPr="00320A86" w:rsidRDefault="00B01930" w:rsidP="00B01930">
      <w:pPr>
        <w:spacing w:before="120" w:after="120"/>
        <w:jc w:val="both"/>
      </w:pPr>
      <w:r w:rsidRPr="00320A86">
        <w:t>Notre propos n’était pas de se prononcer sur la validité du contenu explicite du discours schmittien, mais de proposer, par rapport à la spécificité de celui-ci et des réactions qu’il provoque, une hypothèse qui en dévoile le mode de con</w:t>
      </w:r>
      <w:r w:rsidRPr="00320A86">
        <w:t>s</w:t>
      </w:r>
      <w:r w:rsidRPr="00320A86">
        <w:t>truction. Celui-ci expliquant cela, y compris l’attitude de l’auteur face aux év</w:t>
      </w:r>
      <w:r w:rsidRPr="00320A86">
        <w:t>é</w:t>
      </w:r>
      <w:r w:rsidRPr="00320A86">
        <w:t>nements, ce jusqu’à sa mort.</w:t>
      </w:r>
    </w:p>
    <w:p w14:paraId="39BEF11C" w14:textId="77777777" w:rsidR="00B01930" w:rsidRPr="00320A86" w:rsidRDefault="00B01930" w:rsidP="00B01930">
      <w:pPr>
        <w:spacing w:before="120" w:after="120"/>
        <w:jc w:val="both"/>
      </w:pPr>
      <w:r w:rsidRPr="00320A86">
        <w:t>L’analyse martrienne des idées politiques, en l’espèce le Code n° 1, nous paraît de nature, à répondre à cette préoccupation, et à do</w:t>
      </w:r>
      <w:r w:rsidRPr="00320A86">
        <w:t>n</w:t>
      </w:r>
      <w:r w:rsidRPr="00320A86">
        <w:t>ner un sens nouveau aux débats qui entourent sa pensée.</w:t>
      </w:r>
    </w:p>
    <w:p w14:paraId="6D349496" w14:textId="77777777" w:rsidR="00B01930" w:rsidRPr="00320A86" w:rsidRDefault="00B01930" w:rsidP="00B01930">
      <w:pPr>
        <w:spacing w:before="120" w:after="120"/>
        <w:jc w:val="both"/>
      </w:pPr>
      <w:r w:rsidRPr="00320A86">
        <w:t>Relire ou lire Carl Schmitt ?</w:t>
      </w:r>
    </w:p>
    <w:p w14:paraId="15354165" w14:textId="77777777" w:rsidR="00B01930" w:rsidRDefault="00B01930" w:rsidP="00B01930">
      <w:pPr>
        <w:spacing w:before="120" w:after="120"/>
        <w:jc w:val="both"/>
      </w:pPr>
      <w:r w:rsidRPr="00320A86">
        <w:t>« […] Schmitt est certes populaire, mais aussi haï et parfois honni ; qu’il r</w:t>
      </w:r>
      <w:r w:rsidRPr="00320A86">
        <w:t>e</w:t>
      </w:r>
      <w:r w:rsidRPr="00320A86">
        <w:t>vienne à la mode sous des grincements et des grimaces ; qu’il fascine et qu’il répugne ; qu’il mêle le grand et le honteux. Il y a là tout un reflet de sa personnalité si humain dans ses profondes ambiv</w:t>
      </w:r>
      <w:r w:rsidRPr="00320A86">
        <w:t>a</w:t>
      </w:r>
      <w:r w:rsidRPr="00320A86">
        <w:t>lences, dans le meilleur et le pire, dans le clair et l’obscur »</w:t>
      </w:r>
      <w:r>
        <w:t> </w:t>
      </w:r>
      <w:r>
        <w:rPr>
          <w:rStyle w:val="Appelnotedebasdep"/>
        </w:rPr>
        <w:footnoteReference w:id="799"/>
      </w:r>
      <w:r w:rsidRPr="00320A86">
        <w:t>. Le « regard éloigné »</w:t>
      </w:r>
      <w:r>
        <w:t> </w:t>
      </w:r>
      <w:r>
        <w:rPr>
          <w:rStyle w:val="Appelnotedebasdep"/>
        </w:rPr>
        <w:footnoteReference w:id="800"/>
      </w:r>
      <w:r w:rsidRPr="00320A86">
        <w:t xml:space="preserve"> martrien permet de lire de</w:t>
      </w:r>
      <w:r w:rsidRPr="00320A86">
        <w:t>r</w:t>
      </w:r>
      <w:r w:rsidRPr="00320A86">
        <w:t>rière les lignes et les lecteurs de Carl Schmitt « savent que c’est à la bordure de l’extrême vigilance critique et de la curiosité intellectuelle que leur lecture doit désormais trouver son lieu</w:t>
      </w:r>
      <w:r>
        <w:t> </w:t>
      </w:r>
      <w:r>
        <w:rPr>
          <w:rStyle w:val="Appelnotedebasdep"/>
        </w:rPr>
        <w:footnoteReference w:id="801"/>
      </w:r>
      <w:r>
        <w:t> </w:t>
      </w:r>
      <w:r w:rsidRPr="00320A86">
        <w:t>»</w:t>
      </w:r>
    </w:p>
    <w:p w14:paraId="371A7FC2" w14:textId="77777777" w:rsidR="00B01930" w:rsidRPr="00320A86" w:rsidRDefault="00B01930" w:rsidP="00B01930">
      <w:pPr>
        <w:spacing w:before="120" w:after="120"/>
        <w:jc w:val="both"/>
      </w:pPr>
    </w:p>
    <w:p w14:paraId="0EA3F492" w14:textId="77777777" w:rsidR="00B01930" w:rsidRPr="00320A86" w:rsidRDefault="00B01930" w:rsidP="00B01930">
      <w:pPr>
        <w:pStyle w:val="planche"/>
      </w:pPr>
      <w:bookmarkStart w:id="199" w:name="Analyser_idees_pol_pt_3_texte_06_biblio"/>
      <w:r w:rsidRPr="00320A86">
        <w:t>Orientations bibliographiques</w:t>
      </w:r>
    </w:p>
    <w:bookmarkEnd w:id="199"/>
    <w:p w14:paraId="42EA3644" w14:textId="77777777" w:rsidR="00B01930" w:rsidRPr="00320A86" w:rsidRDefault="00B01930" w:rsidP="00B01930">
      <w:pPr>
        <w:spacing w:before="120" w:after="120"/>
        <w:jc w:val="both"/>
      </w:pPr>
    </w:p>
    <w:p w14:paraId="2E30B582" w14:textId="77777777" w:rsidR="00B01930" w:rsidRPr="00320A86" w:rsidRDefault="00B01930" w:rsidP="00B01930">
      <w:pPr>
        <w:spacing w:before="120" w:after="120"/>
        <w:jc w:val="both"/>
      </w:pPr>
      <w:r w:rsidRPr="00320A86">
        <w:t xml:space="preserve">1 – </w:t>
      </w:r>
      <w:r w:rsidRPr="00D86B44">
        <w:rPr>
          <w:color w:val="FF0000"/>
        </w:rPr>
        <w:t>Carl Schmitt</w:t>
      </w:r>
    </w:p>
    <w:p w14:paraId="1DAFF7CC" w14:textId="77777777" w:rsidR="00B01930" w:rsidRDefault="00B01930" w:rsidP="00B01930">
      <w:pPr>
        <w:spacing w:before="120" w:after="120"/>
        <w:jc w:val="both"/>
      </w:pPr>
    </w:p>
    <w:p w14:paraId="02C21019"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69F05164" w14:textId="77777777" w:rsidR="00B01930" w:rsidRPr="00320A86" w:rsidRDefault="00B01930" w:rsidP="00B01930">
      <w:pPr>
        <w:spacing w:before="120" w:after="120"/>
        <w:jc w:val="both"/>
      </w:pPr>
      <w:r w:rsidRPr="00320A86">
        <w:t>– La Notion de politique et théorie du partisan, Préface de Julien Freund, P</w:t>
      </w:r>
      <w:r w:rsidRPr="00320A86">
        <w:t>a</w:t>
      </w:r>
      <w:r w:rsidRPr="00320A86">
        <w:t>ris, Calmann-Lévy, 1972.</w:t>
      </w:r>
    </w:p>
    <w:p w14:paraId="436F6004" w14:textId="77777777" w:rsidR="00B01930" w:rsidRPr="00320A86" w:rsidRDefault="00B01930" w:rsidP="00B01930">
      <w:pPr>
        <w:spacing w:before="120" w:after="120"/>
        <w:jc w:val="both"/>
      </w:pPr>
      <w:r w:rsidRPr="00320A86">
        <w:t>– Théologie politique (textes de 1922 et 1969), Introduction Jean-Louis Schlegel, Paris, Gallimard, 1988.</w:t>
      </w:r>
    </w:p>
    <w:p w14:paraId="22C35F82" w14:textId="77777777" w:rsidR="00B01930" w:rsidRPr="00320A86" w:rsidRDefault="00B01930" w:rsidP="00B01930">
      <w:pPr>
        <w:spacing w:before="120" w:after="120"/>
        <w:jc w:val="both"/>
      </w:pPr>
      <w:r w:rsidRPr="00320A86">
        <w:t>– Parlementarisme et démocratie, suivi d’une étude de Léo Strauss sur la N</w:t>
      </w:r>
      <w:r w:rsidRPr="00320A86">
        <w:t>o</w:t>
      </w:r>
      <w:r w:rsidRPr="00320A86">
        <w:t>tion de politique, Préface de Pascale Pasquino, Paris, Seuil, 1988.</w:t>
      </w:r>
    </w:p>
    <w:p w14:paraId="3C33C0D7" w14:textId="77777777" w:rsidR="00B01930" w:rsidRPr="00320A86" w:rsidRDefault="00B01930" w:rsidP="00B01930">
      <w:pPr>
        <w:spacing w:before="120" w:after="120"/>
        <w:jc w:val="both"/>
      </w:pPr>
      <w:r w:rsidRPr="00320A86">
        <w:t>– Du politique, « légalité, légitimité » et autres essais, présentés par Alain de Benoist, Paris, Pardès, 1990.</w:t>
      </w:r>
    </w:p>
    <w:p w14:paraId="2879BDF1" w14:textId="77777777" w:rsidR="00B01930" w:rsidRPr="00320A86" w:rsidRDefault="00B01930" w:rsidP="00B01930">
      <w:pPr>
        <w:spacing w:before="120" w:after="120"/>
        <w:jc w:val="both"/>
      </w:pPr>
      <w:r w:rsidRPr="00320A86">
        <w:t>– Ex Captivitate salus, expérience  des années 1945-1947, prése</w:t>
      </w:r>
      <w:r w:rsidRPr="00320A86">
        <w:t>n</w:t>
      </w:r>
      <w:r w:rsidRPr="00320A86">
        <w:t>té, traduit, annoté par André Doremus, Paris, Vrin, 2003. Cette éd</w:t>
      </w:r>
      <w:r w:rsidRPr="00320A86">
        <w:t>i</w:t>
      </w:r>
      <w:r w:rsidRPr="00320A86">
        <w:t xml:space="preserve">tion, expurgée, semble-t-il, a été critiquée par Denis Trierweiler, dans Cités, 2004/1 (n° 17), p. 173-179. </w:t>
      </w:r>
    </w:p>
    <w:p w14:paraId="6178851D" w14:textId="77777777" w:rsidR="00B01930" w:rsidRPr="00320A86" w:rsidRDefault="00B01930" w:rsidP="00B01930">
      <w:pPr>
        <w:spacing w:before="120" w:after="120"/>
        <w:jc w:val="both"/>
      </w:pPr>
      <w:r w:rsidRPr="00320A86">
        <w:t>– La Visibilité de l’Église, catholicisme romain et forme politique, Donoso Cortés, quatre essais, présentation Bernard Bourdin, préface Jean-François Ke</w:t>
      </w:r>
      <w:r w:rsidRPr="00320A86">
        <w:t>r</w:t>
      </w:r>
      <w:r w:rsidRPr="00320A86">
        <w:t>végan, Paris, Cerf, 2011.</w:t>
      </w:r>
    </w:p>
    <w:p w14:paraId="67979D13" w14:textId="77777777" w:rsidR="00B01930" w:rsidRPr="00320A86" w:rsidRDefault="00B01930" w:rsidP="00B01930">
      <w:pPr>
        <w:spacing w:before="120" w:after="120"/>
        <w:jc w:val="both"/>
      </w:pPr>
      <w:r w:rsidRPr="00320A86">
        <w:t>– La Dictature, Paris, Seuil, col. « Points, essais », 2015.</w:t>
      </w:r>
    </w:p>
    <w:p w14:paraId="3E71BF30" w14:textId="77777777" w:rsidR="00B01930" w:rsidRPr="00320A86" w:rsidRDefault="00B01930" w:rsidP="00B01930">
      <w:pPr>
        <w:spacing w:before="120" w:after="120"/>
        <w:jc w:val="both"/>
      </w:pPr>
    </w:p>
    <w:p w14:paraId="2CC073BF" w14:textId="77777777" w:rsidR="00B01930" w:rsidRPr="00320A86" w:rsidRDefault="00B01930" w:rsidP="00B01930">
      <w:pPr>
        <w:spacing w:before="120" w:after="120"/>
        <w:jc w:val="both"/>
      </w:pPr>
      <w:r w:rsidRPr="00320A86">
        <w:t>2 – </w:t>
      </w:r>
      <w:r w:rsidRPr="00D86B44">
        <w:rPr>
          <w:color w:val="FF0000"/>
        </w:rPr>
        <w:t>À propos de Carl Schmitt</w:t>
      </w:r>
      <w:r w:rsidRPr="00320A86">
        <w:t xml:space="preserve"> (2. – 1., ouvrages ; 2. – 2., articles)</w:t>
      </w:r>
    </w:p>
    <w:p w14:paraId="6E254206" w14:textId="77777777" w:rsidR="00B01930" w:rsidRDefault="00B01930" w:rsidP="00B01930">
      <w:pPr>
        <w:spacing w:before="120" w:after="120"/>
        <w:jc w:val="both"/>
      </w:pPr>
    </w:p>
    <w:p w14:paraId="2662BFA4" w14:textId="77777777" w:rsidR="00B01930" w:rsidRPr="00320A86" w:rsidRDefault="00B01930" w:rsidP="00B01930">
      <w:pPr>
        <w:spacing w:before="120" w:after="120"/>
        <w:jc w:val="both"/>
      </w:pPr>
      <w:r w:rsidRPr="00320A86">
        <w:t xml:space="preserve">2 – 1. </w:t>
      </w:r>
      <w:r w:rsidRPr="00D86B44">
        <w:rPr>
          <w:i/>
        </w:rPr>
        <w:t>Ouvrages</w:t>
      </w:r>
    </w:p>
    <w:p w14:paraId="355EB9F1" w14:textId="77777777" w:rsidR="00B01930" w:rsidRPr="00320A86" w:rsidRDefault="00B01930" w:rsidP="00B01930">
      <w:pPr>
        <w:spacing w:before="120" w:after="120"/>
        <w:jc w:val="both"/>
      </w:pPr>
      <w:r w:rsidRPr="00320A86">
        <w:t>– Gopal Balakrishnan, L’Ennemi. Un portrait intellectuel de Carl Schmitt, Paris, Éd. Amsterdam, 2006.</w:t>
      </w:r>
    </w:p>
    <w:p w14:paraId="0E101158" w14:textId="77777777" w:rsidR="00B01930" w:rsidRPr="00320A86" w:rsidRDefault="00B01930" w:rsidP="00B01930">
      <w:pPr>
        <w:spacing w:before="120" w:after="120"/>
        <w:jc w:val="both"/>
      </w:pPr>
      <w:r w:rsidRPr="00320A86">
        <w:t>– Sandrine Baume, Carl Schmitt penseur de l’État, genèse d’une doctrine, Paris, Presses de Science Po, 2008.</w:t>
      </w:r>
    </w:p>
    <w:p w14:paraId="197618B0" w14:textId="77777777" w:rsidR="00B01930" w:rsidRPr="00320A86" w:rsidRDefault="00B01930" w:rsidP="00B01930">
      <w:pPr>
        <w:spacing w:before="120" w:after="120"/>
        <w:jc w:val="both"/>
      </w:pPr>
      <w:r w:rsidRPr="00320A86">
        <w:t>– Olivier Beaud, Les Derniers jours de Weimar, Carl Schmitt face à l’avènement du nazisme, Paris, Descartes et C</w:t>
      </w:r>
      <w:r w:rsidRPr="00320A86">
        <w:rPr>
          <w:vertAlign w:val="superscript"/>
        </w:rPr>
        <w:t>ie</w:t>
      </w:r>
      <w:r w:rsidRPr="00320A86">
        <w:t>, 1997.</w:t>
      </w:r>
    </w:p>
    <w:p w14:paraId="629DE8DC" w14:textId="77777777" w:rsidR="00B01930" w:rsidRPr="00320A86" w:rsidRDefault="00B01930" w:rsidP="00B01930">
      <w:pPr>
        <w:spacing w:before="120" w:after="120"/>
        <w:jc w:val="both"/>
      </w:pPr>
      <w:r w:rsidRPr="00320A86">
        <w:t>– Olivier Beaud et Pasquale Pasquino (dir.), La Controverse sur le « Gardien de la Constitution », Kelsen contre Schmitt, Colloque 15/06/2006 du Centre Marc Bloch de Berlin, Paris, éd. Panthéon-Assas, diff. LGDJ, 2007.</w:t>
      </w:r>
    </w:p>
    <w:p w14:paraId="5EFB205A" w14:textId="77777777" w:rsidR="00B01930" w:rsidRPr="00320A86" w:rsidRDefault="00B01930" w:rsidP="00B01930">
      <w:pPr>
        <w:spacing w:before="120" w:after="120"/>
        <w:jc w:val="both"/>
      </w:pPr>
      <w:r w:rsidRPr="00320A86">
        <w:t>– David Cumin :</w:t>
      </w:r>
    </w:p>
    <w:p w14:paraId="63151421" w14:textId="77777777" w:rsidR="00B01930" w:rsidRPr="00320A86" w:rsidRDefault="00B01930" w:rsidP="00B01930">
      <w:pPr>
        <w:spacing w:before="120" w:after="120"/>
        <w:jc w:val="both"/>
      </w:pPr>
      <w:r w:rsidRPr="00320A86">
        <w:t xml:space="preserve">– Carl Schmitt. Biographie politique et  intellectuelle, Paris, Cerf, 2005. </w:t>
      </w:r>
    </w:p>
    <w:p w14:paraId="3AB2245C" w14:textId="77777777" w:rsidR="00B01930" w:rsidRPr="00320A86" w:rsidRDefault="00B01930" w:rsidP="00B01930">
      <w:pPr>
        <w:spacing w:before="120" w:after="120"/>
        <w:jc w:val="both"/>
      </w:pPr>
      <w:r w:rsidRPr="00320A86">
        <w:t>– Impérialisme et Droit international, le point de vue de Carl Schmitt, Paris, revue Stratégique, ISC-FEDN, avr-97.</w:t>
      </w:r>
    </w:p>
    <w:p w14:paraId="5F29A640" w14:textId="77777777" w:rsidR="00B01930" w:rsidRPr="00320A86" w:rsidRDefault="00B01930" w:rsidP="00B01930">
      <w:pPr>
        <w:spacing w:before="120" w:after="120"/>
        <w:jc w:val="both"/>
      </w:pPr>
      <w:r w:rsidRPr="00320A86">
        <w:t xml:space="preserve"> – Michaël Foessel, Jean-François Kervégan, Myriam Revault d’Allones (dir.), Modernité et sécularisation, Hans Blumenberg, Karl Löwith, Carl Schmitt, Paris, Éditions du C</w:t>
      </w:r>
      <w:r w:rsidRPr="00320A86">
        <w:rPr>
          <w:smallCaps/>
        </w:rPr>
        <w:t>nrs</w:t>
      </w:r>
      <w:r w:rsidRPr="00320A86">
        <w:t>, 2007.</w:t>
      </w:r>
    </w:p>
    <w:p w14:paraId="5BDBD45E" w14:textId="77777777" w:rsidR="00B01930" w:rsidRPr="00320A86" w:rsidRDefault="00B01930" w:rsidP="00B01930">
      <w:pPr>
        <w:spacing w:before="120" w:after="120"/>
        <w:jc w:val="both"/>
      </w:pPr>
      <w:r w:rsidRPr="00320A86">
        <w:t xml:space="preserve">– Raphael Gross, Carl Schmitt et les juifs, Préface de Yves-Charles Zarka, avant-propos de Denis Trierweiler, Paris, </w:t>
      </w:r>
      <w:r w:rsidRPr="00320A86">
        <w:rPr>
          <w:smallCaps/>
        </w:rPr>
        <w:t>Puf,</w:t>
      </w:r>
      <w:r w:rsidRPr="00320A86">
        <w:t xml:space="preserve"> 2005.</w:t>
      </w:r>
    </w:p>
    <w:p w14:paraId="1B6F024D" w14:textId="77777777" w:rsidR="00B01930" w:rsidRPr="00320A86" w:rsidRDefault="00B01930" w:rsidP="00B01930">
      <w:pPr>
        <w:spacing w:before="120" w:after="120"/>
        <w:jc w:val="both"/>
      </w:pPr>
      <w:r w:rsidRPr="00320A86">
        <w:t>– Jacky Himmel, Carl Schmitt l’irréductibilité du politique, Paris, Michalon, 2005.</w:t>
      </w:r>
    </w:p>
    <w:p w14:paraId="0CB809E2" w14:textId="77777777" w:rsidR="00B01930" w:rsidRPr="00320A86" w:rsidRDefault="00B01930" w:rsidP="00B01930">
      <w:pPr>
        <w:spacing w:before="120" w:after="120"/>
        <w:jc w:val="both"/>
      </w:pPr>
      <w:r w:rsidRPr="00320A86">
        <w:t xml:space="preserve"> – Carlos Miguel Herrera (dir.), Le Droit, Le Politique. Autour de Max W</w:t>
      </w:r>
      <w:r w:rsidRPr="00320A86">
        <w:t>e</w:t>
      </w:r>
      <w:r w:rsidRPr="00320A86">
        <w:t>ber, Hans Kelsen, Carl Schmitt, Paris, L’Harmattan,1995.</w:t>
      </w:r>
    </w:p>
    <w:p w14:paraId="0B5FE8A3" w14:textId="77777777" w:rsidR="00B01930" w:rsidRPr="00320A86" w:rsidRDefault="00B01930" w:rsidP="00B01930">
      <w:pPr>
        <w:spacing w:before="120" w:after="120"/>
        <w:jc w:val="both"/>
      </w:pPr>
      <w:r w:rsidRPr="00320A86">
        <w:t>– Jean-François  Kervégan:</w:t>
      </w:r>
    </w:p>
    <w:p w14:paraId="796C7E44" w14:textId="77777777" w:rsidR="00B01930" w:rsidRPr="00320A86" w:rsidRDefault="00B01930" w:rsidP="00B01930">
      <w:pPr>
        <w:spacing w:before="120" w:after="120"/>
        <w:jc w:val="both"/>
      </w:pPr>
      <w:r w:rsidRPr="00320A86">
        <w:t>– Hegel, Carl Schmitt, le politique entre spéculation et positivité, P</w:t>
      </w:r>
      <w:r w:rsidRPr="00320A86">
        <w:rPr>
          <w:smallCaps/>
        </w:rPr>
        <w:t>uf</w:t>
      </w:r>
      <w:r w:rsidRPr="00320A86">
        <w:t>, coll. « Quadrige », 2005.</w:t>
      </w:r>
    </w:p>
    <w:p w14:paraId="5234FABA" w14:textId="77777777" w:rsidR="00B01930" w:rsidRPr="00320A86" w:rsidRDefault="00B01930" w:rsidP="00B01930">
      <w:pPr>
        <w:spacing w:before="120" w:after="120"/>
        <w:jc w:val="both"/>
      </w:pPr>
      <w:r w:rsidRPr="00320A86">
        <w:t>– Que faire de Carl Schmitt ?, Paris, Gallimard, col. « Tel inédit », 2011.</w:t>
      </w:r>
    </w:p>
    <w:p w14:paraId="55838D82" w14:textId="77777777" w:rsidR="00B01930" w:rsidRPr="00320A86" w:rsidRDefault="00B01930" w:rsidP="00B01930">
      <w:pPr>
        <w:spacing w:before="120" w:after="120"/>
        <w:jc w:val="both"/>
      </w:pPr>
      <w:r w:rsidRPr="00320A86">
        <w:t>– Heinrich Meier, La Leçon de Carl Schmitt, Paris, Cerf, 2014.</w:t>
      </w:r>
    </w:p>
    <w:p w14:paraId="32D88932" w14:textId="77777777" w:rsidR="00B01930" w:rsidRPr="00320A86" w:rsidRDefault="00B01930" w:rsidP="00B01930">
      <w:pPr>
        <w:spacing w:before="120" w:after="120"/>
        <w:jc w:val="both"/>
      </w:pPr>
      <w:r w:rsidRPr="00320A86">
        <w:t>– Jean Claude Monod, Penser l’Ennemi, affronter l’exception, r</w:t>
      </w:r>
      <w:r w:rsidRPr="00320A86">
        <w:t>é</w:t>
      </w:r>
      <w:r w:rsidRPr="00320A86">
        <w:t>flexion sur l’actualité de Carl Schmitt, Paris, La Découverte, 2006.</w:t>
      </w:r>
    </w:p>
    <w:p w14:paraId="38141C41" w14:textId="77777777" w:rsidR="00B01930" w:rsidRPr="00320A86" w:rsidRDefault="00B01930" w:rsidP="00B01930">
      <w:pPr>
        <w:spacing w:before="120" w:after="120"/>
        <w:jc w:val="both"/>
      </w:pPr>
      <w:r w:rsidRPr="00320A86">
        <w:t>– Jan Werner Muller, Carl Schmitt, un esprit dangereux, Paris, Armand C</w:t>
      </w:r>
      <w:r w:rsidRPr="00320A86">
        <w:t>o</w:t>
      </w:r>
      <w:r w:rsidRPr="00320A86">
        <w:t>lin, 2007.</w:t>
      </w:r>
    </w:p>
    <w:p w14:paraId="768CC253" w14:textId="77777777" w:rsidR="00B01930" w:rsidRPr="00320A86" w:rsidRDefault="00B01930" w:rsidP="00B01930">
      <w:pPr>
        <w:spacing w:before="120" w:after="120"/>
        <w:jc w:val="both"/>
      </w:pPr>
      <w:r w:rsidRPr="00320A86">
        <w:t>– Pierre Müller, Carl Schmitt et les intellectuels français. La réce</w:t>
      </w:r>
      <w:r w:rsidRPr="00320A86">
        <w:t>p</w:t>
      </w:r>
      <w:r w:rsidRPr="00320A86">
        <w:t>tion de Carl Schmitt  en France, Paris, Éd. Fondation alsacienne pour les études histor</w:t>
      </w:r>
      <w:r w:rsidRPr="00320A86">
        <w:t>i</w:t>
      </w:r>
      <w:r w:rsidRPr="00320A86">
        <w:t>ques et culturelles, 2003.</w:t>
      </w:r>
    </w:p>
    <w:p w14:paraId="1107ECC1" w14:textId="77777777" w:rsidR="00B01930" w:rsidRPr="00320A86" w:rsidRDefault="00B01930" w:rsidP="00B01930">
      <w:pPr>
        <w:spacing w:before="120" w:after="120"/>
        <w:jc w:val="both"/>
      </w:pPr>
      <w:r w:rsidRPr="00320A86">
        <w:t>– Augustin Simard, La Loi désarmée, Carl Schmitt et la controve</w:t>
      </w:r>
      <w:r w:rsidRPr="00320A86">
        <w:t>r</w:t>
      </w:r>
      <w:r w:rsidRPr="00320A86">
        <w:t>se, légalité, légitimité sous Weimar, Paris, Maison des Sciences de l’Homme, Laval, Qu</w:t>
      </w:r>
      <w:r w:rsidRPr="00320A86">
        <w:t>é</w:t>
      </w:r>
      <w:r w:rsidRPr="00320A86">
        <w:t>bec, col. « Philia », 2009.</w:t>
      </w:r>
    </w:p>
    <w:p w14:paraId="781272AA" w14:textId="77777777" w:rsidR="00B01930" w:rsidRPr="00320A86" w:rsidRDefault="00B01930" w:rsidP="00B01930">
      <w:pPr>
        <w:spacing w:before="120" w:after="120"/>
        <w:jc w:val="both"/>
      </w:pPr>
      <w:r w:rsidRPr="00320A86">
        <w:t>– Serge Sur (dir.), Carl Schmitt, concepts et usages, Paris, Éditions du CNRS, Biblis, col. « inédits », 2014.</w:t>
      </w:r>
    </w:p>
    <w:p w14:paraId="76C5D9B1" w14:textId="77777777" w:rsidR="00B01930" w:rsidRPr="00320A86" w:rsidRDefault="00B01930" w:rsidP="00B01930">
      <w:pPr>
        <w:spacing w:before="120" w:after="120"/>
        <w:jc w:val="both"/>
      </w:pPr>
      <w:r w:rsidRPr="00320A86">
        <w:t>– Pierre-André Taguieff, Julien Freund au cœur du politique, Paris, La Table Ronde, 2008.</w:t>
      </w:r>
    </w:p>
    <w:p w14:paraId="1F3D57E9" w14:textId="77777777" w:rsidR="00B01930" w:rsidRPr="00320A86" w:rsidRDefault="00B01930" w:rsidP="00B01930">
      <w:pPr>
        <w:spacing w:before="120" w:after="120"/>
        <w:jc w:val="both"/>
      </w:pPr>
      <w:r w:rsidRPr="00320A86">
        <w:t>– Jacob Taubes, En divergent accord, à propos de Carl Schmitt, P</w:t>
      </w:r>
      <w:r w:rsidRPr="00320A86">
        <w:t>a</w:t>
      </w:r>
      <w:r w:rsidRPr="00320A86">
        <w:t>ris, Riv</w:t>
      </w:r>
      <w:r w:rsidRPr="00320A86">
        <w:t>a</w:t>
      </w:r>
      <w:r w:rsidRPr="00320A86">
        <w:t>ges, 2003.</w:t>
      </w:r>
    </w:p>
    <w:p w14:paraId="0F623BD2" w14:textId="77777777" w:rsidR="00B01930" w:rsidRPr="00320A86" w:rsidRDefault="00B01930" w:rsidP="00B01930">
      <w:pPr>
        <w:spacing w:before="120" w:after="120"/>
        <w:jc w:val="both"/>
      </w:pPr>
      <w:r w:rsidRPr="00320A86">
        <w:t>– Yves-Charles Zarka :</w:t>
      </w:r>
    </w:p>
    <w:p w14:paraId="469DA747" w14:textId="77777777" w:rsidR="00B01930" w:rsidRPr="00320A86" w:rsidRDefault="00B01930" w:rsidP="00B01930">
      <w:pPr>
        <w:spacing w:before="120" w:after="120"/>
        <w:jc w:val="both"/>
      </w:pPr>
      <w:r w:rsidRPr="00320A86">
        <w:t>– Carl Schmitt ou le mythe du politique, P</w:t>
      </w:r>
      <w:r w:rsidRPr="00320A86">
        <w:rPr>
          <w:smallCaps/>
        </w:rPr>
        <w:t>uf</w:t>
      </w:r>
      <w:r w:rsidRPr="00320A86">
        <w:t>, Coll. « Quadrige », 2009.</w:t>
      </w:r>
    </w:p>
    <w:p w14:paraId="29272D47" w14:textId="77777777" w:rsidR="00B01930" w:rsidRPr="00320A86" w:rsidRDefault="00B01930" w:rsidP="00B01930">
      <w:pPr>
        <w:spacing w:before="120" w:after="120"/>
        <w:jc w:val="both"/>
      </w:pPr>
      <w:r w:rsidRPr="00320A86">
        <w:t>– Un détail nazi dans la pensée de Carl Schmitt, Puf, coll. « Quadrige », 2005.</w:t>
      </w:r>
    </w:p>
    <w:p w14:paraId="5F00D881" w14:textId="77777777" w:rsidR="00B01930" w:rsidRPr="00320A86" w:rsidRDefault="00B01930" w:rsidP="00B01930">
      <w:pPr>
        <w:spacing w:before="120" w:after="120"/>
        <w:jc w:val="both"/>
      </w:pPr>
    </w:p>
    <w:p w14:paraId="3E7EB34A" w14:textId="77777777" w:rsidR="00B01930" w:rsidRPr="00320A86" w:rsidRDefault="00B01930" w:rsidP="00B01930">
      <w:pPr>
        <w:spacing w:before="120" w:after="120"/>
        <w:jc w:val="both"/>
      </w:pPr>
      <w:r w:rsidRPr="00320A86">
        <w:t xml:space="preserve">2 – 2. </w:t>
      </w:r>
      <w:r w:rsidRPr="007250CB">
        <w:rPr>
          <w:i/>
        </w:rPr>
        <w:t>Articles</w:t>
      </w:r>
    </w:p>
    <w:p w14:paraId="1DB10357" w14:textId="77777777" w:rsidR="00B01930" w:rsidRPr="00320A86" w:rsidRDefault="00B01930" w:rsidP="00B01930">
      <w:pPr>
        <w:spacing w:before="120" w:after="120"/>
        <w:jc w:val="both"/>
      </w:pPr>
      <w:r w:rsidRPr="00320A86">
        <w:t>– Giorgio Agamben, « L’état d’exception », Le Monde diplomat</w:t>
      </w:r>
      <w:r w:rsidRPr="00320A86">
        <w:t>i</w:t>
      </w:r>
      <w:r w:rsidRPr="00320A86">
        <w:t>que, d</w:t>
      </w:r>
      <w:r w:rsidRPr="00320A86">
        <w:t>é</w:t>
      </w:r>
      <w:r w:rsidRPr="00320A86">
        <w:t>cembre 2002, traduit par Martin Rueff.</w:t>
      </w:r>
    </w:p>
    <w:p w14:paraId="2AD9D1D6" w14:textId="77777777" w:rsidR="00B01930" w:rsidRPr="00320A86" w:rsidRDefault="00B01930" w:rsidP="00B01930">
      <w:pPr>
        <w:spacing w:before="120" w:after="120"/>
        <w:jc w:val="both"/>
      </w:pPr>
      <w:r w:rsidRPr="00320A86">
        <w:t>– Branko Aleksi, « Carl Schmitt plaide l’amnistie en termes plat</w:t>
      </w:r>
      <w:r w:rsidRPr="00320A86">
        <w:t>o</w:t>
      </w:r>
      <w:r w:rsidRPr="00320A86">
        <w:t>niciens », L’Esprit du temps, Topique, 2013/3-124-http://www.cairn.info/revue-topique-2013-3.</w:t>
      </w:r>
    </w:p>
    <w:p w14:paraId="0153BF2F" w14:textId="77777777" w:rsidR="00B01930" w:rsidRPr="00320A86" w:rsidRDefault="00B01930" w:rsidP="00B01930">
      <w:pPr>
        <w:spacing w:before="120" w:after="120"/>
        <w:jc w:val="both"/>
      </w:pPr>
      <w:r w:rsidRPr="00320A86">
        <w:t>– Renaud Baumert, « Carl Schmitt, tacticien ou théoricien ? (à propos du livre de J.-F. Kervégan, Que faire de Carl Schmitt ? », l</w:t>
      </w:r>
      <w:r w:rsidRPr="00320A86">
        <w:t>a</w:t>
      </w:r>
      <w:r w:rsidRPr="00320A86">
        <w:t>viedesidees.fr-26/10/2012.</w:t>
      </w:r>
    </w:p>
    <w:p w14:paraId="04DA29A5" w14:textId="77777777" w:rsidR="00B01930" w:rsidRPr="00320A86" w:rsidRDefault="00B01930" w:rsidP="00B01930">
      <w:pPr>
        <w:spacing w:before="120" w:after="120"/>
        <w:jc w:val="both"/>
      </w:pPr>
      <w:r w:rsidRPr="00320A86">
        <w:t>– Pierre Bouretz, « Le tyran et le philosophe », Critique, 2005/6, n°697-698, http://cairn.info/revue-critique-2005-6-page-549</w:t>
      </w:r>
    </w:p>
    <w:p w14:paraId="407C61EE" w14:textId="77777777" w:rsidR="00B01930" w:rsidRPr="00320A86" w:rsidRDefault="00B01930" w:rsidP="00B01930">
      <w:pPr>
        <w:spacing w:before="120" w:after="120"/>
        <w:jc w:val="both"/>
      </w:pPr>
      <w:r w:rsidRPr="00320A86">
        <w:t>– Olivier Chassaing, « Le droit contre l’État (recension du livre de E. Pasquier, De Genève à Nuremberg, carl Schmitt, Hans Kelsen, et le droit i</w:t>
      </w:r>
      <w:r w:rsidRPr="00320A86">
        <w:t>n</w:t>
      </w:r>
      <w:r w:rsidRPr="00320A86">
        <w:t>ternational, Paris, Garnier, 2012), laviedesidees.fr.</w:t>
      </w:r>
    </w:p>
    <w:p w14:paraId="7EC5B544" w14:textId="77777777" w:rsidR="00B01930" w:rsidRPr="00320A86" w:rsidRDefault="00B01930" w:rsidP="00B01930">
      <w:pPr>
        <w:spacing w:before="120" w:after="120"/>
        <w:jc w:val="both"/>
      </w:pPr>
      <w:r w:rsidRPr="00320A86">
        <w:t>– André Corten, « Les grands débats théoriques entre Négri, Schmitt, Aga</w:t>
      </w:r>
      <w:r w:rsidRPr="00320A86">
        <w:t>m</w:t>
      </w:r>
      <w:r w:rsidRPr="00320A86">
        <w:t>ben, et alii », Université du Québec, Montréal, Canada, 2012.</w:t>
      </w:r>
    </w:p>
    <w:p w14:paraId="01C7EF70" w14:textId="77777777" w:rsidR="00B01930" w:rsidRPr="00320A86" w:rsidRDefault="00B01930" w:rsidP="00B01930">
      <w:pPr>
        <w:spacing w:before="120" w:after="120"/>
        <w:jc w:val="both"/>
      </w:pPr>
      <w:r w:rsidRPr="00320A86">
        <w:t>– David Cumin, « Actualité de Carl Schmitt », juillet, 2003, http://archives.polemia.com.</w:t>
      </w:r>
    </w:p>
    <w:p w14:paraId="6E39475E" w14:textId="77777777" w:rsidR="00B01930" w:rsidRPr="00320A86" w:rsidRDefault="00B01930" w:rsidP="00B01930">
      <w:pPr>
        <w:spacing w:before="120" w:after="120"/>
        <w:jc w:val="both"/>
      </w:pPr>
      <w:r w:rsidRPr="00320A86">
        <w:t>– Philippe Currat, « Hans Kelsen, Carl Schmitt et la Cour Pénale internati</w:t>
      </w:r>
      <w:r w:rsidRPr="00320A86">
        <w:t>o</w:t>
      </w:r>
      <w:r w:rsidRPr="00320A86">
        <w:t>nale, quelques réflexions après la première décennie d’exercice de la Cour ».</w:t>
      </w:r>
    </w:p>
    <w:p w14:paraId="2673DD62" w14:textId="77777777" w:rsidR="00B01930" w:rsidRPr="00320A86" w:rsidRDefault="00B01930" w:rsidP="00B01930">
      <w:pPr>
        <w:spacing w:before="120" w:after="120"/>
        <w:jc w:val="both"/>
      </w:pPr>
      <w:r w:rsidRPr="00320A86">
        <w:t>– Pierre Derumeaux, « Norme et exception chez Agamben, un ph</w:t>
      </w:r>
      <w:r w:rsidRPr="00320A86">
        <w:t>i</w:t>
      </w:r>
      <w:r w:rsidRPr="00320A86">
        <w:t>losophe f</w:t>
      </w:r>
      <w:r w:rsidRPr="00320A86">
        <w:t>a</w:t>
      </w:r>
      <w:r w:rsidRPr="00320A86">
        <w:t>ce à l’état de droit », Mémoire de Master 1, 2009-2010, Sciences humaines et sociales, philosophie du langage, Grenoble.</w:t>
      </w:r>
    </w:p>
    <w:p w14:paraId="4600C94D" w14:textId="77777777" w:rsidR="00B01930" w:rsidRPr="00320A86" w:rsidRDefault="00B01930" w:rsidP="00B01930">
      <w:pPr>
        <w:spacing w:before="120" w:after="120"/>
        <w:jc w:val="both"/>
      </w:pPr>
      <w:r w:rsidRPr="00320A86">
        <w:t>– Goupy Marie, « L’essor de la théorie juridico-politique sur l’état d’exception dans l’entre deux guerres en France et en Allemagne, une genèse de l’état d’exception comme enjeu de la démocratie », Thèse de doctorat d’État, ENS, Lyon, 21 novembre 2011. L’état d’exception (abstract de sa thèse http://www.dicopo.fr/spip.php?</w:t>
      </w:r>
    </w:p>
    <w:p w14:paraId="27375A81" w14:textId="77777777" w:rsidR="00B01930" w:rsidRPr="00320A86" w:rsidRDefault="00B01930" w:rsidP="00B01930">
      <w:pPr>
        <w:spacing w:before="120" w:after="120"/>
        <w:jc w:val="both"/>
      </w:pPr>
      <w:r w:rsidRPr="00320A86">
        <w:t>– Jacky Hummel, Recension du livre de J.-F. Kervégan, Que faire de Carl Schmitt ?, 2011, http://www.juspoliticum.com.</w:t>
      </w:r>
    </w:p>
    <w:p w14:paraId="1197BDF0" w14:textId="77777777" w:rsidR="00B01930" w:rsidRPr="00320A86" w:rsidRDefault="00B01930" w:rsidP="00B01930">
      <w:pPr>
        <w:spacing w:before="120" w:after="120"/>
        <w:jc w:val="both"/>
      </w:pPr>
      <w:r w:rsidRPr="00320A86">
        <w:t>– Lucien Jaune, « Carl Schmitt, la politique de l’inimitié ».</w:t>
      </w:r>
    </w:p>
    <w:p w14:paraId="055E6713" w14:textId="77777777" w:rsidR="00B01930" w:rsidRPr="00320A86" w:rsidRDefault="00B01930" w:rsidP="00B01930">
      <w:pPr>
        <w:spacing w:before="120" w:after="120"/>
        <w:jc w:val="both"/>
      </w:pPr>
      <w:r w:rsidRPr="00320A86">
        <w:t>– Olivier Jouanjan, « Et si on ne faisait rien de Carl Schmitt ? »</w:t>
      </w:r>
      <w:r>
        <w:t xml:space="preserve"> </w:t>
      </w:r>
      <w:r w:rsidRPr="00320A86">
        <w:t>2012, Phil</w:t>
      </w:r>
      <w:r w:rsidRPr="00320A86">
        <w:t>o</w:t>
      </w:r>
      <w:r w:rsidRPr="00320A86">
        <w:t>sophiques, vol.39, n°2, 2012, http://id.erudit.org. ; Justifier l’injustifiable, Asterion [enl</w:t>
      </w:r>
      <w:r w:rsidRPr="00320A86">
        <w:t>i</w:t>
      </w:r>
      <w:r w:rsidRPr="00320A86">
        <w:t>gne],4,2006-ttp://asterion.revue.org/643.</w:t>
      </w:r>
    </w:p>
    <w:p w14:paraId="11A4F0F0" w14:textId="77777777" w:rsidR="00B01930" w:rsidRPr="00320A86" w:rsidRDefault="00B01930" w:rsidP="00B01930">
      <w:pPr>
        <w:spacing w:before="120" w:after="120"/>
        <w:jc w:val="both"/>
      </w:pPr>
      <w:r w:rsidRPr="00320A86">
        <w:t>– Céline Jouin, « Violence de l’universalisme ? Les internation</w:t>
      </w:r>
      <w:r w:rsidRPr="00320A86">
        <w:t>a</w:t>
      </w:r>
      <w:r w:rsidRPr="00320A86">
        <w:t>lismes du XX</w:t>
      </w:r>
      <w:r w:rsidRPr="00320A86">
        <w:rPr>
          <w:vertAlign w:val="superscript"/>
        </w:rPr>
        <w:t>e</w:t>
      </w:r>
      <w:r w:rsidRPr="00320A86">
        <w:t xml:space="preserve"> siècle au miroir de la pensée schmitienne », Université Rennes 1, Centre Marc Bloch, Berlin.</w:t>
      </w:r>
    </w:p>
    <w:p w14:paraId="7FBBE107" w14:textId="77777777" w:rsidR="00B01930" w:rsidRPr="00320A86" w:rsidRDefault="00B01930" w:rsidP="00B01930">
      <w:pPr>
        <w:spacing w:before="120" w:after="120"/>
        <w:jc w:val="both"/>
      </w:pPr>
      <w:r w:rsidRPr="00320A86">
        <w:t>– Jean-François Kervégan, « Carl Schmitt un théologien du Droit ?</w:t>
      </w:r>
      <w:r w:rsidRPr="00320A86">
        <w:tab/>
        <w:t xml:space="preserve"> L’État selon Carl Schmitt », à propos du livre de S. Baume, 29/08/2008, lavi</w:t>
      </w:r>
      <w:r w:rsidRPr="00320A86">
        <w:t>e</w:t>
      </w:r>
      <w:r w:rsidRPr="00320A86">
        <w:t>desidees.fr.</w:t>
      </w:r>
    </w:p>
    <w:p w14:paraId="65B4D26F" w14:textId="77777777" w:rsidR="00B01930" w:rsidRPr="00320A86" w:rsidRDefault="00B01930" w:rsidP="00B01930">
      <w:pPr>
        <w:spacing w:before="120" w:after="120"/>
        <w:jc w:val="both"/>
      </w:pPr>
      <w:r w:rsidRPr="00320A86">
        <w:t>– Franck Lafaille, « Législation antiterroriste et ”état d’exception” », l’État de Droit italien à l’épreuve des années de plomb, RIDC, 3, 2010.</w:t>
      </w:r>
    </w:p>
    <w:p w14:paraId="64F9E721" w14:textId="77777777" w:rsidR="00B01930" w:rsidRPr="00320A86" w:rsidRDefault="00B01930" w:rsidP="00B01930">
      <w:pPr>
        <w:spacing w:before="120" w:after="120"/>
        <w:jc w:val="both"/>
      </w:pPr>
      <w:r w:rsidRPr="00320A86">
        <w:t>– Milena Mateva, « Légitimité et légalité, considérations (sur la loi et la justice) à l’image de deux grands procès politiques, Barbie, H</w:t>
      </w:r>
      <w:r w:rsidRPr="00320A86">
        <w:t>o</w:t>
      </w:r>
      <w:r w:rsidRPr="00320A86">
        <w:t>necker », Thèse de doctorat, Neuchâtel, 2005.</w:t>
      </w:r>
    </w:p>
    <w:p w14:paraId="6224D206" w14:textId="77777777" w:rsidR="00B01930" w:rsidRPr="00320A86" w:rsidRDefault="00B01930" w:rsidP="00B01930">
      <w:pPr>
        <w:spacing w:before="120" w:after="120"/>
        <w:jc w:val="both"/>
      </w:pPr>
      <w:r w:rsidRPr="00320A86">
        <w:t>– Jean-Claude Monod,</w:t>
      </w:r>
      <w:r>
        <w:t xml:space="preserve"> </w:t>
      </w:r>
      <w:r w:rsidRPr="00320A86">
        <w:t xml:space="preserve"> « Carl Schmitt et l’extrême gauche », Lib</w:t>
      </w:r>
      <w:r w:rsidRPr="00320A86">
        <w:t>é</w:t>
      </w:r>
      <w:r w:rsidRPr="00320A86">
        <w:t>r</w:t>
      </w:r>
      <w:r w:rsidRPr="00320A86">
        <w:t>a</w:t>
      </w:r>
      <w:r w:rsidRPr="00320A86">
        <w:t>tion, 17 fév. 2007.</w:t>
      </w:r>
    </w:p>
    <w:p w14:paraId="399A25BE" w14:textId="77777777" w:rsidR="00B01930" w:rsidRPr="00320A86" w:rsidRDefault="00B01930" w:rsidP="00B01930">
      <w:pPr>
        <w:spacing w:before="120" w:after="120"/>
        <w:jc w:val="both"/>
      </w:pPr>
      <w:r w:rsidRPr="00320A86">
        <w:t>– Frédéric Morgan, « Les origines contre-révolutionnaires de la pensée politique de Carl Schmitt, l’influence de  Juan Donoso Co</w:t>
      </w:r>
      <w:r w:rsidRPr="00320A86">
        <w:t>r</w:t>
      </w:r>
      <w:r w:rsidRPr="00320A86">
        <w:t>tés », Mémoire de DEA, 2001-2002, Lille II, IEP.</w:t>
      </w:r>
    </w:p>
    <w:p w14:paraId="69A6C3A3" w14:textId="77777777" w:rsidR="00B01930" w:rsidRPr="00320A86" w:rsidRDefault="00B01930" w:rsidP="00B01930">
      <w:pPr>
        <w:spacing w:before="120" w:after="120"/>
        <w:jc w:val="both"/>
      </w:pPr>
      <w:r w:rsidRPr="00320A86">
        <w:t>– Chantal Mouffe, Penser la démocratie moderne avec et contre Carl Schmitt, RFSP, 42</w:t>
      </w:r>
      <w:r w:rsidRPr="00320A86">
        <w:rPr>
          <w:vertAlign w:val="superscript"/>
        </w:rPr>
        <w:t>e</w:t>
      </w:r>
      <w:r w:rsidRPr="00320A86">
        <w:t xml:space="preserve"> année, n°1,1992, http://www.persee.fr.</w:t>
      </w:r>
    </w:p>
    <w:p w14:paraId="3DAC2758" w14:textId="77777777" w:rsidR="00B01930" w:rsidRPr="00320A86" w:rsidRDefault="00B01930" w:rsidP="00B01930">
      <w:pPr>
        <w:spacing w:before="120" w:after="120"/>
        <w:jc w:val="both"/>
      </w:pPr>
      <w:r w:rsidRPr="00320A86">
        <w:t>– François Nault, « Entre théologisation du politique et la politis</w:t>
      </w:r>
      <w:r w:rsidRPr="00320A86">
        <w:t>a</w:t>
      </w:r>
      <w:r w:rsidRPr="00320A86">
        <w:t>tion du théologique, en lisant Carl Schmitt », Laval, Canada, Théol</w:t>
      </w:r>
      <w:r w:rsidRPr="00320A86">
        <w:t>o</w:t>
      </w:r>
      <w:r w:rsidRPr="00320A86">
        <w:t>gique et philos</w:t>
      </w:r>
      <w:r w:rsidRPr="00320A86">
        <w:t>o</w:t>
      </w:r>
      <w:r w:rsidRPr="00320A86">
        <w:t>phique, vol. 63, n° 2, 2007, htttp://www.erudit.org/.</w:t>
      </w:r>
    </w:p>
    <w:p w14:paraId="106E40B9" w14:textId="77777777" w:rsidR="00B01930" w:rsidRPr="00320A86" w:rsidRDefault="00B01930" w:rsidP="00B01930">
      <w:pPr>
        <w:spacing w:before="120" w:after="120"/>
        <w:jc w:val="both"/>
      </w:pPr>
      <w:r w:rsidRPr="00320A86">
        <w:t>– Thi Hong Nguyen, « La notion d’exception en droit constitutio</w:t>
      </w:r>
      <w:r w:rsidRPr="00320A86">
        <w:t>n</w:t>
      </w:r>
      <w:r w:rsidRPr="00320A86">
        <w:t>nel fra</w:t>
      </w:r>
      <w:r w:rsidRPr="00320A86">
        <w:t>n</w:t>
      </w:r>
      <w:r w:rsidRPr="00320A86">
        <w:t>çais »,Thèse de doctorat, Droit public, Panthéon-Sorbonne, 2013, 643 pages.</w:t>
      </w:r>
    </w:p>
    <w:p w14:paraId="70B5C64E" w14:textId="77777777" w:rsidR="00B01930" w:rsidRPr="00320A86" w:rsidRDefault="00B01930" w:rsidP="00B01930">
      <w:pPr>
        <w:spacing w:before="120" w:after="120"/>
        <w:jc w:val="both"/>
      </w:pPr>
      <w:r w:rsidRPr="00320A86">
        <w:t>– Hugues Rabault, « L’antisémitisme de Carl Schmitt », Cités, 2004/1, n°17-http://cairn.info/revue-cites-2004-1.</w:t>
      </w:r>
    </w:p>
    <w:p w14:paraId="08859B05" w14:textId="77777777" w:rsidR="00B01930" w:rsidRPr="00320A86" w:rsidRDefault="00B01930" w:rsidP="00B01930">
      <w:pPr>
        <w:spacing w:before="120" w:after="120"/>
        <w:jc w:val="both"/>
      </w:pPr>
      <w:r w:rsidRPr="00320A86">
        <w:t>– Rampazzo Bazan Marco, « Démocratie ou dictature ? (II) Carl Schmitt penseur de la conjoncture », séance 21, mars 2009, GRM, 2</w:t>
      </w:r>
      <w:r w:rsidRPr="00320A86">
        <w:rPr>
          <w:vertAlign w:val="superscript"/>
        </w:rPr>
        <w:t>e</w:t>
      </w:r>
      <w:r w:rsidRPr="00320A86">
        <w:t xml:space="preserve"> année.</w:t>
      </w:r>
    </w:p>
    <w:p w14:paraId="0898CBE3" w14:textId="77777777" w:rsidR="00B01930" w:rsidRPr="00320A86" w:rsidRDefault="00B01930" w:rsidP="00B01930">
      <w:pPr>
        <w:spacing w:before="120" w:after="120"/>
        <w:jc w:val="both"/>
      </w:pPr>
      <w:r w:rsidRPr="00320A86">
        <w:t xml:space="preserve">– Jacques Sapir, « Ordre démocratique : entre dictature, tyrannie, rébellion légitime », 2013, </w:t>
      </w:r>
      <w:hyperlink r:id="rId25" w:history="1">
        <w:r w:rsidRPr="00320A86">
          <w:t>http://russeeurope.hypotheses.org/799</w:t>
        </w:r>
      </w:hyperlink>
      <w:r w:rsidRPr="00320A86">
        <w:t> ; Ordre démocratique : Légalité, légitimité, les apories de Carl Schmitt, 2013,http://russeurope.hypotheses.org/765</w:t>
      </w:r>
    </w:p>
    <w:p w14:paraId="68D2785D" w14:textId="77777777" w:rsidR="00B01930" w:rsidRPr="00320A86" w:rsidRDefault="00B01930" w:rsidP="00B01930">
      <w:pPr>
        <w:spacing w:before="120" w:after="120"/>
        <w:jc w:val="both"/>
      </w:pPr>
      <w:r w:rsidRPr="00320A86">
        <w:t xml:space="preserve"> – Simard Augustin, « La raison d’État constitutionnelle », 10</w:t>
      </w:r>
      <w:r w:rsidRPr="00320A86">
        <w:rPr>
          <w:vertAlign w:val="superscript"/>
        </w:rPr>
        <w:t>e</w:t>
      </w:r>
      <w:r w:rsidRPr="00320A86">
        <w:t xml:space="preserve"> Congrès de l’AFSP, 2009, Grenoble.</w:t>
      </w:r>
    </w:p>
    <w:p w14:paraId="6D606AC3" w14:textId="77777777" w:rsidR="00B01930" w:rsidRPr="00320A86" w:rsidRDefault="00B01930" w:rsidP="00B01930">
      <w:pPr>
        <w:spacing w:before="120" w:after="120"/>
        <w:jc w:val="both"/>
      </w:pPr>
      <w:r w:rsidRPr="00320A86">
        <w:t>– Thibault Jean François, « Pertinence et actualité de la pensée i</w:t>
      </w:r>
      <w:r w:rsidRPr="00320A86">
        <w:t>n</w:t>
      </w:r>
      <w:r w:rsidRPr="00320A86">
        <w:t>ternationale de Carl Schmitt », Études internationales, vol.40, 1, 2009,http://www.erudit.org.</w:t>
      </w:r>
    </w:p>
    <w:p w14:paraId="26ECB905" w14:textId="77777777" w:rsidR="00B01930" w:rsidRPr="00320A86" w:rsidRDefault="00B01930" w:rsidP="00B01930">
      <w:pPr>
        <w:spacing w:before="120" w:after="120"/>
        <w:jc w:val="both"/>
      </w:pPr>
      <w:r w:rsidRPr="00320A86">
        <w:t>– Nicolas Thirion, « La révolution allemande de 1918, au miroir de la littér</w:t>
      </w:r>
      <w:r w:rsidRPr="00320A86">
        <w:t>a</w:t>
      </w:r>
      <w:r w:rsidRPr="00320A86">
        <w:t>ture et du droit », autour de Döblin et Schmitt, www.bon-a-tirer.com/157.</w:t>
      </w:r>
    </w:p>
    <w:p w14:paraId="6282CA28" w14:textId="77777777" w:rsidR="00B01930" w:rsidRPr="00320A86" w:rsidRDefault="00B01930" w:rsidP="00B01930">
      <w:pPr>
        <w:spacing w:before="120" w:after="120"/>
        <w:jc w:val="both"/>
      </w:pPr>
      <w:r w:rsidRPr="00320A86">
        <w:t>– Emmanuel Tuchsherer, « Le décisionnisme de Carl Schmitt, théorie et rh</w:t>
      </w:r>
      <w:r w:rsidRPr="00320A86">
        <w:t>é</w:t>
      </w:r>
      <w:r w:rsidRPr="00320A86">
        <w:t>torique de la guerre », Mots. Les langages du politique, 73, 2003, ENS éditions, http://mots.revues.org/15642.</w:t>
      </w:r>
    </w:p>
    <w:p w14:paraId="4E925C76" w14:textId="77777777" w:rsidR="00B01930" w:rsidRPr="00320A86" w:rsidRDefault="00B01930" w:rsidP="00B01930">
      <w:pPr>
        <w:spacing w:before="120" w:after="120"/>
        <w:jc w:val="both"/>
      </w:pPr>
      <w:r w:rsidRPr="00320A86">
        <w:t>– François Vergniolle de Chantal, « Carl Schmitt et la “révolution conserv</w:t>
      </w:r>
      <w:r w:rsidRPr="00320A86">
        <w:t>a</w:t>
      </w:r>
      <w:r w:rsidRPr="00320A86">
        <w:t>trice américaine” », Raisons politiques, 2005/3, n° 19, http://cairn.info/revue-raisons-politiues-2005-3-page-211.</w:t>
      </w:r>
    </w:p>
    <w:p w14:paraId="5FF20557" w14:textId="77777777" w:rsidR="00B01930" w:rsidRPr="00320A86" w:rsidRDefault="00B01930" w:rsidP="00B01930">
      <w:pPr>
        <w:spacing w:before="120" w:after="120"/>
        <w:jc w:val="both"/>
      </w:pPr>
      <w:r w:rsidRPr="00320A86">
        <w:t>– Yves-Charles Zarka, « Le blanchiment du nazi Carl Schmitt », revuec</w:t>
      </w:r>
      <w:r w:rsidRPr="00320A86">
        <w:t>i</w:t>
      </w:r>
      <w:r w:rsidRPr="00320A86">
        <w:t>tes.free.fr</w:t>
      </w:r>
    </w:p>
    <w:p w14:paraId="62C3B8B7" w14:textId="77777777" w:rsidR="00B01930" w:rsidRPr="00320A86" w:rsidRDefault="00B01930" w:rsidP="00B01930">
      <w:pPr>
        <w:spacing w:before="120" w:after="120"/>
        <w:jc w:val="both"/>
      </w:pPr>
      <w:r w:rsidRPr="00320A86">
        <w:t>– Anonyme, « Autour de Carl Schmitt, décision, exception, const</w:t>
      </w:r>
      <w:r w:rsidRPr="00320A86">
        <w:t>i</w:t>
      </w:r>
      <w:r w:rsidRPr="00320A86">
        <w:t xml:space="preserve">tution », </w:t>
      </w:r>
      <w:hyperlink r:id="rId26" w:history="1">
        <w:r w:rsidRPr="00320A86">
          <w:t>http://cairn.info/revue-mouvements-2005-1-page72</w:t>
        </w:r>
      </w:hyperlink>
    </w:p>
    <w:p w14:paraId="099223B8" w14:textId="77777777" w:rsidR="00B01930" w:rsidRPr="00320A86" w:rsidRDefault="00B01930" w:rsidP="00B01930">
      <w:pPr>
        <w:spacing w:before="120" w:after="120"/>
        <w:jc w:val="both"/>
      </w:pPr>
      <w:r w:rsidRPr="00320A86">
        <w:t>– Anonyme, « La mythologie de l’État total et l’esprit du fascisme eur</w:t>
      </w:r>
      <w:r w:rsidRPr="00320A86">
        <w:t>o</w:t>
      </w:r>
      <w:r w:rsidRPr="00320A86">
        <w:t>péen », Chroniques Bibliographiques, www.reds.msh-paris.fr</w:t>
      </w:r>
    </w:p>
    <w:p w14:paraId="4670F826" w14:textId="77777777" w:rsidR="00B01930" w:rsidRDefault="00B01930" w:rsidP="00B01930">
      <w:pPr>
        <w:jc w:val="both"/>
      </w:pPr>
      <w:r>
        <w:br w:type="page"/>
      </w:r>
    </w:p>
    <w:p w14:paraId="76ECAD62" w14:textId="77777777" w:rsidR="00B01930" w:rsidRDefault="00B01930" w:rsidP="00B01930">
      <w:pPr>
        <w:jc w:val="both"/>
      </w:pPr>
    </w:p>
    <w:p w14:paraId="70C471CC" w14:textId="77777777" w:rsidR="00B01930" w:rsidRDefault="00B01930" w:rsidP="00B01930">
      <w:pPr>
        <w:jc w:val="both"/>
      </w:pPr>
    </w:p>
    <w:p w14:paraId="3B4EA036" w14:textId="77777777" w:rsidR="00B01930" w:rsidRPr="009D4882" w:rsidRDefault="00B01930" w:rsidP="00B01930">
      <w:pPr>
        <w:spacing w:after="120"/>
        <w:ind w:firstLine="0"/>
        <w:jc w:val="center"/>
        <w:rPr>
          <w:b/>
          <w:color w:val="000080"/>
        </w:rPr>
      </w:pPr>
      <w:bookmarkStart w:id="200" w:name="Analyser_idees_pol_pt_3_texte_07"/>
      <w:r>
        <w:rPr>
          <w:b/>
          <w:color w:val="000080"/>
        </w:rPr>
        <w:t>Troisième</w:t>
      </w:r>
      <w:r w:rsidRPr="009D4882">
        <w:rPr>
          <w:b/>
          <w:color w:val="000080"/>
        </w:rPr>
        <w:t xml:space="preserve"> partie</w:t>
      </w:r>
      <w:r w:rsidRPr="009D4882">
        <w:rPr>
          <w:b/>
          <w:color w:val="000080"/>
        </w:rPr>
        <w:br/>
      </w:r>
      <w:r>
        <w:rPr>
          <w:i/>
          <w:color w:val="000080"/>
        </w:rPr>
        <w:t>De quelques idées politiques «modernes»</w:t>
      </w:r>
    </w:p>
    <w:p w14:paraId="52651042" w14:textId="77777777" w:rsidR="00B01930" w:rsidRDefault="00B01930" w:rsidP="00B01930">
      <w:pPr>
        <w:pStyle w:val="Titreniveau1"/>
        <w:rPr>
          <w:szCs w:val="36"/>
        </w:rPr>
      </w:pPr>
      <w:r>
        <w:rPr>
          <w:szCs w:val="36"/>
        </w:rPr>
        <w:t>7</w:t>
      </w:r>
    </w:p>
    <w:p w14:paraId="0A2D8940" w14:textId="77777777" w:rsidR="00B01930" w:rsidRDefault="00B01930" w:rsidP="00B01930">
      <w:pPr>
        <w:jc w:val="both"/>
        <w:rPr>
          <w:szCs w:val="36"/>
        </w:rPr>
      </w:pPr>
    </w:p>
    <w:p w14:paraId="0FF7047D" w14:textId="77777777" w:rsidR="00B01930" w:rsidRPr="00843F3E" w:rsidRDefault="00B01930" w:rsidP="00B01930">
      <w:pPr>
        <w:pStyle w:val="Titreniveau2"/>
      </w:pPr>
      <w:r>
        <w:t>“Heidegger. Pensée et controverse.</w:t>
      </w:r>
      <w:r>
        <w:br/>
        <w:t>Un regard martrien.”</w:t>
      </w:r>
    </w:p>
    <w:bookmarkEnd w:id="200"/>
    <w:p w14:paraId="1273F7A5" w14:textId="77777777" w:rsidR="00B01930" w:rsidRDefault="00B01930" w:rsidP="00B01930">
      <w:pPr>
        <w:jc w:val="both"/>
        <w:rPr>
          <w:szCs w:val="36"/>
        </w:rPr>
      </w:pPr>
    </w:p>
    <w:p w14:paraId="05F02C51" w14:textId="77777777" w:rsidR="00B01930" w:rsidRDefault="00B01930" w:rsidP="00B01930">
      <w:pPr>
        <w:pStyle w:val="suite"/>
      </w:pPr>
      <w:r>
        <w:t>Daniel LAGRAULA</w:t>
      </w:r>
    </w:p>
    <w:p w14:paraId="69E0DBD1" w14:textId="77777777" w:rsidR="00B01930" w:rsidRDefault="00B01930" w:rsidP="00B01930">
      <w:pPr>
        <w:jc w:val="both"/>
      </w:pPr>
    </w:p>
    <w:p w14:paraId="725DCA33" w14:textId="77777777" w:rsidR="00B01930" w:rsidRDefault="00B01930" w:rsidP="00B01930">
      <w:pPr>
        <w:jc w:val="both"/>
      </w:pPr>
    </w:p>
    <w:p w14:paraId="1322E83D" w14:textId="77777777" w:rsidR="00B01930" w:rsidRDefault="00B01930" w:rsidP="00B01930">
      <w:pPr>
        <w:jc w:val="both"/>
      </w:pPr>
    </w:p>
    <w:p w14:paraId="3D341A3E"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12DF8B34" w14:textId="77777777" w:rsidR="00B01930" w:rsidRPr="00320A86" w:rsidRDefault="00B01930" w:rsidP="00B01930">
      <w:pPr>
        <w:spacing w:before="120" w:after="120"/>
        <w:jc w:val="both"/>
      </w:pPr>
      <w:r w:rsidRPr="00320A86">
        <w:t>Un jour où nous évoquions Heidegger et son langage abstrus qui nous se</w:t>
      </w:r>
      <w:r w:rsidRPr="00320A86">
        <w:t>m</w:t>
      </w:r>
      <w:r w:rsidRPr="00320A86">
        <w:t>blait l’acmé de l’afféterie, Jean-Louis Martres  mi-figue mi-raisin, et même très malicieusement, nous répondit : « je ne l’ai jamais lu, je n’y comprends rien ; vous savez, je crois, à l’expérience, que tout langage obscur masque une grande vacuité ».</w:t>
      </w:r>
    </w:p>
    <w:p w14:paraId="24EBF2BB" w14:textId="77777777" w:rsidR="00B01930" w:rsidRPr="00320A86" w:rsidRDefault="00B01930" w:rsidP="00B01930">
      <w:pPr>
        <w:spacing w:before="120" w:after="120"/>
        <w:jc w:val="both"/>
      </w:pPr>
      <w:r w:rsidRPr="00320A86">
        <w:t>Mais, à l’aune de la controverse virulente qui secoue l’</w:t>
      </w:r>
      <w:r w:rsidRPr="00240EEC">
        <w:rPr>
          <w:i/>
        </w:rPr>
        <w:t>intelligentsia</w:t>
      </w:r>
      <w:r w:rsidRPr="00320A86">
        <w:t xml:space="preserve"> française depuis plusieurs années à son sujet, nous pensons que Heidegger est un objet passible d’une approche martrie</w:t>
      </w:r>
      <w:r w:rsidRPr="00320A86">
        <w:t>n</w:t>
      </w:r>
      <w:r w:rsidRPr="00320A86">
        <w:t>ne</w:t>
      </w:r>
      <w:r>
        <w:t> </w:t>
      </w:r>
      <w:r>
        <w:rPr>
          <w:rStyle w:val="Appelnotedebasdep"/>
        </w:rPr>
        <w:footnoteReference w:id="802"/>
      </w:r>
      <w:r w:rsidRPr="00320A86">
        <w:t xml:space="preserve">. </w:t>
      </w:r>
    </w:p>
    <w:p w14:paraId="0ACBA330" w14:textId="77777777" w:rsidR="00B01930" w:rsidRPr="00320A86" w:rsidRDefault="00B01930" w:rsidP="00B01930">
      <w:pPr>
        <w:spacing w:before="120" w:after="120"/>
        <w:jc w:val="both"/>
      </w:pPr>
      <w:r w:rsidRPr="00320A86">
        <w:t xml:space="preserve"> L’intelligentsia française, à l’âme querelleuse, toujours prompte à se const</w:t>
      </w:r>
      <w:r w:rsidRPr="00320A86">
        <w:t>i</w:t>
      </w:r>
      <w:r w:rsidRPr="00320A86">
        <w:t>tuer en chapelles,  a trouvé  dans l’entreprise philosophique de Heidegger matière à satisfaire cette idiosyncrasie</w:t>
      </w:r>
      <w:r>
        <w:t> </w:t>
      </w:r>
      <w:r>
        <w:rPr>
          <w:rStyle w:val="Appelnotedebasdep"/>
        </w:rPr>
        <w:footnoteReference w:id="803"/>
      </w:r>
      <w:r w:rsidRPr="00320A86">
        <w:t xml:space="preserve"> avec la partic</w:t>
      </w:r>
      <w:r w:rsidRPr="00320A86">
        <w:t>u</w:t>
      </w:r>
      <w:r w:rsidRPr="00320A86">
        <w:t>larité que la querelle  prit, ces dernières années, un tour violent, où l’anathème et l’idolâtrie se disputent le champ discursif</w:t>
      </w:r>
      <w:r>
        <w:t> </w:t>
      </w:r>
      <w:r>
        <w:rPr>
          <w:rStyle w:val="Appelnotedebasdep"/>
        </w:rPr>
        <w:footnoteReference w:id="804"/>
      </w:r>
      <w:r w:rsidRPr="00320A86">
        <w:t>. Il est vrai que Heidegger fut accusé, dans un premier temps d’avoir été un « suppôt » du nazisme  qui aurait ainsi dévoyé le discours philosoph</w:t>
      </w:r>
      <w:r w:rsidRPr="00320A86">
        <w:t>i</w:t>
      </w:r>
      <w:r w:rsidRPr="00320A86">
        <w:t>que</w:t>
      </w:r>
      <w:r>
        <w:t> </w:t>
      </w:r>
      <w:r>
        <w:rPr>
          <w:rStyle w:val="Appelnotedebasdep"/>
        </w:rPr>
        <w:footnoteReference w:id="805"/>
      </w:r>
      <w:r w:rsidRPr="00320A86">
        <w:t>. Deux camps dès lors s’affrontent avec véhémence. « D’un c</w:t>
      </w:r>
      <w:r w:rsidRPr="00320A86">
        <w:t>ô</w:t>
      </w:r>
      <w:r w:rsidRPr="00320A86">
        <w:t>té les défenseurs à tout crin […], de l’autre les procureurs infatigables et implac</w:t>
      </w:r>
      <w:r w:rsidRPr="00320A86">
        <w:t>a</w:t>
      </w:r>
      <w:r w:rsidRPr="00320A86">
        <w:t>bles</w:t>
      </w:r>
      <w:r>
        <w:t> </w:t>
      </w:r>
      <w:r>
        <w:rPr>
          <w:rStyle w:val="Appelnotedebasdep"/>
        </w:rPr>
        <w:footnoteReference w:id="806"/>
      </w:r>
      <w:r w:rsidRPr="00320A86">
        <w:t> ». Les uns soutenant que les liens d’Heidegger avec le nazisme se lim</w:t>
      </w:r>
      <w:r w:rsidRPr="00320A86">
        <w:t>i</w:t>
      </w:r>
      <w:r w:rsidRPr="00320A86">
        <w:t>taient à son accession au Rectorat de l’université de Fribourg le 21 avril 1933, qui se termina en 1934. Ses contempteurs faisant observer qu’il avait adhéré au N</w:t>
      </w:r>
      <w:r w:rsidRPr="00320A86">
        <w:rPr>
          <w:smallCaps/>
        </w:rPr>
        <w:t>sdap</w:t>
      </w:r>
      <w:r w:rsidRPr="00320A86">
        <w:t xml:space="preserve"> le 1</w:t>
      </w:r>
      <w:r w:rsidRPr="00320A86">
        <w:rPr>
          <w:vertAlign w:val="superscript"/>
        </w:rPr>
        <w:t>er</w:t>
      </w:r>
      <w:r w:rsidRPr="00320A86">
        <w:t xml:space="preserve"> mai 1933 et y resta jusqu’en 1945. À cela s’ajoutait son obstination à garder le silence, après guerre, tant sur son propre passé, que sur le n</w:t>
      </w:r>
      <w:r w:rsidRPr="00320A86">
        <w:t>a</w:t>
      </w:r>
      <w:r w:rsidRPr="00320A86">
        <w:t>zisme lui-même, ou encore les camps d’extermination.</w:t>
      </w:r>
    </w:p>
    <w:p w14:paraId="41402534" w14:textId="77777777" w:rsidR="00B01930" w:rsidRPr="00320A86" w:rsidRDefault="00B01930" w:rsidP="00B01930">
      <w:pPr>
        <w:spacing w:before="120" w:after="120"/>
        <w:jc w:val="both"/>
      </w:pPr>
      <w:r w:rsidRPr="00320A86">
        <w:t>Mais selon les « heideggériens », on ne trouvait pas une ligne ant</w:t>
      </w:r>
      <w:r w:rsidRPr="00320A86">
        <w:t>i</w:t>
      </w:r>
      <w:r w:rsidRPr="00320A86">
        <w:t>sémite dans ses écrits ; en conséquence on ne pouvait soutenir qu’il fût nazi dans la mesure où l’antisémitisme était le pivot du nazisme. Au plus pouvait-on concéder un « antijudaïsme » universitaire conforme à l’esprit du temps</w:t>
      </w:r>
      <w:r>
        <w:t> </w:t>
      </w:r>
      <w:r>
        <w:rPr>
          <w:rStyle w:val="Appelnotedebasdep"/>
        </w:rPr>
        <w:footnoteReference w:id="807"/>
      </w:r>
      <w:r w:rsidRPr="00320A86">
        <w:t>. Dès lors l’épisode du Rectorat était « un faux pas », un « malentendu ». Hannah Arendt mettait sur le compte du « penchant au tyrannique que [l’on trouve] dans leurs thé</w:t>
      </w:r>
      <w:r w:rsidRPr="00320A86">
        <w:t>o</w:t>
      </w:r>
      <w:r w:rsidRPr="00320A86">
        <w:t>ries chez presque tous les grands penseurs</w:t>
      </w:r>
      <w:r>
        <w:t> </w:t>
      </w:r>
      <w:r>
        <w:rPr>
          <w:rStyle w:val="Appelnotedebasdep"/>
        </w:rPr>
        <w:footnoteReference w:id="808"/>
      </w:r>
      <w:r w:rsidRPr="00320A86">
        <w:t> », « l’écart » de Heide</w:t>
      </w:r>
      <w:r w:rsidRPr="00320A86">
        <w:t>g</w:t>
      </w:r>
      <w:r w:rsidRPr="00320A86">
        <w:t>ger.</w:t>
      </w:r>
    </w:p>
    <w:p w14:paraId="54E021A4" w14:textId="77777777" w:rsidR="00B01930" w:rsidRPr="00320A86" w:rsidRDefault="00B01930" w:rsidP="00B01930">
      <w:pPr>
        <w:spacing w:before="120" w:after="120"/>
        <w:jc w:val="both"/>
      </w:pPr>
      <w:r w:rsidRPr="00320A86">
        <w:t>La polémique prit une nouvelle tournure avec la publication des « cahiers noirs</w:t>
      </w:r>
      <w:r>
        <w:t> </w:t>
      </w:r>
      <w:r>
        <w:rPr>
          <w:rStyle w:val="Appelnotedebasdep"/>
        </w:rPr>
        <w:footnoteReference w:id="809"/>
      </w:r>
      <w:r w:rsidRPr="00320A86">
        <w:t> » révélant un antisémitisme constant et radical, que ce soit au niveau du vocabulaire (« enjuivement », « Le Juif », et tous les qualificatifs propre à la doxa antisémite) ou de l’argumentation. La « question juive » étant  visiblement au cœur de sa réflexion, de sa pensée, et ce jusqu’à la fin</w:t>
      </w:r>
      <w:r>
        <w:t> </w:t>
      </w:r>
      <w:r>
        <w:rPr>
          <w:rStyle w:val="Appelnotedebasdep"/>
        </w:rPr>
        <w:footnoteReference w:id="810"/>
      </w:r>
      <w:r w:rsidRPr="00320A86">
        <w:t>. C’est une problém</w:t>
      </w:r>
      <w:r w:rsidRPr="00320A86">
        <w:t>a</w:t>
      </w:r>
      <w:r w:rsidRPr="00320A86">
        <w:t>tique centrale de « L’Histoire de l’Être</w:t>
      </w:r>
      <w:r>
        <w:t> </w:t>
      </w:r>
      <w:r>
        <w:rPr>
          <w:rStyle w:val="Appelnotedebasdep"/>
        </w:rPr>
        <w:footnoteReference w:id="811"/>
      </w:r>
      <w:r w:rsidRPr="00320A86">
        <w:t> ». Dès lors  que « l’antisémitisme n’est pas un surplus idéologique mais le pivot du nazisme</w:t>
      </w:r>
      <w:r>
        <w:t> </w:t>
      </w:r>
      <w:r>
        <w:rPr>
          <w:rStyle w:val="Appelnotedebasdep"/>
        </w:rPr>
        <w:footnoteReference w:id="812"/>
      </w:r>
      <w:r w:rsidRPr="00320A86">
        <w:t> », il apparaît, à r</w:t>
      </w:r>
      <w:r w:rsidRPr="00320A86">
        <w:t>e</w:t>
      </w:r>
      <w:r w:rsidRPr="00320A86">
        <w:t>bours de ce qu’entendent soutenir les « heideggériens », que « l’engagement politique n’est pas un accident reconductible au vécu historique</w:t>
      </w:r>
      <w:r>
        <w:t> </w:t>
      </w:r>
      <w:r>
        <w:rPr>
          <w:rStyle w:val="Appelnotedebasdep"/>
        </w:rPr>
        <w:footnoteReference w:id="813"/>
      </w:r>
      <w:r w:rsidRPr="00320A86">
        <w:t> ».</w:t>
      </w:r>
    </w:p>
    <w:p w14:paraId="3577840B" w14:textId="77777777" w:rsidR="00B01930" w:rsidRPr="00320A86" w:rsidRDefault="00B01930" w:rsidP="00B01930">
      <w:pPr>
        <w:spacing w:before="120" w:after="120"/>
        <w:jc w:val="both"/>
      </w:pPr>
      <w:r w:rsidRPr="00320A86">
        <w:t>On se trouve ainsi devant un Heidegger « […] semblable à un J</w:t>
      </w:r>
      <w:r w:rsidRPr="00320A86">
        <w:t>a</w:t>
      </w:r>
      <w:r w:rsidRPr="00320A86">
        <w:t>nus bifrons qui exhibe […] deux visages, l’un digne de louanges et l’autre ignoble</w:t>
      </w:r>
      <w:r>
        <w:t> </w:t>
      </w:r>
      <w:r>
        <w:rPr>
          <w:rStyle w:val="Appelnotedebasdep"/>
        </w:rPr>
        <w:footnoteReference w:id="814"/>
      </w:r>
      <w:r w:rsidRPr="00320A86">
        <w:t> ».</w:t>
      </w:r>
    </w:p>
    <w:p w14:paraId="45117050" w14:textId="77777777" w:rsidR="00B01930" w:rsidRPr="00320A86" w:rsidRDefault="00B01930" w:rsidP="00B01930">
      <w:pPr>
        <w:spacing w:before="120" w:after="120"/>
        <w:jc w:val="both"/>
      </w:pPr>
      <w:r w:rsidRPr="00320A86">
        <w:t>C’est en cela qu’un « regard martrien » nous paraît de nature à rendre compte tant de la trajectoire personnelle de Heidegger, que de la construction de sa pensée, ainsi que la nature  nécessairement éri</w:t>
      </w:r>
      <w:r w:rsidRPr="00320A86">
        <w:t>s</w:t>
      </w:r>
      <w:r w:rsidRPr="00320A86">
        <w:t>tique du débat qui l’entoure. Deux points peuvent être développés.</w:t>
      </w:r>
    </w:p>
    <w:p w14:paraId="490E907E" w14:textId="77777777" w:rsidR="00B01930" w:rsidRPr="00320A86" w:rsidRDefault="00B01930" w:rsidP="00B01930">
      <w:pPr>
        <w:spacing w:before="120" w:after="120"/>
        <w:jc w:val="both"/>
      </w:pPr>
    </w:p>
    <w:p w14:paraId="4ECA0D09" w14:textId="77777777" w:rsidR="00B01930" w:rsidRPr="00320A86" w:rsidRDefault="00B01930" w:rsidP="00B01930">
      <w:pPr>
        <w:spacing w:before="120" w:after="120"/>
        <w:jc w:val="both"/>
      </w:pPr>
      <w:r w:rsidRPr="00320A86">
        <w:t>I. Quel est le code de valeurs à l’œuvre dans la pensée de Heide</w:t>
      </w:r>
      <w:r w:rsidRPr="00320A86">
        <w:t>g</w:t>
      </w:r>
      <w:r w:rsidRPr="00320A86">
        <w:t>ger ? Il y a un Mal clairement  identifiable. L’Histoire est un immense combat entre « L’Être (</w:t>
      </w:r>
      <w:r w:rsidRPr="00240EEC">
        <w:rPr>
          <w:i/>
        </w:rPr>
        <w:t>Dasein</w:t>
      </w:r>
      <w:r w:rsidRPr="00320A86">
        <w:t>) et l’étant ». Après les Grecs, l’Être est tombé dans l’oubli et a laissé place à « l’étant », ce qui a eu pour conséquence le règne de la technique et la « motorisation » de la s</w:t>
      </w:r>
      <w:r w:rsidRPr="00320A86">
        <w:t>o</w:t>
      </w:r>
      <w:r w:rsidRPr="00320A86">
        <w:t>ciété. Heidegger condamne catégoriquement ses corollaires, manife</w:t>
      </w:r>
      <w:r w:rsidRPr="00320A86">
        <w:t>s</w:t>
      </w:r>
      <w:r w:rsidRPr="00320A86">
        <w:t>tations de « l’étant » : l’égalitarisme et la démocratie – qui est « l’anarchie</w:t>
      </w:r>
      <w:r>
        <w:t> </w:t>
      </w:r>
      <w:r>
        <w:rPr>
          <w:rStyle w:val="Appelnotedebasdep"/>
        </w:rPr>
        <w:footnoteReference w:id="815"/>
      </w:r>
      <w:r w:rsidRPr="00320A86">
        <w:t> » et une « imposture planétaire</w:t>
      </w:r>
      <w:r>
        <w:t> </w:t>
      </w:r>
      <w:r>
        <w:rPr>
          <w:rStyle w:val="Appelnotedebasdep"/>
        </w:rPr>
        <w:footnoteReference w:id="816"/>
      </w:r>
      <w:r w:rsidRPr="00320A86">
        <w:t> » ; le marxisme co</w:t>
      </w:r>
      <w:r w:rsidRPr="00320A86">
        <w:t>m</w:t>
      </w:r>
      <w:r w:rsidRPr="00320A86">
        <w:t>me la psychanalyse ou encore la Raison, mais aussi les sciences de la n</w:t>
      </w:r>
      <w:r w:rsidRPr="00320A86">
        <w:t>a</w:t>
      </w:r>
      <w:r w:rsidRPr="00320A86">
        <w:t>ture et les sciences humaines, le savoir du Droit, sans oublier la n</w:t>
      </w:r>
      <w:r w:rsidRPr="00320A86">
        <w:t>o</w:t>
      </w:r>
      <w:r w:rsidRPr="00320A86">
        <w:t>tion de genre humain</w:t>
      </w:r>
      <w:r>
        <w:t> </w:t>
      </w:r>
      <w:r>
        <w:rPr>
          <w:rStyle w:val="Appelnotedebasdep"/>
        </w:rPr>
        <w:footnoteReference w:id="817"/>
      </w:r>
      <w:r w:rsidRPr="00320A86">
        <w:t xml:space="preserve">. </w:t>
      </w:r>
    </w:p>
    <w:p w14:paraId="3862F540" w14:textId="77777777" w:rsidR="00B01930" w:rsidRPr="00320A86" w:rsidRDefault="00B01930" w:rsidP="00B01930">
      <w:pPr>
        <w:spacing w:before="120" w:after="120"/>
        <w:jc w:val="both"/>
      </w:pPr>
      <w:r w:rsidRPr="00320A86">
        <w:t>Nous sommes donc en présence du code n° 1 (« manichéen inég</w:t>
      </w:r>
      <w:r w:rsidRPr="00320A86">
        <w:t>a</w:t>
      </w:r>
      <w:r w:rsidRPr="00320A86">
        <w:t>litaire</w:t>
      </w:r>
      <w:r>
        <w:t> </w:t>
      </w:r>
      <w:r>
        <w:rPr>
          <w:rStyle w:val="Appelnotedebasdep"/>
        </w:rPr>
        <w:footnoteReference w:id="818"/>
      </w:r>
      <w:r>
        <w:t> </w:t>
      </w:r>
      <w:r w:rsidRPr="00320A86">
        <w:t>»). Conformément à la logique structurale du code, Heide</w:t>
      </w:r>
      <w:r w:rsidRPr="00320A86">
        <w:t>g</w:t>
      </w:r>
      <w:r w:rsidRPr="00320A86">
        <w:t xml:space="preserve">ger ne pouvait pas échapper à la nécessité de trouver </w:t>
      </w:r>
      <w:r w:rsidRPr="00240EEC">
        <w:rPr>
          <w:i/>
        </w:rPr>
        <w:t>la Cause</w:t>
      </w:r>
      <w:r w:rsidRPr="00320A86">
        <w:t xml:space="preserve"> qui expl</w:t>
      </w:r>
      <w:r w:rsidRPr="00320A86">
        <w:t>i</w:t>
      </w:r>
      <w:r w:rsidRPr="00320A86">
        <w:t>que cette chute de l’Être, et le donc le règne du Mal et de ses expre</w:t>
      </w:r>
      <w:r w:rsidRPr="00320A86">
        <w:t>s</w:t>
      </w:r>
      <w:r w:rsidRPr="00320A86">
        <w:t>sions. Celle-ci est toujours posée comme « </w:t>
      </w:r>
      <w:r w:rsidRPr="00240EEC">
        <w:rPr>
          <w:i/>
        </w:rPr>
        <w:t>extérieure </w:t>
      </w:r>
      <w:r w:rsidRPr="00320A86">
        <w:t>» à l’auteur, mais en réalité est puisée dans le contexte socio-politique et intelle</w:t>
      </w:r>
      <w:r w:rsidRPr="00320A86">
        <w:t>c</w:t>
      </w:r>
      <w:r w:rsidRPr="00320A86">
        <w:t>tuel de l’époque, voire les préjugés ou fantasmes du pe</w:t>
      </w:r>
      <w:r w:rsidRPr="00320A86">
        <w:t>n</w:t>
      </w:r>
      <w:r w:rsidRPr="00320A86">
        <w:t>seur</w:t>
      </w:r>
      <w:r>
        <w:t> </w:t>
      </w:r>
      <w:r>
        <w:rPr>
          <w:rStyle w:val="Appelnotedebasdep"/>
        </w:rPr>
        <w:footnoteReference w:id="819"/>
      </w:r>
      <w:r w:rsidRPr="00320A86">
        <w:t>.</w:t>
      </w:r>
    </w:p>
    <w:p w14:paraId="47677011" w14:textId="77777777" w:rsidR="00B01930" w:rsidRPr="00320A86" w:rsidRDefault="00B01930" w:rsidP="00B01930">
      <w:pPr>
        <w:spacing w:before="120" w:after="120"/>
        <w:jc w:val="both"/>
      </w:pPr>
      <w:r w:rsidRPr="00320A86">
        <w:t>Si l’Être s’est effacé, c’est que le Juif a commis « l’impardonnable oubli de l’Être</w:t>
      </w:r>
      <w:r>
        <w:t> </w:t>
      </w:r>
      <w:r>
        <w:rPr>
          <w:rStyle w:val="Appelnotedebasdep"/>
        </w:rPr>
        <w:footnoteReference w:id="820"/>
      </w:r>
      <w:r w:rsidRPr="00320A86">
        <w:t xml:space="preserve"> », il est une menace, non point biologique – selon la </w:t>
      </w:r>
      <w:r w:rsidRPr="00240EEC">
        <w:rPr>
          <w:i/>
        </w:rPr>
        <w:t>vulgate</w:t>
      </w:r>
      <w:r w:rsidRPr="00320A86">
        <w:t xml:space="preserve"> nazie que récuse Heidegger –, mais véritablement </w:t>
      </w:r>
      <w:r w:rsidRPr="00240EEC">
        <w:rPr>
          <w:i/>
        </w:rPr>
        <w:t>métaphys</w:t>
      </w:r>
      <w:r w:rsidRPr="00240EEC">
        <w:rPr>
          <w:i/>
        </w:rPr>
        <w:t>i</w:t>
      </w:r>
      <w:r w:rsidRPr="00240EEC">
        <w:rPr>
          <w:i/>
        </w:rPr>
        <w:t>que</w:t>
      </w:r>
      <w:r w:rsidRPr="00320A86">
        <w:t>. Heidegger, du fait même que sa vision du monde est toute e</w:t>
      </w:r>
      <w:r w:rsidRPr="00320A86">
        <w:t>n</w:t>
      </w:r>
      <w:r w:rsidRPr="00320A86">
        <w:t>tière « fabriquée » par le code n°</w:t>
      </w:r>
      <w:r>
        <w:t> </w:t>
      </w:r>
      <w:r w:rsidRPr="00320A86">
        <w:t>1, « absolutise » – en stricte logique stru</w:t>
      </w:r>
      <w:r w:rsidRPr="00320A86">
        <w:t>c</w:t>
      </w:r>
      <w:r w:rsidRPr="00320A86">
        <w:t>turale – la « question juive ». Il faut, s</w:t>
      </w:r>
      <w:r w:rsidRPr="00320A86">
        <w:t>e</w:t>
      </w:r>
      <w:r w:rsidRPr="00320A86">
        <w:t>lon lui, revenir à l’essence du Juif. Le Juif est le triomphe de « l’étant » sur l’Être, car il est à l’origine de la séparation de l’Être et de « l’étant ». L’antisémitisme est inscrit dans l’histoire de l’Être selon Heidegger</w:t>
      </w:r>
      <w:r>
        <w:t> </w:t>
      </w:r>
      <w:r>
        <w:rPr>
          <w:rStyle w:val="Appelnotedebasdep"/>
        </w:rPr>
        <w:footnoteReference w:id="821"/>
      </w:r>
      <w:r w:rsidRPr="00320A86">
        <w:t>. Il y a même une homologie frappante entre le Juif responsable du déicide et le juif re</w:t>
      </w:r>
      <w:r w:rsidRPr="00320A86">
        <w:t>s</w:t>
      </w:r>
      <w:r w:rsidRPr="00320A86">
        <w:t>ponsable  de l’oubli dans l’ontologie heideggérienne</w:t>
      </w:r>
      <w:r>
        <w:t> </w:t>
      </w:r>
      <w:r>
        <w:rPr>
          <w:rStyle w:val="Appelnotedebasdep"/>
        </w:rPr>
        <w:footnoteReference w:id="822"/>
      </w:r>
      <w:r w:rsidRPr="00320A86">
        <w:t>.</w:t>
      </w:r>
    </w:p>
    <w:p w14:paraId="66431184" w14:textId="77777777" w:rsidR="00B01930" w:rsidRPr="00320A86" w:rsidRDefault="00B01930" w:rsidP="00B01930">
      <w:pPr>
        <w:spacing w:before="120" w:after="120"/>
        <w:jc w:val="both"/>
      </w:pPr>
      <w:r w:rsidRPr="00320A86">
        <w:t>Aussi l’Être ne peut s’accomplir que si on expulse le Juif. Ces p</w:t>
      </w:r>
      <w:r w:rsidRPr="00320A86">
        <w:t>o</w:t>
      </w:r>
      <w:r w:rsidRPr="00320A86">
        <w:t>sitions quant à l’éviction des juifs des universités et du champ inte</w:t>
      </w:r>
      <w:r w:rsidRPr="00320A86">
        <w:t>l</w:t>
      </w:r>
      <w:r w:rsidRPr="00320A86">
        <w:t>lectuel,  comme plus tard son silence sur les camps d’extermination, ou ses propos relatifs au fait que, pour lui,  les juifs avaient gagné la guerre, ne sont pas le fruit d’un égarement, encore moins d’un antis</w:t>
      </w:r>
      <w:r w:rsidRPr="00320A86">
        <w:t>é</w:t>
      </w:r>
      <w:r w:rsidRPr="00320A86">
        <w:t>mitisme « ordinaire », mais la rigoureuse déduction qu’impose la pr</w:t>
      </w:r>
      <w:r w:rsidRPr="00320A86">
        <w:t>é</w:t>
      </w:r>
      <w:r w:rsidRPr="00320A86">
        <w:t>tention à avoir compris le sens de l’Histoire et la Cause du Mal.</w:t>
      </w:r>
    </w:p>
    <w:p w14:paraId="3603F0E3" w14:textId="77777777" w:rsidR="00B01930" w:rsidRPr="00320A86" w:rsidRDefault="00B01930" w:rsidP="00B01930">
      <w:pPr>
        <w:spacing w:before="120" w:after="120"/>
        <w:jc w:val="both"/>
      </w:pPr>
      <w:r w:rsidRPr="00320A86">
        <w:t>Il est aussi conforme à la logique du code n°</w:t>
      </w:r>
      <w:r>
        <w:t> </w:t>
      </w:r>
      <w:r w:rsidRPr="00320A86">
        <w:t>1 que la pensée de Heidegger détermine le détenteur de la Vérité qui va conduire le mo</w:t>
      </w:r>
      <w:r w:rsidRPr="00320A86">
        <w:t>u</w:t>
      </w:r>
      <w:r w:rsidRPr="00320A86">
        <w:t xml:space="preserve">vement vers le « recommencement » de l’Être. Pour cela il va poser que l’État (allemand) est de l’ordre de l’Être et que le peuple est de l’ordre des « étants ». Le </w:t>
      </w:r>
      <w:r w:rsidRPr="00240EEC">
        <w:rPr>
          <w:i/>
        </w:rPr>
        <w:t>Führer</w:t>
      </w:r>
      <w:r w:rsidRPr="00320A86">
        <w:t xml:space="preserve"> devient alors </w:t>
      </w:r>
      <w:r w:rsidRPr="00240EEC">
        <w:rPr>
          <w:i/>
        </w:rPr>
        <w:t>ipso facto</w:t>
      </w:r>
      <w:r w:rsidRPr="00320A86">
        <w:t xml:space="preserve">  le </w:t>
      </w:r>
      <w:r w:rsidRPr="00240EEC">
        <w:rPr>
          <w:i/>
        </w:rPr>
        <w:t>médium</w:t>
      </w:r>
      <w:r w:rsidRPr="00320A86">
        <w:t xml:space="preserve">  entre les deux. Mais encore faut-il une condition, là encore tout-à-fait logique, et non point « perverse », la réalisation de l’Être ne doit pas être souillée par ceux qui n’en sont pas dignes, (i. e. les Juifs). He</w:t>
      </w:r>
      <w:r w:rsidRPr="00320A86">
        <w:t>i</w:t>
      </w:r>
      <w:r w:rsidRPr="00320A86">
        <w:t>degger introduit alors  les notions de sang et de race</w:t>
      </w:r>
      <w:r>
        <w:t> </w:t>
      </w:r>
      <w:r>
        <w:rPr>
          <w:rStyle w:val="Appelnotedebasdep"/>
        </w:rPr>
        <w:footnoteReference w:id="823"/>
      </w:r>
      <w:r w:rsidRPr="00320A86">
        <w:t>. L’Histoire, conformément à la logique du code, a un sens : « l’avènement de la communauté du peuple</w:t>
      </w:r>
      <w:r>
        <w:t> </w:t>
      </w:r>
      <w:r>
        <w:rPr>
          <w:rStyle w:val="Appelnotedebasdep"/>
        </w:rPr>
        <w:footnoteReference w:id="824"/>
      </w:r>
      <w:r w:rsidRPr="00320A86">
        <w:t> ». Seuls le peuple allemand, sous la banni</w:t>
      </w:r>
      <w:r w:rsidRPr="00320A86">
        <w:t>è</w:t>
      </w:r>
      <w:r w:rsidRPr="00320A86">
        <w:t>re du national-socialisme</w:t>
      </w:r>
      <w:r>
        <w:t> </w:t>
      </w:r>
      <w:r>
        <w:rPr>
          <w:rStyle w:val="Appelnotedebasdep"/>
        </w:rPr>
        <w:footnoteReference w:id="825"/>
      </w:r>
      <w:r w:rsidRPr="00320A86">
        <w:t>, est l’avant-garde de l’accomplissement de l’Être authentique. Le renouveau de l’Être est possible et advenu pour l’Occident (dont le destin est l’accomplissement de l’Être) à tr</w:t>
      </w:r>
      <w:r w:rsidRPr="00320A86">
        <w:t>a</w:t>
      </w:r>
      <w:r w:rsidRPr="00320A86">
        <w:t>vers le seul peuple allemand qui a pour mission la « purification de l’Être » but de la philosophie, « […] une réflexion sur l’histoire un</w:t>
      </w:r>
      <w:r w:rsidRPr="00320A86">
        <w:t>i</w:t>
      </w:r>
      <w:r w:rsidRPr="00320A86">
        <w:t>verselle ne peut venir que des all</w:t>
      </w:r>
      <w:r w:rsidRPr="00320A86">
        <w:t>e</w:t>
      </w:r>
      <w:r w:rsidRPr="00320A86">
        <w:t>mands</w:t>
      </w:r>
      <w:r>
        <w:t> </w:t>
      </w:r>
      <w:r>
        <w:rPr>
          <w:rStyle w:val="Appelnotedebasdep"/>
        </w:rPr>
        <w:footnoteReference w:id="826"/>
      </w:r>
      <w:r w:rsidRPr="00320A86">
        <w:t> », aussi « la construction d’un nouvel univers intellectuel pour le peuple allemand est la tâche essentielle de l’Université all</w:t>
      </w:r>
      <w:r w:rsidRPr="00320A86">
        <w:t>e</w:t>
      </w:r>
      <w:r w:rsidRPr="00320A86">
        <w:t>mande</w:t>
      </w:r>
      <w:r>
        <w:t> </w:t>
      </w:r>
      <w:r>
        <w:rPr>
          <w:rStyle w:val="Appelnotedebasdep"/>
        </w:rPr>
        <w:footnoteReference w:id="827"/>
      </w:r>
      <w:r w:rsidRPr="00320A86">
        <w:t>. C’était l’aube d’un nouveau « commencement » après le premier « commencement de l’Être » chez les grecs</w:t>
      </w:r>
      <w:r>
        <w:t> </w:t>
      </w:r>
      <w:r>
        <w:rPr>
          <w:rStyle w:val="Appelnotedebasdep"/>
        </w:rPr>
        <w:footnoteReference w:id="828"/>
      </w:r>
      <w:r w:rsidRPr="00320A86">
        <w:t xml:space="preserve"> (sic).</w:t>
      </w:r>
    </w:p>
    <w:p w14:paraId="503CF893" w14:textId="77777777" w:rsidR="00B01930" w:rsidRPr="00320A86" w:rsidRDefault="00B01930" w:rsidP="00B01930">
      <w:pPr>
        <w:spacing w:before="120" w:after="120"/>
        <w:jc w:val="both"/>
      </w:pPr>
      <w:r w:rsidRPr="00320A86">
        <w:t>Et ce n’est pas un hasard si, même au niveau du langage, Heide</w:t>
      </w:r>
      <w:r w:rsidRPr="00320A86">
        <w:t>g</w:t>
      </w:r>
      <w:r w:rsidRPr="00320A86">
        <w:t>ger estimait que le « Dasein » ne pouvait être traduit car cela induisait que l’allemand devenait « la langue de l’Être »</w:t>
      </w:r>
      <w:r>
        <w:t> </w:t>
      </w:r>
      <w:r>
        <w:rPr>
          <w:rStyle w:val="Appelnotedebasdep"/>
        </w:rPr>
        <w:footnoteReference w:id="829"/>
      </w:r>
      <w:r w:rsidRPr="00320A86">
        <w:t>, la langue de La V</w:t>
      </w:r>
      <w:r w:rsidRPr="00320A86">
        <w:t>é</w:t>
      </w:r>
      <w:r w:rsidRPr="00320A86">
        <w:t>rité à laquelle – selon la log</w:t>
      </w:r>
      <w:r w:rsidRPr="00320A86">
        <w:t>i</w:t>
      </w:r>
      <w:r w:rsidRPr="00320A86">
        <w:t>que structurale du code n°1- nul ne peut s’opposer en tout bonne foi.</w:t>
      </w:r>
    </w:p>
    <w:p w14:paraId="4E18FD83" w14:textId="77777777" w:rsidR="00B01930" w:rsidRPr="00320A86" w:rsidRDefault="00B01930" w:rsidP="00B01930">
      <w:pPr>
        <w:spacing w:before="120" w:after="120"/>
        <w:jc w:val="both"/>
      </w:pPr>
    </w:p>
    <w:p w14:paraId="2FC269D3" w14:textId="77777777" w:rsidR="00B01930" w:rsidRPr="00320A86" w:rsidRDefault="00B01930" w:rsidP="00B01930">
      <w:pPr>
        <w:spacing w:before="120" w:after="120"/>
        <w:jc w:val="both"/>
      </w:pPr>
      <w:r w:rsidRPr="00320A86">
        <w:t>II. Le Bien, selon le mode de construction du code</w:t>
      </w:r>
      <w:r>
        <w:t> </w:t>
      </w:r>
      <w:r>
        <w:rPr>
          <w:rStyle w:val="Appelnotedebasdep"/>
        </w:rPr>
        <w:footnoteReference w:id="830"/>
      </w:r>
      <w:r w:rsidRPr="00320A86">
        <w:t xml:space="preserve">, est l’inverse du Mal. Aussi Heidegger célèbre-t-il le culte : de la Nature, du sol, de la souche (de la lignée), donc de la race, du </w:t>
      </w:r>
      <w:r w:rsidRPr="00240EEC">
        <w:rPr>
          <w:i/>
        </w:rPr>
        <w:t>führerprinzip</w:t>
      </w:r>
      <w:r w:rsidRPr="00320A86">
        <w:t xml:space="preserve"> – dont il se fait le propagateur au sein de l’Université et du champ inte</w:t>
      </w:r>
      <w:r w:rsidRPr="00320A86">
        <w:t>l</w:t>
      </w:r>
      <w:r w:rsidRPr="00320A86">
        <w:t>lectuel – et n’est que l’illustration de la logique du code qui structure sa pensée. Son adhésion au parti nazi n’est que la cons</w:t>
      </w:r>
      <w:r w:rsidRPr="00320A86">
        <w:t>é</w:t>
      </w:r>
      <w:r w:rsidRPr="00320A86">
        <w:t>quence de son refus de la démocratie et de l’égalité, comme du rôle  assignée à l’Allemagne et au peuple allemand (c’est le contexte historique et politique qui fou</w:t>
      </w:r>
      <w:r w:rsidRPr="00320A86">
        <w:t>r</w:t>
      </w:r>
      <w:r w:rsidRPr="00320A86">
        <w:t>nit le matériau à l’élaboration concrète des modalités de réalisation du Bien, qui débouche toujours sur le monopole de la détention du po</w:t>
      </w:r>
      <w:r w:rsidRPr="00320A86">
        <w:t>u</w:t>
      </w:r>
      <w:r w:rsidRPr="00320A86">
        <w:t>voir</w:t>
      </w:r>
      <w:r>
        <w:t> </w:t>
      </w:r>
      <w:r>
        <w:rPr>
          <w:rStyle w:val="Appelnotedebasdep"/>
        </w:rPr>
        <w:footnoteReference w:id="831"/>
      </w:r>
      <w:r w:rsidRPr="00320A86">
        <w:t>, en l’espèce, ici le N</w:t>
      </w:r>
      <w:r w:rsidRPr="00320A86">
        <w:rPr>
          <w:smallCaps/>
        </w:rPr>
        <w:t>sdap</w:t>
      </w:r>
      <w:r w:rsidRPr="00320A86">
        <w:t xml:space="preserve">). Et, </w:t>
      </w:r>
      <w:r w:rsidRPr="00240EEC">
        <w:rPr>
          <w:i/>
        </w:rPr>
        <w:t>last but not least</w:t>
      </w:r>
      <w:r w:rsidRPr="00320A86">
        <w:t>, c’est le fin de « l’enjuivement » de la société afin de supprimer le seul obstacle au triomphe de l’Être.</w:t>
      </w:r>
    </w:p>
    <w:p w14:paraId="50629852" w14:textId="77777777" w:rsidR="00B01930" w:rsidRPr="00320A86" w:rsidRDefault="00B01930" w:rsidP="00B01930">
      <w:pPr>
        <w:spacing w:before="120" w:after="120"/>
        <w:jc w:val="both"/>
      </w:pPr>
      <w:r w:rsidRPr="00320A86">
        <w:t>La prééminence de « l’illuminé » qui a contemplé le Bien, La Vér</w:t>
      </w:r>
      <w:r w:rsidRPr="00320A86">
        <w:t>i</w:t>
      </w:r>
      <w:r w:rsidRPr="00320A86">
        <w:t>té – propre au code n°1 –, n’est pas absente chez Heidegger, hormis le Führer, on peut se demander s’il ne se considère pas comme celui qui a quitté la caverne et, à ce titre, est « le » Philosophe (au sens ma</w:t>
      </w:r>
      <w:r w:rsidRPr="00320A86">
        <w:t>r</w:t>
      </w:r>
      <w:r w:rsidRPr="00320A86">
        <w:t>trien) qui aurait du guider Hitler. Ainsi en 1931-1932 dans un cours, « il est question du “commencement de la philos</w:t>
      </w:r>
      <w:r w:rsidRPr="00320A86">
        <w:t>o</w:t>
      </w:r>
      <w:r w:rsidRPr="00320A86">
        <w:t>phie occidentale” et de la compréhension de la “vérité” qui s’y trouve</w:t>
      </w:r>
      <w:r>
        <w:t> </w:t>
      </w:r>
      <w:r>
        <w:rPr>
          <w:rStyle w:val="Appelnotedebasdep"/>
        </w:rPr>
        <w:footnoteReference w:id="832"/>
      </w:r>
      <w:r w:rsidRPr="00320A86">
        <w:t> ». A</w:t>
      </w:r>
      <w:r w:rsidRPr="00320A86">
        <w:t>u</w:t>
      </w:r>
      <w:r w:rsidRPr="00320A86">
        <w:t>trement dit, grâce  à un  philosophe « qui doit venir</w:t>
      </w:r>
      <w:r>
        <w:t> </w:t>
      </w:r>
      <w:r>
        <w:rPr>
          <w:rStyle w:val="Appelnotedebasdep"/>
        </w:rPr>
        <w:footnoteReference w:id="833"/>
      </w:r>
      <w:r w:rsidRPr="00320A86">
        <w:t> » (i. e. lui ?). Il n’est pas anecdotique de relever que Heidegger pendant ses cours murmurait, obligeant au silence et faisait croire aux auditeurs que ce qu’ils co</w:t>
      </w:r>
      <w:r w:rsidRPr="00320A86">
        <w:t>m</w:t>
      </w:r>
      <w:r w:rsidRPr="00320A86">
        <w:t>prenaient était la vér</w:t>
      </w:r>
      <w:r w:rsidRPr="00320A86">
        <w:t>i</w:t>
      </w:r>
      <w:r w:rsidRPr="00320A86">
        <w:t>té</w:t>
      </w:r>
      <w:r>
        <w:t> </w:t>
      </w:r>
      <w:r>
        <w:rPr>
          <w:rStyle w:val="Appelnotedebasdep"/>
        </w:rPr>
        <w:footnoteReference w:id="834"/>
      </w:r>
      <w:r w:rsidRPr="00320A86">
        <w:t>…</w:t>
      </w:r>
    </w:p>
    <w:p w14:paraId="717A655E" w14:textId="77777777" w:rsidR="00B01930" w:rsidRPr="00320A86" w:rsidRDefault="00B01930" w:rsidP="00B01930">
      <w:pPr>
        <w:spacing w:before="120" w:after="120"/>
        <w:jc w:val="both"/>
      </w:pPr>
      <w:r w:rsidRPr="00320A86">
        <w:t>Détenant le Bien, Heidegger ne pouvait pas avoir une autre attitude que celle qui fût la sienne au sortir de la seconde guerre. Il considère, en toute logique, que l’occupation de l’Allemagne est le triomphe des Juifs et que celle-ci est devenu « un camp ». La dictature n’est pas ce</w:t>
      </w:r>
      <w:r w:rsidRPr="00320A86">
        <w:t>l</w:t>
      </w:r>
      <w:r w:rsidRPr="00320A86">
        <w:t>le du parti nazi mais celle de… la démocratie planétaire, « Hitler n’est que le prétexte pour asseoir celle-ci</w:t>
      </w:r>
      <w:r>
        <w:t> </w:t>
      </w:r>
      <w:r>
        <w:rPr>
          <w:rStyle w:val="Appelnotedebasdep"/>
        </w:rPr>
        <w:footnoteReference w:id="835"/>
      </w:r>
      <w:r w:rsidRPr="00320A86">
        <w:t> ». Pour lui, le crime suprême n’est pas l’extermination des Juifs mais celui commis contre le peuple allemand qui n’a pu sauver l’Occident de sa finalité : le destin spir</w:t>
      </w:r>
      <w:r w:rsidRPr="00320A86">
        <w:t>i</w:t>
      </w:r>
      <w:r w:rsidRPr="00320A86">
        <w:t>tuel de l’Être. Car, vue de l’Être, Auschwitz est un événement comme un autre</w:t>
      </w:r>
      <w:r>
        <w:t> </w:t>
      </w:r>
      <w:r>
        <w:rPr>
          <w:rStyle w:val="Appelnotedebasdep"/>
        </w:rPr>
        <w:footnoteReference w:id="836"/>
      </w:r>
      <w:r w:rsidRPr="00320A86">
        <w:t>. La technique, écrit-il (en 1949), est la cause de l’industrialisation de l’agriculture, de la bombe à hydrogène et… des camps d’extermination</w:t>
      </w:r>
      <w:r>
        <w:t> </w:t>
      </w:r>
      <w:r>
        <w:rPr>
          <w:rStyle w:val="Appelnotedebasdep"/>
        </w:rPr>
        <w:footnoteReference w:id="837"/>
      </w:r>
      <w:r w:rsidRPr="00320A86">
        <w:t>.</w:t>
      </w:r>
    </w:p>
    <w:p w14:paraId="7F8FB058" w14:textId="77777777" w:rsidR="00B01930" w:rsidRPr="00320A86" w:rsidRDefault="00B01930" w:rsidP="00B01930">
      <w:pPr>
        <w:spacing w:before="120" w:after="120"/>
        <w:jc w:val="both"/>
      </w:pPr>
      <w:r w:rsidRPr="00320A86">
        <w:t>Il est de l’ordre structural que Heidegger procède par inversion. Puisqu’il a contemplé le Bien et dévoilé le Sens de l’Histoire. Dès lors les Allemands sont les victimes du Mal, les bourreaux sont les alliés, figures de ce Mal en action ; les juifs ne peuvent prétendre à un tel ”statut de victimes” puisque se sont eux qui sont la cause de  l’engrenage qui a conduit à leur sort</w:t>
      </w:r>
      <w:r>
        <w:t> </w:t>
      </w:r>
      <w:r>
        <w:rPr>
          <w:rStyle w:val="Appelnotedebasdep"/>
        </w:rPr>
        <w:footnoteReference w:id="838"/>
      </w:r>
      <w:r w:rsidRPr="00320A86">
        <w:t xml:space="preserve">. </w:t>
      </w:r>
    </w:p>
    <w:p w14:paraId="466D2112" w14:textId="77777777" w:rsidR="00B01930" w:rsidRPr="00320A86" w:rsidRDefault="00B01930" w:rsidP="00B01930">
      <w:pPr>
        <w:spacing w:before="120" w:after="120"/>
        <w:jc w:val="both"/>
      </w:pPr>
      <w:r>
        <w:br w:type="page"/>
      </w:r>
    </w:p>
    <w:p w14:paraId="639A882D" w14:textId="77777777" w:rsidR="00B01930" w:rsidRPr="00320A86" w:rsidRDefault="00B01930" w:rsidP="00B01930">
      <w:pPr>
        <w:spacing w:before="120" w:after="120"/>
        <w:jc w:val="both"/>
      </w:pPr>
      <w:r w:rsidRPr="00320A86">
        <w:t>III. Le « regard martrien », à peine ébauché ici, ne nous semble donc pas d</w:t>
      </w:r>
      <w:r w:rsidRPr="00320A86">
        <w:t>é</w:t>
      </w:r>
      <w:r w:rsidRPr="00320A86">
        <w:t>pourvu de tout fondement. En effet  tel auteur écrivait qu’en définitive « Être et temps</w:t>
      </w:r>
      <w:r>
        <w:t> </w:t>
      </w:r>
      <w:r>
        <w:rPr>
          <w:rStyle w:val="Appelnotedebasdep"/>
        </w:rPr>
        <w:footnoteReference w:id="839"/>
      </w:r>
      <w:r w:rsidRPr="00320A86">
        <w:t> » « narre les aventures de l’âme-Dasein jetée dans un monde menaçant, comme jadis dans les récits initiatiques manichéens</w:t>
      </w:r>
      <w:r>
        <w:t> </w:t>
      </w:r>
      <w:r>
        <w:rPr>
          <w:rStyle w:val="Appelnotedebasdep"/>
        </w:rPr>
        <w:footnoteReference w:id="840"/>
      </w:r>
      <w:r w:rsidRPr="00320A86">
        <w:t> ». Et tel autre, que sa conception du temps de l’Histoire oppose deux principes transcendants et que dès lors « il n’y a qu’un petit pas à faire pour accéder à un mode de pensée qui peut être caractérisé comme un manichéisme onto-historique</w:t>
      </w:r>
      <w:r>
        <w:t> </w:t>
      </w:r>
      <w:r>
        <w:rPr>
          <w:rStyle w:val="Appelnotedebasdep"/>
        </w:rPr>
        <w:footnoteReference w:id="841"/>
      </w:r>
      <w:r w:rsidRPr="00320A86">
        <w:t> ». Ce qui fait dire à l’auteur de ces dernières lignes que « la pensée de He</w:t>
      </w:r>
      <w:r w:rsidRPr="00320A86">
        <w:t>i</w:t>
      </w:r>
      <w:r w:rsidRPr="00320A86">
        <w:t>degger ne peut être caractérisée comme “idéolog</w:t>
      </w:r>
      <w:r w:rsidRPr="00320A86">
        <w:t>i</w:t>
      </w:r>
      <w:r w:rsidRPr="00320A86">
        <w:t>que”, elle rejette strictement l’idéologie, mais elle a été, par moments idéologique</w:t>
      </w:r>
      <w:r>
        <w:t> </w:t>
      </w:r>
      <w:r>
        <w:rPr>
          <w:rStyle w:val="Appelnotedebasdep"/>
        </w:rPr>
        <w:footnoteReference w:id="842"/>
      </w:r>
      <w:r w:rsidRPr="00320A86">
        <w:t> ».</w:t>
      </w:r>
    </w:p>
    <w:p w14:paraId="3A6721FB" w14:textId="77777777" w:rsidR="00B01930" w:rsidRPr="00320A86" w:rsidRDefault="00B01930" w:rsidP="00B01930">
      <w:pPr>
        <w:spacing w:before="120" w:after="120"/>
        <w:jc w:val="both"/>
      </w:pPr>
      <w:r w:rsidRPr="00320A86">
        <w:t>L’analyse martrienne  vient rendre compréhensible et autrement explicatif  ces affirmations. L’appartenance de la pensée heidegg</w:t>
      </w:r>
      <w:r w:rsidRPr="00320A86">
        <w:t>é</w:t>
      </w:r>
      <w:r w:rsidRPr="00320A86">
        <w:t>rienne au code n° 1 rend parfaitement compte de son contenu en tous ses aspects, de sa trajectoire, ainsi que de la radicalité qui la caractér</w:t>
      </w:r>
      <w:r w:rsidRPr="00320A86">
        <w:t>i</w:t>
      </w:r>
      <w:r w:rsidRPr="00320A86">
        <w:t>se et en est la source de fascination</w:t>
      </w:r>
      <w:r>
        <w:t> </w:t>
      </w:r>
      <w:r>
        <w:rPr>
          <w:rStyle w:val="Appelnotedebasdep"/>
        </w:rPr>
        <w:footnoteReference w:id="843"/>
      </w:r>
      <w:r w:rsidRPr="00320A86">
        <w:t>, tout comme pour Carl Schmitt</w:t>
      </w:r>
      <w:r>
        <w:t> </w:t>
      </w:r>
      <w:r>
        <w:rPr>
          <w:rStyle w:val="Appelnotedebasdep"/>
        </w:rPr>
        <w:footnoteReference w:id="844"/>
      </w:r>
      <w:r w:rsidRPr="00320A86">
        <w:t>. Ce n’est pas un hasard non plus si les radicalismes, notamment à ga</w:t>
      </w:r>
      <w:r w:rsidRPr="00320A86">
        <w:t>u</w:t>
      </w:r>
      <w:r w:rsidRPr="00320A86">
        <w:t>che, ont fait « un retour » à Heidegger en reformulant une thé</w:t>
      </w:r>
      <w:r w:rsidRPr="00320A86">
        <w:t>o</w:t>
      </w:r>
      <w:r w:rsidRPr="00320A86">
        <w:t xml:space="preserve">rie de la souveraineté fondée sur le peuple comme le </w:t>
      </w:r>
      <w:r w:rsidRPr="00240EEC">
        <w:rPr>
          <w:i/>
        </w:rPr>
        <w:t>Dasein</w:t>
      </w:r>
      <w:r w:rsidRPr="00320A86">
        <w:t xml:space="preserve"> s’appuyait sur le volk</w:t>
      </w:r>
      <w:r>
        <w:t> </w:t>
      </w:r>
      <w:r>
        <w:rPr>
          <w:rStyle w:val="Appelnotedebasdep"/>
        </w:rPr>
        <w:footnoteReference w:id="845"/>
      </w:r>
      <w:r w:rsidRPr="00320A86">
        <w:t>.</w:t>
      </w:r>
    </w:p>
    <w:p w14:paraId="218F68C9" w14:textId="77777777" w:rsidR="00B01930" w:rsidRPr="00320A86" w:rsidRDefault="00B01930" w:rsidP="00B01930">
      <w:pPr>
        <w:spacing w:before="120" w:after="120"/>
        <w:jc w:val="both"/>
      </w:pPr>
      <w:r w:rsidRPr="00320A86">
        <w:t>La forme d’écriture même, qui implique une lecture « initiatique</w:t>
      </w:r>
      <w:r>
        <w:t> </w:t>
      </w:r>
      <w:r>
        <w:rPr>
          <w:rStyle w:val="Appelnotedebasdep"/>
        </w:rPr>
        <w:footnoteReference w:id="846"/>
      </w:r>
      <w:r w:rsidRPr="00320A86">
        <w:t> », expl</w:t>
      </w:r>
      <w:r w:rsidRPr="00320A86">
        <w:t>i</w:t>
      </w:r>
      <w:r w:rsidRPr="00320A86">
        <w:t>que le sectarisme de nombre « d’heideggériens ». Son langage « institue le groupe fermée » qui illustre l’un des points clef du code n° 1 : la constitution en secte  des initiés qui ont eu accès à la Vérité afin, au moins, de préserver la flamme du Bien,  mais surtout de porter la bonne parole ; comment se soustraire à cet impératif alors qu’il y va du sort de l’humanité ?  Il ne peut en être autr</w:t>
      </w:r>
      <w:r w:rsidRPr="00320A86">
        <w:t>e</w:t>
      </w:r>
      <w:r w:rsidRPr="00320A86">
        <w:t>ment. Devenu une icône pour certains, tel philosophe français</w:t>
      </w:r>
      <w:r>
        <w:t> </w:t>
      </w:r>
      <w:r>
        <w:rPr>
          <w:rStyle w:val="Appelnotedebasdep"/>
        </w:rPr>
        <w:footnoteReference w:id="847"/>
      </w:r>
      <w:r w:rsidRPr="00320A86">
        <w:t xml:space="preserve"> n’hésite pas à énoncer, sans précaution ou précision,  que</w:t>
      </w:r>
      <w:r w:rsidRPr="00320A86">
        <w:t>l</w:t>
      </w:r>
      <w:r w:rsidRPr="00320A86">
        <w:t>que incongruité au regard de la réalité politique des racines du mo</w:t>
      </w:r>
      <w:r w:rsidRPr="00320A86">
        <w:t>u</w:t>
      </w:r>
      <w:r w:rsidRPr="00320A86">
        <w:t xml:space="preserve">vement néoconservateur (né aux États-Unis) en caractérisant « l’attitude de Heidegger comme “antimoderne” et, en ce sens, </w:t>
      </w:r>
      <w:r w:rsidRPr="00240EEC">
        <w:rPr>
          <w:i/>
        </w:rPr>
        <w:t>né</w:t>
      </w:r>
      <w:r w:rsidRPr="00240EEC">
        <w:rPr>
          <w:i/>
        </w:rPr>
        <w:t>o</w:t>
      </w:r>
      <w:r w:rsidRPr="00240EEC">
        <w:rPr>
          <w:i/>
        </w:rPr>
        <w:t>conservatrice </w:t>
      </w:r>
      <w:r>
        <w:rPr>
          <w:rStyle w:val="Appelnotedebasdep"/>
        </w:rPr>
        <w:footnoteReference w:id="848"/>
      </w:r>
      <w:r w:rsidRPr="00320A86">
        <w:t> ».</w:t>
      </w:r>
    </w:p>
    <w:p w14:paraId="15B3AF41" w14:textId="77777777" w:rsidR="00B01930" w:rsidRPr="00320A86" w:rsidRDefault="00B01930" w:rsidP="00B01930">
      <w:pPr>
        <w:spacing w:before="120" w:after="120"/>
        <w:jc w:val="both"/>
      </w:pPr>
      <w:r w:rsidRPr="00320A86">
        <w:t>D’où, aussi, en toute logique le caractère inexpiable de la discorde que nous avons évoqué. Il ne peut en être autrement dès lors que le code n°1 structure to</w:t>
      </w:r>
      <w:r w:rsidRPr="00320A86">
        <w:t>u</w:t>
      </w:r>
      <w:r w:rsidRPr="00320A86">
        <w:t>te la pensée.</w:t>
      </w:r>
    </w:p>
    <w:p w14:paraId="295707FD" w14:textId="77777777" w:rsidR="00B01930" w:rsidRPr="00320A86" w:rsidRDefault="00B01930" w:rsidP="00B01930">
      <w:pPr>
        <w:spacing w:before="120" w:after="120"/>
        <w:jc w:val="both"/>
      </w:pPr>
      <w:r w:rsidRPr="00320A86">
        <w:t>Au delà de l’affrontement des “égo”, des querelles de personnes, des luttes de pouvoir (jamais à exclure et bien souvent à l’œuvre au sein de « République des lettres »), il n’en reste pas moins que, quel que soit l’opportunisme, voire l’arrivisme, les petites ou grandes l</w:t>
      </w:r>
      <w:r w:rsidRPr="00320A86">
        <w:t>â</w:t>
      </w:r>
      <w:r w:rsidRPr="00320A86">
        <w:t>chetés ou mesquineries d’Heidegger, sa pe</w:t>
      </w:r>
      <w:r w:rsidRPr="00320A86">
        <w:t>n</w:t>
      </w:r>
      <w:r w:rsidRPr="00320A86">
        <w:t>sée – à l’aune de l’analyse martrienne et du code n° 1 –  ne peut avoir que les implications qu’on lui connaît ainsi que la destinée qui est la sienne, où chacun  préte</w:t>
      </w:r>
      <w:r w:rsidRPr="00320A86">
        <w:t>n</w:t>
      </w:r>
      <w:r w:rsidRPr="00320A86">
        <w:t xml:space="preserve">dant connaître la Vérité reproduit  sans cesse la lutte du Bien contre le Mal. </w:t>
      </w:r>
    </w:p>
    <w:p w14:paraId="0ADA314E" w14:textId="77777777" w:rsidR="00B01930" w:rsidRPr="00320A86" w:rsidRDefault="00B01930" w:rsidP="00B01930">
      <w:pPr>
        <w:spacing w:before="120" w:after="120"/>
        <w:jc w:val="both"/>
      </w:pPr>
      <w:r w:rsidRPr="00320A86">
        <w:t>Que faire de Heidegger</w:t>
      </w:r>
      <w:r>
        <w:t> </w:t>
      </w:r>
      <w:r>
        <w:rPr>
          <w:rStyle w:val="Appelnotedebasdep"/>
        </w:rPr>
        <w:footnoteReference w:id="849"/>
      </w:r>
      <w:r w:rsidRPr="00320A86">
        <w:t> ? On laissera chacun  répondre à la que</w:t>
      </w:r>
      <w:r w:rsidRPr="00320A86">
        <w:t>s</w:t>
      </w:r>
      <w:r w:rsidRPr="00320A86">
        <w:t>tion. Mais on peut attirer l’attention sur le fait que « tout lecteur de Heidegger risque l’enfermement dans une prison sémantique, esse</w:t>
      </w:r>
      <w:r w:rsidRPr="00320A86">
        <w:t>n</w:t>
      </w:r>
      <w:r w:rsidRPr="00320A86">
        <w:t>tiellement en raison du cara</w:t>
      </w:r>
      <w:r w:rsidRPr="00320A86">
        <w:t>c</w:t>
      </w:r>
      <w:r w:rsidRPr="00320A86">
        <w:t>tère ésotérique de sa langue</w:t>
      </w:r>
      <w:r>
        <w:t> </w:t>
      </w:r>
      <w:r>
        <w:rPr>
          <w:rStyle w:val="Appelnotedebasdep"/>
        </w:rPr>
        <w:footnoteReference w:id="850"/>
      </w:r>
      <w:r w:rsidRPr="00320A86">
        <w:t> » porteur de la prétention à détenir le Bien, la V</w:t>
      </w:r>
      <w:r w:rsidRPr="00320A86">
        <w:t>é</w:t>
      </w:r>
      <w:r w:rsidRPr="00320A86">
        <w:t xml:space="preserve">rité, </w:t>
      </w:r>
      <w:r w:rsidRPr="00240EEC">
        <w:rPr>
          <w:i/>
        </w:rPr>
        <w:t>conséquence strictement structurale du code</w:t>
      </w:r>
      <w:r w:rsidRPr="00320A86">
        <w:t xml:space="preserve"> qui produit le discours heide</w:t>
      </w:r>
      <w:r w:rsidRPr="00320A86">
        <w:t>g</w:t>
      </w:r>
      <w:r w:rsidRPr="00320A86">
        <w:t>gérien, dont on a vu les implications.</w:t>
      </w:r>
    </w:p>
    <w:p w14:paraId="6FA2403F" w14:textId="77777777" w:rsidR="00B01930" w:rsidRPr="00320A86" w:rsidRDefault="00B01930" w:rsidP="00B01930">
      <w:pPr>
        <w:spacing w:before="120" w:after="120"/>
        <w:jc w:val="both"/>
      </w:pPr>
      <w:r w:rsidRPr="00320A86">
        <w:t>In fine, contrairement à ce que nous disait Jean-Louis Martres, Heidegger n’est pas vide mais « plein » de la « structure manichéenne inégalitaire – ou c</w:t>
      </w:r>
      <w:r w:rsidRPr="00320A86">
        <w:t>o</w:t>
      </w:r>
      <w:r w:rsidRPr="00320A86">
        <w:t>de n°</w:t>
      </w:r>
      <w:r>
        <w:t> </w:t>
      </w:r>
      <w:r w:rsidRPr="00320A86">
        <w:t xml:space="preserve">1 ». En revanche au regard de son analyse des idées politiques, Heidegger est une illustration des plus banales de ce code… </w:t>
      </w:r>
      <w:r w:rsidRPr="00240EEC">
        <w:rPr>
          <w:i/>
        </w:rPr>
        <w:t>En ce sens</w:t>
      </w:r>
      <w:r w:rsidRPr="00320A86">
        <w:t xml:space="preserve"> il y a bien… vacu</w:t>
      </w:r>
      <w:r w:rsidRPr="00320A86">
        <w:t>i</w:t>
      </w:r>
      <w:r w:rsidRPr="00320A86">
        <w:t>té !</w:t>
      </w:r>
    </w:p>
    <w:p w14:paraId="3E879298" w14:textId="77777777" w:rsidR="00B01930" w:rsidRPr="00320A86" w:rsidRDefault="00B01930" w:rsidP="00B01930">
      <w:pPr>
        <w:spacing w:before="120" w:after="120"/>
        <w:jc w:val="both"/>
      </w:pPr>
      <w:r w:rsidRPr="00320A86">
        <w:t>Mais il continuera, à n’en point douter, à alimenter anathèmes, e</w:t>
      </w:r>
      <w:r w:rsidRPr="00320A86">
        <w:t>x</w:t>
      </w:r>
      <w:r w:rsidRPr="00320A86">
        <w:t>commun</w:t>
      </w:r>
      <w:r w:rsidRPr="00320A86">
        <w:t>i</w:t>
      </w:r>
      <w:r w:rsidRPr="00320A86">
        <w:t>cations,  ou ratiocinations, célébrations et louanges dévotes, qui font les délices de la « Républiques des lettres françaises ».</w:t>
      </w:r>
    </w:p>
    <w:p w14:paraId="720FA5A9" w14:textId="77777777" w:rsidR="00B01930" w:rsidRDefault="00B01930" w:rsidP="00B01930">
      <w:pPr>
        <w:jc w:val="both"/>
      </w:pPr>
    </w:p>
    <w:p w14:paraId="5D53396E" w14:textId="77777777" w:rsidR="00B01930" w:rsidRDefault="00B01930" w:rsidP="00B01930">
      <w:pPr>
        <w:jc w:val="both"/>
      </w:pPr>
      <w:r>
        <w:br w:type="page"/>
      </w:r>
    </w:p>
    <w:p w14:paraId="5CCF26AC" w14:textId="77777777" w:rsidR="00B01930" w:rsidRDefault="00B01930" w:rsidP="00B01930">
      <w:pPr>
        <w:jc w:val="both"/>
      </w:pPr>
    </w:p>
    <w:p w14:paraId="120B7C0A" w14:textId="77777777" w:rsidR="00B01930" w:rsidRPr="009D4882" w:rsidRDefault="00B01930" w:rsidP="00B01930">
      <w:pPr>
        <w:spacing w:after="120"/>
        <w:ind w:firstLine="0"/>
        <w:jc w:val="center"/>
        <w:rPr>
          <w:b/>
          <w:color w:val="000080"/>
        </w:rPr>
      </w:pPr>
      <w:bookmarkStart w:id="201" w:name="Analyser_idees_pol_pt_3_texte_08"/>
      <w:r>
        <w:rPr>
          <w:b/>
          <w:color w:val="000080"/>
        </w:rPr>
        <w:t>Troisième</w:t>
      </w:r>
      <w:r w:rsidRPr="009D4882">
        <w:rPr>
          <w:b/>
          <w:color w:val="000080"/>
        </w:rPr>
        <w:t xml:space="preserve"> partie</w:t>
      </w:r>
      <w:r w:rsidRPr="009D4882">
        <w:rPr>
          <w:b/>
          <w:color w:val="000080"/>
        </w:rPr>
        <w:br/>
      </w:r>
      <w:r>
        <w:rPr>
          <w:i/>
          <w:color w:val="000080"/>
        </w:rPr>
        <w:t>De quelques idées politiques «modernes»</w:t>
      </w:r>
    </w:p>
    <w:p w14:paraId="5DA24028" w14:textId="77777777" w:rsidR="00B01930" w:rsidRDefault="00B01930" w:rsidP="00B01930">
      <w:pPr>
        <w:pStyle w:val="Titreniveau1"/>
        <w:rPr>
          <w:szCs w:val="36"/>
        </w:rPr>
      </w:pPr>
      <w:r>
        <w:rPr>
          <w:szCs w:val="36"/>
        </w:rPr>
        <w:t>8</w:t>
      </w:r>
    </w:p>
    <w:p w14:paraId="34842509" w14:textId="77777777" w:rsidR="00B01930" w:rsidRDefault="00B01930" w:rsidP="00B01930">
      <w:pPr>
        <w:jc w:val="both"/>
        <w:rPr>
          <w:szCs w:val="36"/>
        </w:rPr>
      </w:pPr>
    </w:p>
    <w:p w14:paraId="4C8D9054" w14:textId="77777777" w:rsidR="00B01930" w:rsidRPr="00843F3E" w:rsidRDefault="00B01930" w:rsidP="00B01930">
      <w:pPr>
        <w:pStyle w:val="Titreniveau2"/>
      </w:pPr>
      <w:r>
        <w:t>“</w:t>
      </w:r>
      <w:r w:rsidRPr="00232C35">
        <w:t>L’accession de la dignité humaine</w:t>
      </w:r>
      <w:r>
        <w:br/>
      </w:r>
      <w:r w:rsidRPr="00232C35">
        <w:t>au rang de valeur</w:t>
      </w:r>
      <w:r>
        <w:br/>
      </w:r>
      <w:r w:rsidRPr="00232C35">
        <w:t>universelle</w:t>
      </w:r>
      <w:r>
        <w:t xml:space="preserve"> </w:t>
      </w:r>
      <w:r w:rsidRPr="00232C35">
        <w:t>fondame</w:t>
      </w:r>
      <w:r w:rsidRPr="00232C35">
        <w:t>n</w:t>
      </w:r>
      <w:r>
        <w:t>tale :</w:t>
      </w:r>
      <w:r>
        <w:br/>
      </w:r>
      <w:r w:rsidRPr="00232C35">
        <w:t>une réponse au nazisme</w:t>
      </w:r>
      <w:r>
        <w:t>.”</w:t>
      </w:r>
    </w:p>
    <w:bookmarkEnd w:id="201"/>
    <w:p w14:paraId="6DE6B9FC" w14:textId="77777777" w:rsidR="00B01930" w:rsidRDefault="00B01930" w:rsidP="00B01930">
      <w:pPr>
        <w:jc w:val="both"/>
        <w:rPr>
          <w:szCs w:val="36"/>
        </w:rPr>
      </w:pPr>
    </w:p>
    <w:p w14:paraId="4779DFB9" w14:textId="77777777" w:rsidR="00B01930" w:rsidRDefault="00B01930" w:rsidP="00B01930">
      <w:pPr>
        <w:pStyle w:val="suite"/>
      </w:pPr>
      <w:r>
        <w:t>Pierre CABROL, Joseane SILVA</w:t>
      </w:r>
    </w:p>
    <w:p w14:paraId="29889AB1" w14:textId="77777777" w:rsidR="00B01930" w:rsidRDefault="00B01930" w:rsidP="00B01930">
      <w:pPr>
        <w:jc w:val="both"/>
      </w:pPr>
    </w:p>
    <w:p w14:paraId="78A35403" w14:textId="77777777" w:rsidR="00B01930" w:rsidRDefault="00B01930" w:rsidP="00B01930">
      <w:pPr>
        <w:jc w:val="both"/>
      </w:pPr>
    </w:p>
    <w:p w14:paraId="2CDADD85" w14:textId="77777777" w:rsidR="00B01930" w:rsidRDefault="00B01930" w:rsidP="00B01930">
      <w:pPr>
        <w:pStyle w:val="planche"/>
      </w:pPr>
      <w:bookmarkStart w:id="202" w:name="Accession_intro"/>
      <w:bookmarkStart w:id="203" w:name="Analyser_idees_pol_pt_3_texte_08_intro"/>
      <w:r>
        <w:t>Introduction</w:t>
      </w:r>
    </w:p>
    <w:bookmarkEnd w:id="202"/>
    <w:bookmarkEnd w:id="203"/>
    <w:p w14:paraId="6370F67B" w14:textId="77777777" w:rsidR="00B01930" w:rsidRDefault="00B01930" w:rsidP="00B01930">
      <w:pPr>
        <w:jc w:val="both"/>
      </w:pPr>
    </w:p>
    <w:p w14:paraId="7FACAB3D" w14:textId="77777777" w:rsidR="00B01930" w:rsidRDefault="00B01930" w:rsidP="00B01930">
      <w:pPr>
        <w:jc w:val="both"/>
      </w:pPr>
    </w:p>
    <w:p w14:paraId="1E324C35"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0AA24946" w14:textId="77777777" w:rsidR="00B01930" w:rsidRPr="00816D7A" w:rsidRDefault="00B01930" w:rsidP="00B01930">
      <w:pPr>
        <w:spacing w:before="120" w:after="120"/>
        <w:jc w:val="both"/>
        <w:rPr>
          <w:szCs w:val="24"/>
        </w:rPr>
      </w:pPr>
      <w:r w:rsidRPr="00816D7A">
        <w:rPr>
          <w:szCs w:val="24"/>
        </w:rPr>
        <w:t>De la gestation jusque dans la mort, la dignité humaine s’inscrit a</w:t>
      </w:r>
      <w:r w:rsidRPr="00816D7A">
        <w:rPr>
          <w:szCs w:val="24"/>
        </w:rPr>
        <w:t>u</w:t>
      </w:r>
      <w:r w:rsidRPr="00816D7A">
        <w:rPr>
          <w:szCs w:val="24"/>
        </w:rPr>
        <w:t>jourd’hui en filigrane du traitement juridique de l’humain par le droit français. Son ombre protectrice nait avec la vie humaine</w:t>
      </w:r>
      <w:r>
        <w:rPr>
          <w:szCs w:val="24"/>
        </w:rPr>
        <w:t> </w:t>
      </w:r>
      <w:r>
        <w:rPr>
          <w:rStyle w:val="Appelnotedebasdep"/>
          <w:szCs w:val="24"/>
        </w:rPr>
        <w:footnoteReference w:id="851"/>
      </w:r>
      <w:r w:rsidRPr="00816D7A">
        <w:rPr>
          <w:szCs w:val="24"/>
        </w:rPr>
        <w:t>. L’enfant grandit sous son aile</w:t>
      </w:r>
      <w:r>
        <w:rPr>
          <w:szCs w:val="24"/>
        </w:rPr>
        <w:t> </w:t>
      </w:r>
      <w:r>
        <w:rPr>
          <w:rStyle w:val="Appelnotedebasdep"/>
          <w:szCs w:val="24"/>
        </w:rPr>
        <w:footnoteReference w:id="852"/>
      </w:r>
      <w:r w:rsidRPr="00816D7A">
        <w:rPr>
          <w:szCs w:val="24"/>
        </w:rPr>
        <w:t>. Elle forme un cocon autour de l’adulte sa vie durant</w:t>
      </w:r>
      <w:r>
        <w:rPr>
          <w:szCs w:val="24"/>
        </w:rPr>
        <w:t> </w:t>
      </w:r>
      <w:r>
        <w:rPr>
          <w:rStyle w:val="Appelnotedebasdep"/>
          <w:szCs w:val="24"/>
        </w:rPr>
        <w:footnoteReference w:id="853"/>
      </w:r>
      <w:r w:rsidRPr="00816D7A">
        <w:rPr>
          <w:szCs w:val="24"/>
        </w:rPr>
        <w:t>, y compris lorsque celui-ci est un étranger se trouvant sur le territoire national</w:t>
      </w:r>
      <w:r>
        <w:rPr>
          <w:szCs w:val="24"/>
        </w:rPr>
        <w:t> </w:t>
      </w:r>
      <w:r>
        <w:rPr>
          <w:rStyle w:val="Appelnotedebasdep"/>
          <w:szCs w:val="24"/>
        </w:rPr>
        <w:footnoteReference w:id="854"/>
      </w:r>
      <w:r w:rsidRPr="00816D7A">
        <w:rPr>
          <w:szCs w:val="24"/>
        </w:rPr>
        <w:t>. Elle accompagne même l’être humain jusque dans la mort, ou, tout au moins, veille sur ses restes</w:t>
      </w:r>
      <w:r>
        <w:rPr>
          <w:szCs w:val="24"/>
        </w:rPr>
        <w:t> </w:t>
      </w:r>
      <w:r>
        <w:rPr>
          <w:rStyle w:val="Appelnotedebasdep"/>
          <w:szCs w:val="24"/>
        </w:rPr>
        <w:footnoteReference w:id="855"/>
      </w:r>
      <w:r w:rsidRPr="00816D7A">
        <w:rPr>
          <w:szCs w:val="24"/>
        </w:rPr>
        <w:t xml:space="preserve">. </w:t>
      </w:r>
      <w:r w:rsidRPr="00816D7A">
        <w:rPr>
          <w:i/>
          <w:szCs w:val="24"/>
        </w:rPr>
        <w:t>Etc.</w:t>
      </w:r>
      <w:r w:rsidRPr="00816D7A">
        <w:rPr>
          <w:szCs w:val="24"/>
        </w:rPr>
        <w:t xml:space="preserve"> Cette omnipr</w:t>
      </w:r>
      <w:r w:rsidRPr="00816D7A">
        <w:rPr>
          <w:szCs w:val="24"/>
        </w:rPr>
        <w:t>é</w:t>
      </w:r>
      <w:r w:rsidRPr="00816D7A">
        <w:rPr>
          <w:szCs w:val="24"/>
        </w:rPr>
        <w:t>sence juridique nouvelle de la dignité humaine s’explique par le fait que, au sortir de la seconde guerre mondiale, tout en s’adjoignant une dimension individuelle, celle-ci est passée du stade d’état de con</w:t>
      </w:r>
      <w:r w:rsidRPr="00816D7A">
        <w:rPr>
          <w:szCs w:val="24"/>
        </w:rPr>
        <w:t>s</w:t>
      </w:r>
      <w:r w:rsidRPr="00816D7A">
        <w:rPr>
          <w:szCs w:val="24"/>
        </w:rPr>
        <w:t xml:space="preserve">cience à celui de valeur fondamentale universelle. Cette évolution spectaculaire est l’une des conséquences du traumatisme causée à la population occidentale par la découverte de l’horreur de la Shoah. </w:t>
      </w:r>
    </w:p>
    <w:p w14:paraId="0EE1C8DE" w14:textId="77777777" w:rsidR="00B01930" w:rsidRPr="00816D7A" w:rsidRDefault="00B01930" w:rsidP="00B01930">
      <w:pPr>
        <w:spacing w:before="120" w:after="120"/>
        <w:jc w:val="both"/>
        <w:rPr>
          <w:szCs w:val="24"/>
        </w:rPr>
      </w:pPr>
      <w:r w:rsidRPr="00816D7A">
        <w:rPr>
          <w:szCs w:val="24"/>
        </w:rPr>
        <w:t>La dignité humaine était anciennement perçue comme la conscie</w:t>
      </w:r>
      <w:r w:rsidRPr="00816D7A">
        <w:rPr>
          <w:szCs w:val="24"/>
        </w:rPr>
        <w:t>n</w:t>
      </w:r>
      <w:r w:rsidRPr="00816D7A">
        <w:rPr>
          <w:szCs w:val="24"/>
        </w:rPr>
        <w:t xml:space="preserve">ce de l’appartenance à la communauté humaine, voire comme une conséquence de l’accession de l’homme à la conscience. Pour faciliter l’asservissement à moindre coût des êtres humains qu’elle qualifiait de </w:t>
      </w:r>
      <w:r w:rsidRPr="00816D7A">
        <w:rPr>
          <w:i/>
          <w:szCs w:val="24"/>
        </w:rPr>
        <w:t>« vies sans valeur</w:t>
      </w:r>
      <w:r>
        <w:rPr>
          <w:szCs w:val="24"/>
        </w:rPr>
        <w:t> </w:t>
      </w:r>
      <w:r>
        <w:rPr>
          <w:rStyle w:val="Appelnotedebasdep"/>
          <w:szCs w:val="24"/>
        </w:rPr>
        <w:footnoteReference w:id="856"/>
      </w:r>
      <w:r w:rsidRPr="00816D7A">
        <w:rPr>
          <w:szCs w:val="24"/>
        </w:rPr>
        <w:t> </w:t>
      </w:r>
      <w:r w:rsidRPr="00816D7A">
        <w:rPr>
          <w:i/>
          <w:szCs w:val="24"/>
        </w:rPr>
        <w:t>»,</w:t>
      </w:r>
      <w:r w:rsidRPr="00816D7A">
        <w:rPr>
          <w:szCs w:val="24"/>
        </w:rPr>
        <w:t xml:space="preserve"> l’entreprise concentrationnaire nazie s’est méthodiquement employée à l’annihiler, ainsi qu’à éradiquer la pe</w:t>
      </w:r>
      <w:r w:rsidRPr="00816D7A">
        <w:rPr>
          <w:szCs w:val="24"/>
        </w:rPr>
        <w:t>r</w:t>
      </w:r>
      <w:r w:rsidRPr="00816D7A">
        <w:rPr>
          <w:szCs w:val="24"/>
        </w:rPr>
        <w:t>sonnalité de ses victimes. Dans le creuset de cette immolation co</w:t>
      </w:r>
      <w:r w:rsidRPr="00816D7A">
        <w:rPr>
          <w:szCs w:val="24"/>
        </w:rPr>
        <w:t>m</w:t>
      </w:r>
      <w:r w:rsidRPr="00816D7A">
        <w:rPr>
          <w:szCs w:val="24"/>
        </w:rPr>
        <w:t>mune, personnalité et appartenance se sont liées à jamais. Au feu de ce brasier s’est forgée une conception élargie de la dignité humaine, forte d’une dimension collective dans la perception de l’appartenance à l’humanité et d’une dimension individuelle dans la conscience de l’altérité.</w:t>
      </w:r>
    </w:p>
    <w:p w14:paraId="06E3963D" w14:textId="77777777" w:rsidR="00B01930" w:rsidRPr="00816D7A" w:rsidRDefault="00B01930" w:rsidP="00B01930">
      <w:pPr>
        <w:spacing w:before="120" w:after="120"/>
        <w:jc w:val="both"/>
        <w:rPr>
          <w:szCs w:val="24"/>
        </w:rPr>
      </w:pPr>
      <w:r w:rsidRPr="00816D7A">
        <w:rPr>
          <w:szCs w:val="24"/>
        </w:rPr>
        <w:t>La négation de l’humanité de millions d’êtres humains  par le n</w:t>
      </w:r>
      <w:r w:rsidRPr="00816D7A">
        <w:rPr>
          <w:szCs w:val="24"/>
        </w:rPr>
        <w:t>a</w:t>
      </w:r>
      <w:r w:rsidRPr="00816D7A">
        <w:rPr>
          <w:szCs w:val="24"/>
        </w:rPr>
        <w:t>zisme ne pouvait que susciter instinctivement un sentiment de répu</w:t>
      </w:r>
      <w:r w:rsidRPr="00816D7A">
        <w:rPr>
          <w:szCs w:val="24"/>
        </w:rPr>
        <w:t>l</w:t>
      </w:r>
      <w:r w:rsidRPr="00816D7A">
        <w:rPr>
          <w:szCs w:val="24"/>
        </w:rPr>
        <w:t>sion chez tout être sensible. C’est ce qui s’est produit en 1945 lorsque la libération des camps par les troupes alliées a conduit les popul</w:t>
      </w:r>
      <w:r w:rsidRPr="00816D7A">
        <w:rPr>
          <w:szCs w:val="24"/>
        </w:rPr>
        <w:t>a</w:t>
      </w:r>
      <w:r w:rsidRPr="00816D7A">
        <w:rPr>
          <w:szCs w:val="24"/>
        </w:rPr>
        <w:t>tions des pays vainqueurs à découvrir l’horreur de la Shoah. L’ampleur du mouvement immédiat de rejet qui en a résulté a donné à réfléchir aux dirigeants alliés</w:t>
      </w:r>
      <w:r>
        <w:rPr>
          <w:szCs w:val="24"/>
        </w:rPr>
        <w:t> </w:t>
      </w:r>
      <w:r>
        <w:rPr>
          <w:rStyle w:val="Appelnotedebasdep"/>
          <w:szCs w:val="24"/>
        </w:rPr>
        <w:footnoteReference w:id="857"/>
      </w:r>
      <w:r w:rsidRPr="00816D7A">
        <w:rPr>
          <w:szCs w:val="24"/>
        </w:rPr>
        <w:t>. Ceux-ci se sont sentis tenus de r</w:t>
      </w:r>
      <w:r w:rsidRPr="00816D7A">
        <w:rPr>
          <w:szCs w:val="24"/>
        </w:rPr>
        <w:t>é</w:t>
      </w:r>
      <w:r w:rsidRPr="00816D7A">
        <w:rPr>
          <w:szCs w:val="24"/>
        </w:rPr>
        <w:t>agir sans délai par l’adoption de conventions internationales visant à éviter à jamais qu’une telle entreprise criminelle puisse se reprodu</w:t>
      </w:r>
      <w:r w:rsidRPr="00816D7A">
        <w:rPr>
          <w:szCs w:val="24"/>
        </w:rPr>
        <w:t>i</w:t>
      </w:r>
      <w:r w:rsidRPr="00816D7A">
        <w:rPr>
          <w:szCs w:val="24"/>
        </w:rPr>
        <w:t>re </w:t>
      </w:r>
      <w:r>
        <w:rPr>
          <w:rStyle w:val="Appelnotedebasdep"/>
          <w:szCs w:val="24"/>
        </w:rPr>
        <w:footnoteReference w:id="858"/>
      </w:r>
      <w:r w:rsidRPr="00816D7A">
        <w:rPr>
          <w:szCs w:val="24"/>
        </w:rPr>
        <w:t>.</w:t>
      </w:r>
    </w:p>
    <w:p w14:paraId="64074E5E" w14:textId="77777777" w:rsidR="00B01930" w:rsidRPr="00816D7A" w:rsidRDefault="00B01930" w:rsidP="00B01930">
      <w:pPr>
        <w:spacing w:before="120" w:after="120"/>
        <w:jc w:val="both"/>
        <w:rPr>
          <w:szCs w:val="24"/>
        </w:rPr>
      </w:pPr>
      <w:r w:rsidRPr="00816D7A">
        <w:rPr>
          <w:szCs w:val="24"/>
        </w:rPr>
        <w:t>Pour conférer à ces normes nouvelles une autorité indiscutable, il fallait leur trouver comme fondement une valeur </w:t>
      </w:r>
      <w:r>
        <w:rPr>
          <w:rStyle w:val="Appelnotedebasdep"/>
          <w:szCs w:val="24"/>
        </w:rPr>
        <w:footnoteReference w:id="859"/>
      </w:r>
      <w:r w:rsidRPr="00816D7A">
        <w:rPr>
          <w:szCs w:val="24"/>
        </w:rPr>
        <w:t xml:space="preserve"> bénéficiant de la plus large reconnaissance possible, c’est-à-dire une valeur fondame</w:t>
      </w:r>
      <w:r w:rsidRPr="00816D7A">
        <w:rPr>
          <w:szCs w:val="24"/>
        </w:rPr>
        <w:t>n</w:t>
      </w:r>
      <w:r w:rsidRPr="00816D7A">
        <w:rPr>
          <w:szCs w:val="24"/>
        </w:rPr>
        <w:t>tale universelle </w:t>
      </w:r>
      <w:r>
        <w:rPr>
          <w:rStyle w:val="Appelnotedebasdep"/>
          <w:szCs w:val="24"/>
        </w:rPr>
        <w:footnoteReference w:id="860"/>
      </w:r>
      <w:r w:rsidRPr="00816D7A">
        <w:rPr>
          <w:szCs w:val="24"/>
        </w:rPr>
        <w:t>. Seules deux valeurs avaient alors atteint ce stade de reconnaissance. Il s’agissait du respect de la vie humaine et de l’adoption d’un mode de gouvernance étatique démocratique </w:t>
      </w:r>
      <w:r>
        <w:rPr>
          <w:rStyle w:val="Appelnotedebasdep"/>
          <w:szCs w:val="24"/>
        </w:rPr>
        <w:footnoteReference w:id="861"/>
      </w:r>
      <w:r w:rsidRPr="00816D7A">
        <w:rPr>
          <w:szCs w:val="24"/>
        </w:rPr>
        <w:t>. Le respect de la vie humaine était ici en cause, mais la question ne po</w:t>
      </w:r>
      <w:r w:rsidRPr="00816D7A">
        <w:rPr>
          <w:szCs w:val="24"/>
        </w:rPr>
        <w:t>u</w:t>
      </w:r>
      <w:r w:rsidRPr="00816D7A">
        <w:rPr>
          <w:szCs w:val="24"/>
        </w:rPr>
        <w:t xml:space="preserve">vait y être cantonnée. L’horreur de la Shoah, au-delà des motivations des assassins </w:t>
      </w:r>
      <w:r>
        <w:rPr>
          <w:rStyle w:val="Appelnotedebasdep"/>
          <w:szCs w:val="24"/>
        </w:rPr>
        <w:footnoteReference w:id="862"/>
      </w:r>
      <w:r w:rsidRPr="00816D7A">
        <w:rPr>
          <w:szCs w:val="24"/>
        </w:rPr>
        <w:t>, tenait au fait que des millions d’êtres humains aient été mis à mort, mais aussi à la manière dont les victimes </w:t>
      </w:r>
      <w:r>
        <w:rPr>
          <w:rStyle w:val="Appelnotedebasdep"/>
          <w:szCs w:val="24"/>
        </w:rPr>
        <w:footnoteReference w:id="863"/>
      </w:r>
      <w:r w:rsidRPr="00816D7A">
        <w:rPr>
          <w:szCs w:val="24"/>
        </w:rPr>
        <w:t xml:space="preserve"> avaient été traitées.</w:t>
      </w:r>
    </w:p>
    <w:p w14:paraId="07564C6F" w14:textId="77777777" w:rsidR="00B01930" w:rsidRPr="00816D7A" w:rsidRDefault="00B01930" w:rsidP="00B01930">
      <w:pPr>
        <w:spacing w:before="120" w:after="120"/>
        <w:jc w:val="both"/>
        <w:rPr>
          <w:szCs w:val="24"/>
        </w:rPr>
      </w:pPr>
      <w:r w:rsidRPr="00816D7A">
        <w:rPr>
          <w:szCs w:val="24"/>
        </w:rPr>
        <w:t>Les dirigeants des pays vainqueurs étaient alors partagés entre la répulsion que leur inspiraient les agissements des nazis et un sent</w:t>
      </w:r>
      <w:r w:rsidRPr="00816D7A">
        <w:rPr>
          <w:szCs w:val="24"/>
        </w:rPr>
        <w:t>i</w:t>
      </w:r>
      <w:r w:rsidRPr="00816D7A">
        <w:rPr>
          <w:szCs w:val="24"/>
        </w:rPr>
        <w:t>ment de culpabilité lié au fait de ne pas avoir su les prévenir et de ne pas y avoir mis un terme plus tôt. Pour couper court à toute possibilité de controverse, il leur fallait aller au fond des choses en prenant en compte le caractère dégradant du traitement subi par les victimes, et tout particulièrement le fait que le système concentrationnaire nazi se soit acharné à détruire la dignité humaine. Il leur apparaissait en conséquence nécessaire de pouvoir désormais protéger cette comp</w:t>
      </w:r>
      <w:r w:rsidRPr="00816D7A">
        <w:rPr>
          <w:szCs w:val="24"/>
        </w:rPr>
        <w:t>o</w:t>
      </w:r>
      <w:r w:rsidRPr="00816D7A">
        <w:rPr>
          <w:szCs w:val="24"/>
        </w:rPr>
        <w:t>sante essentielle de l’humanité. C’est ce qui explique que la dignité humaine soit passée, par un changement collectif de regard des pri</w:t>
      </w:r>
      <w:r w:rsidRPr="00816D7A">
        <w:rPr>
          <w:szCs w:val="24"/>
        </w:rPr>
        <w:t>n</w:t>
      </w:r>
      <w:r w:rsidRPr="00816D7A">
        <w:rPr>
          <w:szCs w:val="24"/>
        </w:rPr>
        <w:t>cipaux dirigeants du monde de l’après-guerre, du stade d’état de con</w:t>
      </w:r>
      <w:r w:rsidRPr="00816D7A">
        <w:rPr>
          <w:szCs w:val="24"/>
        </w:rPr>
        <w:t>s</w:t>
      </w:r>
      <w:r w:rsidRPr="00816D7A">
        <w:rPr>
          <w:szCs w:val="24"/>
        </w:rPr>
        <w:t>cience au statut de valeur fondamentale universelle à préserver.</w:t>
      </w:r>
    </w:p>
    <w:p w14:paraId="14BF0177" w14:textId="77777777" w:rsidR="00B01930" w:rsidRPr="004E7BAE" w:rsidRDefault="00B01930" w:rsidP="00B01930">
      <w:pPr>
        <w:spacing w:before="120" w:after="120"/>
        <w:jc w:val="both"/>
        <w:rPr>
          <w:szCs w:val="24"/>
        </w:rPr>
      </w:pPr>
      <w:bookmarkStart w:id="204" w:name="Accession_I"/>
      <w:r w:rsidRPr="00816D7A">
        <w:br w:type="page"/>
      </w:r>
    </w:p>
    <w:p w14:paraId="7EA7DC1D" w14:textId="77777777" w:rsidR="00B01930" w:rsidRPr="00816D7A" w:rsidRDefault="00B01930" w:rsidP="00B01930">
      <w:pPr>
        <w:pStyle w:val="planche"/>
      </w:pPr>
      <w:bookmarkStart w:id="205" w:name="Analyser_idees_pol_pt_3_texte_08_I"/>
      <w:r w:rsidRPr="00816D7A">
        <w:t>I. La dignité humaine en tant que conscience d’appartenir à l’humanité</w:t>
      </w:r>
    </w:p>
    <w:bookmarkEnd w:id="204"/>
    <w:bookmarkEnd w:id="205"/>
    <w:p w14:paraId="08B432FC" w14:textId="77777777" w:rsidR="00B01930" w:rsidRPr="00816D7A" w:rsidRDefault="00B01930" w:rsidP="00B01930">
      <w:pPr>
        <w:spacing w:before="120" w:after="120"/>
        <w:jc w:val="both"/>
        <w:rPr>
          <w:szCs w:val="24"/>
        </w:rPr>
      </w:pPr>
    </w:p>
    <w:p w14:paraId="04149723"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24F6C5ED" w14:textId="77777777" w:rsidR="00B01930" w:rsidRPr="00816D7A" w:rsidRDefault="00B01930" w:rsidP="00B01930">
      <w:pPr>
        <w:spacing w:before="120" w:after="120"/>
        <w:jc w:val="both"/>
        <w:rPr>
          <w:szCs w:val="24"/>
        </w:rPr>
      </w:pPr>
      <w:r w:rsidRPr="00816D7A">
        <w:rPr>
          <w:szCs w:val="24"/>
        </w:rPr>
        <w:t>Une société humaine, quelle qu’elle soit, ne peut espérer prospérer, voire survivre, qu’à condition que ses membres acceptent de se plier à ses règles. C’est cette nécessité vitale pour les sociétés qui semble avoir engendré la morale </w:t>
      </w:r>
      <w:r>
        <w:rPr>
          <w:rStyle w:val="Appelnotedebasdep"/>
          <w:szCs w:val="24"/>
        </w:rPr>
        <w:footnoteReference w:id="864"/>
      </w:r>
      <w:r w:rsidRPr="00816D7A">
        <w:rPr>
          <w:szCs w:val="24"/>
        </w:rPr>
        <w:t xml:space="preserve">. Celle-ci englobait, à l’origine, l’état de conscience qui a été désigné, bien plus tard, sous le nom de dignité humaine. Le terme </w:t>
      </w:r>
      <w:r w:rsidRPr="00816D7A">
        <w:rPr>
          <w:i/>
          <w:szCs w:val="24"/>
        </w:rPr>
        <w:t>« morale »</w:t>
      </w:r>
      <w:r w:rsidRPr="00816D7A">
        <w:rPr>
          <w:szCs w:val="24"/>
        </w:rPr>
        <w:t xml:space="preserve"> vient du latin </w:t>
      </w:r>
      <w:r w:rsidRPr="00816D7A">
        <w:rPr>
          <w:i/>
          <w:szCs w:val="24"/>
        </w:rPr>
        <w:t xml:space="preserve">« moralis », </w:t>
      </w:r>
      <w:r w:rsidRPr="00816D7A">
        <w:rPr>
          <w:szCs w:val="24"/>
        </w:rPr>
        <w:t xml:space="preserve">qui signifie littéralement </w:t>
      </w:r>
      <w:r w:rsidRPr="00816D7A">
        <w:rPr>
          <w:i/>
          <w:szCs w:val="24"/>
        </w:rPr>
        <w:t xml:space="preserve">« en rapport adéquat avec les mœurs ». </w:t>
      </w:r>
      <w:r w:rsidRPr="00816D7A">
        <w:rPr>
          <w:szCs w:val="24"/>
        </w:rPr>
        <w:t xml:space="preserve">Dès lors que, par </w:t>
      </w:r>
      <w:r w:rsidRPr="00816D7A">
        <w:rPr>
          <w:i/>
          <w:szCs w:val="24"/>
        </w:rPr>
        <w:t>« mœurs »,</w:t>
      </w:r>
      <w:r w:rsidRPr="00816D7A">
        <w:rPr>
          <w:szCs w:val="24"/>
        </w:rPr>
        <w:t xml:space="preserve"> on entend les règles d’organisation de la société, la morale doit être comprise, stricto sensu, comme la conformité avec les règles d’organisation de la société.</w:t>
      </w:r>
    </w:p>
    <w:p w14:paraId="2A13CF05" w14:textId="77777777" w:rsidR="00B01930" w:rsidRPr="00816D7A" w:rsidRDefault="00B01930" w:rsidP="00B01930">
      <w:pPr>
        <w:spacing w:before="120" w:after="120"/>
        <w:jc w:val="both"/>
        <w:rPr>
          <w:szCs w:val="24"/>
        </w:rPr>
      </w:pPr>
      <w:r w:rsidRPr="00816D7A">
        <w:rPr>
          <w:szCs w:val="24"/>
        </w:rPr>
        <w:t xml:space="preserve">Elle est généralement définie aujourd’hui, de manière plus large, comme la conformité avec les mœurs ou les usages d’une société. Par </w:t>
      </w:r>
      <w:r w:rsidRPr="00816D7A">
        <w:rPr>
          <w:i/>
          <w:szCs w:val="24"/>
        </w:rPr>
        <w:t>« usages »,</w:t>
      </w:r>
      <w:r w:rsidRPr="00816D7A">
        <w:rPr>
          <w:szCs w:val="24"/>
        </w:rPr>
        <w:t xml:space="preserve"> il faut entendre les règles qui rendent la vie en collectivité plus agréable. La morale est donc, au sens large, la conformité avec les règles d’organisation d’une société ou avec les règles qui rendent la vie en collectivité plus agréable </w:t>
      </w:r>
      <w:r>
        <w:rPr>
          <w:rStyle w:val="Appelnotedebasdep"/>
          <w:szCs w:val="24"/>
        </w:rPr>
        <w:footnoteReference w:id="865"/>
      </w:r>
      <w:r w:rsidRPr="00816D7A">
        <w:rPr>
          <w:szCs w:val="24"/>
        </w:rPr>
        <w:t>. Plus précisément, il est poss</w:t>
      </w:r>
      <w:r w:rsidRPr="00816D7A">
        <w:rPr>
          <w:szCs w:val="24"/>
        </w:rPr>
        <w:t>i</w:t>
      </w:r>
      <w:r w:rsidRPr="00816D7A">
        <w:rPr>
          <w:szCs w:val="24"/>
        </w:rPr>
        <w:t>ble de désigner par l’emploi de ce vocable une morale à vocation unive</w:t>
      </w:r>
      <w:r w:rsidRPr="00816D7A">
        <w:rPr>
          <w:szCs w:val="24"/>
        </w:rPr>
        <w:t>r</w:t>
      </w:r>
      <w:r w:rsidRPr="00816D7A">
        <w:rPr>
          <w:szCs w:val="24"/>
        </w:rPr>
        <w:t>selle </w:t>
      </w:r>
      <w:r>
        <w:rPr>
          <w:rStyle w:val="Appelnotedebasdep"/>
          <w:szCs w:val="24"/>
        </w:rPr>
        <w:footnoteReference w:id="866"/>
      </w:r>
      <w:r w:rsidRPr="00816D7A">
        <w:rPr>
          <w:szCs w:val="24"/>
        </w:rPr>
        <w:t xml:space="preserve"> protégeant les intérêts de l’humanité et des morales particuli</w:t>
      </w:r>
      <w:r w:rsidRPr="00816D7A">
        <w:rPr>
          <w:szCs w:val="24"/>
        </w:rPr>
        <w:t>è</w:t>
      </w:r>
      <w:r w:rsidRPr="00816D7A">
        <w:rPr>
          <w:szCs w:val="24"/>
        </w:rPr>
        <w:t>res se satisfaisant du respect de règles relatives aux mœurs ou aux usages de collectivités de diverses sortes </w:t>
      </w:r>
      <w:r>
        <w:rPr>
          <w:rStyle w:val="Appelnotedebasdep"/>
          <w:szCs w:val="24"/>
        </w:rPr>
        <w:footnoteReference w:id="867"/>
      </w:r>
      <w:r w:rsidRPr="00816D7A">
        <w:rPr>
          <w:szCs w:val="24"/>
        </w:rPr>
        <w:t>.</w:t>
      </w:r>
    </w:p>
    <w:p w14:paraId="54F9B5F4" w14:textId="77777777" w:rsidR="00B01930" w:rsidRPr="00816D7A" w:rsidRDefault="00B01930" w:rsidP="00B01930">
      <w:pPr>
        <w:spacing w:before="120" w:after="120"/>
        <w:jc w:val="both"/>
        <w:rPr>
          <w:szCs w:val="24"/>
        </w:rPr>
      </w:pPr>
      <w:r w:rsidRPr="00816D7A">
        <w:rPr>
          <w:szCs w:val="24"/>
        </w:rPr>
        <w:t>Les règles morales n’ont pas de force obligatoire, à l’inverse des règles juridiques impératives. Cela signifie que l’</w:t>
      </w:r>
      <w:r>
        <w:rPr>
          <w:szCs w:val="24"/>
        </w:rPr>
        <w:t>État</w:t>
      </w:r>
      <w:r w:rsidRPr="00816D7A">
        <w:rPr>
          <w:szCs w:val="24"/>
        </w:rPr>
        <w:t xml:space="preserve"> ne peut pas contraindre une personne à respecter une règle morale. Il appartient à chaque être humain de choisir, ou non, de se conformer à la morale dans une situation donnée. C’est sur ce point qu’intervient la con</w:t>
      </w:r>
      <w:r w:rsidRPr="00816D7A">
        <w:rPr>
          <w:szCs w:val="24"/>
        </w:rPr>
        <w:t>s</w:t>
      </w:r>
      <w:r w:rsidRPr="00816D7A">
        <w:rPr>
          <w:szCs w:val="24"/>
        </w:rPr>
        <w:t>cience d’appartenir à l’humanité. L’homme est conscient du fait qu’il aspire à la compagnie de ses semblables. C’est un besoin qu’il perçoit instinctivement. L’usage de sa raison doit donc, en toute logique </w:t>
      </w:r>
      <w:r>
        <w:rPr>
          <w:rStyle w:val="Appelnotedebasdep"/>
          <w:szCs w:val="24"/>
        </w:rPr>
        <w:footnoteReference w:id="868"/>
      </w:r>
      <w:r w:rsidRPr="00816D7A">
        <w:rPr>
          <w:szCs w:val="24"/>
        </w:rPr>
        <w:t>, le pousser à adopter des comportements conformes aux intérêts de la société des hommes. La rationalité des individus devrait en cons</w:t>
      </w:r>
      <w:r w:rsidRPr="00816D7A">
        <w:rPr>
          <w:szCs w:val="24"/>
        </w:rPr>
        <w:t>é</w:t>
      </w:r>
      <w:r w:rsidRPr="00816D7A">
        <w:rPr>
          <w:szCs w:val="24"/>
        </w:rPr>
        <w:t>quence les conduire à se conformer à la morale à vocation universelle. Ce choix effectué en conscience est une conséquence de la dignité humaine </w:t>
      </w:r>
      <w:r>
        <w:rPr>
          <w:rStyle w:val="Appelnotedebasdep"/>
          <w:szCs w:val="24"/>
        </w:rPr>
        <w:footnoteReference w:id="869"/>
      </w:r>
      <w:r w:rsidRPr="00816D7A">
        <w:rPr>
          <w:szCs w:val="24"/>
        </w:rPr>
        <w:t>. Historiquement, de même que la conscience a un temps été désignée par le vocable « pensée », cet état de conscience a comme</w:t>
      </w:r>
      <w:r w:rsidRPr="00816D7A">
        <w:rPr>
          <w:szCs w:val="24"/>
        </w:rPr>
        <w:t>n</w:t>
      </w:r>
      <w:r w:rsidRPr="00816D7A">
        <w:rPr>
          <w:szCs w:val="24"/>
        </w:rPr>
        <w:t>cé par s’appeler « dignité » et ne s’est que peu à peu dégagé de la m</w:t>
      </w:r>
      <w:r w:rsidRPr="00816D7A">
        <w:rPr>
          <w:szCs w:val="24"/>
        </w:rPr>
        <w:t>o</w:t>
      </w:r>
      <w:r w:rsidRPr="00816D7A">
        <w:rPr>
          <w:szCs w:val="24"/>
        </w:rPr>
        <w:t xml:space="preserve">rale. C’est à l’aide de ces termes que Pascal, notamment, s’emploie à cerner la notion : </w:t>
      </w:r>
    </w:p>
    <w:p w14:paraId="0AC621E4" w14:textId="77777777" w:rsidR="00B01930" w:rsidRPr="00082942" w:rsidRDefault="00B01930" w:rsidP="00B01930">
      <w:pPr>
        <w:pStyle w:val="citation"/>
      </w:pPr>
    </w:p>
    <w:p w14:paraId="6E0EEFE8" w14:textId="77777777" w:rsidR="00B01930" w:rsidRPr="00082942" w:rsidRDefault="00B01930" w:rsidP="00B01930">
      <w:pPr>
        <w:pStyle w:val="citation"/>
      </w:pPr>
      <w:r w:rsidRPr="00187742">
        <w:t>« L’homme n’est qu’un roseau, le plus faible de la nature ; mais c’est un roseau pensant. Il ne faut pas que l’univers entier s’arme pour l’écraser : une vapeur, une goutte d’eau, suffit pour le tuer. Mais quant l’univers l’écraserait, l’homme serait encore plus noble que ce qui le tue parce qu’il sait qu’il meurt, et l’avantage</w:t>
      </w:r>
      <w:r w:rsidRPr="00082942">
        <w:t xml:space="preserve"> que l’univers a sur lui, l’univers n’en sait rien. Toute notre dignité consiste donc en la pensée. C’est de là qu’il nous faut relever et non de l’espace et de la durée, que nous ne sa</w:t>
      </w:r>
      <w:r w:rsidRPr="00082942">
        <w:t>u</w:t>
      </w:r>
      <w:r w:rsidRPr="00082942">
        <w:t>rions remplir. Travaillons donc à bien penser : voila le principe de la m</w:t>
      </w:r>
      <w:r w:rsidRPr="00082942">
        <w:t>o</w:t>
      </w:r>
      <w:r w:rsidRPr="00082942">
        <w:t>rale </w:t>
      </w:r>
      <w:r>
        <w:rPr>
          <w:rStyle w:val="Appelnotedebasdep"/>
        </w:rPr>
        <w:footnoteReference w:id="870"/>
      </w:r>
      <w:r w:rsidRPr="00816D7A">
        <w:rPr>
          <w:i/>
        </w:rPr>
        <w:t> </w:t>
      </w:r>
      <w:r w:rsidRPr="00082942">
        <w:t>».</w:t>
      </w:r>
    </w:p>
    <w:p w14:paraId="4E168D71" w14:textId="77777777" w:rsidR="00B01930" w:rsidRPr="00816D7A" w:rsidRDefault="00B01930" w:rsidP="00B01930">
      <w:pPr>
        <w:spacing w:before="120" w:after="120"/>
        <w:jc w:val="both"/>
        <w:rPr>
          <w:szCs w:val="24"/>
        </w:rPr>
      </w:pPr>
      <w:r>
        <w:rPr>
          <w:szCs w:val="24"/>
        </w:rPr>
        <w:br w:type="page"/>
      </w:r>
      <w:r w:rsidRPr="00816D7A">
        <w:rPr>
          <w:szCs w:val="24"/>
        </w:rPr>
        <w:t>La question se complique du fait qu’elle interfère avec l’existence de religions, et notamment des trois grandes religions monothéistes, soit, par ordre alphabétique le christianisme, l’islam et le judaïsme. Celles-ci postulent toutes trois l’existence d’une opposition entre le Bien et le Mal </w:t>
      </w:r>
      <w:r>
        <w:rPr>
          <w:rStyle w:val="Appelnotedebasdep"/>
          <w:szCs w:val="24"/>
        </w:rPr>
        <w:footnoteReference w:id="871"/>
      </w:r>
      <w:r w:rsidRPr="00816D7A">
        <w:rPr>
          <w:szCs w:val="24"/>
        </w:rPr>
        <w:t>. Elles ajoutent que se comporter comme le prescrit le Bien revient à se conformer à la morale </w:t>
      </w:r>
      <w:r>
        <w:rPr>
          <w:rStyle w:val="Appelnotedebasdep"/>
          <w:szCs w:val="24"/>
        </w:rPr>
        <w:footnoteReference w:id="872"/>
      </w:r>
      <w:r w:rsidRPr="00816D7A">
        <w:rPr>
          <w:szCs w:val="24"/>
        </w:rPr>
        <w:t>. Le fait d’opposer ainsi le Bien au Mal et de faire du Bien l’objectif à atteindre soulève la que</w:t>
      </w:r>
      <w:r w:rsidRPr="00816D7A">
        <w:rPr>
          <w:szCs w:val="24"/>
        </w:rPr>
        <w:t>s</w:t>
      </w:r>
      <w:r w:rsidRPr="00816D7A">
        <w:rPr>
          <w:szCs w:val="24"/>
        </w:rPr>
        <w:t>tion, non pas de l’existence du Mal </w:t>
      </w:r>
      <w:r>
        <w:rPr>
          <w:rStyle w:val="Appelnotedebasdep"/>
          <w:szCs w:val="24"/>
        </w:rPr>
        <w:footnoteReference w:id="873"/>
      </w:r>
      <w:r w:rsidRPr="00816D7A">
        <w:rPr>
          <w:szCs w:val="24"/>
        </w:rPr>
        <w:t>, mais de la raison de cette exi</w:t>
      </w:r>
      <w:r w:rsidRPr="00816D7A">
        <w:rPr>
          <w:szCs w:val="24"/>
        </w:rPr>
        <w:t>s</w:t>
      </w:r>
      <w:r w:rsidRPr="00816D7A">
        <w:rPr>
          <w:szCs w:val="24"/>
        </w:rPr>
        <w:t>tence. Pourquoi le Mal existe-t-il ? Juifs et musulmans post</w:t>
      </w:r>
      <w:r w:rsidRPr="00816D7A">
        <w:rPr>
          <w:szCs w:val="24"/>
        </w:rPr>
        <w:t>u</w:t>
      </w:r>
      <w:r w:rsidRPr="00816D7A">
        <w:rPr>
          <w:szCs w:val="24"/>
        </w:rPr>
        <w:t>lent que Dieu offre aux hommes une possibilité d’assurer leur salut en fa</w:t>
      </w:r>
      <w:r w:rsidRPr="00816D7A">
        <w:rPr>
          <w:szCs w:val="24"/>
        </w:rPr>
        <w:t>i</w:t>
      </w:r>
      <w:r w:rsidRPr="00816D7A">
        <w:rPr>
          <w:szCs w:val="24"/>
        </w:rPr>
        <w:t>sant le Bien, tout en les laissant libres de faire le Mal si tel est leur souhait. La réponse vaut également pour les chrétiens, à la seule diff</w:t>
      </w:r>
      <w:r w:rsidRPr="00816D7A">
        <w:rPr>
          <w:szCs w:val="24"/>
        </w:rPr>
        <w:t>é</w:t>
      </w:r>
      <w:r w:rsidRPr="00816D7A">
        <w:rPr>
          <w:szCs w:val="24"/>
        </w:rPr>
        <w:t>rence que ceux-ci, en choisissant de faire le Bien, pensent œuvrer à leur salut, mais aussi au rachat de l’ensemble de l’humanité </w:t>
      </w:r>
      <w:r>
        <w:rPr>
          <w:rStyle w:val="Appelnotedebasdep"/>
          <w:szCs w:val="24"/>
        </w:rPr>
        <w:footnoteReference w:id="874"/>
      </w:r>
      <w:r w:rsidRPr="00816D7A">
        <w:rPr>
          <w:szCs w:val="24"/>
        </w:rPr>
        <w:t>. Quant aux athées et aux agnostiques </w:t>
      </w:r>
      <w:r>
        <w:rPr>
          <w:rStyle w:val="Appelnotedebasdep"/>
          <w:szCs w:val="24"/>
        </w:rPr>
        <w:footnoteReference w:id="875"/>
      </w:r>
      <w:r w:rsidRPr="00816D7A">
        <w:rPr>
          <w:szCs w:val="24"/>
        </w:rPr>
        <w:t>, la majeure partie d’entre eux, i</w:t>
      </w:r>
      <w:r w:rsidRPr="00816D7A">
        <w:rPr>
          <w:szCs w:val="24"/>
        </w:rPr>
        <w:t>m</w:t>
      </w:r>
      <w:r w:rsidRPr="00816D7A">
        <w:rPr>
          <w:szCs w:val="24"/>
        </w:rPr>
        <w:t>prégnés de la vision d’une société en progrès </w:t>
      </w:r>
      <w:r>
        <w:rPr>
          <w:rStyle w:val="Appelnotedebasdep"/>
          <w:szCs w:val="24"/>
        </w:rPr>
        <w:footnoteReference w:id="876"/>
      </w:r>
      <w:r w:rsidRPr="00816D7A">
        <w:rPr>
          <w:szCs w:val="24"/>
        </w:rPr>
        <w:t>, considèrent que le mal existe parce que l’homme, imparfait par nature </w:t>
      </w:r>
      <w:r>
        <w:rPr>
          <w:rStyle w:val="Appelnotedebasdep"/>
          <w:szCs w:val="24"/>
        </w:rPr>
        <w:footnoteReference w:id="877"/>
      </w:r>
      <w:r w:rsidRPr="00816D7A">
        <w:rPr>
          <w:szCs w:val="24"/>
        </w:rPr>
        <w:t>, doit s’élever vers le Bien, fut-ce au prix de la souffrance </w:t>
      </w:r>
      <w:r>
        <w:rPr>
          <w:rStyle w:val="Appelnotedebasdep"/>
          <w:szCs w:val="24"/>
        </w:rPr>
        <w:footnoteReference w:id="878"/>
      </w:r>
      <w:r w:rsidRPr="00816D7A">
        <w:rPr>
          <w:szCs w:val="24"/>
        </w:rPr>
        <w:t>.</w:t>
      </w:r>
    </w:p>
    <w:p w14:paraId="523D131F" w14:textId="77777777" w:rsidR="00B01930" w:rsidRPr="00816D7A" w:rsidRDefault="00B01930" w:rsidP="00B01930">
      <w:pPr>
        <w:spacing w:before="120" w:after="120"/>
        <w:jc w:val="both"/>
        <w:rPr>
          <w:szCs w:val="24"/>
        </w:rPr>
      </w:pPr>
      <w:r w:rsidRPr="00816D7A">
        <w:rPr>
          <w:szCs w:val="24"/>
        </w:rPr>
        <w:t>Pour les tenants des monothéismes abrahamiques, une fois admise la nécessité de l’existence du Mal, une deuxième question se pose : pourquoi n’est-il pas possible d’éradiquer celui-ci ? L’opinion dom</w:t>
      </w:r>
      <w:r w:rsidRPr="00816D7A">
        <w:rPr>
          <w:szCs w:val="24"/>
        </w:rPr>
        <w:t>i</w:t>
      </w:r>
      <w:r w:rsidRPr="00816D7A">
        <w:rPr>
          <w:szCs w:val="24"/>
        </w:rPr>
        <w:t>nante parmi ces croyants prône que l’existence de l’Enfer est sous-entendue par celle du pêché originel. Celui-ci ayant entraîné la chute de l’humanité, le rachat de cette dernière est devenu nécessaire. Il s’est, pour les chrétiens, pour partie réalisé par l’incarnation, les sou</w:t>
      </w:r>
      <w:r w:rsidRPr="00816D7A">
        <w:rPr>
          <w:szCs w:val="24"/>
        </w:rPr>
        <w:t>f</w:t>
      </w:r>
      <w:r w:rsidRPr="00816D7A">
        <w:rPr>
          <w:szCs w:val="24"/>
        </w:rPr>
        <w:t>frances et la mort du fils de Dieu. Il trouve, pour tous ceux qui part</w:t>
      </w:r>
      <w:r w:rsidRPr="00816D7A">
        <w:rPr>
          <w:szCs w:val="24"/>
        </w:rPr>
        <w:t>a</w:t>
      </w:r>
      <w:r w:rsidRPr="00816D7A">
        <w:rPr>
          <w:szCs w:val="24"/>
        </w:rPr>
        <w:t>gent la foi dans les révélations de l’Ancien testament, à s’exprimer au travers des choix que chaque croyant effectue avant sa mort </w:t>
      </w:r>
      <w:r>
        <w:rPr>
          <w:rStyle w:val="Appelnotedebasdep"/>
          <w:szCs w:val="24"/>
        </w:rPr>
        <w:footnoteReference w:id="879"/>
      </w:r>
      <w:r w:rsidRPr="00816D7A">
        <w:rPr>
          <w:szCs w:val="24"/>
        </w:rPr>
        <w:t>. L’existence de cette possibilité de choix est une nécessité aux yeux des croyants. Elle suppose la présence des deux termes de l’alternative.</w:t>
      </w:r>
    </w:p>
    <w:p w14:paraId="0C137BC2" w14:textId="77777777" w:rsidR="00B01930" w:rsidRPr="00816D7A" w:rsidRDefault="00B01930" w:rsidP="00B01930">
      <w:pPr>
        <w:spacing w:before="120" w:after="120"/>
        <w:jc w:val="both"/>
        <w:rPr>
          <w:szCs w:val="24"/>
        </w:rPr>
      </w:pPr>
      <w:r w:rsidRPr="00816D7A">
        <w:rPr>
          <w:szCs w:val="24"/>
        </w:rPr>
        <w:t>Quant à l’idéal de perfection qui anime les athées et les agnost</w:t>
      </w:r>
      <w:r w:rsidRPr="00816D7A">
        <w:rPr>
          <w:szCs w:val="24"/>
        </w:rPr>
        <w:t>i</w:t>
      </w:r>
      <w:r w:rsidRPr="00816D7A">
        <w:rPr>
          <w:szCs w:val="24"/>
        </w:rPr>
        <w:t>ques partageant la croyance en l’existence d’une opposition entre le Bien et le Mal </w:t>
      </w:r>
      <w:r>
        <w:rPr>
          <w:rStyle w:val="Appelnotedebasdep"/>
          <w:szCs w:val="24"/>
        </w:rPr>
        <w:footnoteReference w:id="880"/>
      </w:r>
      <w:r w:rsidRPr="00816D7A">
        <w:rPr>
          <w:szCs w:val="24"/>
        </w:rPr>
        <w:t>, il n’a de sens qu’au travers de la possibilité de « progresser », ce qui suppose de pouvoir évoluer d’un état vers un autre. Bien et Mal ne peuvent, en conséquence, exister l’un sans l’autre (point de vue religieux), voire n’existent que l’un par l’autre (point de vue athée ou agnostique). Athéisme, agnosticisme et rel</w:t>
      </w:r>
      <w:r w:rsidRPr="00816D7A">
        <w:rPr>
          <w:szCs w:val="24"/>
        </w:rPr>
        <w:t>i</w:t>
      </w:r>
      <w:r w:rsidRPr="00816D7A">
        <w:rPr>
          <w:szCs w:val="24"/>
        </w:rPr>
        <w:t>gions se rejoignent dans une affirmation partagée de la nécessité d’une coexistence du Bien et du Mal. Ces positionnements s’accordent ég</w:t>
      </w:r>
      <w:r w:rsidRPr="00816D7A">
        <w:rPr>
          <w:szCs w:val="24"/>
        </w:rPr>
        <w:t>a</w:t>
      </w:r>
      <w:r w:rsidRPr="00816D7A">
        <w:rPr>
          <w:szCs w:val="24"/>
        </w:rPr>
        <w:t>lement sur l’existence d’une opposition irréductible entre les deux </w:t>
      </w:r>
      <w:r>
        <w:rPr>
          <w:rStyle w:val="Appelnotedebasdep"/>
          <w:szCs w:val="24"/>
        </w:rPr>
        <w:footnoteReference w:id="881"/>
      </w:r>
      <w:r w:rsidRPr="00816D7A">
        <w:rPr>
          <w:szCs w:val="24"/>
        </w:rPr>
        <w:t>, ainsi que sur la possibilité de choisir l’un ou l’autre.</w:t>
      </w:r>
    </w:p>
    <w:p w14:paraId="627F7FBD" w14:textId="77777777" w:rsidR="00B01930" w:rsidRPr="00816D7A" w:rsidRDefault="00B01930" w:rsidP="00B01930">
      <w:pPr>
        <w:spacing w:before="120" w:after="120"/>
        <w:jc w:val="both"/>
        <w:rPr>
          <w:szCs w:val="24"/>
        </w:rPr>
      </w:pPr>
      <w:r w:rsidRPr="00816D7A">
        <w:rPr>
          <w:szCs w:val="24"/>
        </w:rPr>
        <w:t>L’un de ces choix, celui du Bien, devrait prévaloir en toute log</w:t>
      </w:r>
      <w:r w:rsidRPr="00816D7A">
        <w:rPr>
          <w:szCs w:val="24"/>
        </w:rPr>
        <w:t>i</w:t>
      </w:r>
      <w:r w:rsidRPr="00816D7A">
        <w:rPr>
          <w:szCs w:val="24"/>
        </w:rPr>
        <w:t>que </w:t>
      </w:r>
      <w:r>
        <w:rPr>
          <w:rStyle w:val="Appelnotedebasdep"/>
          <w:szCs w:val="24"/>
        </w:rPr>
        <w:footnoteReference w:id="882"/>
      </w:r>
      <w:r w:rsidRPr="00816D7A">
        <w:rPr>
          <w:szCs w:val="24"/>
        </w:rPr>
        <w:t>. Conscient du fait qu’il appartient à l’humanité </w:t>
      </w:r>
      <w:r>
        <w:rPr>
          <w:rStyle w:val="Appelnotedebasdep"/>
          <w:szCs w:val="24"/>
        </w:rPr>
        <w:footnoteReference w:id="883"/>
      </w:r>
      <w:r w:rsidRPr="00816D7A">
        <w:rPr>
          <w:szCs w:val="24"/>
        </w:rPr>
        <w:t xml:space="preserve"> et fort de l’esprit de conservation, l’être humain, s’il agit rationnellement, tend à l’adoption de comportements visant à assurer la pérennité de l’espèce humaine. Croyants, agnostiques et athées partagent majoritairement la conscience de la nécessité pour l’homme, s’il veut préserver les int</w:t>
      </w:r>
      <w:r w:rsidRPr="00816D7A">
        <w:rPr>
          <w:szCs w:val="24"/>
        </w:rPr>
        <w:t>é</w:t>
      </w:r>
      <w:r w:rsidRPr="00816D7A">
        <w:rPr>
          <w:szCs w:val="24"/>
        </w:rPr>
        <w:t>rêts de son espèce, d’opter pour le Bien </w:t>
      </w:r>
      <w:r>
        <w:rPr>
          <w:rStyle w:val="Appelnotedebasdep"/>
          <w:szCs w:val="24"/>
        </w:rPr>
        <w:footnoteReference w:id="884"/>
      </w:r>
      <w:r w:rsidRPr="00816D7A">
        <w:rPr>
          <w:szCs w:val="24"/>
        </w:rPr>
        <w:t>. L’adhésion du plus grand nombre à cette morale à vocation universelle est le fruit des épousai</w:t>
      </w:r>
      <w:r w:rsidRPr="00816D7A">
        <w:rPr>
          <w:szCs w:val="24"/>
        </w:rPr>
        <w:t>l</w:t>
      </w:r>
      <w:r w:rsidRPr="00816D7A">
        <w:rPr>
          <w:szCs w:val="24"/>
        </w:rPr>
        <w:t>les, sous l’égide de la logique, de l’esprit de conservation et de la d</w:t>
      </w:r>
      <w:r w:rsidRPr="00816D7A">
        <w:rPr>
          <w:szCs w:val="24"/>
        </w:rPr>
        <w:t>i</w:t>
      </w:r>
      <w:r w:rsidRPr="00816D7A">
        <w:rPr>
          <w:szCs w:val="24"/>
        </w:rPr>
        <w:t>gnité humaine.</w:t>
      </w:r>
    </w:p>
    <w:p w14:paraId="505473B0" w14:textId="77777777" w:rsidR="00B01930" w:rsidRPr="00816D7A" w:rsidRDefault="00B01930" w:rsidP="00B01930">
      <w:pPr>
        <w:spacing w:before="120" w:after="120"/>
        <w:jc w:val="both"/>
        <w:rPr>
          <w:szCs w:val="24"/>
        </w:rPr>
      </w:pPr>
      <w:r w:rsidRPr="00816D7A">
        <w:rPr>
          <w:szCs w:val="24"/>
        </w:rPr>
        <w:t>Peu avant que ne s’achève la seconde guerre mondiale, une appr</w:t>
      </w:r>
      <w:r w:rsidRPr="00816D7A">
        <w:rPr>
          <w:szCs w:val="24"/>
        </w:rPr>
        <w:t>o</w:t>
      </w:r>
      <w:r w:rsidRPr="00816D7A">
        <w:rPr>
          <w:szCs w:val="24"/>
        </w:rPr>
        <w:t>che légèrement différente de la dignité humaine a été proposée. Celle-ci reposait sur une croyance au progrès </w:t>
      </w:r>
      <w:r>
        <w:rPr>
          <w:rStyle w:val="Appelnotedebasdep"/>
          <w:szCs w:val="24"/>
        </w:rPr>
        <w:footnoteReference w:id="885"/>
      </w:r>
      <w:r w:rsidRPr="00816D7A">
        <w:rPr>
          <w:szCs w:val="24"/>
        </w:rPr>
        <w:t xml:space="preserve"> allant jusqu’à englober l’évolution des facultés humaines </w:t>
      </w:r>
      <w:r>
        <w:rPr>
          <w:rStyle w:val="Appelnotedebasdep"/>
          <w:szCs w:val="24"/>
        </w:rPr>
        <w:footnoteReference w:id="886"/>
      </w:r>
      <w:r w:rsidRPr="00816D7A">
        <w:rPr>
          <w:szCs w:val="24"/>
        </w:rPr>
        <w:t>, ainsi que sur l’ambition de parv</w:t>
      </w:r>
      <w:r w:rsidRPr="00816D7A">
        <w:rPr>
          <w:szCs w:val="24"/>
        </w:rPr>
        <w:t>e</w:t>
      </w:r>
      <w:r w:rsidRPr="00816D7A">
        <w:rPr>
          <w:szCs w:val="24"/>
        </w:rPr>
        <w:t>nir à établir une distinction entre l’homme et le reste du règne an</w:t>
      </w:r>
      <w:r w:rsidRPr="00816D7A">
        <w:rPr>
          <w:szCs w:val="24"/>
        </w:rPr>
        <w:t>i</w:t>
      </w:r>
      <w:r w:rsidRPr="00816D7A">
        <w:rPr>
          <w:szCs w:val="24"/>
        </w:rPr>
        <w:t>mal, ce qui revient à rechercher une qualité que l’homme serait seul à po</w:t>
      </w:r>
      <w:r w:rsidRPr="00816D7A">
        <w:rPr>
          <w:szCs w:val="24"/>
        </w:rPr>
        <w:t>s</w:t>
      </w:r>
      <w:r w:rsidRPr="00816D7A">
        <w:rPr>
          <w:szCs w:val="24"/>
        </w:rPr>
        <w:t xml:space="preserve">séder, soit un </w:t>
      </w:r>
      <w:r w:rsidRPr="00816D7A">
        <w:rPr>
          <w:i/>
          <w:szCs w:val="24"/>
        </w:rPr>
        <w:t>« propre de l’homme</w:t>
      </w:r>
      <w:r>
        <w:rPr>
          <w:szCs w:val="24"/>
        </w:rPr>
        <w:t> </w:t>
      </w:r>
      <w:r>
        <w:rPr>
          <w:rStyle w:val="Appelnotedebasdep"/>
          <w:szCs w:val="24"/>
        </w:rPr>
        <w:footnoteReference w:id="887"/>
      </w:r>
      <w:r w:rsidRPr="00816D7A">
        <w:rPr>
          <w:i/>
          <w:szCs w:val="24"/>
        </w:rPr>
        <w:t> ».</w:t>
      </w:r>
      <w:r w:rsidRPr="00816D7A">
        <w:rPr>
          <w:szCs w:val="24"/>
        </w:rPr>
        <w:t xml:space="preserve"> Ainsi circonscr</w:t>
      </w:r>
      <w:r w:rsidRPr="00816D7A">
        <w:rPr>
          <w:szCs w:val="24"/>
        </w:rPr>
        <w:t>i</w:t>
      </w:r>
      <w:r w:rsidRPr="00816D7A">
        <w:rPr>
          <w:szCs w:val="24"/>
        </w:rPr>
        <w:t>te d’un côté et orientée de l’autre, la dignité humaine ne pouvait plus être pe</w:t>
      </w:r>
      <w:r w:rsidRPr="00816D7A">
        <w:rPr>
          <w:szCs w:val="24"/>
        </w:rPr>
        <w:t>r</w:t>
      </w:r>
      <w:r w:rsidRPr="00816D7A">
        <w:rPr>
          <w:szCs w:val="24"/>
        </w:rPr>
        <w:t>çu que comme consistant dans l’accession de l’homme à l’état de conscie</w:t>
      </w:r>
      <w:r w:rsidRPr="00816D7A">
        <w:rPr>
          <w:szCs w:val="24"/>
        </w:rPr>
        <w:t>n</w:t>
      </w:r>
      <w:r w:rsidRPr="00816D7A">
        <w:rPr>
          <w:szCs w:val="24"/>
        </w:rPr>
        <w:t>ce </w:t>
      </w:r>
      <w:r>
        <w:rPr>
          <w:rStyle w:val="Appelnotedebasdep"/>
          <w:szCs w:val="24"/>
        </w:rPr>
        <w:footnoteReference w:id="888"/>
      </w:r>
      <w:r w:rsidRPr="00816D7A">
        <w:rPr>
          <w:szCs w:val="24"/>
        </w:rPr>
        <w:t>, c’est-à-dire dans une évolution psychique lui ayant permis de se détacher de sa part d’animalité.</w:t>
      </w:r>
    </w:p>
    <w:p w14:paraId="52E714B5" w14:textId="77777777" w:rsidR="00B01930" w:rsidRPr="00816D7A" w:rsidRDefault="00B01930" w:rsidP="00B01930">
      <w:pPr>
        <w:spacing w:before="120" w:after="120"/>
        <w:jc w:val="both"/>
        <w:rPr>
          <w:szCs w:val="24"/>
        </w:rPr>
      </w:pPr>
      <w:r w:rsidRPr="00816D7A">
        <w:rPr>
          <w:szCs w:val="24"/>
        </w:rPr>
        <w:t>La dignité humaine était ainsi vue, non plus comme la conscience que l’homme a d’appartenir à l’humanité, mais dans le fait que l’homme soit parvenu à cet état de conscience, ce dans la perspective de distinguer l’espère humaine du reste du règne animal </w:t>
      </w:r>
      <w:r>
        <w:rPr>
          <w:rStyle w:val="Appelnotedebasdep"/>
          <w:szCs w:val="24"/>
        </w:rPr>
        <w:footnoteReference w:id="889"/>
      </w:r>
      <w:r w:rsidRPr="00816D7A">
        <w:rPr>
          <w:szCs w:val="24"/>
        </w:rPr>
        <w:t>. C’était là mettre l’accent sur l’évolution ayant permis à l’homme de prendre conscience de son humanité et non plus sur le résultat de cette acce</w:t>
      </w:r>
      <w:r w:rsidRPr="00816D7A">
        <w:rPr>
          <w:szCs w:val="24"/>
        </w:rPr>
        <w:t>s</w:t>
      </w:r>
      <w:r w:rsidRPr="00816D7A">
        <w:rPr>
          <w:szCs w:val="24"/>
        </w:rPr>
        <w:t>sion à la conscience. Mais, que l’on s’intéresse au chemin parcouru ou au point atteint, il n’en reste pas moins que la route suivie est la même et que cheminer sur celle-ci a permis à l’homme de prendre plein</w:t>
      </w:r>
      <w:r w:rsidRPr="00816D7A">
        <w:rPr>
          <w:szCs w:val="24"/>
        </w:rPr>
        <w:t>e</w:t>
      </w:r>
      <w:r w:rsidRPr="00816D7A">
        <w:rPr>
          <w:szCs w:val="24"/>
        </w:rPr>
        <w:t>ment conscience de son humanité.</w:t>
      </w:r>
    </w:p>
    <w:p w14:paraId="06124191" w14:textId="77777777" w:rsidR="00B01930" w:rsidRPr="00816D7A" w:rsidRDefault="00B01930" w:rsidP="00B01930">
      <w:pPr>
        <w:spacing w:before="120" w:after="120"/>
        <w:jc w:val="both"/>
        <w:rPr>
          <w:szCs w:val="24"/>
        </w:rPr>
      </w:pPr>
      <w:r w:rsidRPr="00816D7A">
        <w:rPr>
          <w:szCs w:val="24"/>
        </w:rPr>
        <w:t>Qu’elle soit perçue comme la conscience qu’à l’homme d’appartenir à l’humanité, ou qu’elle soit vue comme l’accession de l’homme à l’état de conscience, la dignité humaine a, jusqu’à la fin de la seconde guerre mondiale, été appréhendée comme l’un des él</w:t>
      </w:r>
      <w:r w:rsidRPr="00816D7A">
        <w:rPr>
          <w:szCs w:val="24"/>
        </w:rPr>
        <w:t>é</w:t>
      </w:r>
      <w:r w:rsidRPr="00816D7A">
        <w:rPr>
          <w:szCs w:val="24"/>
        </w:rPr>
        <w:t>ments constitutifs de l’humanité de chaque être humain, soit le co</w:t>
      </w:r>
      <w:r w:rsidRPr="00816D7A">
        <w:rPr>
          <w:szCs w:val="24"/>
        </w:rPr>
        <w:t>m</w:t>
      </w:r>
      <w:r w:rsidRPr="00816D7A">
        <w:rPr>
          <w:szCs w:val="24"/>
        </w:rPr>
        <w:t>plément collectif de son aspect individuel incarné par la personnalité de chacun. C’est à cette humanité même que les dirigeants nazis avaient choisis de s’attaquer en pensant leur génocide </w:t>
      </w:r>
      <w:r>
        <w:rPr>
          <w:rStyle w:val="Appelnotedebasdep"/>
          <w:szCs w:val="24"/>
        </w:rPr>
        <w:footnoteReference w:id="890"/>
      </w:r>
      <w:r w:rsidRPr="00816D7A">
        <w:rPr>
          <w:szCs w:val="24"/>
        </w:rPr>
        <w:t>. Rien d’étonnant donc à ce qu’ils aient décidés de s’en prendre à la fois à la personnalité de leurs victimes et à la conscience que celles-ci avaient d’appartenir à l’espèce humaine. Le regard porté sur la dignité huma</w:t>
      </w:r>
      <w:r w:rsidRPr="00816D7A">
        <w:rPr>
          <w:szCs w:val="24"/>
        </w:rPr>
        <w:t>i</w:t>
      </w:r>
      <w:r w:rsidRPr="00816D7A">
        <w:rPr>
          <w:szCs w:val="24"/>
        </w:rPr>
        <w:t>ne en a irrémédiablement été changé.</w:t>
      </w:r>
    </w:p>
    <w:p w14:paraId="056A1B0A" w14:textId="77777777" w:rsidR="00B01930" w:rsidRDefault="00B01930" w:rsidP="00B01930">
      <w:pPr>
        <w:spacing w:before="120" w:after="120"/>
        <w:jc w:val="both"/>
        <w:rPr>
          <w:szCs w:val="32"/>
          <w:u w:val="single"/>
        </w:rPr>
      </w:pPr>
    </w:p>
    <w:p w14:paraId="529C0D6C" w14:textId="77777777" w:rsidR="00B01930" w:rsidRPr="00816D7A" w:rsidRDefault="00B01930" w:rsidP="00B01930">
      <w:pPr>
        <w:pStyle w:val="planche"/>
      </w:pPr>
      <w:bookmarkStart w:id="206" w:name="Accession_II"/>
      <w:bookmarkStart w:id="207" w:name="Analyser_idees_pol_pt_3_texte_08_II"/>
      <w:r>
        <w:t>II. La dignité humaine</w:t>
      </w:r>
      <w:r>
        <w:br/>
      </w:r>
      <w:r w:rsidRPr="00816D7A">
        <w:t>mise à mal par le nazisme</w:t>
      </w:r>
    </w:p>
    <w:bookmarkEnd w:id="206"/>
    <w:bookmarkEnd w:id="207"/>
    <w:p w14:paraId="47BBCA51" w14:textId="77777777" w:rsidR="00B01930" w:rsidRPr="00816D7A" w:rsidRDefault="00B01930" w:rsidP="00B01930">
      <w:pPr>
        <w:spacing w:before="120" w:after="120"/>
        <w:jc w:val="both"/>
        <w:rPr>
          <w:szCs w:val="24"/>
        </w:rPr>
      </w:pPr>
    </w:p>
    <w:p w14:paraId="0A4D565A"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53F674C4" w14:textId="77777777" w:rsidR="00B01930" w:rsidRPr="00816D7A" w:rsidRDefault="00B01930" w:rsidP="00B01930">
      <w:pPr>
        <w:spacing w:before="120" w:after="120"/>
        <w:jc w:val="both"/>
        <w:rPr>
          <w:szCs w:val="24"/>
        </w:rPr>
      </w:pPr>
      <w:r w:rsidRPr="00816D7A">
        <w:rPr>
          <w:szCs w:val="24"/>
        </w:rPr>
        <w:t>L’entreprise concentrationnaire mise en place par le régime nazi avait pour but d’exterminer des millions d’êtres humains </w:t>
      </w:r>
      <w:r>
        <w:rPr>
          <w:rStyle w:val="Appelnotedebasdep"/>
          <w:szCs w:val="24"/>
        </w:rPr>
        <w:footnoteReference w:id="891"/>
      </w:r>
      <w:r w:rsidRPr="00816D7A">
        <w:rPr>
          <w:szCs w:val="24"/>
        </w:rPr>
        <w:t>, ce par di</w:t>
      </w:r>
      <w:r w:rsidRPr="00816D7A">
        <w:rPr>
          <w:szCs w:val="24"/>
        </w:rPr>
        <w:t>f</w:t>
      </w:r>
      <w:r w:rsidRPr="00816D7A">
        <w:rPr>
          <w:szCs w:val="24"/>
        </w:rPr>
        <w:t>férents moyens, plus ou moins rapides. Dans la configuration la plus fréquente, la question était seulement d’être le plus efficace po</w:t>
      </w:r>
      <w:r w:rsidRPr="00816D7A">
        <w:rPr>
          <w:szCs w:val="24"/>
        </w:rPr>
        <w:t>s</w:t>
      </w:r>
      <w:r w:rsidRPr="00816D7A">
        <w:rPr>
          <w:szCs w:val="24"/>
        </w:rPr>
        <w:t>sible dans l’annihilation de la vie et la destruction de toute trace des êtres assassinés, c’est-à-dire de tout ce qui aurait pu constituer après coup une preuve du génocide. Dans d’autres situations, la finalité de l’opération se compliquait de l’ambition de tirer au passage le plus de profits possibles </w:t>
      </w:r>
      <w:r>
        <w:rPr>
          <w:rStyle w:val="Appelnotedebasdep"/>
          <w:szCs w:val="24"/>
        </w:rPr>
        <w:footnoteReference w:id="892"/>
      </w:r>
      <w:r w:rsidRPr="00816D7A">
        <w:rPr>
          <w:szCs w:val="24"/>
        </w:rPr>
        <w:t xml:space="preserve"> de la mort programmée des victimes, nota</w:t>
      </w:r>
      <w:r w:rsidRPr="00816D7A">
        <w:rPr>
          <w:szCs w:val="24"/>
        </w:rPr>
        <w:t>m</w:t>
      </w:r>
      <w:r w:rsidRPr="00816D7A">
        <w:rPr>
          <w:szCs w:val="24"/>
        </w:rPr>
        <w:t>ment par le travail forcé.</w:t>
      </w:r>
    </w:p>
    <w:p w14:paraId="30EA5447" w14:textId="77777777" w:rsidR="00B01930" w:rsidRPr="00816D7A" w:rsidRDefault="00B01930" w:rsidP="00B01930">
      <w:pPr>
        <w:spacing w:before="120" w:after="120"/>
        <w:jc w:val="both"/>
        <w:rPr>
          <w:szCs w:val="24"/>
        </w:rPr>
      </w:pPr>
      <w:r w:rsidRPr="00816D7A">
        <w:rPr>
          <w:szCs w:val="24"/>
        </w:rPr>
        <w:t>Dans cette dernière hypothèse, il est important de distinguer le but premier, soit l’objectif de mise à mort des victimes, et le but second, soit la réalisation de profits par le choix de la méthode d’assassinat </w:t>
      </w:r>
      <w:r>
        <w:rPr>
          <w:rStyle w:val="Appelnotedebasdep"/>
          <w:szCs w:val="24"/>
        </w:rPr>
        <w:footnoteReference w:id="893"/>
      </w:r>
      <w:r w:rsidRPr="00816D7A">
        <w:rPr>
          <w:szCs w:val="24"/>
        </w:rPr>
        <w:t>. Le but premier était, comme pour les victimes qui étaient immédiat</w:t>
      </w:r>
      <w:r w:rsidRPr="00816D7A">
        <w:rPr>
          <w:szCs w:val="24"/>
        </w:rPr>
        <w:t>e</w:t>
      </w:r>
      <w:r w:rsidRPr="00816D7A">
        <w:rPr>
          <w:szCs w:val="24"/>
        </w:rPr>
        <w:t>ment mis à mort, de tuer ces êtres humains </w:t>
      </w:r>
      <w:r>
        <w:rPr>
          <w:rStyle w:val="Appelnotedebasdep"/>
          <w:szCs w:val="24"/>
        </w:rPr>
        <w:footnoteReference w:id="894"/>
      </w:r>
      <w:r w:rsidRPr="00816D7A">
        <w:rPr>
          <w:szCs w:val="24"/>
        </w:rPr>
        <w:t>. Les seules variables consistaient dans le choix de la méthode de mise à mort, soit le travail forcé, et dans le délai choisi pour l’opération </w:t>
      </w:r>
      <w:r>
        <w:rPr>
          <w:rStyle w:val="Appelnotedebasdep"/>
          <w:szCs w:val="24"/>
        </w:rPr>
        <w:footnoteReference w:id="895"/>
      </w:r>
      <w:r w:rsidRPr="00816D7A">
        <w:rPr>
          <w:szCs w:val="24"/>
        </w:rPr>
        <w:t>. Celle-ci  n’était en e</w:t>
      </w:r>
      <w:r w:rsidRPr="00816D7A">
        <w:rPr>
          <w:szCs w:val="24"/>
        </w:rPr>
        <w:t>f</w:t>
      </w:r>
      <w:r w:rsidRPr="00816D7A">
        <w:rPr>
          <w:szCs w:val="24"/>
        </w:rPr>
        <w:t>fet possible qu’avec la mise en place d’un roul</w:t>
      </w:r>
      <w:r w:rsidRPr="00816D7A">
        <w:rPr>
          <w:szCs w:val="24"/>
        </w:rPr>
        <w:t>e</w:t>
      </w:r>
      <w:r w:rsidRPr="00816D7A">
        <w:rPr>
          <w:szCs w:val="24"/>
        </w:rPr>
        <w:t>ment de travailleurs, ce qui supposait un flot permanent </w:t>
      </w:r>
      <w:r>
        <w:rPr>
          <w:rStyle w:val="Appelnotedebasdep"/>
          <w:szCs w:val="24"/>
        </w:rPr>
        <w:footnoteReference w:id="896"/>
      </w:r>
      <w:r w:rsidRPr="00816D7A">
        <w:rPr>
          <w:szCs w:val="24"/>
        </w:rPr>
        <w:t xml:space="preserve"> de déportations </w:t>
      </w:r>
      <w:r>
        <w:rPr>
          <w:rStyle w:val="Appelnotedebasdep"/>
          <w:szCs w:val="24"/>
        </w:rPr>
        <w:footnoteReference w:id="897"/>
      </w:r>
      <w:r w:rsidRPr="00816D7A">
        <w:rPr>
          <w:szCs w:val="24"/>
        </w:rPr>
        <w:t>. Cet afflux r</w:t>
      </w:r>
      <w:r w:rsidRPr="00816D7A">
        <w:rPr>
          <w:szCs w:val="24"/>
        </w:rPr>
        <w:t>é</w:t>
      </w:r>
      <w:r w:rsidRPr="00816D7A">
        <w:rPr>
          <w:szCs w:val="24"/>
        </w:rPr>
        <w:t>gulier de main d’œuvre nouvelle permettait d’exiger de celle exi</w:t>
      </w:r>
      <w:r w:rsidRPr="00816D7A">
        <w:rPr>
          <w:szCs w:val="24"/>
        </w:rPr>
        <w:t>s</w:t>
      </w:r>
      <w:r w:rsidRPr="00816D7A">
        <w:rPr>
          <w:szCs w:val="24"/>
        </w:rPr>
        <w:t>tante un effort tel qu’il retentissait sur son esp</w:t>
      </w:r>
      <w:r w:rsidRPr="00816D7A">
        <w:rPr>
          <w:szCs w:val="24"/>
        </w:rPr>
        <w:t>é</w:t>
      </w:r>
      <w:r w:rsidRPr="00816D7A">
        <w:rPr>
          <w:szCs w:val="24"/>
        </w:rPr>
        <w:t>rance de vie, tout en privant ces êtres humains du strict minimum nécessaire à la su</w:t>
      </w:r>
      <w:r w:rsidRPr="00816D7A">
        <w:rPr>
          <w:szCs w:val="24"/>
        </w:rPr>
        <w:t>r</w:t>
      </w:r>
      <w:r w:rsidRPr="00816D7A">
        <w:rPr>
          <w:szCs w:val="24"/>
        </w:rPr>
        <w:t>vie </w:t>
      </w:r>
      <w:r>
        <w:rPr>
          <w:rStyle w:val="Appelnotedebasdep"/>
          <w:szCs w:val="24"/>
        </w:rPr>
        <w:footnoteReference w:id="898"/>
      </w:r>
      <w:r w:rsidRPr="00816D7A">
        <w:rPr>
          <w:szCs w:val="24"/>
        </w:rPr>
        <w:t>, ce qui abaissait les coûts de production </w:t>
      </w:r>
      <w:r>
        <w:rPr>
          <w:rStyle w:val="Appelnotedebasdep"/>
          <w:szCs w:val="24"/>
        </w:rPr>
        <w:footnoteReference w:id="899"/>
      </w:r>
      <w:r>
        <w:rPr>
          <w:szCs w:val="24"/>
        </w:rPr>
        <w:t>.</w:t>
      </w:r>
    </w:p>
    <w:p w14:paraId="28AFEFCD" w14:textId="77777777" w:rsidR="00B01930" w:rsidRPr="00816D7A" w:rsidRDefault="00B01930" w:rsidP="00B01930">
      <w:pPr>
        <w:spacing w:before="120" w:after="120"/>
        <w:jc w:val="both"/>
        <w:rPr>
          <w:szCs w:val="24"/>
        </w:rPr>
      </w:pPr>
      <w:r w:rsidRPr="00816D7A">
        <w:rPr>
          <w:szCs w:val="24"/>
        </w:rPr>
        <w:t>Le succès de l’opération passait par la soumission la plus étroite possible des victimes à toute autorité, celle-ci réduisant drastiquement à la racine le risque de révolte et permettant de n’employer à la garde des concentrationnaires </w:t>
      </w:r>
      <w:r>
        <w:rPr>
          <w:rStyle w:val="Appelnotedebasdep"/>
          <w:szCs w:val="24"/>
        </w:rPr>
        <w:footnoteReference w:id="900"/>
      </w:r>
      <w:r w:rsidRPr="00816D7A">
        <w:rPr>
          <w:szCs w:val="24"/>
        </w:rPr>
        <w:t xml:space="preserve"> qu’un petit nombre de soldats nazis </w:t>
      </w:r>
      <w:r>
        <w:rPr>
          <w:rStyle w:val="Appelnotedebasdep"/>
          <w:szCs w:val="24"/>
        </w:rPr>
        <w:footnoteReference w:id="901"/>
      </w:r>
      <w:r w:rsidRPr="00816D7A">
        <w:rPr>
          <w:szCs w:val="24"/>
        </w:rPr>
        <w:t>. Pour parvenir à briser ainsi toute velléité de rébellion, les concepteurs de la machine concentrationnaire nazie ont usé des acquis scientif</w:t>
      </w:r>
      <w:r w:rsidRPr="00816D7A">
        <w:rPr>
          <w:szCs w:val="24"/>
        </w:rPr>
        <w:t>i</w:t>
      </w:r>
      <w:r w:rsidRPr="00816D7A">
        <w:rPr>
          <w:szCs w:val="24"/>
        </w:rPr>
        <w:t>ques de la psychologie de leur temps. Ils ont choisis pour asservir leurs vict</w:t>
      </w:r>
      <w:r w:rsidRPr="00816D7A">
        <w:rPr>
          <w:szCs w:val="24"/>
        </w:rPr>
        <w:t>i</w:t>
      </w:r>
      <w:r w:rsidRPr="00816D7A">
        <w:rPr>
          <w:szCs w:val="24"/>
        </w:rPr>
        <w:t>mes, tout à la fois de les déstructurer </w:t>
      </w:r>
      <w:r>
        <w:rPr>
          <w:rStyle w:val="Appelnotedebasdep"/>
          <w:szCs w:val="24"/>
        </w:rPr>
        <w:footnoteReference w:id="902"/>
      </w:r>
      <w:r w:rsidRPr="00816D7A">
        <w:rPr>
          <w:szCs w:val="24"/>
        </w:rPr>
        <w:t>, de les dépersonn</w:t>
      </w:r>
      <w:r w:rsidRPr="00816D7A">
        <w:rPr>
          <w:szCs w:val="24"/>
        </w:rPr>
        <w:t>a</w:t>
      </w:r>
      <w:r w:rsidRPr="00816D7A">
        <w:rPr>
          <w:szCs w:val="24"/>
        </w:rPr>
        <w:t>liser </w:t>
      </w:r>
      <w:r>
        <w:rPr>
          <w:rStyle w:val="Appelnotedebasdep"/>
          <w:szCs w:val="24"/>
        </w:rPr>
        <w:footnoteReference w:id="903"/>
      </w:r>
      <w:r w:rsidRPr="00816D7A">
        <w:rPr>
          <w:szCs w:val="24"/>
        </w:rPr>
        <w:t xml:space="preserve"> et de les déshumaniser </w:t>
      </w:r>
      <w:r>
        <w:rPr>
          <w:rStyle w:val="Appelnotedebasdep"/>
          <w:szCs w:val="24"/>
        </w:rPr>
        <w:footnoteReference w:id="904"/>
      </w:r>
      <w:r w:rsidRPr="00816D7A">
        <w:rPr>
          <w:szCs w:val="24"/>
        </w:rPr>
        <w:t>. La combinaison de ces différentes manipul</w:t>
      </w:r>
      <w:r w:rsidRPr="00816D7A">
        <w:rPr>
          <w:szCs w:val="24"/>
        </w:rPr>
        <w:t>a</w:t>
      </w:r>
      <w:r w:rsidRPr="00816D7A">
        <w:rPr>
          <w:szCs w:val="24"/>
        </w:rPr>
        <w:t>tions avait pour but de transformer les concentrationnaires en esclaves doc</w:t>
      </w:r>
      <w:r w:rsidRPr="00816D7A">
        <w:rPr>
          <w:szCs w:val="24"/>
        </w:rPr>
        <w:t>i</w:t>
      </w:r>
      <w:r w:rsidRPr="00816D7A">
        <w:rPr>
          <w:szCs w:val="24"/>
        </w:rPr>
        <w:t>les incapables de se révolter.</w:t>
      </w:r>
    </w:p>
    <w:p w14:paraId="008F544F" w14:textId="77777777" w:rsidR="00B01930" w:rsidRPr="00816D7A" w:rsidRDefault="00B01930" w:rsidP="00B01930">
      <w:pPr>
        <w:spacing w:before="120" w:after="120"/>
        <w:jc w:val="both"/>
        <w:rPr>
          <w:szCs w:val="24"/>
        </w:rPr>
      </w:pPr>
      <w:r w:rsidRPr="00816D7A">
        <w:rPr>
          <w:szCs w:val="24"/>
        </w:rPr>
        <w:t>Il convient de dissiper ici une ambiguïté terminologique liée à l’évolution de la notion de dignité humaine. Jusqu’à la fin de la S</w:t>
      </w:r>
      <w:r w:rsidRPr="00816D7A">
        <w:rPr>
          <w:szCs w:val="24"/>
        </w:rPr>
        <w:t>e</w:t>
      </w:r>
      <w:r w:rsidRPr="00816D7A">
        <w:rPr>
          <w:szCs w:val="24"/>
        </w:rPr>
        <w:t>conde guerre mondiale, l’expression « dignité humaine » a ordinair</w:t>
      </w:r>
      <w:r w:rsidRPr="00816D7A">
        <w:rPr>
          <w:szCs w:val="24"/>
        </w:rPr>
        <w:t>e</w:t>
      </w:r>
      <w:r w:rsidRPr="00816D7A">
        <w:rPr>
          <w:szCs w:val="24"/>
        </w:rPr>
        <w:t>ment été employée pour désigner ce que nous considérons aujourd’hui être la dimension collective de la dignité humaine, c’est-à-dire le fait pour l’homme d’être conscient d’appartenir à l’espèce humaine. Ce que nous qualifions aujourd’hui de dimension individuelle de la dign</w:t>
      </w:r>
      <w:r w:rsidRPr="00816D7A">
        <w:rPr>
          <w:szCs w:val="24"/>
        </w:rPr>
        <w:t>i</w:t>
      </w:r>
      <w:r w:rsidRPr="00816D7A">
        <w:rPr>
          <w:szCs w:val="24"/>
        </w:rPr>
        <w:t>té humaine, soit le fait pour l’homme d’être conscient de son altérité, n’était pas, à l’époque, perçu comme tel. Cet état de conscience était considéré comme caractérisant la personnalité d’un être humain.</w:t>
      </w:r>
    </w:p>
    <w:p w14:paraId="15A1FD18" w14:textId="77777777" w:rsidR="00B01930" w:rsidRPr="00816D7A" w:rsidRDefault="00B01930" w:rsidP="00B01930">
      <w:pPr>
        <w:spacing w:before="120" w:after="120"/>
        <w:jc w:val="both"/>
        <w:rPr>
          <w:szCs w:val="24"/>
        </w:rPr>
      </w:pPr>
      <w:r w:rsidRPr="00816D7A">
        <w:rPr>
          <w:szCs w:val="24"/>
        </w:rPr>
        <w:t>En tentant de détruire à la fois la personnalité de leurs victimes et leur sentiment d’appartenance à l’espèce humaine, les nazis ont créés un lien impossible à dénouer entre ces deux notions. La réprobation déclenchée par la révélation publique du génocide les a confondus dans un même élan de déni de l’horreur. Dans l’instant, ce rejet massif a été tel qu’il a balayé toute possibilité de distinguer entre notions à protéger. La personnalité de l’être humain a été confondue avec la conscience que celui-ci possède de son altérité et rangée, à titre ind</w:t>
      </w:r>
      <w:r w:rsidRPr="00816D7A">
        <w:rPr>
          <w:szCs w:val="24"/>
        </w:rPr>
        <w:t>i</w:t>
      </w:r>
      <w:r w:rsidRPr="00816D7A">
        <w:rPr>
          <w:szCs w:val="24"/>
        </w:rPr>
        <w:t>viduel </w:t>
      </w:r>
      <w:r>
        <w:rPr>
          <w:rStyle w:val="Appelnotedebasdep"/>
          <w:szCs w:val="24"/>
        </w:rPr>
        <w:footnoteReference w:id="905"/>
      </w:r>
      <w:r w:rsidRPr="00816D7A">
        <w:rPr>
          <w:szCs w:val="24"/>
        </w:rPr>
        <w:t>, sous la bannière rassurante de la dignité humaine </w:t>
      </w:r>
      <w:r>
        <w:rPr>
          <w:rStyle w:val="Appelnotedebasdep"/>
          <w:szCs w:val="24"/>
        </w:rPr>
        <w:footnoteReference w:id="906"/>
      </w:r>
      <w:r w:rsidRPr="00816D7A">
        <w:rPr>
          <w:szCs w:val="24"/>
        </w:rPr>
        <w:t>.</w:t>
      </w:r>
    </w:p>
    <w:p w14:paraId="02774383" w14:textId="77777777" w:rsidR="00B01930" w:rsidRPr="00816D7A" w:rsidRDefault="00B01930" w:rsidP="00B01930">
      <w:pPr>
        <w:spacing w:before="120" w:after="120"/>
        <w:jc w:val="both"/>
        <w:rPr>
          <w:szCs w:val="24"/>
        </w:rPr>
      </w:pPr>
      <w:r w:rsidRPr="00816D7A">
        <w:rPr>
          <w:szCs w:val="24"/>
        </w:rPr>
        <w:t>Qu’en est-il plus précisément des mesures visant à annihiler la d</w:t>
      </w:r>
      <w:r w:rsidRPr="00816D7A">
        <w:rPr>
          <w:szCs w:val="24"/>
        </w:rPr>
        <w:t>i</w:t>
      </w:r>
      <w:r w:rsidRPr="00816D7A">
        <w:rPr>
          <w:szCs w:val="24"/>
        </w:rPr>
        <w:t>gnité humaine des concentrationnaires ? Les forcer à l’immobilité a</w:t>
      </w:r>
      <w:r w:rsidRPr="00816D7A">
        <w:rPr>
          <w:szCs w:val="24"/>
        </w:rPr>
        <w:t>b</w:t>
      </w:r>
      <w:r w:rsidRPr="00816D7A">
        <w:rPr>
          <w:szCs w:val="24"/>
        </w:rPr>
        <w:t>solue des heures durant revenait littéralement à les statufier vivants, c’est-à-dire à les réifier et donc à les déshumaniser. Leur immatricul</w:t>
      </w:r>
      <w:r w:rsidRPr="00816D7A">
        <w:rPr>
          <w:szCs w:val="24"/>
        </w:rPr>
        <w:t>a</w:t>
      </w:r>
      <w:r w:rsidRPr="00816D7A">
        <w:rPr>
          <w:szCs w:val="24"/>
        </w:rPr>
        <w:t xml:space="preserve">tion immédiate visait à les dépersonnaliser. </w:t>
      </w:r>
      <w:r w:rsidRPr="00816D7A">
        <w:rPr>
          <w:i/>
          <w:szCs w:val="24"/>
        </w:rPr>
        <w:t>Etc.</w:t>
      </w:r>
      <w:r w:rsidRPr="00816D7A">
        <w:rPr>
          <w:szCs w:val="24"/>
        </w:rPr>
        <w:t xml:space="preserve"> La conjonction de ces atteintes à la personne révèle l’existence d’une attaque planifiée contre l’ensemble des éléments aujourd’hui constitutifs de la dignité humaine.</w:t>
      </w:r>
    </w:p>
    <w:p w14:paraId="3465A3A3" w14:textId="77777777" w:rsidR="00B01930" w:rsidRPr="00816D7A" w:rsidRDefault="00B01930" w:rsidP="00B01930">
      <w:pPr>
        <w:spacing w:before="120" w:after="120"/>
        <w:jc w:val="both"/>
        <w:rPr>
          <w:szCs w:val="24"/>
        </w:rPr>
      </w:pPr>
      <w:r w:rsidRPr="00816D7A">
        <w:rPr>
          <w:szCs w:val="24"/>
        </w:rPr>
        <w:t>Le nazisme aura tenté de la réduire à néant sous tous ses aspects. La déshumanisation visait à l’atteindre dans sa dimension collective. La dépersonnalisation cherchait à la détruire dans son aspect indiv</w:t>
      </w:r>
      <w:r w:rsidRPr="00816D7A">
        <w:rPr>
          <w:szCs w:val="24"/>
        </w:rPr>
        <w:t>i</w:t>
      </w:r>
      <w:r w:rsidRPr="00816D7A">
        <w:rPr>
          <w:szCs w:val="24"/>
        </w:rPr>
        <w:t>duel. C’est à cette double entreprise de destruction de la dignité h</w:t>
      </w:r>
      <w:r w:rsidRPr="00816D7A">
        <w:rPr>
          <w:szCs w:val="24"/>
        </w:rPr>
        <w:t>u</w:t>
      </w:r>
      <w:r w:rsidRPr="00816D7A">
        <w:rPr>
          <w:szCs w:val="24"/>
        </w:rPr>
        <w:t xml:space="preserve">maine des concentrationnaires que fait référence, dans l’avant-propos de son livre </w:t>
      </w:r>
      <w:r w:rsidRPr="00816D7A">
        <w:rPr>
          <w:i/>
          <w:szCs w:val="24"/>
        </w:rPr>
        <w:t>L’espèce humaine,</w:t>
      </w:r>
      <w:r w:rsidRPr="00816D7A">
        <w:rPr>
          <w:szCs w:val="24"/>
        </w:rPr>
        <w:t xml:space="preserve"> Robert Antelme, en parlant du fait d’être volontairement contesté comme </w:t>
      </w:r>
      <w:r w:rsidRPr="00816D7A">
        <w:rPr>
          <w:i/>
          <w:szCs w:val="24"/>
        </w:rPr>
        <w:t>« homme »</w:t>
      </w:r>
      <w:r w:rsidRPr="00816D7A">
        <w:rPr>
          <w:szCs w:val="24"/>
        </w:rPr>
        <w:t xml:space="preserve"> et comme </w:t>
      </w:r>
      <w:r w:rsidRPr="00816D7A">
        <w:rPr>
          <w:i/>
          <w:szCs w:val="24"/>
        </w:rPr>
        <w:t>« membre de l’espèce</w:t>
      </w:r>
      <w:r>
        <w:rPr>
          <w:szCs w:val="24"/>
        </w:rPr>
        <w:t> </w:t>
      </w:r>
      <w:r>
        <w:rPr>
          <w:rStyle w:val="Appelnotedebasdep"/>
          <w:szCs w:val="24"/>
        </w:rPr>
        <w:footnoteReference w:id="907"/>
      </w:r>
      <w:r w:rsidRPr="00816D7A">
        <w:rPr>
          <w:i/>
          <w:szCs w:val="24"/>
        </w:rPr>
        <w:t xml:space="preserve"> » </w:t>
      </w:r>
      <w:r w:rsidRPr="00816D7A">
        <w:rPr>
          <w:szCs w:val="24"/>
        </w:rPr>
        <w:t>:</w:t>
      </w:r>
    </w:p>
    <w:p w14:paraId="3A437866" w14:textId="77777777" w:rsidR="00B01930" w:rsidRPr="007B7627" w:rsidRDefault="00B01930" w:rsidP="00B01930">
      <w:pPr>
        <w:pStyle w:val="citation"/>
      </w:pPr>
    </w:p>
    <w:p w14:paraId="496EC186" w14:textId="77777777" w:rsidR="00B01930" w:rsidRPr="00816D7A" w:rsidRDefault="00B01930" w:rsidP="00B01930">
      <w:pPr>
        <w:pStyle w:val="citation"/>
      </w:pPr>
      <w:r w:rsidRPr="007B7627">
        <w:t>« Dire que l’on se sentait alors contesté comme homme, comme me</w:t>
      </w:r>
      <w:r w:rsidRPr="007B7627">
        <w:t>m</w:t>
      </w:r>
      <w:r w:rsidRPr="007B7627">
        <w:t>bre de l’espèce, peut apparaître comme un sentiment rétrospectif, une e</w:t>
      </w:r>
      <w:r w:rsidRPr="007B7627">
        <w:t>x</w:t>
      </w:r>
      <w:r w:rsidRPr="007B7627">
        <w:t>plication après coup. C’est cela cepe</w:t>
      </w:r>
      <w:r w:rsidRPr="007B7627">
        <w:t>n</w:t>
      </w:r>
      <w:r w:rsidRPr="007B7627">
        <w:t>dant qui fut le plus immédiatement et constamment sensible et vécu, et c’est cela d’ailleurs, exactement cela, qui fut voulu par les autres </w:t>
      </w:r>
      <w:r>
        <w:rPr>
          <w:rStyle w:val="Appelnotedebasdep"/>
        </w:rPr>
        <w:footnoteReference w:id="908"/>
      </w:r>
      <w:r w:rsidRPr="00816D7A">
        <w:rPr>
          <w:i/>
        </w:rPr>
        <w:t> </w:t>
      </w:r>
      <w:r w:rsidRPr="007B7627">
        <w:t>».</w:t>
      </w:r>
    </w:p>
    <w:p w14:paraId="39031962" w14:textId="77777777" w:rsidR="00B01930" w:rsidRPr="007B7627" w:rsidRDefault="00B01930" w:rsidP="00B01930">
      <w:pPr>
        <w:pStyle w:val="citation"/>
      </w:pPr>
    </w:p>
    <w:p w14:paraId="46F18710" w14:textId="77777777" w:rsidR="00B01930" w:rsidRPr="00816D7A" w:rsidRDefault="00B01930" w:rsidP="00B01930">
      <w:pPr>
        <w:spacing w:before="120" w:after="120"/>
        <w:jc w:val="both"/>
        <w:rPr>
          <w:i/>
          <w:szCs w:val="24"/>
        </w:rPr>
      </w:pPr>
      <w:r w:rsidRPr="00816D7A">
        <w:rPr>
          <w:szCs w:val="24"/>
        </w:rPr>
        <w:t>Comment s’opérait la destruction de la personnalité de l’individu ? En premier lieu, en faisant disparaître tout objet qui rattachait celui-ci à son passé, ainsi que les noms et prénoms par lesquels il se disti</w:t>
      </w:r>
      <w:r w:rsidRPr="00816D7A">
        <w:rPr>
          <w:szCs w:val="24"/>
        </w:rPr>
        <w:t>n</w:t>
      </w:r>
      <w:r w:rsidRPr="00816D7A">
        <w:rPr>
          <w:szCs w:val="24"/>
        </w:rPr>
        <w:t>guait des autres, remplacé par un numéro :</w:t>
      </w:r>
    </w:p>
    <w:p w14:paraId="3AD74F13" w14:textId="77777777" w:rsidR="00B01930" w:rsidRPr="00EC4514" w:rsidRDefault="00B01930" w:rsidP="00B01930">
      <w:pPr>
        <w:pStyle w:val="citation"/>
      </w:pPr>
    </w:p>
    <w:p w14:paraId="710152B5" w14:textId="77777777" w:rsidR="00B01930" w:rsidRPr="00EC4514" w:rsidRDefault="00B01930" w:rsidP="00B01930">
      <w:pPr>
        <w:pStyle w:val="citation"/>
      </w:pPr>
      <w:r w:rsidRPr="00EC4514">
        <w:t>« Nous apportions de France avec nous un petit confort amassé en pr</w:t>
      </w:r>
      <w:r w:rsidRPr="00EC4514">
        <w:t>i</w:t>
      </w:r>
      <w:r w:rsidRPr="00EC4514">
        <w:t>son grâce aux colis de nos familles : de bons v</w:t>
      </w:r>
      <w:r w:rsidRPr="00EC4514">
        <w:t>ê</w:t>
      </w:r>
      <w:r w:rsidRPr="00EC4514">
        <w:t>tements, les dentifrices, les savons, les brosses à ongles de la vie civilisée ; nous nous croyons encore des droits, ceux en tout cas que dans les pays civilisés on reconnaît même aux condamnés à mort : droit à la justice, droit à un avocat, droit à un m</w:t>
      </w:r>
      <w:r w:rsidRPr="00EC4514">
        <w:t>é</w:t>
      </w:r>
      <w:r w:rsidRPr="00EC4514">
        <w:t>decin quand on est malade, droit à un prêtre, droit à deux repas par jour, droit de garder sa chemise pour mourir… Avant la nuit, de tout cela nous étions dépouillées. Il ne nous restait plus rien, pas un objet, pas un droit, pas un espoir. Quelques loques qui ne nous appartenaient pas et un num</w:t>
      </w:r>
      <w:r w:rsidRPr="00EC4514">
        <w:t>é</w:t>
      </w:r>
      <w:r w:rsidRPr="00EC4514">
        <w:t>ro cousu sur la ma</w:t>
      </w:r>
      <w:r w:rsidRPr="00EC4514">
        <w:t>n</w:t>
      </w:r>
      <w:r w:rsidRPr="00EC4514">
        <w:t>che gauche, accompagné d’un triangle rouge</w:t>
      </w:r>
      <w:r>
        <w:t> </w:t>
      </w:r>
      <w:r>
        <w:rPr>
          <w:rStyle w:val="Appelnotedebasdep"/>
        </w:rPr>
        <w:footnoteReference w:id="909"/>
      </w:r>
      <w:r w:rsidRPr="00EC4514">
        <w:t> ».</w:t>
      </w:r>
    </w:p>
    <w:p w14:paraId="5ACEDC8B" w14:textId="77777777" w:rsidR="00B01930" w:rsidRPr="00EC4514" w:rsidRDefault="00B01930" w:rsidP="00B01930">
      <w:pPr>
        <w:pStyle w:val="citation"/>
      </w:pPr>
    </w:p>
    <w:p w14:paraId="4CEFA4D3" w14:textId="77777777" w:rsidR="00B01930" w:rsidRPr="00816D7A" w:rsidRDefault="00B01930" w:rsidP="00B01930">
      <w:pPr>
        <w:spacing w:before="120" w:after="120"/>
        <w:jc w:val="both"/>
        <w:rPr>
          <w:szCs w:val="24"/>
        </w:rPr>
      </w:pPr>
      <w:r w:rsidRPr="00816D7A">
        <w:rPr>
          <w:szCs w:val="24"/>
        </w:rPr>
        <w:t xml:space="preserve">C’est ce qu’exprime également Primo Lévi dans </w:t>
      </w:r>
      <w:r w:rsidRPr="00816D7A">
        <w:rPr>
          <w:i/>
          <w:szCs w:val="24"/>
        </w:rPr>
        <w:t>« Si c’est un homme »,</w:t>
      </w:r>
      <w:r w:rsidRPr="00816D7A">
        <w:rPr>
          <w:szCs w:val="24"/>
        </w:rPr>
        <w:t xml:space="preserve"> en relevant que cette expérience de dépersonnalisation est d’une violence telle qu’elle est, tout à la fois, à la limite </w:t>
      </w:r>
      <w:r>
        <w:rPr>
          <w:rStyle w:val="Appelnotedebasdep"/>
          <w:szCs w:val="24"/>
        </w:rPr>
        <w:footnoteReference w:id="910"/>
      </w:r>
      <w:r w:rsidRPr="00816D7A">
        <w:rPr>
          <w:szCs w:val="24"/>
        </w:rPr>
        <w:t xml:space="preserve"> de l’indicible </w:t>
      </w:r>
      <w:r>
        <w:rPr>
          <w:rStyle w:val="Appelnotedebasdep"/>
          <w:szCs w:val="24"/>
        </w:rPr>
        <w:footnoteReference w:id="911"/>
      </w:r>
      <w:r w:rsidRPr="00816D7A">
        <w:rPr>
          <w:szCs w:val="24"/>
        </w:rPr>
        <w:t xml:space="preserve"> et de l’incompréhensible </w:t>
      </w:r>
      <w:r>
        <w:rPr>
          <w:rStyle w:val="Appelnotedebasdep"/>
          <w:szCs w:val="24"/>
        </w:rPr>
        <w:footnoteReference w:id="912"/>
      </w:r>
      <w:r w:rsidRPr="00816D7A">
        <w:rPr>
          <w:szCs w:val="24"/>
        </w:rPr>
        <w:t>. La violence de cette agre</w:t>
      </w:r>
      <w:r w:rsidRPr="00816D7A">
        <w:rPr>
          <w:szCs w:val="24"/>
        </w:rPr>
        <w:t>s</w:t>
      </w:r>
      <w:r w:rsidRPr="00816D7A">
        <w:rPr>
          <w:szCs w:val="24"/>
        </w:rPr>
        <w:t>sion contre la dignité individuelle est telle qu’elle affecte également la d</w:t>
      </w:r>
      <w:r w:rsidRPr="00816D7A">
        <w:rPr>
          <w:szCs w:val="24"/>
        </w:rPr>
        <w:t>i</w:t>
      </w:r>
      <w:r w:rsidRPr="00816D7A">
        <w:rPr>
          <w:szCs w:val="24"/>
        </w:rPr>
        <w:t xml:space="preserve">gnité collective en poussant ses victimes à renier celle-ci : </w:t>
      </w:r>
    </w:p>
    <w:p w14:paraId="209314D0" w14:textId="77777777" w:rsidR="00B01930" w:rsidRPr="00EC4514" w:rsidRDefault="00B01930" w:rsidP="00B01930">
      <w:pPr>
        <w:pStyle w:val="citation"/>
      </w:pPr>
    </w:p>
    <w:p w14:paraId="45922117" w14:textId="77777777" w:rsidR="00B01930" w:rsidRPr="00EC4514" w:rsidRDefault="00B01930" w:rsidP="00B01930">
      <w:pPr>
        <w:pStyle w:val="citation"/>
      </w:pPr>
      <w:r w:rsidRPr="00F60FF0">
        <w:t>« Qu’on imagine maintenant un homme privé non seulement des êtres qu’il aime, mais de sa maison, de ses habitudes, de ses vêtements, de tout enfin, littéralement de tout ce qu’il possède : ce sera un homme vide, r</w:t>
      </w:r>
      <w:r w:rsidRPr="00F60FF0">
        <w:t>é</w:t>
      </w:r>
      <w:r w:rsidRPr="00F60FF0">
        <w:t>duit à la souffrance et au besoin, dénué de tout discernement, oublieux de toute dignité ; car il n’est pas rare, quand on a tout perdu, de se perdre soi-même </w:t>
      </w:r>
      <w:r>
        <w:rPr>
          <w:rStyle w:val="Appelnotedebasdep"/>
        </w:rPr>
        <w:footnoteReference w:id="913"/>
      </w:r>
      <w:r>
        <w:t> ».</w:t>
      </w:r>
    </w:p>
    <w:p w14:paraId="120C4BAC" w14:textId="77777777" w:rsidR="00B01930" w:rsidRPr="00EC4514" w:rsidRDefault="00B01930" w:rsidP="00B01930">
      <w:pPr>
        <w:spacing w:before="120" w:after="120"/>
        <w:ind w:left="720"/>
        <w:jc w:val="both"/>
      </w:pPr>
    </w:p>
    <w:p w14:paraId="7CBFB091" w14:textId="77777777" w:rsidR="00B01930" w:rsidRPr="00816D7A" w:rsidRDefault="00B01930" w:rsidP="00B01930">
      <w:pPr>
        <w:spacing w:before="120" w:after="120"/>
        <w:jc w:val="both"/>
        <w:rPr>
          <w:szCs w:val="24"/>
        </w:rPr>
      </w:pPr>
      <w:r w:rsidRPr="00816D7A">
        <w:rPr>
          <w:szCs w:val="24"/>
        </w:rPr>
        <w:t>L’analyse souligne l’étendue de l’agression sciemment perpétrée contre la dignité humaine, ce que met en exergue une phrase finale dont toute la portée ne peut s’appréhender pleinement hors de son contexte :</w:t>
      </w:r>
    </w:p>
    <w:p w14:paraId="60E59586" w14:textId="77777777" w:rsidR="00B01930" w:rsidRPr="00EC4514" w:rsidRDefault="00B01930" w:rsidP="00B01930">
      <w:pPr>
        <w:pStyle w:val="citation"/>
      </w:pPr>
      <w:r w:rsidRPr="00EC4514">
        <w:t>« On comprendra alors le double sens du terme « camp d’extermination </w:t>
      </w:r>
      <w:r>
        <w:rPr>
          <w:rStyle w:val="Appelnotedebasdep"/>
        </w:rPr>
        <w:footnoteReference w:id="914"/>
      </w:r>
      <w:r w:rsidRPr="00EC4514">
        <w:t> » et ce que nous entendons par l’expression « toucher le fond </w:t>
      </w:r>
      <w:r>
        <w:rPr>
          <w:rStyle w:val="Appelnotedebasdep"/>
        </w:rPr>
        <w:footnoteReference w:id="915"/>
      </w:r>
      <w:r w:rsidRPr="00EC4514">
        <w:t> ».</w:t>
      </w:r>
    </w:p>
    <w:p w14:paraId="62A6106B" w14:textId="77777777" w:rsidR="00B01930" w:rsidRPr="00EC4514" w:rsidRDefault="00B01930" w:rsidP="00B01930">
      <w:pPr>
        <w:spacing w:before="120" w:after="120"/>
        <w:ind w:left="720"/>
        <w:jc w:val="both"/>
      </w:pPr>
      <w:r>
        <w:br w:type="page"/>
      </w:r>
    </w:p>
    <w:p w14:paraId="17D0B170" w14:textId="77777777" w:rsidR="00B01930" w:rsidRPr="00816D7A" w:rsidRDefault="00B01930" w:rsidP="00B01930">
      <w:pPr>
        <w:spacing w:before="120" w:after="120"/>
        <w:jc w:val="both"/>
        <w:rPr>
          <w:szCs w:val="24"/>
        </w:rPr>
      </w:pPr>
      <w:r w:rsidRPr="00816D7A">
        <w:rPr>
          <w:szCs w:val="24"/>
        </w:rPr>
        <w:t>Germaine Tillion ne dit pas autre chose lorsqu’elle évoque le s</w:t>
      </w:r>
      <w:r w:rsidRPr="00816D7A">
        <w:rPr>
          <w:szCs w:val="24"/>
        </w:rPr>
        <w:t>o</w:t>
      </w:r>
      <w:r w:rsidRPr="00816D7A">
        <w:rPr>
          <w:szCs w:val="24"/>
        </w:rPr>
        <w:t>briquet empreint de dérision sous lequel l’ensemble du camp de fe</w:t>
      </w:r>
      <w:r w:rsidRPr="00816D7A">
        <w:rPr>
          <w:szCs w:val="24"/>
        </w:rPr>
        <w:t>m</w:t>
      </w:r>
      <w:r w:rsidRPr="00816D7A">
        <w:rPr>
          <w:szCs w:val="24"/>
        </w:rPr>
        <w:t>mes de Ravensbrück, et non pas seulement les seuls tortionnaires </w:t>
      </w:r>
      <w:r>
        <w:rPr>
          <w:rStyle w:val="Appelnotedebasdep"/>
          <w:szCs w:val="24"/>
        </w:rPr>
        <w:footnoteReference w:id="916"/>
      </w:r>
      <w:r w:rsidRPr="00816D7A">
        <w:rPr>
          <w:szCs w:val="24"/>
        </w:rPr>
        <w:t>, désignaient celles qui s’étaient laissé allé à renoncer, au-delà de la d</w:t>
      </w:r>
      <w:r w:rsidRPr="00816D7A">
        <w:rPr>
          <w:szCs w:val="24"/>
        </w:rPr>
        <w:t>i</w:t>
      </w:r>
      <w:r w:rsidRPr="00816D7A">
        <w:rPr>
          <w:szCs w:val="24"/>
        </w:rPr>
        <w:t>gnité individuelle dont elles avaient été privées, à leur dignité colle</w:t>
      </w:r>
      <w:r w:rsidRPr="00816D7A">
        <w:rPr>
          <w:szCs w:val="24"/>
        </w:rPr>
        <w:t>c</w:t>
      </w:r>
      <w:r w:rsidRPr="00816D7A">
        <w:rPr>
          <w:szCs w:val="24"/>
        </w:rPr>
        <w:t>tive </w:t>
      </w:r>
      <w:r>
        <w:rPr>
          <w:rStyle w:val="Appelnotedebasdep"/>
          <w:szCs w:val="24"/>
        </w:rPr>
        <w:footnoteReference w:id="917"/>
      </w:r>
      <w:r w:rsidRPr="00816D7A">
        <w:rPr>
          <w:szCs w:val="24"/>
        </w:rPr>
        <w:t xml:space="preserve"> :</w:t>
      </w:r>
    </w:p>
    <w:p w14:paraId="3C33E3FD" w14:textId="77777777" w:rsidR="00B01930" w:rsidRPr="00203F84" w:rsidRDefault="00B01930" w:rsidP="00B01930">
      <w:pPr>
        <w:pStyle w:val="citation"/>
      </w:pPr>
      <w:r w:rsidRPr="00203F84">
        <w:t>« Le mot allemand Schmuckstück signifie « objet pr</w:t>
      </w:r>
      <w:r w:rsidRPr="00203F84">
        <w:t>é</w:t>
      </w:r>
      <w:r w:rsidRPr="00203F84">
        <w:t>cieux », « bijou », « pièce d’orfèvrerie », et tout le camp désignait ainsi, par ant</w:t>
      </w:r>
      <w:r w:rsidRPr="00203F84">
        <w:t>i</w:t>
      </w:r>
      <w:r w:rsidRPr="00203F84">
        <w:t>phrase, des êtres misérables parvenus au dernier degré de la dégradation morale et physique </w:t>
      </w:r>
      <w:r>
        <w:rPr>
          <w:rStyle w:val="Appelnotedebasdep"/>
        </w:rPr>
        <w:footnoteReference w:id="918"/>
      </w:r>
      <w:r w:rsidRPr="00203F84">
        <w:t xml:space="preserve"> … Sans camarades, sans espoir, sans dignité, app</w:t>
      </w:r>
      <w:r w:rsidRPr="00203F84">
        <w:t>a</w:t>
      </w:r>
      <w:r w:rsidRPr="00203F84">
        <w:t>remment sans pensée, mue seul</w:t>
      </w:r>
      <w:r w:rsidRPr="00203F84">
        <w:t>e</w:t>
      </w:r>
      <w:r w:rsidRPr="00203F84">
        <w:t>ment par la faim et la peur, chacun de ses jours d’existence était un défi à tout ce que l’on croyait savoir sur l’hygiène et la nature. Quoi d’étonnant à ce qu’elle meure ! Elle était déjà au-delà de la vie </w:t>
      </w:r>
      <w:r>
        <w:rPr>
          <w:rStyle w:val="Appelnotedebasdep"/>
        </w:rPr>
        <w:footnoteReference w:id="919"/>
      </w:r>
      <w:r w:rsidRPr="00203F84">
        <w:t> ».</w:t>
      </w:r>
    </w:p>
    <w:p w14:paraId="2DBE33A2" w14:textId="77777777" w:rsidR="00B01930" w:rsidRPr="00203F84" w:rsidRDefault="00B01930" w:rsidP="00B01930">
      <w:pPr>
        <w:pStyle w:val="citation"/>
      </w:pPr>
    </w:p>
    <w:p w14:paraId="74CF95B4" w14:textId="77777777" w:rsidR="00B01930" w:rsidRPr="00816D7A" w:rsidRDefault="00B01930" w:rsidP="00B01930">
      <w:pPr>
        <w:spacing w:before="120" w:after="120"/>
        <w:jc w:val="both"/>
        <w:rPr>
          <w:szCs w:val="24"/>
        </w:rPr>
      </w:pPr>
      <w:r w:rsidRPr="00816D7A">
        <w:rPr>
          <w:szCs w:val="24"/>
        </w:rPr>
        <w:t>Il est frappant de voir ici Germaine Tillion, renoncer, non sans h</w:t>
      </w:r>
      <w:r w:rsidRPr="00816D7A">
        <w:rPr>
          <w:szCs w:val="24"/>
        </w:rPr>
        <w:t>é</w:t>
      </w:r>
      <w:r w:rsidRPr="00816D7A">
        <w:rPr>
          <w:szCs w:val="24"/>
        </w:rPr>
        <w:t xml:space="preserve">sitation, à continuer à qualifier ces êtres de femmes, les désignant comme des </w:t>
      </w:r>
      <w:r w:rsidRPr="00816D7A">
        <w:rPr>
          <w:i/>
          <w:szCs w:val="24"/>
        </w:rPr>
        <w:t>« créatures »</w:t>
      </w:r>
      <w:r w:rsidRPr="00816D7A">
        <w:rPr>
          <w:szCs w:val="24"/>
        </w:rPr>
        <w:t xml:space="preserve"> se trouvant </w:t>
      </w:r>
      <w:r w:rsidRPr="00816D7A">
        <w:rPr>
          <w:i/>
          <w:szCs w:val="24"/>
        </w:rPr>
        <w:t>« déjà au-delà de la vie » </w:t>
      </w:r>
      <w:r w:rsidRPr="00816D7A">
        <w:rPr>
          <w:szCs w:val="24"/>
        </w:rPr>
        <w:t xml:space="preserve">après les avoir présentées comme des </w:t>
      </w:r>
      <w:r w:rsidRPr="00816D7A">
        <w:rPr>
          <w:i/>
          <w:szCs w:val="24"/>
        </w:rPr>
        <w:t>« objets » :</w:t>
      </w:r>
    </w:p>
    <w:p w14:paraId="5AAF2202" w14:textId="77777777" w:rsidR="00B01930" w:rsidRPr="00203F84" w:rsidRDefault="00B01930" w:rsidP="00B01930">
      <w:pPr>
        <w:pStyle w:val="citation"/>
      </w:pPr>
    </w:p>
    <w:p w14:paraId="0BB89E3E" w14:textId="77777777" w:rsidR="00B01930" w:rsidRPr="00203F84" w:rsidRDefault="00B01930" w:rsidP="00B01930">
      <w:pPr>
        <w:pStyle w:val="citation"/>
      </w:pPr>
      <w:r w:rsidRPr="00203F84">
        <w:t>« Le mot ne comportait pas de féminin, car le Schmuckstück n’appartenait plus à une catégorie sexuée mais à celle des o</w:t>
      </w:r>
      <w:r w:rsidRPr="00203F84">
        <w:t>b</w:t>
      </w:r>
      <w:r w:rsidRPr="00203F84">
        <w:t>jets, des Stück </w:t>
      </w:r>
      <w:r>
        <w:rPr>
          <w:rStyle w:val="Appelnotedebasdep"/>
        </w:rPr>
        <w:footnoteReference w:id="920"/>
      </w:r>
      <w:r w:rsidRPr="00203F84">
        <w:t> ».</w:t>
      </w:r>
    </w:p>
    <w:p w14:paraId="449B5922" w14:textId="77777777" w:rsidR="00B01930" w:rsidRPr="00203F84" w:rsidRDefault="00B01930" w:rsidP="00B01930">
      <w:pPr>
        <w:pStyle w:val="citation"/>
      </w:pPr>
    </w:p>
    <w:p w14:paraId="16B7586D" w14:textId="77777777" w:rsidR="00B01930" w:rsidRPr="00816D7A" w:rsidRDefault="00B01930" w:rsidP="00B01930">
      <w:pPr>
        <w:spacing w:before="120" w:after="120"/>
        <w:jc w:val="both"/>
        <w:rPr>
          <w:szCs w:val="24"/>
        </w:rPr>
      </w:pPr>
      <w:r w:rsidRPr="00816D7A">
        <w:rPr>
          <w:szCs w:val="24"/>
        </w:rPr>
        <w:t xml:space="preserve">L’hésitation traduit la difficulté à trouver le mot juste. Cela s’explique par le fait que la </w:t>
      </w:r>
      <w:r w:rsidRPr="00816D7A">
        <w:rPr>
          <w:i/>
          <w:szCs w:val="24"/>
        </w:rPr>
        <w:t>Shoah</w:t>
      </w:r>
      <w:r w:rsidRPr="00816D7A">
        <w:rPr>
          <w:szCs w:val="24"/>
        </w:rPr>
        <w:t xml:space="preserve"> ait repoussé les limites jusque-là connues de l’horreur. L’expérience vécue par les concentrationnaires était d’une telle étrangeté </w:t>
      </w:r>
      <w:r>
        <w:rPr>
          <w:rStyle w:val="Appelnotedebasdep"/>
          <w:szCs w:val="24"/>
        </w:rPr>
        <w:footnoteReference w:id="921"/>
      </w:r>
      <w:r w:rsidRPr="00816D7A">
        <w:rPr>
          <w:szCs w:val="24"/>
        </w:rPr>
        <w:t xml:space="preserve"> que les mots manquaient pour la décr</w:t>
      </w:r>
      <w:r w:rsidRPr="00816D7A">
        <w:rPr>
          <w:szCs w:val="24"/>
        </w:rPr>
        <w:t>i</w:t>
      </w:r>
      <w:r w:rsidRPr="00816D7A">
        <w:rPr>
          <w:szCs w:val="24"/>
        </w:rPr>
        <w:t>re </w:t>
      </w:r>
      <w:r>
        <w:rPr>
          <w:rStyle w:val="Appelnotedebasdep"/>
          <w:szCs w:val="24"/>
        </w:rPr>
        <w:footnoteReference w:id="922"/>
      </w:r>
      <w:r w:rsidRPr="00816D7A">
        <w:rPr>
          <w:szCs w:val="24"/>
        </w:rPr>
        <w:t>. Quelques-uns, « </w:t>
      </w:r>
      <w:r w:rsidRPr="00816D7A">
        <w:rPr>
          <w:i/>
          <w:szCs w:val="24"/>
        </w:rPr>
        <w:t>musulmans </w:t>
      </w:r>
      <w:r w:rsidRPr="00816D7A">
        <w:rPr>
          <w:szCs w:val="24"/>
        </w:rPr>
        <w:t>» et « </w:t>
      </w:r>
      <w:r w:rsidRPr="00816D7A">
        <w:rPr>
          <w:i/>
          <w:szCs w:val="24"/>
        </w:rPr>
        <w:t>objet précieux</w:t>
      </w:r>
      <w:r w:rsidRPr="00816D7A">
        <w:rPr>
          <w:szCs w:val="24"/>
        </w:rPr>
        <w:t> »</w:t>
      </w:r>
      <w:r w:rsidRPr="00816D7A">
        <w:rPr>
          <w:i/>
          <w:szCs w:val="24"/>
        </w:rPr>
        <w:t xml:space="preserve"> </w:t>
      </w:r>
      <w:r w:rsidRPr="00816D7A">
        <w:rPr>
          <w:szCs w:val="24"/>
        </w:rPr>
        <w:t>nota</w:t>
      </w:r>
      <w:r w:rsidRPr="00816D7A">
        <w:rPr>
          <w:szCs w:val="24"/>
        </w:rPr>
        <w:t>m</w:t>
      </w:r>
      <w:r w:rsidRPr="00816D7A">
        <w:rPr>
          <w:szCs w:val="24"/>
        </w:rPr>
        <w:t>ment, s’imposèrent d’évidence aux concentrationnaires. Nul d’entre eux n’avait besoin d’en demander le sens, car celui-ci était perçu au pr</w:t>
      </w:r>
      <w:r w:rsidRPr="00816D7A">
        <w:rPr>
          <w:szCs w:val="24"/>
        </w:rPr>
        <w:t>e</w:t>
      </w:r>
      <w:r w:rsidRPr="00816D7A">
        <w:rPr>
          <w:szCs w:val="24"/>
        </w:rPr>
        <w:t>mier coup d’œil par ceux qui luttaient jour après jour, nuit après nuit, pour préserver leur dignité humaine, précisément. Ils saisissaient d’instinct ce que ces « </w:t>
      </w:r>
      <w:r w:rsidRPr="00816D7A">
        <w:rPr>
          <w:i/>
          <w:szCs w:val="24"/>
        </w:rPr>
        <w:t>créatures</w:t>
      </w:r>
      <w:r w:rsidRPr="00816D7A">
        <w:rPr>
          <w:szCs w:val="24"/>
        </w:rPr>
        <w:t> » avaient perdu et n’en ressentaient que plus vivement ce qu’ils risquaient de perdre.</w:t>
      </w:r>
    </w:p>
    <w:p w14:paraId="12C816BB" w14:textId="77777777" w:rsidR="00B01930" w:rsidRPr="00816D7A" w:rsidRDefault="00B01930" w:rsidP="00B01930">
      <w:pPr>
        <w:spacing w:before="120" w:after="120"/>
        <w:jc w:val="both"/>
        <w:rPr>
          <w:szCs w:val="24"/>
        </w:rPr>
      </w:pPr>
      <w:r w:rsidRPr="00816D7A">
        <w:rPr>
          <w:szCs w:val="24"/>
        </w:rPr>
        <w:t>Ceux qui n’avaient pas vécu cette expérience n’en avaient pas la connaissance intuitive qu’en possédaient tous les concentrationna</w:t>
      </w:r>
      <w:r w:rsidRPr="00816D7A">
        <w:rPr>
          <w:szCs w:val="24"/>
        </w:rPr>
        <w:t>i</w:t>
      </w:r>
      <w:r w:rsidRPr="00816D7A">
        <w:rPr>
          <w:szCs w:val="24"/>
        </w:rPr>
        <w:t>res </w:t>
      </w:r>
      <w:r>
        <w:rPr>
          <w:rStyle w:val="Appelnotedebasdep"/>
          <w:szCs w:val="24"/>
        </w:rPr>
        <w:footnoteReference w:id="923"/>
      </w:r>
      <w:r w:rsidRPr="00816D7A">
        <w:rPr>
          <w:szCs w:val="24"/>
        </w:rPr>
        <w:t>. Les survivants durent trouver un moyen de transmettre cette r</w:t>
      </w:r>
      <w:r w:rsidRPr="00816D7A">
        <w:rPr>
          <w:szCs w:val="24"/>
        </w:rPr>
        <w:t>é</w:t>
      </w:r>
      <w:r w:rsidRPr="00816D7A">
        <w:rPr>
          <w:szCs w:val="24"/>
        </w:rPr>
        <w:t>alité vécue avec des mots. Ils y réussirent par une utilisation appr</w:t>
      </w:r>
      <w:r w:rsidRPr="00816D7A">
        <w:rPr>
          <w:szCs w:val="24"/>
        </w:rPr>
        <w:t>o</w:t>
      </w:r>
      <w:r w:rsidRPr="00816D7A">
        <w:rPr>
          <w:szCs w:val="24"/>
        </w:rPr>
        <w:t>priée du langage du dehors enrichi à bon escient de quelques termes forgés par la communauté même des concentrationnaires. Les camps possédaient leur propre langage, formé de vocables empruntés aux diverses langues qui s’y entrechoquaient, parfois tronqués ou abrégés, ainsi que de mots forgés de toutes pièces pour aller droit au but et n’être compris que de leurs destinataires.</w:t>
      </w:r>
    </w:p>
    <w:p w14:paraId="211CC234" w14:textId="77777777" w:rsidR="00B01930" w:rsidRPr="00816D7A" w:rsidRDefault="00B01930" w:rsidP="00B01930">
      <w:pPr>
        <w:spacing w:before="120" w:after="120"/>
        <w:jc w:val="both"/>
        <w:rPr>
          <w:i/>
          <w:szCs w:val="24"/>
        </w:rPr>
      </w:pPr>
      <w:r w:rsidRPr="00816D7A">
        <w:rPr>
          <w:szCs w:val="24"/>
        </w:rPr>
        <w:t>Malgré la variété et la richesse de son vocabulaire, ce langage ne faisait sens que dans les camps. En user avec ceux du dehors eut été une mascarade. Il était en revanche possible de décrire la réalité du camp avec les mots du dehors. Comment ? En premier lieu, l’avenir apparaissant par trop hypothétique, en s’inscrivant toujours dans le présent, soit en avançant « </w:t>
      </w:r>
      <w:r w:rsidRPr="00816D7A">
        <w:rPr>
          <w:i/>
          <w:szCs w:val="24"/>
        </w:rPr>
        <w:t>pas à pas</w:t>
      </w:r>
      <w:r>
        <w:rPr>
          <w:szCs w:val="24"/>
        </w:rPr>
        <w:t> </w:t>
      </w:r>
      <w:r>
        <w:rPr>
          <w:rStyle w:val="Appelnotedebasdep"/>
          <w:szCs w:val="24"/>
        </w:rPr>
        <w:footnoteReference w:id="924"/>
      </w:r>
      <w:r w:rsidRPr="00816D7A">
        <w:rPr>
          <w:i/>
          <w:szCs w:val="24"/>
        </w:rPr>
        <w:t> </w:t>
      </w:r>
      <w:r w:rsidRPr="00816D7A">
        <w:rPr>
          <w:szCs w:val="24"/>
        </w:rPr>
        <w:t>» selon la formule si juste d’Imre Kertész. En second lieu, en allant toujours à l’essentiel, au cœur des choses, aussi futiles puissent-elles paraître de l’extérieur, car rien de l’expérience vécue dans les camps n’était secondaire. En  tro</w:t>
      </w:r>
      <w:r w:rsidRPr="00816D7A">
        <w:rPr>
          <w:szCs w:val="24"/>
        </w:rPr>
        <w:t>i</w:t>
      </w:r>
      <w:r w:rsidRPr="00816D7A">
        <w:rPr>
          <w:szCs w:val="24"/>
        </w:rPr>
        <w:t>sième lieu, en décrivant avec une précision quasi chirurgicale les s</w:t>
      </w:r>
      <w:r w:rsidRPr="00816D7A">
        <w:rPr>
          <w:szCs w:val="24"/>
        </w:rPr>
        <w:t>i</w:t>
      </w:r>
      <w:r w:rsidRPr="00816D7A">
        <w:rPr>
          <w:szCs w:val="24"/>
        </w:rPr>
        <w:t xml:space="preserve">tuations et les êtres ou en restituant tels quels les actes observés, les paroles entendues, les émotions ressenties, </w:t>
      </w:r>
      <w:r w:rsidRPr="00816D7A">
        <w:rPr>
          <w:i/>
          <w:szCs w:val="24"/>
        </w:rPr>
        <w:t>etc.</w:t>
      </w:r>
      <w:r w:rsidRPr="00816D7A">
        <w:rPr>
          <w:szCs w:val="24"/>
        </w:rPr>
        <w:t xml:space="preserve"> En quatrième lieu, en introduisant à bon escient une discordance subtile rendant compte de l’étrangeté de l’expérience vécue, ce par la conservation de quelques mots issus du vocabulaire des camps (« </w:t>
      </w:r>
      <w:r w:rsidRPr="00816D7A">
        <w:rPr>
          <w:i/>
          <w:szCs w:val="24"/>
        </w:rPr>
        <w:t>musulmans</w:t>
      </w:r>
      <w:r w:rsidRPr="00816D7A">
        <w:rPr>
          <w:szCs w:val="24"/>
        </w:rPr>
        <w:t> »,</w:t>
      </w:r>
      <w:r w:rsidRPr="00816D7A">
        <w:rPr>
          <w:i/>
          <w:szCs w:val="24"/>
        </w:rPr>
        <w:t xml:space="preserve"> </w:t>
      </w:r>
      <w:r w:rsidRPr="00816D7A">
        <w:rPr>
          <w:szCs w:val="24"/>
        </w:rPr>
        <w:t>« </w:t>
      </w:r>
      <w:r w:rsidRPr="00816D7A">
        <w:rPr>
          <w:i/>
          <w:szCs w:val="24"/>
        </w:rPr>
        <w:t>objets pr</w:t>
      </w:r>
      <w:r w:rsidRPr="00816D7A">
        <w:rPr>
          <w:i/>
          <w:szCs w:val="24"/>
        </w:rPr>
        <w:t>é</w:t>
      </w:r>
      <w:r w:rsidRPr="00816D7A">
        <w:rPr>
          <w:i/>
          <w:szCs w:val="24"/>
        </w:rPr>
        <w:t>cieux</w:t>
      </w:r>
      <w:r w:rsidRPr="00816D7A">
        <w:rPr>
          <w:szCs w:val="24"/>
        </w:rPr>
        <w:t> »,</w:t>
      </w:r>
      <w:r w:rsidRPr="00816D7A">
        <w:rPr>
          <w:i/>
          <w:szCs w:val="24"/>
        </w:rPr>
        <w:t xml:space="preserve"> </w:t>
      </w:r>
      <w:r w:rsidRPr="00816D7A">
        <w:rPr>
          <w:szCs w:val="24"/>
        </w:rPr>
        <w:t>«</w:t>
      </w:r>
      <w:r w:rsidRPr="00816D7A">
        <w:rPr>
          <w:i/>
          <w:szCs w:val="24"/>
        </w:rPr>
        <w:t> kapos</w:t>
      </w:r>
      <w:r w:rsidRPr="00816D7A">
        <w:rPr>
          <w:szCs w:val="24"/>
        </w:rPr>
        <w:t> »,</w:t>
      </w:r>
      <w:r w:rsidRPr="00816D7A">
        <w:rPr>
          <w:i/>
          <w:szCs w:val="24"/>
        </w:rPr>
        <w:t xml:space="preserve"> etc.)</w:t>
      </w:r>
      <w:r w:rsidRPr="00816D7A">
        <w:rPr>
          <w:szCs w:val="24"/>
        </w:rPr>
        <w:t xml:space="preserve"> soigneusement choisis pour leur décalage (avec leur sens commun) ou leur concision et l’horreur qu’ils reco</w:t>
      </w:r>
      <w:r w:rsidRPr="00816D7A">
        <w:rPr>
          <w:szCs w:val="24"/>
        </w:rPr>
        <w:t>u</w:t>
      </w:r>
      <w:r w:rsidRPr="00816D7A">
        <w:rPr>
          <w:szCs w:val="24"/>
        </w:rPr>
        <w:t xml:space="preserve">vraient au sein des camps, </w:t>
      </w:r>
      <w:r w:rsidRPr="00816D7A">
        <w:rPr>
          <w:i/>
          <w:szCs w:val="24"/>
        </w:rPr>
        <w:t>etc.</w:t>
      </w:r>
    </w:p>
    <w:p w14:paraId="6752F631" w14:textId="77777777" w:rsidR="00B01930" w:rsidRPr="00816D7A" w:rsidRDefault="00B01930" w:rsidP="00B01930">
      <w:pPr>
        <w:spacing w:before="120" w:after="120"/>
        <w:jc w:val="both"/>
        <w:rPr>
          <w:szCs w:val="24"/>
        </w:rPr>
      </w:pPr>
      <w:r w:rsidRPr="00816D7A">
        <w:rPr>
          <w:szCs w:val="24"/>
        </w:rPr>
        <w:t>C’est ce que firent Germaine Tillion, Primo Lévi et quelques a</w:t>
      </w:r>
      <w:r w:rsidRPr="00816D7A">
        <w:rPr>
          <w:szCs w:val="24"/>
        </w:rPr>
        <w:t>u</w:t>
      </w:r>
      <w:r w:rsidRPr="00816D7A">
        <w:rPr>
          <w:szCs w:val="24"/>
        </w:rPr>
        <w:t>tres, sans préjudice de l’existence d’autres voies à explorer, telles que, par exemple, la mise à distance par la forme romanesque pour Imre Kertész </w:t>
      </w:r>
      <w:r>
        <w:rPr>
          <w:rStyle w:val="Appelnotedebasdep"/>
          <w:szCs w:val="24"/>
        </w:rPr>
        <w:footnoteReference w:id="925"/>
      </w:r>
      <w:r w:rsidRPr="00816D7A">
        <w:rPr>
          <w:szCs w:val="24"/>
        </w:rPr>
        <w:t>, le recours à des envolées poétiques pour David Rou</w:t>
      </w:r>
      <w:r w:rsidRPr="00816D7A">
        <w:rPr>
          <w:szCs w:val="24"/>
        </w:rPr>
        <w:t>s</w:t>
      </w:r>
      <w:r w:rsidRPr="00816D7A">
        <w:rPr>
          <w:szCs w:val="24"/>
        </w:rPr>
        <w:t>set </w:t>
      </w:r>
      <w:r>
        <w:rPr>
          <w:rStyle w:val="Appelnotedebasdep"/>
          <w:szCs w:val="24"/>
        </w:rPr>
        <w:footnoteReference w:id="926"/>
      </w:r>
      <w:r w:rsidRPr="00816D7A">
        <w:rPr>
          <w:szCs w:val="24"/>
        </w:rPr>
        <w:t>, le secours de la religion revisité à l’aune de l’expérience vécue pour R</w:t>
      </w:r>
      <w:r w:rsidRPr="00816D7A">
        <w:rPr>
          <w:szCs w:val="24"/>
        </w:rPr>
        <w:t>o</w:t>
      </w:r>
      <w:r w:rsidRPr="00816D7A">
        <w:rPr>
          <w:szCs w:val="24"/>
        </w:rPr>
        <w:t>bert Antelme </w:t>
      </w:r>
      <w:r>
        <w:rPr>
          <w:rStyle w:val="Appelnotedebasdep"/>
          <w:szCs w:val="24"/>
        </w:rPr>
        <w:footnoteReference w:id="927"/>
      </w:r>
      <w:r w:rsidRPr="00816D7A">
        <w:rPr>
          <w:szCs w:val="24"/>
        </w:rPr>
        <w:t xml:space="preserve">, </w:t>
      </w:r>
      <w:r w:rsidRPr="00816D7A">
        <w:rPr>
          <w:i/>
          <w:szCs w:val="24"/>
        </w:rPr>
        <w:t>etc.</w:t>
      </w:r>
      <w:r w:rsidRPr="00816D7A">
        <w:rPr>
          <w:szCs w:val="24"/>
        </w:rPr>
        <w:t xml:space="preserve"> C’est grâce au témoignage infiniment pr</w:t>
      </w:r>
      <w:r w:rsidRPr="00816D7A">
        <w:rPr>
          <w:szCs w:val="24"/>
        </w:rPr>
        <w:t>é</w:t>
      </w:r>
      <w:r w:rsidRPr="00816D7A">
        <w:rPr>
          <w:szCs w:val="24"/>
        </w:rPr>
        <w:t>cieux de ces survivants que nous, qui n’avons pas vécu l’épouvante du camp, pouvons nous faire aujourd’hui une idée aussi exacte que po</w:t>
      </w:r>
      <w:r w:rsidRPr="00816D7A">
        <w:rPr>
          <w:szCs w:val="24"/>
        </w:rPr>
        <w:t>s</w:t>
      </w:r>
      <w:r w:rsidRPr="00816D7A">
        <w:rPr>
          <w:szCs w:val="24"/>
        </w:rPr>
        <w:t>sible de la gravité de ce qui s’est joué dans ce lieu retranché du monde ext</w:t>
      </w:r>
      <w:r w:rsidRPr="00816D7A">
        <w:rPr>
          <w:szCs w:val="24"/>
        </w:rPr>
        <w:t>é</w:t>
      </w:r>
      <w:r w:rsidRPr="00816D7A">
        <w:rPr>
          <w:szCs w:val="24"/>
        </w:rPr>
        <w:t>rieur par le dépassement des limites connues de l’horreur </w:t>
      </w:r>
      <w:r>
        <w:rPr>
          <w:rStyle w:val="Appelnotedebasdep"/>
          <w:szCs w:val="24"/>
        </w:rPr>
        <w:footnoteReference w:id="928"/>
      </w:r>
      <w:r w:rsidRPr="00816D7A">
        <w:rPr>
          <w:szCs w:val="24"/>
        </w:rPr>
        <w:t>. Il nous faut pour cela employer tous nos sens pour saisir les mots de ceux qui ont survécu. Il nous faut aussi écouter en notre for intérieur les voix de ceux qui ne sont pas revenus, voix éteintes, mais dont l’écho résonne encore dans la parole des survivants. Alors, nous partageons cette e</w:t>
      </w:r>
      <w:r w:rsidRPr="00816D7A">
        <w:rPr>
          <w:szCs w:val="24"/>
        </w:rPr>
        <w:t>x</w:t>
      </w:r>
      <w:r w:rsidRPr="00816D7A">
        <w:rPr>
          <w:szCs w:val="24"/>
        </w:rPr>
        <w:t>périence à la limite de l’indicible et de l’incompréhensible. Nous pe</w:t>
      </w:r>
      <w:r w:rsidRPr="00816D7A">
        <w:rPr>
          <w:szCs w:val="24"/>
        </w:rPr>
        <w:t>r</w:t>
      </w:r>
      <w:r w:rsidRPr="00816D7A">
        <w:rPr>
          <w:szCs w:val="24"/>
        </w:rPr>
        <w:t>cevons </w:t>
      </w:r>
      <w:r>
        <w:rPr>
          <w:rStyle w:val="Appelnotedebasdep"/>
          <w:szCs w:val="24"/>
        </w:rPr>
        <w:footnoteReference w:id="929"/>
      </w:r>
      <w:r w:rsidRPr="00816D7A">
        <w:rPr>
          <w:szCs w:val="24"/>
        </w:rPr>
        <w:t xml:space="preserve"> ce que fut l’épreuve de cette déshumanisation qui, au-delà de la réification qui en est la conséque</w:t>
      </w:r>
      <w:r w:rsidRPr="00816D7A">
        <w:rPr>
          <w:szCs w:val="24"/>
        </w:rPr>
        <w:t>n</w:t>
      </w:r>
      <w:r w:rsidRPr="00816D7A">
        <w:rPr>
          <w:szCs w:val="24"/>
        </w:rPr>
        <w:t>ce première, se confond, pour ne » pas dire se fond, avec la mort qui en constitue la finalité ultime.</w:t>
      </w:r>
    </w:p>
    <w:p w14:paraId="74BBA391" w14:textId="77777777" w:rsidR="00B01930" w:rsidRDefault="00B01930" w:rsidP="00B01930">
      <w:pPr>
        <w:spacing w:before="120" w:after="120"/>
        <w:jc w:val="both"/>
        <w:rPr>
          <w:szCs w:val="24"/>
        </w:rPr>
      </w:pPr>
    </w:p>
    <w:p w14:paraId="5D7EF5D9" w14:textId="77777777" w:rsidR="00B01930" w:rsidRPr="00816D7A" w:rsidRDefault="00B01930" w:rsidP="00B01930">
      <w:pPr>
        <w:spacing w:before="120" w:after="120"/>
        <w:jc w:val="both"/>
        <w:rPr>
          <w:szCs w:val="24"/>
        </w:rPr>
      </w:pPr>
      <w:r w:rsidRPr="00816D7A">
        <w:rPr>
          <w:szCs w:val="24"/>
        </w:rPr>
        <w:t>Parvenir à un tel degré d’efficacité dans la déshumanisation ne s’est pas fait en un jour. La méthode employée par les nazis a été non seulement élaborée en tenant compte des connaissances scientifiques du temps en psychologie, mais  également perfectionnée au vu de l’expérience vécue dans les premiers camps </w:t>
      </w:r>
      <w:r>
        <w:rPr>
          <w:rStyle w:val="Appelnotedebasdep"/>
          <w:szCs w:val="24"/>
        </w:rPr>
        <w:footnoteReference w:id="930"/>
      </w:r>
      <w:r w:rsidRPr="00816D7A">
        <w:rPr>
          <w:szCs w:val="24"/>
        </w:rPr>
        <w:t>. C’est ainsi que s’est forgé, peu à peu, un système laissant aux concentrationnaires bien peu de possibilités de sauvegarder leur dignité humaine. Cela n’a pas e</w:t>
      </w:r>
      <w:r w:rsidRPr="00816D7A">
        <w:rPr>
          <w:szCs w:val="24"/>
        </w:rPr>
        <w:t>m</w:t>
      </w:r>
      <w:r w:rsidRPr="00816D7A">
        <w:rPr>
          <w:szCs w:val="24"/>
        </w:rPr>
        <w:t>pêché certains d’entre eux d’y parvenir </w:t>
      </w:r>
      <w:r>
        <w:rPr>
          <w:rStyle w:val="Appelnotedebasdep"/>
          <w:szCs w:val="24"/>
        </w:rPr>
        <w:footnoteReference w:id="931"/>
      </w:r>
      <w:r w:rsidRPr="00816D7A">
        <w:rPr>
          <w:szCs w:val="24"/>
        </w:rPr>
        <w:t>. Cette résistance vict</w:t>
      </w:r>
      <w:r w:rsidRPr="00816D7A">
        <w:rPr>
          <w:szCs w:val="24"/>
        </w:rPr>
        <w:t>o</w:t>
      </w:r>
      <w:r w:rsidRPr="00816D7A">
        <w:rPr>
          <w:szCs w:val="24"/>
        </w:rPr>
        <w:t>rieuse témoigne d’une forme d’échec de l’entreprise concentrationnaire n</w:t>
      </w:r>
      <w:r w:rsidRPr="00816D7A">
        <w:rPr>
          <w:szCs w:val="24"/>
        </w:rPr>
        <w:t>a</w:t>
      </w:r>
      <w:r w:rsidRPr="00816D7A">
        <w:rPr>
          <w:szCs w:val="24"/>
        </w:rPr>
        <w:t>zie, compte tenu du fait que celle-ci ambitionnait de briser tout être humain tombé entre ses griffes </w:t>
      </w:r>
      <w:r>
        <w:rPr>
          <w:rStyle w:val="Appelnotedebasdep"/>
          <w:szCs w:val="24"/>
        </w:rPr>
        <w:footnoteReference w:id="932"/>
      </w:r>
      <w:r w:rsidRPr="00816D7A">
        <w:rPr>
          <w:szCs w:val="24"/>
        </w:rPr>
        <w:t>. Pour terrible qu’ait été le prix payé, le nazisme n’a pas vaincu </w:t>
      </w:r>
      <w:r>
        <w:rPr>
          <w:rStyle w:val="Appelnotedebasdep"/>
          <w:szCs w:val="24"/>
        </w:rPr>
        <w:footnoteReference w:id="933"/>
      </w:r>
      <w:r w:rsidRPr="00816D7A">
        <w:rPr>
          <w:szCs w:val="24"/>
        </w:rPr>
        <w:t xml:space="preserve">. </w:t>
      </w:r>
      <w:r>
        <w:rPr>
          <w:szCs w:val="24"/>
        </w:rPr>
        <w:t>À</w:t>
      </w:r>
      <w:r w:rsidRPr="00816D7A">
        <w:rPr>
          <w:szCs w:val="24"/>
        </w:rPr>
        <w:t xml:space="preserve"> peine libéré, David Rousset écrivait que </w:t>
      </w:r>
      <w:r w:rsidRPr="00816D7A">
        <w:rPr>
          <w:i/>
          <w:szCs w:val="24"/>
        </w:rPr>
        <w:t>« le solde n’est pas négatif</w:t>
      </w:r>
      <w:r>
        <w:rPr>
          <w:szCs w:val="24"/>
        </w:rPr>
        <w:t> </w:t>
      </w:r>
      <w:r>
        <w:rPr>
          <w:rStyle w:val="Appelnotedebasdep"/>
          <w:szCs w:val="24"/>
        </w:rPr>
        <w:footnoteReference w:id="934"/>
      </w:r>
      <w:r w:rsidRPr="00816D7A">
        <w:rPr>
          <w:i/>
          <w:szCs w:val="24"/>
        </w:rPr>
        <w:t xml:space="preserve"> ». </w:t>
      </w:r>
      <w:r w:rsidRPr="00816D7A">
        <w:rPr>
          <w:szCs w:val="24"/>
        </w:rPr>
        <w:t>C’est à cette vision po</w:t>
      </w:r>
      <w:r w:rsidRPr="00816D7A">
        <w:rPr>
          <w:szCs w:val="24"/>
        </w:rPr>
        <w:t>r</w:t>
      </w:r>
      <w:r w:rsidRPr="00816D7A">
        <w:rPr>
          <w:szCs w:val="24"/>
        </w:rPr>
        <w:t xml:space="preserve">teuse d’espérance que fait écho une déclaration faite une soixantaine d’années plus tard par Imre Kertész : </w:t>
      </w:r>
    </w:p>
    <w:p w14:paraId="6AAA6F8E" w14:textId="77777777" w:rsidR="00B01930" w:rsidRPr="00203F84" w:rsidRDefault="00B01930" w:rsidP="00B01930">
      <w:pPr>
        <w:pStyle w:val="citation"/>
      </w:pPr>
    </w:p>
    <w:p w14:paraId="27867FBE" w14:textId="77777777" w:rsidR="00B01930" w:rsidRPr="00203F84" w:rsidRDefault="00B01930" w:rsidP="00B01930">
      <w:pPr>
        <w:pStyle w:val="citation"/>
      </w:pPr>
      <w:r w:rsidRPr="00203F84">
        <w:t>« Tous mes efforts sont concentrés sur cet objectif : montrer qu’une conscie</w:t>
      </w:r>
      <w:r w:rsidRPr="00203F84">
        <w:t>n</w:t>
      </w:r>
      <w:r w:rsidRPr="00203F84">
        <w:t>ce qui porte une expérience négative peut créer quelque chose de positif </w:t>
      </w:r>
      <w:r>
        <w:rPr>
          <w:rStyle w:val="Appelnotedebasdep"/>
        </w:rPr>
        <w:footnoteReference w:id="935"/>
      </w:r>
      <w:r w:rsidRPr="00203F84">
        <w:t> ».</w:t>
      </w:r>
    </w:p>
    <w:p w14:paraId="6DDF57BD" w14:textId="77777777" w:rsidR="00B01930" w:rsidRPr="00203F84" w:rsidRDefault="00B01930" w:rsidP="00B01930">
      <w:pPr>
        <w:pStyle w:val="citation"/>
      </w:pPr>
    </w:p>
    <w:p w14:paraId="2C35E4F3" w14:textId="77777777" w:rsidR="00B01930" w:rsidRPr="00816D7A" w:rsidRDefault="00B01930" w:rsidP="00B01930">
      <w:pPr>
        <w:spacing w:before="120" w:after="120"/>
        <w:jc w:val="both"/>
        <w:rPr>
          <w:szCs w:val="24"/>
        </w:rPr>
      </w:pPr>
      <w:r w:rsidRPr="00816D7A">
        <w:rPr>
          <w:szCs w:val="24"/>
        </w:rPr>
        <w:t>Le fait est d’importance. Non seulement l’humanité des concentr</w:t>
      </w:r>
      <w:r w:rsidRPr="00816D7A">
        <w:rPr>
          <w:szCs w:val="24"/>
        </w:rPr>
        <w:t>a</w:t>
      </w:r>
      <w:r w:rsidRPr="00816D7A">
        <w:rPr>
          <w:szCs w:val="24"/>
        </w:rPr>
        <w:t>tionnaires pris dans leur ensemble n’a pas été anéantie, mais elle est sortie grandie de l’épreuve. Confrontés à une agression d’une nature et d’une violence au-delà de ce qui était connu, les concentrationna</w:t>
      </w:r>
      <w:r w:rsidRPr="00816D7A">
        <w:rPr>
          <w:szCs w:val="24"/>
        </w:rPr>
        <w:t>i</w:t>
      </w:r>
      <w:r w:rsidRPr="00816D7A">
        <w:rPr>
          <w:szCs w:val="24"/>
        </w:rPr>
        <w:t>res, comme le roseau de la fable, ont plié, mais n’ont pas rompu. Si certains ont été renversés, d’autres sont restés debout. Des solidarités indicibles, perceptibles, effectives, se sont fait jour. Des hommes ont puisé en eux-mêmes des ressources nouvelles et le nazisme, confronté à l’impossibilité d’éradiquer l’humanité en l’homme, n’a plus eu qu’à remâcher sa défaite, et à payer ses crimes </w:t>
      </w:r>
      <w:r>
        <w:rPr>
          <w:rStyle w:val="Appelnotedebasdep"/>
          <w:szCs w:val="24"/>
        </w:rPr>
        <w:footnoteReference w:id="936"/>
      </w:r>
      <w:r w:rsidRPr="00816D7A">
        <w:rPr>
          <w:szCs w:val="24"/>
        </w:rPr>
        <w:t xml:space="preserve"> :</w:t>
      </w:r>
    </w:p>
    <w:p w14:paraId="2A9CF859" w14:textId="77777777" w:rsidR="00B01930" w:rsidRPr="00203F84" w:rsidRDefault="00B01930" w:rsidP="00B01930">
      <w:pPr>
        <w:pStyle w:val="citation"/>
      </w:pPr>
    </w:p>
    <w:p w14:paraId="62F03F67" w14:textId="77777777" w:rsidR="00B01930" w:rsidRPr="00203F84" w:rsidRDefault="00B01930" w:rsidP="00B01930">
      <w:pPr>
        <w:pStyle w:val="citation"/>
      </w:pPr>
      <w:r w:rsidRPr="00203F84">
        <w:t>« Nous sommes au point de ressembler à tout ce qui ne se bat que pour ma</w:t>
      </w:r>
      <w:r w:rsidRPr="00203F84">
        <w:t>n</w:t>
      </w:r>
      <w:r w:rsidRPr="00203F84">
        <w:t>ger et meurt de ne pas manger, au point de nous niveler sur une autre espèce, qui ne sera jamais nôtre et vers laquelle on tend … Mais il n’y a pas d’ambiguïté, nous restons des hommes, nous ne finirons qu’en ho</w:t>
      </w:r>
      <w:r w:rsidRPr="00203F84">
        <w:t>m</w:t>
      </w:r>
      <w:r w:rsidRPr="00203F84">
        <w:t>mes. La distance qui nous sépare d’une autre espèce reste intacte, elle n’est pas historique. C’est un rêve SS de croire que nous avons pour mi</w:t>
      </w:r>
      <w:r w:rsidRPr="00203F84">
        <w:t>s</w:t>
      </w:r>
      <w:r w:rsidRPr="00203F84">
        <w:t>sion historique de changer d’espèce, et comme cette mutation se fait trop lentement, ils tuent. Non, cette maladie extraordinaire n’est autre chose qu’un moment culminant de l’histoire des hommes. Et cela peut signifier deux choses : d’abord que l’on fait l’épreuve de la solidité de cette esp</w:t>
      </w:r>
      <w:r w:rsidRPr="00203F84">
        <w:t>è</w:t>
      </w:r>
      <w:r w:rsidRPr="00203F84">
        <w:t>ce, de sa fixité. Ensuite, que la variété des rapports entre les hommes, leur co</w:t>
      </w:r>
      <w:r w:rsidRPr="00203F84">
        <w:t>u</w:t>
      </w:r>
      <w:r w:rsidRPr="00203F84">
        <w:t>leur, leurs coutumes, leur formation en classes masquent une vérité qui apparaît ici éclatante, au bord de la nature, à l’approche de nos limites : il n’y a pas des espèces humaines, il y a une espèce humaine. C’est parce que nous sommes des hommes comme eux que les SS seront en définitive impuissants devant nous. C’est parce qu’ils auront tenté de mettre en cause l’unité de ce</w:t>
      </w:r>
      <w:r w:rsidRPr="00203F84">
        <w:t>t</w:t>
      </w:r>
      <w:r w:rsidRPr="00203F84">
        <w:t>te espèce qu’ils seront finalement écrasés </w:t>
      </w:r>
      <w:r>
        <w:rPr>
          <w:rStyle w:val="Appelnotedebasdep"/>
        </w:rPr>
        <w:footnoteReference w:id="937"/>
      </w:r>
      <w:r w:rsidRPr="00203F84">
        <w:t>. »</w:t>
      </w:r>
    </w:p>
    <w:p w14:paraId="35BD40CA" w14:textId="77777777" w:rsidR="00B01930" w:rsidRPr="00203F84" w:rsidRDefault="00B01930" w:rsidP="00B01930">
      <w:pPr>
        <w:pStyle w:val="citation"/>
      </w:pPr>
    </w:p>
    <w:p w14:paraId="386B4E37" w14:textId="77777777" w:rsidR="00B01930" w:rsidRPr="00816D7A" w:rsidRDefault="00B01930" w:rsidP="00B01930">
      <w:pPr>
        <w:spacing w:before="120" w:after="120"/>
        <w:jc w:val="both"/>
        <w:rPr>
          <w:szCs w:val="24"/>
        </w:rPr>
      </w:pPr>
      <w:r w:rsidRPr="00816D7A">
        <w:rPr>
          <w:szCs w:val="24"/>
        </w:rPr>
        <w:t>Non seulement l’humanité n’a pas été anéantie, mais elle est sortie grandie de l’épreuve. En tentant d’annihiler la dignité humaine des concentrationnaires par leur dépersonnalisation et leur déshumanis</w:t>
      </w:r>
      <w:r w:rsidRPr="00816D7A">
        <w:rPr>
          <w:szCs w:val="24"/>
        </w:rPr>
        <w:t>a</w:t>
      </w:r>
      <w:r w:rsidRPr="00816D7A">
        <w:rPr>
          <w:szCs w:val="24"/>
        </w:rPr>
        <w:t>tion, les nazis ont mis l’accent sur l’importance, pour l’humanité, de cette notion qui n’avait guère jusque là retenu l’attention que de que</w:t>
      </w:r>
      <w:r w:rsidRPr="00816D7A">
        <w:rPr>
          <w:szCs w:val="24"/>
        </w:rPr>
        <w:t>l</w:t>
      </w:r>
      <w:r w:rsidRPr="00816D7A">
        <w:rPr>
          <w:szCs w:val="24"/>
        </w:rPr>
        <w:t>ques philosophes et de militants soucieux de lutter contre les cons</w:t>
      </w:r>
      <w:r w:rsidRPr="00816D7A">
        <w:rPr>
          <w:szCs w:val="24"/>
        </w:rPr>
        <w:t>é</w:t>
      </w:r>
      <w:r w:rsidRPr="00816D7A">
        <w:rPr>
          <w:szCs w:val="24"/>
        </w:rPr>
        <w:t>quences de la violence </w:t>
      </w:r>
      <w:r>
        <w:rPr>
          <w:rStyle w:val="Appelnotedebasdep"/>
          <w:szCs w:val="24"/>
        </w:rPr>
        <w:footnoteReference w:id="938"/>
      </w:r>
      <w:r w:rsidRPr="00816D7A">
        <w:rPr>
          <w:szCs w:val="24"/>
        </w:rPr>
        <w:t>. Ce placement dans la lumière a eu une conséquence imprévue. Il a suscité un changement de regard des dir</w:t>
      </w:r>
      <w:r w:rsidRPr="00816D7A">
        <w:rPr>
          <w:szCs w:val="24"/>
        </w:rPr>
        <w:t>i</w:t>
      </w:r>
      <w:r w:rsidRPr="00816D7A">
        <w:rPr>
          <w:szCs w:val="24"/>
        </w:rPr>
        <w:t>geants des pays vainqueurs. Ceux-ci ont décidé de faire de la dignité humaine une nouvelle valeur fondamentale universelle, avant de bâtir sur cette base des règles juridiques destinées à empêcher à tout jamais que puisse se produire à nouveau des agissements criminels tels que ceux ayant été commis lors de la Shoah.</w:t>
      </w:r>
    </w:p>
    <w:p w14:paraId="07A45CBD" w14:textId="77777777" w:rsidR="00B01930" w:rsidRPr="00816D7A" w:rsidRDefault="00B01930" w:rsidP="00B01930">
      <w:pPr>
        <w:spacing w:before="120" w:after="120"/>
        <w:jc w:val="both"/>
        <w:rPr>
          <w:szCs w:val="24"/>
        </w:rPr>
      </w:pPr>
    </w:p>
    <w:p w14:paraId="47868072" w14:textId="77777777" w:rsidR="00B01930" w:rsidRPr="00816D7A" w:rsidRDefault="00B01930" w:rsidP="00B01930">
      <w:pPr>
        <w:pStyle w:val="planche"/>
      </w:pPr>
      <w:bookmarkStart w:id="208" w:name="Accession_III"/>
      <w:bookmarkStart w:id="209" w:name="Analyser_idees_pol_pt_3_texte_08_III"/>
      <w:r>
        <w:t xml:space="preserve">III. </w:t>
      </w:r>
      <w:r w:rsidRPr="00816D7A">
        <w:t>La transformation de la dignité humaine</w:t>
      </w:r>
      <w:r>
        <w:br/>
      </w:r>
      <w:r w:rsidRPr="00816D7A">
        <w:t>en valeur fondament</w:t>
      </w:r>
      <w:r w:rsidRPr="00816D7A">
        <w:t>a</w:t>
      </w:r>
      <w:r w:rsidRPr="00816D7A">
        <w:t>le universelle</w:t>
      </w:r>
    </w:p>
    <w:bookmarkEnd w:id="208"/>
    <w:bookmarkEnd w:id="209"/>
    <w:p w14:paraId="0DFA81B0" w14:textId="77777777" w:rsidR="00B01930" w:rsidRPr="00816D7A" w:rsidRDefault="00B01930" w:rsidP="00B01930">
      <w:pPr>
        <w:spacing w:before="120" w:after="120"/>
        <w:jc w:val="both"/>
        <w:rPr>
          <w:szCs w:val="24"/>
        </w:rPr>
      </w:pPr>
    </w:p>
    <w:p w14:paraId="5E4E0278"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71C1A502" w14:textId="77777777" w:rsidR="00B01930" w:rsidRPr="00816D7A" w:rsidRDefault="00B01930" w:rsidP="00B01930">
      <w:pPr>
        <w:spacing w:before="120" w:after="120"/>
        <w:jc w:val="both"/>
        <w:rPr>
          <w:szCs w:val="24"/>
        </w:rPr>
      </w:pPr>
      <w:r w:rsidRPr="00816D7A">
        <w:rPr>
          <w:szCs w:val="24"/>
        </w:rPr>
        <w:t>En sus d’être un état de conscience, la dignité humaine est a</w:t>
      </w:r>
      <w:r w:rsidRPr="00816D7A">
        <w:rPr>
          <w:szCs w:val="24"/>
        </w:rPr>
        <w:t>u</w:t>
      </w:r>
      <w:r w:rsidRPr="00816D7A">
        <w:rPr>
          <w:szCs w:val="24"/>
        </w:rPr>
        <w:t>jourd’hui un objet de droit. C’est la confrontation de la population o</w:t>
      </w:r>
      <w:r w:rsidRPr="00816D7A">
        <w:rPr>
          <w:szCs w:val="24"/>
        </w:rPr>
        <w:t>c</w:t>
      </w:r>
      <w:r w:rsidRPr="00816D7A">
        <w:rPr>
          <w:szCs w:val="24"/>
        </w:rPr>
        <w:t>cidentale à la violence de la Shoah qui est à la source de cette tran</w:t>
      </w:r>
      <w:r w:rsidRPr="00816D7A">
        <w:rPr>
          <w:szCs w:val="24"/>
        </w:rPr>
        <w:t>s</w:t>
      </w:r>
      <w:r w:rsidRPr="00816D7A">
        <w:rPr>
          <w:szCs w:val="24"/>
        </w:rPr>
        <w:t>formation. Avant même le retour des concentrationnaires dans ce qui restait de leurs foyers, elle s’est effectuée au travers de la diffusion aux actualités cinématographiques de films documentaires tournés par les soldats alliés dans les premiers camps libérés par leurs troupes. La vision de ces images à la limite du soutenable a très largement susc</w:t>
      </w:r>
      <w:r w:rsidRPr="00816D7A">
        <w:rPr>
          <w:szCs w:val="24"/>
        </w:rPr>
        <w:t>i</w:t>
      </w:r>
      <w:r w:rsidRPr="00816D7A">
        <w:rPr>
          <w:szCs w:val="24"/>
        </w:rPr>
        <w:t>tée une gêne qui a ordinairement bien vite virée à l’amnésie, voire à l’incrédulité.</w:t>
      </w:r>
    </w:p>
    <w:p w14:paraId="2CE441C0" w14:textId="77777777" w:rsidR="00B01930" w:rsidRPr="00816D7A" w:rsidRDefault="00B01930" w:rsidP="00B01930">
      <w:pPr>
        <w:spacing w:before="120" w:after="120"/>
        <w:jc w:val="both"/>
        <w:rPr>
          <w:szCs w:val="24"/>
        </w:rPr>
      </w:pPr>
      <w:r w:rsidRPr="00816D7A">
        <w:rPr>
          <w:szCs w:val="24"/>
        </w:rPr>
        <w:t>La nature et l’importance de ces réactions, de rejet  puis de déni, ont conduit les historiens à s’interroger sur le degré d’information des populations allemandes et alliées, ainsi que sur celui des dirigeants alliés</w:t>
      </w:r>
      <w:r w:rsidRPr="00816D7A">
        <w:t> </w:t>
      </w:r>
      <w:r>
        <w:rPr>
          <w:rStyle w:val="Appelnotedebasdep"/>
        </w:rPr>
        <w:footnoteReference w:id="939"/>
      </w:r>
      <w:r w:rsidRPr="00816D7A">
        <w:rPr>
          <w:szCs w:val="24"/>
        </w:rPr>
        <w:t>. Il est clair que la plupart des allemands avaient connai</w:t>
      </w:r>
      <w:r w:rsidRPr="00816D7A">
        <w:rPr>
          <w:szCs w:val="24"/>
        </w:rPr>
        <w:t>s</w:t>
      </w:r>
      <w:r w:rsidRPr="00816D7A">
        <w:rPr>
          <w:szCs w:val="24"/>
        </w:rPr>
        <w:t>sance de l’existence des camps de concentration et redoutaient d’y être e</w:t>
      </w:r>
      <w:r w:rsidRPr="00816D7A">
        <w:rPr>
          <w:szCs w:val="24"/>
        </w:rPr>
        <w:t>n</w:t>
      </w:r>
      <w:r w:rsidRPr="00816D7A">
        <w:rPr>
          <w:szCs w:val="24"/>
        </w:rPr>
        <w:t>voyés </w:t>
      </w:r>
      <w:r>
        <w:rPr>
          <w:rStyle w:val="Appelnotedebasdep"/>
          <w:szCs w:val="24"/>
        </w:rPr>
        <w:footnoteReference w:id="940"/>
      </w:r>
      <w:r w:rsidRPr="00816D7A">
        <w:rPr>
          <w:szCs w:val="24"/>
        </w:rPr>
        <w:t>. La question est donc plutôt de déterminer ce qu’ils s</w:t>
      </w:r>
      <w:r w:rsidRPr="00816D7A">
        <w:rPr>
          <w:szCs w:val="24"/>
        </w:rPr>
        <w:t>a</w:t>
      </w:r>
      <w:r w:rsidRPr="00816D7A">
        <w:rPr>
          <w:szCs w:val="24"/>
        </w:rPr>
        <w:t>vaient de ce qu’il s’y passait. Il est possible qu’une grande partie d’entre eux n’aient connu que fort peu de choses de la réalité </w:t>
      </w:r>
      <w:r>
        <w:rPr>
          <w:rStyle w:val="Appelnotedebasdep"/>
          <w:szCs w:val="24"/>
        </w:rPr>
        <w:footnoteReference w:id="941"/>
      </w:r>
      <w:r w:rsidRPr="00816D7A">
        <w:rPr>
          <w:szCs w:val="24"/>
        </w:rPr>
        <w:t>. Il est certain que le plus grand nombre ne cherchaient pas à en savoir plus </w:t>
      </w:r>
      <w:r>
        <w:rPr>
          <w:rStyle w:val="Appelnotedebasdep"/>
          <w:szCs w:val="24"/>
        </w:rPr>
        <w:footnoteReference w:id="942"/>
      </w:r>
      <w:r w:rsidRPr="00816D7A">
        <w:rPr>
          <w:szCs w:val="24"/>
        </w:rPr>
        <w:t>, fa</w:t>
      </w:r>
      <w:r w:rsidRPr="00816D7A">
        <w:rPr>
          <w:szCs w:val="24"/>
        </w:rPr>
        <w:t>i</w:t>
      </w:r>
      <w:r w:rsidRPr="00816D7A">
        <w:rPr>
          <w:szCs w:val="24"/>
        </w:rPr>
        <w:t>sant preuve d’une apparente indifférence pour les vict</w:t>
      </w:r>
      <w:r w:rsidRPr="00816D7A">
        <w:rPr>
          <w:szCs w:val="24"/>
        </w:rPr>
        <w:t>i</w:t>
      </w:r>
      <w:r w:rsidRPr="00816D7A">
        <w:rPr>
          <w:szCs w:val="24"/>
        </w:rPr>
        <w:t>mes </w:t>
      </w:r>
      <w:r>
        <w:rPr>
          <w:rStyle w:val="Appelnotedebasdep"/>
          <w:szCs w:val="24"/>
        </w:rPr>
        <w:footnoteReference w:id="943"/>
      </w:r>
      <w:r w:rsidRPr="00816D7A">
        <w:rPr>
          <w:szCs w:val="24"/>
        </w:rPr>
        <w:t>.</w:t>
      </w:r>
    </w:p>
    <w:p w14:paraId="4BBB3EB0" w14:textId="77777777" w:rsidR="00B01930" w:rsidRPr="00816D7A" w:rsidRDefault="00B01930" w:rsidP="00B01930">
      <w:pPr>
        <w:spacing w:before="120" w:after="120"/>
        <w:jc w:val="both"/>
        <w:rPr>
          <w:szCs w:val="24"/>
        </w:rPr>
      </w:pPr>
      <w:r>
        <w:rPr>
          <w:szCs w:val="24"/>
        </w:rPr>
        <w:t>À</w:t>
      </w:r>
      <w:r w:rsidRPr="00816D7A">
        <w:rPr>
          <w:szCs w:val="24"/>
        </w:rPr>
        <w:t xml:space="preserve"> l’indifférence que manifestèrent nombre d’allemands est génér</w:t>
      </w:r>
      <w:r w:rsidRPr="00816D7A">
        <w:rPr>
          <w:szCs w:val="24"/>
        </w:rPr>
        <w:t>a</w:t>
      </w:r>
      <w:r w:rsidRPr="00816D7A">
        <w:rPr>
          <w:szCs w:val="24"/>
        </w:rPr>
        <w:t>lement opposé l’horreur qu’affichèrent les habitants des pays alliés lorsqu’ils furent confrontés aux images des camps, ainsi que la volo</w:t>
      </w:r>
      <w:r w:rsidRPr="00816D7A">
        <w:rPr>
          <w:szCs w:val="24"/>
        </w:rPr>
        <w:t>n</w:t>
      </w:r>
      <w:r w:rsidRPr="00816D7A">
        <w:rPr>
          <w:szCs w:val="24"/>
        </w:rPr>
        <w:t>té d’empêcher qu’une telle chose puisse se reproduire qui s’en dég</w:t>
      </w:r>
      <w:r w:rsidRPr="00816D7A">
        <w:rPr>
          <w:szCs w:val="24"/>
        </w:rPr>
        <w:t>a</w:t>
      </w:r>
      <w:r w:rsidRPr="00816D7A">
        <w:rPr>
          <w:szCs w:val="24"/>
        </w:rPr>
        <w:t>gea. Mais les choses peuvent-elles être aussi simples et autant contra</w:t>
      </w:r>
      <w:r w:rsidRPr="00816D7A">
        <w:rPr>
          <w:szCs w:val="24"/>
        </w:rPr>
        <w:t>s</w:t>
      </w:r>
      <w:r w:rsidRPr="00816D7A">
        <w:rPr>
          <w:szCs w:val="24"/>
        </w:rPr>
        <w:t>tées ? L’horreur fut également le sentiment qui se manifesta le plus fortement chez les civils allemands que l’on obligea à défiler devant les charniers ou à charrier les cadavres. Quant aux populations alliées, avaient-elles accordé l’attention qu’elles auraient méritées aux info</w:t>
      </w:r>
      <w:r w:rsidRPr="00816D7A">
        <w:rPr>
          <w:szCs w:val="24"/>
        </w:rPr>
        <w:t>r</w:t>
      </w:r>
      <w:r w:rsidRPr="00816D7A">
        <w:rPr>
          <w:szCs w:val="24"/>
        </w:rPr>
        <w:t>mations qui avaient antérieurement filtré sur le système concentr</w:t>
      </w:r>
      <w:r w:rsidRPr="00816D7A">
        <w:rPr>
          <w:szCs w:val="24"/>
        </w:rPr>
        <w:t>a</w:t>
      </w:r>
      <w:r w:rsidRPr="00816D7A">
        <w:rPr>
          <w:szCs w:val="24"/>
        </w:rPr>
        <w:t>tionnaire nazi </w:t>
      </w:r>
      <w:r>
        <w:rPr>
          <w:rStyle w:val="Appelnotedebasdep"/>
          <w:szCs w:val="24"/>
        </w:rPr>
        <w:footnoteReference w:id="944"/>
      </w:r>
      <w:r w:rsidRPr="00816D7A">
        <w:rPr>
          <w:szCs w:val="24"/>
        </w:rPr>
        <w:t xml:space="preserve"> ? </w:t>
      </w:r>
    </w:p>
    <w:p w14:paraId="6960BAE7" w14:textId="77777777" w:rsidR="00B01930" w:rsidRPr="00816D7A" w:rsidRDefault="00B01930" w:rsidP="00B01930">
      <w:pPr>
        <w:spacing w:before="120" w:after="120"/>
        <w:jc w:val="both"/>
        <w:rPr>
          <w:szCs w:val="24"/>
        </w:rPr>
      </w:pPr>
      <w:r w:rsidRPr="00816D7A">
        <w:rPr>
          <w:szCs w:val="24"/>
        </w:rPr>
        <w:t>Avant même son accession au pouvoir, Hitler avait prononcé des discours, relayés pour certains par la presse </w:t>
      </w:r>
      <w:r>
        <w:rPr>
          <w:rStyle w:val="Appelnotedebasdep"/>
          <w:szCs w:val="24"/>
        </w:rPr>
        <w:footnoteReference w:id="945"/>
      </w:r>
      <w:r w:rsidRPr="00816D7A">
        <w:rPr>
          <w:szCs w:val="24"/>
        </w:rPr>
        <w:t>, dans lesquels il fa</w:t>
      </w:r>
      <w:r w:rsidRPr="00816D7A">
        <w:rPr>
          <w:szCs w:val="24"/>
        </w:rPr>
        <w:t>i</w:t>
      </w:r>
      <w:r w:rsidRPr="00816D7A">
        <w:rPr>
          <w:szCs w:val="24"/>
        </w:rPr>
        <w:t>sait déjà état de sa détermination à éliminer les</w:t>
      </w:r>
      <w:r w:rsidRPr="00816D7A">
        <w:rPr>
          <w:i/>
          <w:szCs w:val="24"/>
        </w:rPr>
        <w:t xml:space="preserve">« vies sans valeur » </w:t>
      </w:r>
      <w:r w:rsidRPr="00816D7A">
        <w:rPr>
          <w:szCs w:val="24"/>
        </w:rPr>
        <w:t>aux fins</w:t>
      </w:r>
      <w:r w:rsidRPr="00816D7A">
        <w:rPr>
          <w:i/>
          <w:szCs w:val="24"/>
        </w:rPr>
        <w:t xml:space="preserve"> « d’amélioration de la race allemande ».</w:t>
      </w:r>
      <w:r w:rsidRPr="00816D7A">
        <w:rPr>
          <w:szCs w:val="24"/>
        </w:rPr>
        <w:t xml:space="preserve"> Il n’avait pas rée</w:t>
      </w:r>
      <w:r w:rsidRPr="00816D7A">
        <w:rPr>
          <w:szCs w:val="24"/>
        </w:rPr>
        <w:t>l</w:t>
      </w:r>
      <w:r w:rsidRPr="00816D7A">
        <w:rPr>
          <w:szCs w:val="24"/>
        </w:rPr>
        <w:t>lement été pris au sérieux. L’antisémitisme du chancelier Hitler </w:t>
      </w:r>
      <w:r>
        <w:rPr>
          <w:rStyle w:val="Appelnotedebasdep"/>
          <w:szCs w:val="24"/>
        </w:rPr>
        <w:footnoteReference w:id="946"/>
      </w:r>
      <w:r w:rsidRPr="00816D7A">
        <w:rPr>
          <w:szCs w:val="24"/>
        </w:rPr>
        <w:t xml:space="preserve"> partic</w:t>
      </w:r>
      <w:r w:rsidRPr="00816D7A">
        <w:rPr>
          <w:szCs w:val="24"/>
        </w:rPr>
        <w:t>i</w:t>
      </w:r>
      <w:r w:rsidRPr="00816D7A">
        <w:rPr>
          <w:szCs w:val="24"/>
        </w:rPr>
        <w:t>pait de l’imprégnation antisémite des années trente et quarante. Pour la plupart de ceux qui se préoccupaient des persécutions religie</w:t>
      </w:r>
      <w:r w:rsidRPr="00816D7A">
        <w:rPr>
          <w:szCs w:val="24"/>
        </w:rPr>
        <w:t>u</w:t>
      </w:r>
      <w:r w:rsidRPr="00816D7A">
        <w:rPr>
          <w:szCs w:val="24"/>
        </w:rPr>
        <w:t>ses anti-juives, il ne paraissait pas plus dangereux que celui qui fle</w:t>
      </w:r>
      <w:r w:rsidRPr="00816D7A">
        <w:rPr>
          <w:szCs w:val="24"/>
        </w:rPr>
        <w:t>u</w:t>
      </w:r>
      <w:r w:rsidRPr="00816D7A">
        <w:rPr>
          <w:szCs w:val="24"/>
        </w:rPr>
        <w:t xml:space="preserve">rissait dans l’ensemble des pays européens. Aux yeux de beaucoup, </w:t>
      </w:r>
      <w:r w:rsidRPr="00816D7A">
        <w:rPr>
          <w:i/>
          <w:szCs w:val="24"/>
        </w:rPr>
        <w:t>« le juif »</w:t>
      </w:r>
      <w:r w:rsidRPr="00816D7A">
        <w:rPr>
          <w:szCs w:val="24"/>
        </w:rPr>
        <w:t xml:space="preserve"> était devenu le </w:t>
      </w:r>
      <w:r w:rsidRPr="00816D7A">
        <w:rPr>
          <w:i/>
          <w:szCs w:val="24"/>
        </w:rPr>
        <w:t>« fauteur de guerre affairiste</w:t>
      </w:r>
      <w:r>
        <w:rPr>
          <w:szCs w:val="24"/>
        </w:rPr>
        <w:t> </w:t>
      </w:r>
      <w:r>
        <w:rPr>
          <w:rStyle w:val="Appelnotedebasdep"/>
          <w:szCs w:val="24"/>
        </w:rPr>
        <w:footnoteReference w:id="947"/>
      </w:r>
      <w:r w:rsidRPr="00816D7A">
        <w:rPr>
          <w:i/>
          <w:szCs w:val="24"/>
        </w:rPr>
        <w:t> »,</w:t>
      </w:r>
      <w:r w:rsidRPr="00816D7A">
        <w:rPr>
          <w:szCs w:val="24"/>
        </w:rPr>
        <w:t xml:space="preserve"> le </w:t>
      </w:r>
      <w:r w:rsidRPr="00816D7A">
        <w:rPr>
          <w:i/>
          <w:szCs w:val="24"/>
        </w:rPr>
        <w:t>« marchand de canons</w:t>
      </w:r>
      <w:r>
        <w:rPr>
          <w:szCs w:val="24"/>
        </w:rPr>
        <w:t> </w:t>
      </w:r>
      <w:r>
        <w:rPr>
          <w:rStyle w:val="Appelnotedebasdep"/>
          <w:szCs w:val="24"/>
        </w:rPr>
        <w:footnoteReference w:id="948"/>
      </w:r>
      <w:r w:rsidRPr="00816D7A">
        <w:rPr>
          <w:i/>
          <w:szCs w:val="24"/>
        </w:rPr>
        <w:t> »</w:t>
      </w:r>
      <w:r w:rsidRPr="00816D7A">
        <w:rPr>
          <w:szCs w:val="24"/>
        </w:rPr>
        <w:t xml:space="preserve"> qui s’était enrichi du malheur des pe</w:t>
      </w:r>
      <w:r w:rsidRPr="00816D7A">
        <w:rPr>
          <w:szCs w:val="24"/>
        </w:rPr>
        <w:t>u</w:t>
      </w:r>
      <w:r w:rsidRPr="00816D7A">
        <w:rPr>
          <w:szCs w:val="24"/>
        </w:rPr>
        <w:t>ples </w:t>
      </w:r>
      <w:r>
        <w:rPr>
          <w:rStyle w:val="Appelnotedebasdep"/>
          <w:szCs w:val="24"/>
        </w:rPr>
        <w:footnoteReference w:id="949"/>
      </w:r>
      <w:r w:rsidRPr="00816D7A">
        <w:rPr>
          <w:szCs w:val="24"/>
        </w:rPr>
        <w:t>.</w:t>
      </w:r>
    </w:p>
    <w:p w14:paraId="3EEF2F5F" w14:textId="77777777" w:rsidR="00B01930" w:rsidRPr="00816D7A" w:rsidRDefault="00B01930" w:rsidP="00B01930">
      <w:pPr>
        <w:spacing w:before="120" w:after="120"/>
        <w:jc w:val="both"/>
        <w:rPr>
          <w:szCs w:val="24"/>
        </w:rPr>
      </w:pPr>
      <w:r w:rsidRPr="00816D7A">
        <w:rPr>
          <w:szCs w:val="24"/>
        </w:rPr>
        <w:t>Nombre de catholiques, en Allemagne comme ailleurs, le voyaient comme œuvrant sournoisement à la destruction de l’Église et à l’élimination de toute trace de l’influence chrétienne. Pour ces croyants égarés, la tentation était grande d’abandonner les juifs, ainsi que toutes les autres victimes du nazisme, à leur triste sort et de ne lutter que contre les persécutions religieuses visant leurs coreligio</w:t>
      </w:r>
      <w:r w:rsidRPr="00816D7A">
        <w:rPr>
          <w:szCs w:val="24"/>
        </w:rPr>
        <w:t>n</w:t>
      </w:r>
      <w:r w:rsidRPr="00816D7A">
        <w:rPr>
          <w:szCs w:val="24"/>
        </w:rPr>
        <w:t>naires </w:t>
      </w:r>
      <w:r>
        <w:rPr>
          <w:rStyle w:val="Appelnotedebasdep"/>
          <w:szCs w:val="24"/>
        </w:rPr>
        <w:footnoteReference w:id="950"/>
      </w:r>
      <w:r w:rsidRPr="00816D7A">
        <w:rPr>
          <w:szCs w:val="24"/>
        </w:rPr>
        <w:t>. Inversement, en Allemagne même, malgré le patrioti</w:t>
      </w:r>
      <w:r w:rsidRPr="00816D7A">
        <w:rPr>
          <w:szCs w:val="24"/>
        </w:rPr>
        <w:t>s</w:t>
      </w:r>
      <w:r w:rsidRPr="00816D7A">
        <w:rPr>
          <w:szCs w:val="24"/>
        </w:rPr>
        <w:t>me qui poussait l’épiscopat allemand à ne rien faire qui puisse entr</w:t>
      </w:r>
      <w:r w:rsidRPr="00816D7A">
        <w:rPr>
          <w:szCs w:val="24"/>
        </w:rPr>
        <w:t>a</w:t>
      </w:r>
      <w:r w:rsidRPr="00816D7A">
        <w:rPr>
          <w:szCs w:val="24"/>
        </w:rPr>
        <w:t>ver l’effort de guerre du pays, quelques voix s’élevèrent en son sein contre les persécutions. À l’été de 1941, l’évêque de Münster prono</w:t>
      </w:r>
      <w:r w:rsidRPr="00816D7A">
        <w:rPr>
          <w:szCs w:val="24"/>
        </w:rPr>
        <w:t>n</w:t>
      </w:r>
      <w:r w:rsidRPr="00816D7A">
        <w:rPr>
          <w:szCs w:val="24"/>
        </w:rPr>
        <w:t>ça trois sermons qui firent beaucoup de bruit en raison du fait que le prélat y condamnait l’assassinat par les nazis des handicapés. Un peu plus tard, le prévôt de la cathédrale de Berlin se fit conspuer pour avoir déclaré en public que « </w:t>
      </w:r>
      <w:r w:rsidRPr="00816D7A">
        <w:rPr>
          <w:i/>
          <w:szCs w:val="24"/>
        </w:rPr>
        <w:t>la maison d’un juif qui brûle est aussi une maison de Dieu</w:t>
      </w:r>
      <w:r>
        <w:rPr>
          <w:szCs w:val="24"/>
        </w:rPr>
        <w:t> </w:t>
      </w:r>
      <w:r>
        <w:rPr>
          <w:rStyle w:val="Appelnotedebasdep"/>
          <w:szCs w:val="24"/>
        </w:rPr>
        <w:footnoteReference w:id="951"/>
      </w:r>
      <w:r w:rsidRPr="00816D7A">
        <w:rPr>
          <w:szCs w:val="24"/>
        </w:rPr>
        <w:t> ».</w:t>
      </w:r>
      <w:r w:rsidRPr="00816D7A">
        <w:rPr>
          <w:i/>
          <w:szCs w:val="24"/>
        </w:rPr>
        <w:t xml:space="preserve"> </w:t>
      </w:r>
      <w:r w:rsidRPr="00816D7A">
        <w:rPr>
          <w:szCs w:val="24"/>
        </w:rPr>
        <w:t>Si ces voix isolées furent vite muselées, e</w:t>
      </w:r>
      <w:r w:rsidRPr="00816D7A">
        <w:rPr>
          <w:szCs w:val="24"/>
        </w:rPr>
        <w:t>l</w:t>
      </w:r>
      <w:r w:rsidRPr="00816D7A">
        <w:rPr>
          <w:szCs w:val="24"/>
        </w:rPr>
        <w:t>les trouvèrent néanmoins un écho parmi les communautés de fidèles.</w:t>
      </w:r>
    </w:p>
    <w:p w14:paraId="78F92839" w14:textId="77777777" w:rsidR="00B01930" w:rsidRPr="00816D7A" w:rsidRDefault="00B01930" w:rsidP="00B01930">
      <w:pPr>
        <w:spacing w:before="120" w:after="120"/>
        <w:jc w:val="both"/>
        <w:rPr>
          <w:szCs w:val="24"/>
        </w:rPr>
      </w:pPr>
      <w:r w:rsidRPr="00816D7A">
        <w:rPr>
          <w:szCs w:val="24"/>
        </w:rPr>
        <w:t>Au sein des réseaux d’entraide catholiques et protestants, des i</w:t>
      </w:r>
      <w:r w:rsidRPr="00816D7A">
        <w:rPr>
          <w:szCs w:val="24"/>
        </w:rPr>
        <w:t>n</w:t>
      </w:r>
      <w:r w:rsidRPr="00816D7A">
        <w:rPr>
          <w:szCs w:val="24"/>
        </w:rPr>
        <w:t>formations inquiétantes avaient commencé à circuler dès 1933, n</w:t>
      </w:r>
      <w:r w:rsidRPr="00816D7A">
        <w:rPr>
          <w:szCs w:val="24"/>
        </w:rPr>
        <w:t>o</w:t>
      </w:r>
      <w:r w:rsidRPr="00816D7A">
        <w:rPr>
          <w:szCs w:val="24"/>
        </w:rPr>
        <w:t>tamment au sein des réseaux protestants de « l’Église confessante », des mouvements œcuméniques, de même que dans la communauté juive, y compris en France. Elles ne furent toutefois pas suffisantes pour inciter tous les Juifs français à se cacher ou à prendre la fuite après l’armistice </w:t>
      </w:r>
      <w:r>
        <w:rPr>
          <w:rStyle w:val="Appelnotedebasdep"/>
          <w:szCs w:val="24"/>
        </w:rPr>
        <w:footnoteReference w:id="952"/>
      </w:r>
      <w:r w:rsidRPr="00816D7A">
        <w:rPr>
          <w:szCs w:val="24"/>
        </w:rPr>
        <w:t>. À leur décharge, il faut noter que, si ceux-ci d</w:t>
      </w:r>
      <w:r w:rsidRPr="00816D7A">
        <w:rPr>
          <w:szCs w:val="24"/>
        </w:rPr>
        <w:t>u</w:t>
      </w:r>
      <w:r w:rsidRPr="00816D7A">
        <w:rPr>
          <w:szCs w:val="24"/>
        </w:rPr>
        <w:t>rent évaluer les risques sur la base d’informations parcellaires et incerta</w:t>
      </w:r>
      <w:r w:rsidRPr="00816D7A">
        <w:rPr>
          <w:szCs w:val="24"/>
        </w:rPr>
        <w:t>i</w:t>
      </w:r>
      <w:r w:rsidRPr="00816D7A">
        <w:rPr>
          <w:szCs w:val="24"/>
        </w:rPr>
        <w:t>nes, il leur était, en revanche, aisé de mesurer tous les sacrif</w:t>
      </w:r>
      <w:r w:rsidRPr="00816D7A">
        <w:rPr>
          <w:szCs w:val="24"/>
        </w:rPr>
        <w:t>i</w:t>
      </w:r>
      <w:r w:rsidRPr="00816D7A">
        <w:rPr>
          <w:szCs w:val="24"/>
        </w:rPr>
        <w:t>ces à consentir pour pouvoir émigrer ou se dissimuler, ce qui dut en pousser plus d’un à l’attentisme. Rester ou partir furent des décisions aussi difficiles à prendre dans l’instant qu’il serait facile d’en juger hâtiv</w:t>
      </w:r>
      <w:r w:rsidRPr="00816D7A">
        <w:rPr>
          <w:szCs w:val="24"/>
        </w:rPr>
        <w:t>e</w:t>
      </w:r>
      <w:r w:rsidRPr="00816D7A">
        <w:rPr>
          <w:szCs w:val="24"/>
        </w:rPr>
        <w:t>ment avec le recul du temps.</w:t>
      </w:r>
    </w:p>
    <w:p w14:paraId="09891550" w14:textId="77777777" w:rsidR="00B01930" w:rsidRPr="00816D7A" w:rsidRDefault="00B01930" w:rsidP="00B01930">
      <w:pPr>
        <w:spacing w:before="120" w:after="120"/>
        <w:jc w:val="both"/>
        <w:rPr>
          <w:szCs w:val="24"/>
        </w:rPr>
      </w:pPr>
      <w:r w:rsidRPr="00816D7A">
        <w:rPr>
          <w:szCs w:val="24"/>
        </w:rPr>
        <w:t>Le développement du programme concentrationnaire nazi allant son chemin, les arrestations et déportations se multiplièrent, de no</w:t>
      </w:r>
      <w:r w:rsidRPr="00816D7A">
        <w:rPr>
          <w:szCs w:val="24"/>
        </w:rPr>
        <w:t>u</w:t>
      </w:r>
      <w:r w:rsidRPr="00816D7A">
        <w:rPr>
          <w:szCs w:val="24"/>
        </w:rPr>
        <w:t xml:space="preserve">veaux camps apparurent, d’autres grandirent, </w:t>
      </w:r>
      <w:r w:rsidRPr="00816D7A">
        <w:rPr>
          <w:i/>
          <w:szCs w:val="24"/>
        </w:rPr>
        <w:t>etc.</w:t>
      </w:r>
      <w:r w:rsidRPr="00816D7A">
        <w:rPr>
          <w:szCs w:val="24"/>
        </w:rPr>
        <w:t xml:space="preserve"> Les rumeurs s’accrurent. Dès 1941, la presse américaine s’en fit l’écho, sans sca</w:t>
      </w:r>
      <w:r w:rsidRPr="00816D7A">
        <w:rPr>
          <w:szCs w:val="24"/>
        </w:rPr>
        <w:t>n</w:t>
      </w:r>
      <w:r w:rsidRPr="00816D7A">
        <w:rPr>
          <w:szCs w:val="24"/>
        </w:rPr>
        <w:t>daliser pour autant une opinion publique majoritairement défavorable à une intervention militaire en Europe. A la fin de 1941, le gouvern</w:t>
      </w:r>
      <w:r w:rsidRPr="00816D7A">
        <w:rPr>
          <w:szCs w:val="24"/>
        </w:rPr>
        <w:t>e</w:t>
      </w:r>
      <w:r w:rsidRPr="00816D7A">
        <w:rPr>
          <w:szCs w:val="24"/>
        </w:rPr>
        <w:t>ment polonais en exil à Londres publia, dans l’indifférence générale, une brochure traitant de l’agrandissement des camps de concentr</w:t>
      </w:r>
      <w:r w:rsidRPr="00816D7A">
        <w:rPr>
          <w:szCs w:val="24"/>
        </w:rPr>
        <w:t>a</w:t>
      </w:r>
      <w:r w:rsidRPr="00816D7A">
        <w:rPr>
          <w:szCs w:val="24"/>
        </w:rPr>
        <w:t>tion </w:t>
      </w:r>
      <w:r>
        <w:rPr>
          <w:rStyle w:val="Appelnotedebasdep"/>
          <w:szCs w:val="24"/>
        </w:rPr>
        <w:footnoteReference w:id="953"/>
      </w:r>
      <w:r w:rsidRPr="00816D7A">
        <w:rPr>
          <w:szCs w:val="24"/>
        </w:rPr>
        <w:t>. En janvier 1942, l’écrivain allemand Thomas Mann év</w:t>
      </w:r>
      <w:r w:rsidRPr="00816D7A">
        <w:rPr>
          <w:szCs w:val="24"/>
        </w:rPr>
        <w:t>o</w:t>
      </w:r>
      <w:r w:rsidRPr="00816D7A">
        <w:rPr>
          <w:szCs w:val="24"/>
        </w:rPr>
        <w:t>qua, sur les ondes de la BBC, la déportation et le gazage de jeunes juifs ho</w:t>
      </w:r>
      <w:r w:rsidRPr="00816D7A">
        <w:rPr>
          <w:szCs w:val="24"/>
        </w:rPr>
        <w:t>l</w:t>
      </w:r>
      <w:r w:rsidRPr="00816D7A">
        <w:rPr>
          <w:szCs w:val="24"/>
        </w:rPr>
        <w:t>landais. L’opinion publique anglaise ne s’en émut guère. Il en alla de même de nouveaux articles faisant état de sept cent mille à un mi</w:t>
      </w:r>
      <w:r w:rsidRPr="00816D7A">
        <w:rPr>
          <w:szCs w:val="24"/>
        </w:rPr>
        <w:t>l</w:t>
      </w:r>
      <w:r w:rsidRPr="00816D7A">
        <w:rPr>
          <w:szCs w:val="24"/>
        </w:rPr>
        <w:t>lion de juifs déjà assassinés, publiés dans la presse britannique en jui</w:t>
      </w:r>
      <w:r w:rsidRPr="00816D7A">
        <w:rPr>
          <w:szCs w:val="24"/>
        </w:rPr>
        <w:t>l</w:t>
      </w:r>
      <w:r w:rsidRPr="00816D7A">
        <w:rPr>
          <w:szCs w:val="24"/>
        </w:rPr>
        <w:t xml:space="preserve">let 1942. </w:t>
      </w:r>
    </w:p>
    <w:p w14:paraId="6B034240" w14:textId="77777777" w:rsidR="00B01930" w:rsidRPr="00816D7A" w:rsidRDefault="00B01930" w:rsidP="00B01930">
      <w:pPr>
        <w:spacing w:before="120" w:after="120"/>
        <w:jc w:val="both"/>
        <w:rPr>
          <w:szCs w:val="24"/>
        </w:rPr>
      </w:pPr>
      <w:r w:rsidRPr="00816D7A">
        <w:rPr>
          <w:szCs w:val="24"/>
        </w:rPr>
        <w:t xml:space="preserve">À l’été 1942, en France, le tract prévenant de l’imminence d’une rafle massive, soit celle du Vélodrome d’hiver de Paris </w:t>
      </w:r>
      <w:r>
        <w:rPr>
          <w:rStyle w:val="Appelnotedebasdep"/>
          <w:szCs w:val="24"/>
        </w:rPr>
        <w:footnoteReference w:id="954"/>
      </w:r>
      <w:r w:rsidRPr="00816D7A">
        <w:rPr>
          <w:szCs w:val="24"/>
        </w:rPr>
        <w:t>, ne fut pas suffisamment pris au sérieux </w:t>
      </w:r>
      <w:r>
        <w:rPr>
          <w:rStyle w:val="Appelnotedebasdep"/>
          <w:szCs w:val="24"/>
        </w:rPr>
        <w:footnoteReference w:id="955"/>
      </w:r>
      <w:r w:rsidRPr="00816D7A">
        <w:rPr>
          <w:szCs w:val="24"/>
        </w:rPr>
        <w:t>, ce qui, là encore, ne doit pas être j</w:t>
      </w:r>
      <w:r w:rsidRPr="00816D7A">
        <w:rPr>
          <w:szCs w:val="24"/>
        </w:rPr>
        <w:t>u</w:t>
      </w:r>
      <w:r w:rsidRPr="00816D7A">
        <w:rPr>
          <w:szCs w:val="24"/>
        </w:rPr>
        <w:t>gé à la lumière des connaissances actuelles. À la fin de la même a</w:t>
      </w:r>
      <w:r w:rsidRPr="00816D7A">
        <w:rPr>
          <w:szCs w:val="24"/>
        </w:rPr>
        <w:t>n</w:t>
      </w:r>
      <w:r w:rsidRPr="00816D7A">
        <w:rPr>
          <w:szCs w:val="24"/>
        </w:rPr>
        <w:t>née, ou au début de l’année 1943, les organisations de résistance comm</w:t>
      </w:r>
      <w:r w:rsidRPr="00816D7A">
        <w:rPr>
          <w:szCs w:val="24"/>
        </w:rPr>
        <w:t>u</w:t>
      </w:r>
      <w:r w:rsidRPr="00816D7A">
        <w:rPr>
          <w:szCs w:val="24"/>
        </w:rPr>
        <w:t>nistes </w:t>
      </w:r>
      <w:r>
        <w:rPr>
          <w:rStyle w:val="Appelnotedebasdep"/>
          <w:szCs w:val="24"/>
        </w:rPr>
        <w:footnoteReference w:id="956"/>
      </w:r>
      <w:r w:rsidRPr="00816D7A">
        <w:rPr>
          <w:szCs w:val="24"/>
        </w:rPr>
        <w:t xml:space="preserve"> diffusèrent des tracts révélant l’horreur de ce qui se passait dans les camps de concentration. Nul, ou presque, n’y crut parmi la population </w:t>
      </w:r>
      <w:r>
        <w:rPr>
          <w:rStyle w:val="Appelnotedebasdep"/>
          <w:szCs w:val="24"/>
        </w:rPr>
        <w:footnoteReference w:id="957"/>
      </w:r>
      <w:r w:rsidRPr="00816D7A">
        <w:rPr>
          <w:szCs w:val="24"/>
        </w:rPr>
        <w:t>, y compris parmi ceux qui les distr</w:t>
      </w:r>
      <w:r w:rsidRPr="00816D7A">
        <w:rPr>
          <w:szCs w:val="24"/>
        </w:rPr>
        <w:t>i</w:t>
      </w:r>
      <w:r w:rsidRPr="00816D7A">
        <w:rPr>
          <w:szCs w:val="24"/>
        </w:rPr>
        <w:t>buaient </w:t>
      </w:r>
      <w:r>
        <w:rPr>
          <w:rStyle w:val="Appelnotedebasdep"/>
          <w:szCs w:val="24"/>
        </w:rPr>
        <w:footnoteReference w:id="958"/>
      </w:r>
      <w:r w:rsidRPr="00816D7A">
        <w:rPr>
          <w:szCs w:val="24"/>
        </w:rPr>
        <w:t>. À Londres, une nouvelle brochure publiée au milieu de 1943 fit état du fait que, à la fin de l’année 1942, plus de huit cent mi</w:t>
      </w:r>
      <w:r w:rsidRPr="00816D7A">
        <w:rPr>
          <w:szCs w:val="24"/>
        </w:rPr>
        <w:t>l</w:t>
      </w:r>
      <w:r w:rsidRPr="00816D7A">
        <w:rPr>
          <w:szCs w:val="24"/>
        </w:rPr>
        <w:t>le juifs avaient déjà été assassinés à Auschwitz </w:t>
      </w:r>
      <w:r>
        <w:rPr>
          <w:rStyle w:val="Appelnotedebasdep"/>
          <w:szCs w:val="24"/>
        </w:rPr>
        <w:footnoteReference w:id="959"/>
      </w:r>
      <w:r w:rsidRPr="00816D7A">
        <w:rPr>
          <w:szCs w:val="24"/>
        </w:rPr>
        <w:t>. Elle passa, elle aussi, in</w:t>
      </w:r>
      <w:r w:rsidRPr="00816D7A">
        <w:rPr>
          <w:szCs w:val="24"/>
        </w:rPr>
        <w:t>a</w:t>
      </w:r>
      <w:r w:rsidRPr="00816D7A">
        <w:rPr>
          <w:szCs w:val="24"/>
        </w:rPr>
        <w:t>perçue. En juin 1944, deux concentrationnaires évadés d’Auschwitz, Rudolf Verba et Alfred Wetzler, remirent en Suisse au délégué du B</w:t>
      </w:r>
      <w:r w:rsidRPr="00816D7A">
        <w:rPr>
          <w:szCs w:val="24"/>
        </w:rPr>
        <w:t>u</w:t>
      </w:r>
      <w:r w:rsidRPr="00816D7A">
        <w:rPr>
          <w:szCs w:val="24"/>
        </w:rPr>
        <w:t>reau (américain) des réfugiés de guerre </w:t>
      </w:r>
      <w:r>
        <w:rPr>
          <w:rStyle w:val="Appelnotedebasdep"/>
          <w:szCs w:val="24"/>
        </w:rPr>
        <w:footnoteReference w:id="960"/>
      </w:r>
      <w:r w:rsidRPr="00816D7A">
        <w:rPr>
          <w:szCs w:val="24"/>
        </w:rPr>
        <w:t xml:space="preserve"> un rapport détaillé sur ce qui se passait dans le camp. Les informations qu’il contenait furent diffusées sur les o</w:t>
      </w:r>
      <w:r w:rsidRPr="00816D7A">
        <w:rPr>
          <w:szCs w:val="24"/>
        </w:rPr>
        <w:t>n</w:t>
      </w:r>
      <w:r w:rsidRPr="00816D7A">
        <w:rPr>
          <w:szCs w:val="24"/>
        </w:rPr>
        <w:t xml:space="preserve">des de la </w:t>
      </w:r>
      <w:r w:rsidRPr="00816D7A">
        <w:rPr>
          <w:i/>
          <w:smallCaps/>
          <w:szCs w:val="24"/>
        </w:rPr>
        <w:t>Bbc</w:t>
      </w:r>
      <w:r w:rsidRPr="00816D7A">
        <w:rPr>
          <w:szCs w:val="24"/>
        </w:rPr>
        <w:t xml:space="preserve"> le 15 juin 1944 et le </w:t>
      </w:r>
      <w:r w:rsidRPr="00816D7A">
        <w:rPr>
          <w:i/>
          <w:szCs w:val="24"/>
        </w:rPr>
        <w:t>New York Times</w:t>
      </w:r>
      <w:r w:rsidRPr="00816D7A">
        <w:rPr>
          <w:szCs w:val="24"/>
        </w:rPr>
        <w:t xml:space="preserve"> les reprit le 20 du même mois </w:t>
      </w:r>
      <w:r>
        <w:rPr>
          <w:rStyle w:val="Appelnotedebasdep"/>
          <w:szCs w:val="24"/>
        </w:rPr>
        <w:footnoteReference w:id="961"/>
      </w:r>
      <w:r w:rsidRPr="00816D7A">
        <w:rPr>
          <w:szCs w:val="24"/>
        </w:rPr>
        <w:t xml:space="preserve">. </w:t>
      </w:r>
      <w:r w:rsidRPr="00816D7A">
        <w:rPr>
          <w:i/>
          <w:szCs w:val="24"/>
        </w:rPr>
        <w:t>Etc.</w:t>
      </w:r>
    </w:p>
    <w:p w14:paraId="7711872F" w14:textId="77777777" w:rsidR="00B01930" w:rsidRPr="00816D7A" w:rsidRDefault="00B01930" w:rsidP="00B01930">
      <w:pPr>
        <w:spacing w:before="120" w:after="120"/>
        <w:jc w:val="both"/>
        <w:rPr>
          <w:szCs w:val="24"/>
        </w:rPr>
      </w:pPr>
      <w:r w:rsidRPr="00816D7A">
        <w:rPr>
          <w:szCs w:val="24"/>
        </w:rPr>
        <w:t>Il serait en  conséquence inexact d’affirmer que les populations a</w:t>
      </w:r>
      <w:r w:rsidRPr="00816D7A">
        <w:rPr>
          <w:szCs w:val="24"/>
        </w:rPr>
        <w:t>l</w:t>
      </w:r>
      <w:r w:rsidRPr="00816D7A">
        <w:rPr>
          <w:szCs w:val="24"/>
        </w:rPr>
        <w:t>liées ne disposaient d’aucun accès à l’information. Elles n’avaient to</w:t>
      </w:r>
      <w:r w:rsidRPr="00816D7A">
        <w:rPr>
          <w:szCs w:val="24"/>
        </w:rPr>
        <w:t>u</w:t>
      </w:r>
      <w:r w:rsidRPr="00816D7A">
        <w:rPr>
          <w:szCs w:val="24"/>
        </w:rPr>
        <w:t>tefois pas les moyens d’en contrôler la véracité. Il n’en allait pas de même de leurs dirigeants. Outre des données recueillies ici et là par des journalistes, ils avaient été destinataires de rapports sur les arrest</w:t>
      </w:r>
      <w:r w:rsidRPr="00816D7A">
        <w:rPr>
          <w:szCs w:val="24"/>
        </w:rPr>
        <w:t>a</w:t>
      </w:r>
      <w:r w:rsidRPr="00816D7A">
        <w:rPr>
          <w:szCs w:val="24"/>
        </w:rPr>
        <w:t xml:space="preserve">tions et les déportations en provenance de pays tels que la France. Ils avaient entendu des témoignages directs de victimes échappées des camps. Ils avaient reçu des messages de la Résistance œuvrant dans les zones ou certains camps avaient été bâtis, notamment en Pologne. </w:t>
      </w:r>
      <w:r w:rsidRPr="00816D7A">
        <w:rPr>
          <w:i/>
          <w:szCs w:val="24"/>
        </w:rPr>
        <w:t>Etc.</w:t>
      </w:r>
    </w:p>
    <w:p w14:paraId="767C12AD" w14:textId="77777777" w:rsidR="00B01930" w:rsidRDefault="00B01930" w:rsidP="00B01930">
      <w:pPr>
        <w:spacing w:before="120" w:after="120"/>
        <w:jc w:val="both"/>
        <w:rPr>
          <w:szCs w:val="24"/>
        </w:rPr>
      </w:pPr>
      <w:r w:rsidRPr="00816D7A">
        <w:rPr>
          <w:szCs w:val="24"/>
        </w:rPr>
        <w:t>Dès le mois de juin 1942, le Premier ministre du gouvernement p</w:t>
      </w:r>
      <w:r w:rsidRPr="00816D7A">
        <w:rPr>
          <w:szCs w:val="24"/>
        </w:rPr>
        <w:t>o</w:t>
      </w:r>
      <w:r w:rsidRPr="00816D7A">
        <w:rPr>
          <w:szCs w:val="24"/>
        </w:rPr>
        <w:t>lonais en exil à Londres avait transmis au gouvernement britannique une note indiquant qu’une extermination était en cours en Pologne. À la fin de la même année, le ministre des affaires étrangères polonais avait remis à son homologue britannique une nouvelle note indiquant qu’un million de juifs au moins avaient déjà été assassinés, que trois cent mille d’entre eux avaient été déportés du ghetto de Varsovie et que des gazages massifs de victimes avaient lieu à Treblinka. La R</w:t>
      </w:r>
      <w:r w:rsidRPr="00816D7A">
        <w:rPr>
          <w:szCs w:val="24"/>
        </w:rPr>
        <w:t>é</w:t>
      </w:r>
      <w:r w:rsidRPr="00816D7A">
        <w:rPr>
          <w:szCs w:val="24"/>
        </w:rPr>
        <w:t>sistance polonaise avait confirmé ces informations, notamment via l’envoi à Londres du rapport Pilecki </w:t>
      </w:r>
      <w:r>
        <w:rPr>
          <w:rStyle w:val="Appelnotedebasdep"/>
          <w:szCs w:val="24"/>
        </w:rPr>
        <w:footnoteReference w:id="962"/>
      </w:r>
      <w:r w:rsidRPr="00816D7A">
        <w:rPr>
          <w:szCs w:val="24"/>
        </w:rPr>
        <w:t>. Les responsables militaires a</w:t>
      </w:r>
      <w:r w:rsidRPr="00816D7A">
        <w:rPr>
          <w:szCs w:val="24"/>
        </w:rPr>
        <w:t>l</w:t>
      </w:r>
      <w:r w:rsidRPr="00816D7A">
        <w:rPr>
          <w:szCs w:val="24"/>
        </w:rPr>
        <w:t>liés possédaient des photographies aériennes de certains camps </w:t>
      </w:r>
      <w:r>
        <w:rPr>
          <w:rStyle w:val="Appelnotedebasdep"/>
          <w:szCs w:val="24"/>
        </w:rPr>
        <w:footnoteReference w:id="963"/>
      </w:r>
      <w:r w:rsidRPr="00816D7A">
        <w:rPr>
          <w:szCs w:val="24"/>
        </w:rPr>
        <w:t xml:space="preserve"> et de leurs voies d’accès. Ils n’avaient pas manqué de s’interroger sur ce qui s’y passait afin de décider si ceux-ci devaient être bombardés. S’ils n’hésitèrent pas à attaquer par les airs des usines dans lesquelles tr</w:t>
      </w:r>
      <w:r w:rsidRPr="00816D7A">
        <w:rPr>
          <w:szCs w:val="24"/>
        </w:rPr>
        <w:t>a</w:t>
      </w:r>
      <w:r w:rsidRPr="00816D7A">
        <w:rPr>
          <w:szCs w:val="24"/>
        </w:rPr>
        <w:t>vaillaient des concentrationnaires contraints aux travaux fo</w:t>
      </w:r>
      <w:r w:rsidRPr="00816D7A">
        <w:rPr>
          <w:szCs w:val="24"/>
        </w:rPr>
        <w:t>r</w:t>
      </w:r>
      <w:r w:rsidRPr="00816D7A">
        <w:rPr>
          <w:szCs w:val="24"/>
        </w:rPr>
        <w:t>cés</w:t>
      </w:r>
      <w:r>
        <w:rPr>
          <w:szCs w:val="24"/>
        </w:rPr>
        <w:t> </w:t>
      </w:r>
      <w:r>
        <w:rPr>
          <w:rStyle w:val="Appelnotedebasdep"/>
          <w:szCs w:val="24"/>
        </w:rPr>
        <w:footnoteReference w:id="964"/>
      </w:r>
      <w:r w:rsidRPr="00816D7A">
        <w:rPr>
          <w:szCs w:val="24"/>
        </w:rPr>
        <w:t>, ils choisirent de ne pas s’en prendre aux camps ou à leurs voies d’accès, alors même que leurs avions survolèrent ces z</w:t>
      </w:r>
      <w:r w:rsidRPr="00816D7A">
        <w:rPr>
          <w:szCs w:val="24"/>
        </w:rPr>
        <w:t>o</w:t>
      </w:r>
      <w:r w:rsidRPr="00816D7A">
        <w:rPr>
          <w:szCs w:val="24"/>
        </w:rPr>
        <w:t>nes pour aller frapper des objectifs plus éloign</w:t>
      </w:r>
      <w:r>
        <w:rPr>
          <w:szCs w:val="24"/>
        </w:rPr>
        <w:t>és. Qu’en conclure ?</w:t>
      </w:r>
    </w:p>
    <w:p w14:paraId="10E579C0" w14:textId="77777777" w:rsidR="00B01930" w:rsidRPr="00816D7A" w:rsidRDefault="00B01930" w:rsidP="00B01930">
      <w:pPr>
        <w:spacing w:before="120" w:after="120"/>
        <w:jc w:val="both"/>
        <w:rPr>
          <w:szCs w:val="24"/>
        </w:rPr>
      </w:pPr>
    </w:p>
    <w:p w14:paraId="4E7C7AD0" w14:textId="77777777" w:rsidR="00B01930" w:rsidRPr="00816D7A" w:rsidRDefault="00B01930" w:rsidP="00B01930">
      <w:pPr>
        <w:spacing w:before="120" w:after="120"/>
        <w:jc w:val="both"/>
        <w:rPr>
          <w:szCs w:val="24"/>
        </w:rPr>
      </w:pPr>
      <w:r>
        <w:rPr>
          <w:szCs w:val="24"/>
        </w:rPr>
        <w:t>À</w:t>
      </w:r>
      <w:r w:rsidRPr="00816D7A">
        <w:rPr>
          <w:szCs w:val="24"/>
        </w:rPr>
        <w:t xml:space="preserve"> l’examen des faits, il faut admettre que les dirigeants des pays alliés disposaient d’informations suffisantes pour comprendre ce qui se jouait dans les camps d’extermination, mais que cela ne suffit pas à les convaincre de faire une priorité de leur mise hors d’état de fon</w:t>
      </w:r>
      <w:r w:rsidRPr="00816D7A">
        <w:rPr>
          <w:szCs w:val="24"/>
        </w:rPr>
        <w:t>c</w:t>
      </w:r>
      <w:r w:rsidRPr="00816D7A">
        <w:rPr>
          <w:szCs w:val="24"/>
        </w:rPr>
        <w:t>tionner et de la libération des concentrationnaires </w:t>
      </w:r>
      <w:r>
        <w:rPr>
          <w:rStyle w:val="Appelnotedebasdep"/>
          <w:szCs w:val="24"/>
        </w:rPr>
        <w:footnoteReference w:id="965"/>
      </w:r>
      <w:r w:rsidRPr="00816D7A">
        <w:rPr>
          <w:szCs w:val="24"/>
        </w:rPr>
        <w:t>. Compte tenu du caractère singulier des faits, la Shoah ayant repoussé les limites de l’horreur au-delà de ce que l’entendement humain avait jusque-là imaginé, un phénomène de sidération susceptible de générer un déni de réalité pourrait-il s’être produit ? Il parait difficile de le croire s’agissant des dirigeants des pays vainqueurs </w:t>
      </w:r>
      <w:r>
        <w:rPr>
          <w:rStyle w:val="Appelnotedebasdep"/>
          <w:szCs w:val="24"/>
        </w:rPr>
        <w:footnoteReference w:id="966"/>
      </w:r>
      <w:r w:rsidRPr="00816D7A">
        <w:rPr>
          <w:szCs w:val="24"/>
        </w:rPr>
        <w:t>.</w:t>
      </w:r>
    </w:p>
    <w:p w14:paraId="18806305" w14:textId="77777777" w:rsidR="00B01930" w:rsidRPr="00816D7A" w:rsidRDefault="00B01930" w:rsidP="00B01930">
      <w:pPr>
        <w:spacing w:before="120" w:after="120"/>
        <w:jc w:val="both"/>
        <w:rPr>
          <w:szCs w:val="24"/>
        </w:rPr>
      </w:pPr>
      <w:r w:rsidRPr="00816D7A">
        <w:rPr>
          <w:szCs w:val="24"/>
        </w:rPr>
        <w:t>Cela n’est pas impossible pour les populations civiles, ou au moins celles des pays alliés. Dans l’agression, celui qui porte les coups et celui qui les reçoit diffèrent l’un de l’autre, mais ils sont tous deux des êtres humains. Ce lien impossible à trancher nous réconforte lorsque s’exprime la fraternité humaine. Il nous dérange lorsque se manife</w:t>
      </w:r>
      <w:r w:rsidRPr="00816D7A">
        <w:rPr>
          <w:szCs w:val="24"/>
        </w:rPr>
        <w:t>s</w:t>
      </w:r>
      <w:r w:rsidRPr="00816D7A">
        <w:rPr>
          <w:szCs w:val="24"/>
        </w:rPr>
        <w:t>tent des tensions ou se produisent des agressions, entre êtres humains. Confrontée à une violence telle que celle de la Shoah, vécue ou même simplement connue, la gêne devient rejet. Tout individu sensible ne peut alors qu’avoir instinctivement tendance à tenter irrationnellement de dénier toute humanité aux bourreaux </w:t>
      </w:r>
      <w:r>
        <w:rPr>
          <w:rStyle w:val="Appelnotedebasdep"/>
          <w:szCs w:val="24"/>
        </w:rPr>
        <w:footnoteReference w:id="967"/>
      </w:r>
      <w:r w:rsidRPr="00816D7A">
        <w:rPr>
          <w:szCs w:val="24"/>
        </w:rPr>
        <w:t xml:space="preserve"> et de nier l’évidence des faits.</w:t>
      </w:r>
    </w:p>
    <w:p w14:paraId="1063680C" w14:textId="77777777" w:rsidR="00B01930" w:rsidRPr="00816D7A" w:rsidRDefault="00B01930" w:rsidP="00B01930">
      <w:pPr>
        <w:spacing w:before="120" w:after="120"/>
        <w:jc w:val="both"/>
        <w:rPr>
          <w:szCs w:val="24"/>
        </w:rPr>
      </w:pPr>
      <w:r w:rsidRPr="00816D7A">
        <w:rPr>
          <w:szCs w:val="24"/>
        </w:rPr>
        <w:t>C’est vraisemblablement un épisode de déni de ce type que les p</w:t>
      </w:r>
      <w:r w:rsidRPr="00816D7A">
        <w:rPr>
          <w:szCs w:val="24"/>
        </w:rPr>
        <w:t>o</w:t>
      </w:r>
      <w:r w:rsidRPr="00816D7A">
        <w:rPr>
          <w:szCs w:val="24"/>
        </w:rPr>
        <w:t>pulations des pays en guerre contre l’Axe ont vécu à la fin de la S</w:t>
      </w:r>
      <w:r w:rsidRPr="00816D7A">
        <w:rPr>
          <w:szCs w:val="24"/>
        </w:rPr>
        <w:t>e</w:t>
      </w:r>
      <w:r w:rsidRPr="00816D7A">
        <w:rPr>
          <w:szCs w:val="24"/>
        </w:rPr>
        <w:t>conde guerre mondiale, au moment où l’existence des camps d’extermination a été rendue publique sur une grande échelle. Tout</w:t>
      </w:r>
      <w:r w:rsidRPr="00816D7A">
        <w:rPr>
          <w:szCs w:val="24"/>
        </w:rPr>
        <w:t>e</w:t>
      </w:r>
      <w:r w:rsidRPr="00816D7A">
        <w:rPr>
          <w:szCs w:val="24"/>
        </w:rPr>
        <w:t>fois, à la différence du cas de l’individu qui entend se protéger d’une réalité qu’il ne peut admettre dans l’instant et qui souhaite se déma</w:t>
      </w:r>
      <w:r w:rsidRPr="00816D7A">
        <w:rPr>
          <w:szCs w:val="24"/>
        </w:rPr>
        <w:t>r</w:t>
      </w:r>
      <w:r w:rsidRPr="00816D7A">
        <w:rPr>
          <w:szCs w:val="24"/>
        </w:rPr>
        <w:t>quer à titre personnel du comportement des bourreaux, le rejet a été ici celui de populations entières, prises dans leur globalité. Il s’en est su</w:t>
      </w:r>
      <w:r w:rsidRPr="00816D7A">
        <w:rPr>
          <w:szCs w:val="24"/>
        </w:rPr>
        <w:t>i</w:t>
      </w:r>
      <w:r w:rsidRPr="00816D7A">
        <w:rPr>
          <w:szCs w:val="24"/>
        </w:rPr>
        <w:t>vi un déni massif </w:t>
      </w:r>
      <w:r>
        <w:rPr>
          <w:rStyle w:val="Appelnotedebasdep"/>
          <w:szCs w:val="24"/>
        </w:rPr>
        <w:footnoteReference w:id="968"/>
      </w:r>
      <w:r w:rsidRPr="00816D7A">
        <w:rPr>
          <w:szCs w:val="24"/>
        </w:rPr>
        <w:t>, conduisant à faire taire la parole des surv</w:t>
      </w:r>
      <w:r w:rsidRPr="00816D7A">
        <w:rPr>
          <w:szCs w:val="24"/>
        </w:rPr>
        <w:t>i</w:t>
      </w:r>
      <w:r w:rsidRPr="00816D7A">
        <w:rPr>
          <w:szCs w:val="24"/>
        </w:rPr>
        <w:t>vants</w:t>
      </w:r>
      <w:r w:rsidRPr="00816D7A">
        <w:t> </w:t>
      </w:r>
      <w:r>
        <w:rPr>
          <w:rStyle w:val="Appelnotedebasdep"/>
        </w:rPr>
        <w:footnoteReference w:id="969"/>
      </w:r>
      <w:r w:rsidRPr="00816D7A">
        <w:rPr>
          <w:szCs w:val="24"/>
        </w:rPr>
        <w:t>, doublé d’une colère latente </w:t>
      </w:r>
      <w:r>
        <w:rPr>
          <w:rStyle w:val="Appelnotedebasdep"/>
          <w:szCs w:val="24"/>
        </w:rPr>
        <w:footnoteReference w:id="970"/>
      </w:r>
      <w:r w:rsidRPr="00816D7A">
        <w:rPr>
          <w:szCs w:val="24"/>
        </w:rPr>
        <w:t>.</w:t>
      </w:r>
    </w:p>
    <w:p w14:paraId="509B54CC" w14:textId="77777777" w:rsidR="00B01930" w:rsidRPr="00816D7A" w:rsidRDefault="00B01930" w:rsidP="00B01930">
      <w:pPr>
        <w:spacing w:before="120" w:after="120"/>
        <w:jc w:val="both"/>
        <w:rPr>
          <w:szCs w:val="24"/>
        </w:rPr>
      </w:pPr>
      <w:r w:rsidRPr="00816D7A">
        <w:rPr>
          <w:szCs w:val="24"/>
        </w:rPr>
        <w:t>Confrontés à cette situation inédite, les dirigeants des pays alliés, tout en affirmant plus ou moins adroitement n’avoir eux-mêmes que tardivement pris conscience de l’horreur des camps </w:t>
      </w:r>
      <w:r>
        <w:rPr>
          <w:rStyle w:val="Appelnotedebasdep"/>
          <w:szCs w:val="24"/>
        </w:rPr>
        <w:footnoteReference w:id="971"/>
      </w:r>
      <w:r w:rsidRPr="00816D7A">
        <w:rPr>
          <w:szCs w:val="24"/>
        </w:rPr>
        <w:t>, ont immédiat</w:t>
      </w:r>
      <w:r w:rsidRPr="00816D7A">
        <w:rPr>
          <w:szCs w:val="24"/>
        </w:rPr>
        <w:t>e</w:t>
      </w:r>
      <w:r w:rsidRPr="00816D7A">
        <w:rPr>
          <w:szCs w:val="24"/>
        </w:rPr>
        <w:t>ment réagis pour éviter une explosion de colère populaire. Ils ont, n</w:t>
      </w:r>
      <w:r w:rsidRPr="00816D7A">
        <w:rPr>
          <w:szCs w:val="24"/>
        </w:rPr>
        <w:t>o</w:t>
      </w:r>
      <w:r w:rsidRPr="00816D7A">
        <w:rPr>
          <w:szCs w:val="24"/>
        </w:rPr>
        <w:t>tamment, décidé de faire évoluer la dignité humaine d’un statut d’état de conscience dépourvu de conséquences juridiques à un statut de v</w:t>
      </w:r>
      <w:r w:rsidRPr="00816D7A">
        <w:rPr>
          <w:szCs w:val="24"/>
        </w:rPr>
        <w:t>a</w:t>
      </w:r>
      <w:r w:rsidRPr="00816D7A">
        <w:rPr>
          <w:szCs w:val="24"/>
        </w:rPr>
        <w:t>leur universelle fondamentale susceptible de servir de fondement à des normes du droit international. Les incidences de cette évolution, juridiques et autres, n’ont cessé de s’étendre depuis lors, ce de façon plus ou moins heureuse.</w:t>
      </w:r>
    </w:p>
    <w:p w14:paraId="7210F80A" w14:textId="77777777" w:rsidR="00B01930" w:rsidRDefault="00B01930" w:rsidP="00B01930">
      <w:pPr>
        <w:spacing w:before="120" w:after="120"/>
        <w:jc w:val="both"/>
      </w:pPr>
    </w:p>
    <w:p w14:paraId="100880FC" w14:textId="77777777" w:rsidR="00B01930" w:rsidRPr="00320A86" w:rsidRDefault="00B01930" w:rsidP="00B01930">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10"/>
      </w:tblGrid>
      <w:tr w:rsidR="00B01930" w:rsidRPr="00320A86" w14:paraId="43276745" w14:textId="77777777">
        <w:tc>
          <w:tcPr>
            <w:tcW w:w="9206" w:type="dxa"/>
          </w:tcPr>
          <w:p w14:paraId="31490602" w14:textId="77777777" w:rsidR="00B01930" w:rsidRPr="00320A86" w:rsidRDefault="00B01930" w:rsidP="00B01930">
            <w:pPr>
              <w:spacing w:before="120" w:after="120"/>
              <w:jc w:val="both"/>
              <w:rPr>
                <w:szCs w:val="16"/>
              </w:rPr>
            </w:pPr>
          </w:p>
          <w:p w14:paraId="597858FC" w14:textId="77777777" w:rsidR="00B01930" w:rsidRPr="00320A86" w:rsidRDefault="00B01930" w:rsidP="00B01930">
            <w:pPr>
              <w:spacing w:before="120" w:after="120"/>
              <w:jc w:val="both"/>
            </w:pPr>
            <w:r w:rsidRPr="00320A86">
              <w:t>Ce travail s’inscrit dans le cadre d’une étude de différents aspects de la d</w:t>
            </w:r>
            <w:r w:rsidRPr="00320A86">
              <w:t>i</w:t>
            </w:r>
            <w:r w:rsidRPr="00320A86">
              <w:t>gnité humaine qui comprendra notamment en sus les articles suivants : « Les acquis de la psychologie mis au service de la machine concentrationnaire n</w:t>
            </w:r>
            <w:r w:rsidRPr="00320A86">
              <w:t>a</w:t>
            </w:r>
            <w:r w:rsidRPr="00320A86">
              <w:t>zie » ; « La phase de transformation de la dignité humaine en valeur fondamentale universelle » ; « Vers un dépass</w:t>
            </w:r>
            <w:r w:rsidRPr="00320A86">
              <w:t>e</w:t>
            </w:r>
            <w:r w:rsidRPr="00320A86">
              <w:t xml:space="preserve">ment du traumatisme causé par la </w:t>
            </w:r>
            <w:r w:rsidRPr="00B06243">
              <w:rPr>
                <w:i/>
              </w:rPr>
              <w:t>Shoah </w:t>
            </w:r>
            <w:r w:rsidRPr="00320A86">
              <w:t>? » et « L’évolution de la d</w:t>
            </w:r>
            <w:r w:rsidRPr="00320A86">
              <w:t>i</w:t>
            </w:r>
            <w:r w:rsidRPr="00320A86">
              <w:t>gnité humaine : du temps des errements à celui de la réflexion ? »</w:t>
            </w:r>
          </w:p>
          <w:p w14:paraId="78FAA8B7" w14:textId="77777777" w:rsidR="00B01930" w:rsidRPr="00320A86" w:rsidRDefault="00B01930" w:rsidP="00B01930">
            <w:pPr>
              <w:spacing w:before="120" w:after="120"/>
              <w:jc w:val="both"/>
              <w:rPr>
                <w:szCs w:val="16"/>
              </w:rPr>
            </w:pPr>
          </w:p>
        </w:tc>
      </w:tr>
    </w:tbl>
    <w:p w14:paraId="59B1A665" w14:textId="77777777" w:rsidR="00B01930" w:rsidRDefault="00B01930" w:rsidP="00B01930">
      <w:pPr>
        <w:spacing w:before="120" w:after="120"/>
        <w:jc w:val="both"/>
      </w:pPr>
    </w:p>
    <w:p w14:paraId="0F4952DA" w14:textId="77777777" w:rsidR="00B01930" w:rsidRDefault="00B01930" w:rsidP="00B01930">
      <w:pPr>
        <w:jc w:val="both"/>
      </w:pPr>
      <w:r>
        <w:br w:type="page"/>
      </w:r>
    </w:p>
    <w:p w14:paraId="0AFC26BA" w14:textId="77777777" w:rsidR="00B01930" w:rsidRDefault="00B01930" w:rsidP="00B01930">
      <w:pPr>
        <w:jc w:val="both"/>
      </w:pPr>
    </w:p>
    <w:p w14:paraId="06666386" w14:textId="77777777" w:rsidR="00B01930" w:rsidRDefault="00B01930" w:rsidP="00B01930">
      <w:pPr>
        <w:jc w:val="both"/>
      </w:pPr>
    </w:p>
    <w:p w14:paraId="2104B6C4" w14:textId="77777777" w:rsidR="00B01930" w:rsidRPr="009D4882" w:rsidRDefault="00B01930" w:rsidP="00B01930">
      <w:pPr>
        <w:spacing w:after="120"/>
        <w:ind w:firstLine="0"/>
        <w:jc w:val="center"/>
        <w:rPr>
          <w:b/>
          <w:color w:val="000080"/>
        </w:rPr>
      </w:pPr>
      <w:bookmarkStart w:id="210" w:name="Analyser_idees_pol_pt_3_texte_09A"/>
      <w:r>
        <w:rPr>
          <w:b/>
          <w:color w:val="000080"/>
        </w:rPr>
        <w:t>Troisième</w:t>
      </w:r>
      <w:r w:rsidRPr="009D4882">
        <w:rPr>
          <w:b/>
          <w:color w:val="000080"/>
        </w:rPr>
        <w:t xml:space="preserve"> partie</w:t>
      </w:r>
      <w:r w:rsidRPr="009D4882">
        <w:rPr>
          <w:b/>
          <w:color w:val="000080"/>
        </w:rPr>
        <w:br/>
      </w:r>
      <w:r>
        <w:rPr>
          <w:i/>
          <w:color w:val="000080"/>
        </w:rPr>
        <w:t>De quelques idées politiques «modernes»</w:t>
      </w:r>
    </w:p>
    <w:p w14:paraId="4CE441B0" w14:textId="77777777" w:rsidR="00B01930" w:rsidRDefault="00B01930" w:rsidP="00B01930">
      <w:pPr>
        <w:pStyle w:val="Titreniveau1"/>
        <w:rPr>
          <w:szCs w:val="36"/>
        </w:rPr>
      </w:pPr>
      <w:r>
        <w:rPr>
          <w:szCs w:val="36"/>
        </w:rPr>
        <w:t>9A</w:t>
      </w:r>
    </w:p>
    <w:p w14:paraId="6BB8D786" w14:textId="77777777" w:rsidR="00B01930" w:rsidRDefault="00B01930" w:rsidP="00B01930">
      <w:pPr>
        <w:jc w:val="both"/>
        <w:rPr>
          <w:szCs w:val="36"/>
        </w:rPr>
      </w:pPr>
    </w:p>
    <w:p w14:paraId="2D3120AC" w14:textId="77777777" w:rsidR="00B01930" w:rsidRPr="00843F3E" w:rsidRDefault="00B01930" w:rsidP="00B01930">
      <w:pPr>
        <w:pStyle w:val="Titreniveau2"/>
      </w:pPr>
      <w:r>
        <w:t>“La pensée politique</w:t>
      </w:r>
      <w:r>
        <w:br/>
        <w:t>du Père Teilhard de Chardin</w:t>
      </w:r>
      <w:r>
        <w:br/>
        <w:t>(1881-1955).”</w:t>
      </w:r>
    </w:p>
    <w:bookmarkEnd w:id="210"/>
    <w:p w14:paraId="50BF3D07" w14:textId="77777777" w:rsidR="00B01930" w:rsidRDefault="00B01930" w:rsidP="00B01930">
      <w:pPr>
        <w:jc w:val="both"/>
        <w:rPr>
          <w:szCs w:val="36"/>
        </w:rPr>
      </w:pPr>
    </w:p>
    <w:p w14:paraId="53950783" w14:textId="77777777" w:rsidR="00B01930" w:rsidRDefault="00B01930" w:rsidP="00B01930">
      <w:pPr>
        <w:pStyle w:val="suite"/>
      </w:pPr>
      <w:r>
        <w:t>Arnaud MARTIN</w:t>
      </w:r>
    </w:p>
    <w:p w14:paraId="174E21DB" w14:textId="77777777" w:rsidR="00B01930" w:rsidRDefault="00B01930" w:rsidP="00B01930">
      <w:pPr>
        <w:jc w:val="both"/>
      </w:pPr>
    </w:p>
    <w:p w14:paraId="2B758C4D" w14:textId="77777777" w:rsidR="00B01930" w:rsidRPr="00320A86" w:rsidRDefault="00B01930" w:rsidP="00B01930">
      <w:pPr>
        <w:spacing w:before="120" w:after="120"/>
        <w:jc w:val="both"/>
      </w:pPr>
    </w:p>
    <w:p w14:paraId="57943339" w14:textId="77777777" w:rsidR="00B01930" w:rsidRPr="00320A86" w:rsidRDefault="00B01930" w:rsidP="00B01930">
      <w:pPr>
        <w:spacing w:before="120" w:after="120"/>
        <w:ind w:left="1440"/>
        <w:jc w:val="both"/>
      </w:pPr>
      <w:r w:rsidRPr="00264EEC">
        <w:rPr>
          <w:color w:val="000090"/>
          <w:sz w:val="24"/>
        </w:rPr>
        <w:t>« Oh qu’il est beau l’Esprit s’élevant, tout paré des richesses de la Te</w:t>
      </w:r>
      <w:r w:rsidRPr="00264EEC">
        <w:rPr>
          <w:color w:val="000090"/>
          <w:sz w:val="24"/>
        </w:rPr>
        <w:t>r</w:t>
      </w:r>
      <w:r w:rsidRPr="00264EEC">
        <w:rPr>
          <w:color w:val="000090"/>
          <w:sz w:val="24"/>
        </w:rPr>
        <w:t>re </w:t>
      </w:r>
      <w:r>
        <w:rPr>
          <w:rStyle w:val="Appelnotedebasdep"/>
        </w:rPr>
        <w:footnoteReference w:id="972"/>
      </w:r>
      <w:r w:rsidRPr="00320A86">
        <w:t> </w:t>
      </w:r>
      <w:r w:rsidRPr="00264EEC">
        <w:rPr>
          <w:color w:val="000090"/>
          <w:sz w:val="24"/>
        </w:rPr>
        <w:t>! »</w:t>
      </w:r>
    </w:p>
    <w:p w14:paraId="6B7DF5F5" w14:textId="77777777" w:rsidR="00B01930" w:rsidRPr="00320A86" w:rsidRDefault="00B01930" w:rsidP="00B01930">
      <w:pPr>
        <w:spacing w:before="120" w:after="120"/>
        <w:jc w:val="both"/>
      </w:pPr>
    </w:p>
    <w:p w14:paraId="5A51B98E"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0C4858AD" w14:textId="77777777" w:rsidR="00B01930" w:rsidRPr="00320A86" w:rsidRDefault="00B01930" w:rsidP="00B01930">
      <w:pPr>
        <w:spacing w:before="120" w:after="120"/>
        <w:jc w:val="both"/>
      </w:pPr>
      <w:r w:rsidRPr="00320A86">
        <w:t>Pierre Teilhard de Chardin fut-il un penseur politique ? Il peut paraître éto</w:t>
      </w:r>
      <w:r w:rsidRPr="00320A86">
        <w:t>n</w:t>
      </w:r>
      <w:r w:rsidRPr="00320A86">
        <w:t>nant de poser une telle question au début d’une étude consacrée à la pensée pol</w:t>
      </w:r>
      <w:r w:rsidRPr="00320A86">
        <w:t>i</w:t>
      </w:r>
      <w:r w:rsidRPr="00320A86">
        <w:t>tique de cet homme hors du commun, mais le parcours intellectuel de ce « </w:t>
      </w:r>
      <w:r w:rsidRPr="00AB19F3">
        <w:rPr>
          <w:i/>
        </w:rPr>
        <w:t>nomade de la science </w:t>
      </w:r>
      <w:r>
        <w:rPr>
          <w:rStyle w:val="Appelnotedebasdep"/>
        </w:rPr>
        <w:footnoteReference w:id="973"/>
      </w:r>
      <w:r w:rsidRPr="00320A86">
        <w:t> », qui fut à la fois géologue et paléontologue, religieux et théologien, grand voy</w:t>
      </w:r>
      <w:r w:rsidRPr="00320A86">
        <w:t>a</w:t>
      </w:r>
      <w:r w:rsidRPr="00320A86">
        <w:t>geur et aventurier, ne le destinait pas à être classé pa</w:t>
      </w:r>
      <w:r w:rsidRPr="00320A86">
        <w:t>r</w:t>
      </w:r>
      <w:r w:rsidRPr="00320A86">
        <w:t>mi les penseurs politiques, du moins si l’on s’en tient aux critères académ</w:t>
      </w:r>
      <w:r w:rsidRPr="00320A86">
        <w:t>i</w:t>
      </w:r>
      <w:r w:rsidRPr="00320A86">
        <w:t>ques</w:t>
      </w:r>
      <w:r>
        <w:t> </w:t>
      </w:r>
      <w:r>
        <w:rPr>
          <w:rStyle w:val="Appelnotedebasdep"/>
        </w:rPr>
        <w:footnoteReference w:id="974"/>
      </w:r>
      <w:r w:rsidRPr="00320A86">
        <w:t>. Teilhard de Chardin n’a pas élaboré, à proprement parler, de théorie pol</w:t>
      </w:r>
      <w:r w:rsidRPr="00320A86">
        <w:t>i</w:t>
      </w:r>
      <w:r w:rsidRPr="00320A86">
        <w:t>tique. Encore moins a-t-il participé aux débats politiques de son époque ou s’est-il intéressé aux combinaisons électorales ou à la str</w:t>
      </w:r>
      <w:r w:rsidRPr="00320A86">
        <w:t>a</w:t>
      </w:r>
      <w:r w:rsidRPr="00320A86">
        <w:t>tégie des partis.</w:t>
      </w:r>
    </w:p>
    <w:p w14:paraId="4E7EA164" w14:textId="77777777" w:rsidR="00B01930" w:rsidRPr="00320A86" w:rsidRDefault="00B01930" w:rsidP="00B01930">
      <w:pPr>
        <w:spacing w:before="120" w:after="120"/>
        <w:jc w:val="both"/>
      </w:pPr>
      <w:r w:rsidRPr="00320A86">
        <w:t>S’il est vrai qu’« </w:t>
      </w:r>
      <w:r w:rsidRPr="00AB19F3">
        <w:rPr>
          <w:i/>
        </w:rPr>
        <w:t xml:space="preserve">on ne trouve pas </w:t>
      </w:r>
      <w:r w:rsidRPr="00AB19F3">
        <w:t>chez lui de vues politiques, éc</w:t>
      </w:r>
      <w:r w:rsidRPr="00AB19F3">
        <w:t>o</w:t>
      </w:r>
      <w:r w:rsidRPr="00AB19F3">
        <w:t>nomiques constituées </w:t>
      </w:r>
      <w:r w:rsidRPr="00AB19F3">
        <w:rPr>
          <w:rStyle w:val="Appelnotedebasdep"/>
        </w:rPr>
        <w:footnoteReference w:id="975"/>
      </w:r>
      <w:r w:rsidRPr="00AB19F3">
        <w:t> », même si « Teilhard a des structures fond</w:t>
      </w:r>
      <w:r w:rsidRPr="00AB19F3">
        <w:t>a</w:t>
      </w:r>
      <w:r w:rsidRPr="00AB19F3">
        <w:t>mentales sur lesque</w:t>
      </w:r>
      <w:r w:rsidRPr="00AB19F3">
        <w:t>l</w:t>
      </w:r>
      <w:r w:rsidRPr="00AB19F3">
        <w:t>les on peut construire une politique, de même qu’il a des vues fondamentales sur lesquelles on peut construire une éthique </w:t>
      </w:r>
      <w:r w:rsidRPr="00320A86">
        <w:t>», son œuvre présente toutefois une dimension politique ind</w:t>
      </w:r>
      <w:r w:rsidRPr="00320A86">
        <w:t>é</w:t>
      </w:r>
      <w:r w:rsidRPr="00320A86">
        <w:t>niable. On peut même affirmer que sa vision du monde est politique dans le sens où l’entendait Léopold Sédar Senghor dans la conf</w:t>
      </w:r>
      <w:r w:rsidRPr="00320A86">
        <w:t>é</w:t>
      </w:r>
      <w:r w:rsidRPr="00320A86">
        <w:t>rence qu’il lui consacra en 1962 :</w:t>
      </w:r>
    </w:p>
    <w:p w14:paraId="6B024A2C" w14:textId="77777777" w:rsidR="00B01930" w:rsidRDefault="00B01930" w:rsidP="00B01930">
      <w:pPr>
        <w:pStyle w:val="citation"/>
      </w:pPr>
    </w:p>
    <w:p w14:paraId="51E479D0" w14:textId="77777777" w:rsidR="00B01930" w:rsidRDefault="00B01930" w:rsidP="00B01930">
      <w:pPr>
        <w:pStyle w:val="citation"/>
      </w:pPr>
      <w:r w:rsidRPr="00320A86">
        <w:t>« J’entends le mot Politique en son sens étymologique. Il s’agit de gouverner, pour leur bien commun, les hommes rassemblés dans la Cité. Il s’agit de dév</w:t>
      </w:r>
      <w:r w:rsidRPr="00320A86">
        <w:t>e</w:t>
      </w:r>
      <w:r w:rsidRPr="00320A86">
        <w:t>lopper, par l’organisation même de la Cité en réseaux actifs de solidarité, toutes les virtualités non seulement des individus, mais enc</w:t>
      </w:r>
      <w:r w:rsidRPr="00320A86">
        <w:t>o</w:t>
      </w:r>
      <w:r w:rsidRPr="00320A86">
        <w:t>re des groupes intermédiaires : de les promo</w:t>
      </w:r>
      <w:r w:rsidRPr="00320A86">
        <w:t>u</w:t>
      </w:r>
      <w:r w:rsidRPr="00320A86">
        <w:t>voir en personnes et en communautés. En un mot, de les faire bien être en les faisant plus être, physiquement et spirituellement : biologiqu</w:t>
      </w:r>
      <w:r w:rsidRPr="00320A86">
        <w:t>e</w:t>
      </w:r>
      <w:r w:rsidRPr="00320A86">
        <w:t>ment</w:t>
      </w:r>
      <w:r>
        <w:t> </w:t>
      </w:r>
      <w:r w:rsidRPr="00AE122C">
        <w:rPr>
          <w:rStyle w:val="Appelnotedebasdep"/>
          <w:i/>
        </w:rPr>
        <w:footnoteReference w:id="976"/>
      </w:r>
      <w:r w:rsidRPr="00320A86">
        <w:t>. »</w:t>
      </w:r>
    </w:p>
    <w:p w14:paraId="4521F5E8" w14:textId="77777777" w:rsidR="00B01930" w:rsidRPr="00320A86" w:rsidRDefault="00B01930" w:rsidP="00B01930">
      <w:pPr>
        <w:pStyle w:val="citation"/>
      </w:pPr>
    </w:p>
    <w:p w14:paraId="42E39AD9" w14:textId="77777777" w:rsidR="00B01930" w:rsidRPr="00320A86" w:rsidRDefault="00B01930" w:rsidP="00B01930">
      <w:pPr>
        <w:spacing w:before="120" w:after="120"/>
        <w:jc w:val="both"/>
      </w:pPr>
      <w:r w:rsidRPr="00320A86">
        <w:t>La pensée politique de Teilhard de Chardin est d’un abord diffic</w:t>
      </w:r>
      <w:r w:rsidRPr="00320A86">
        <w:t>i</w:t>
      </w:r>
      <w:r w:rsidRPr="00320A86">
        <w:t>le</w:t>
      </w:r>
      <w:r>
        <w:t> </w:t>
      </w:r>
      <w:r>
        <w:rPr>
          <w:rStyle w:val="Appelnotedebasdep"/>
        </w:rPr>
        <w:footnoteReference w:id="977"/>
      </w:r>
      <w:r w:rsidRPr="00320A86">
        <w:t>, et il faut s’imprégner longuement de ses textes pour découvrir la logique de la d</w:t>
      </w:r>
      <w:r w:rsidRPr="00320A86">
        <w:t>é</w:t>
      </w:r>
      <w:r w:rsidRPr="00320A86">
        <w:t>marche intellectuelle</w:t>
      </w:r>
      <w:r>
        <w:t> </w:t>
      </w:r>
      <w:r>
        <w:rPr>
          <w:rStyle w:val="Appelnotedebasdep"/>
        </w:rPr>
        <w:footnoteReference w:id="978"/>
      </w:r>
      <w:r w:rsidRPr="00320A86">
        <w:t xml:space="preserve"> de celui qui était « </w:t>
      </w:r>
      <w:r w:rsidRPr="00AB19F3">
        <w:rPr>
          <w:i/>
        </w:rPr>
        <w:t>habité par trois “composantes” qu’il nomme le Cosmique, l’Humain, le Christ</w:t>
      </w:r>
      <w:r w:rsidRPr="00AB19F3">
        <w:rPr>
          <w:i/>
        </w:rPr>
        <w:t>i</w:t>
      </w:r>
      <w:r w:rsidRPr="00AB19F3">
        <w:rPr>
          <w:i/>
        </w:rPr>
        <w:t>que </w:t>
      </w:r>
      <w:r>
        <w:rPr>
          <w:rStyle w:val="Appelnotedebasdep"/>
        </w:rPr>
        <w:footnoteReference w:id="979"/>
      </w:r>
      <w:r w:rsidRPr="00320A86">
        <w:t> ». Ce n’est qu’au prix de cet effort que la richesse de son œ</w:t>
      </w:r>
      <w:r w:rsidRPr="00320A86">
        <w:t>u</w:t>
      </w:r>
      <w:r w:rsidRPr="00320A86">
        <w:t>vre apparaît dans toute son évidence. Mais il faut, pour cela, s’échapper des carcans universitaires et accepter de porter sur le mo</w:t>
      </w:r>
      <w:r w:rsidRPr="00320A86">
        <w:t>n</w:t>
      </w:r>
      <w:r w:rsidRPr="00320A86">
        <w:t>de un regard nouveau, pour ne pas dire révolutionnaire, démarche exigeante à l</w:t>
      </w:r>
      <w:r w:rsidRPr="00320A86">
        <w:t>a</w:t>
      </w:r>
      <w:r w:rsidRPr="00320A86">
        <w:t>quelle Teilhard de Chardin nous invite et que seuls les grands pe</w:t>
      </w:r>
      <w:r w:rsidRPr="00320A86">
        <w:t>n</w:t>
      </w:r>
      <w:r w:rsidRPr="00320A86">
        <w:t>seurs sont capables d’initier. Si une œuvre est toujours le reflet de son auteur, celle de Teilhard de Chardin est marquée par le foisonnement intellectuel d’un esprit brillant</w:t>
      </w:r>
      <w:r>
        <w:t> </w:t>
      </w:r>
      <w:r>
        <w:rPr>
          <w:rStyle w:val="Appelnotedebasdep"/>
        </w:rPr>
        <w:footnoteReference w:id="980"/>
      </w:r>
      <w:r w:rsidRPr="00320A86">
        <w:t xml:space="preserve"> qui cultiva une ind</w:t>
      </w:r>
      <w:r w:rsidRPr="00320A86">
        <w:t>é</w:t>
      </w:r>
      <w:r w:rsidRPr="00320A86">
        <w:t>pendance que ses collègues universitaires et ses supérieurs ecclésiastiques ne manqu</w:t>
      </w:r>
      <w:r w:rsidRPr="00320A86">
        <w:t>è</w:t>
      </w:r>
      <w:r w:rsidRPr="00320A86">
        <w:t>rent pas de lui faire payer</w:t>
      </w:r>
      <w:r>
        <w:t> </w:t>
      </w:r>
      <w:r>
        <w:rPr>
          <w:rStyle w:val="Appelnotedebasdep"/>
        </w:rPr>
        <w:footnoteReference w:id="981"/>
      </w:r>
      <w:r w:rsidRPr="00320A86">
        <w:t>. Teilhard de Chardin était inclass</w:t>
      </w:r>
      <w:r w:rsidRPr="00320A86">
        <w:t>a</w:t>
      </w:r>
      <w:r w:rsidRPr="00320A86">
        <w:t>ble, ce qui le rendait intellectuellement suspect, et tout dans sa vie le condamnait à subir les critiques méprisantes que les esprits ag</w:t>
      </w:r>
      <w:r w:rsidRPr="00320A86">
        <w:t>a</w:t>
      </w:r>
      <w:r w:rsidRPr="00320A86">
        <w:t>cés ne manquent pas d’adresser à ceux qui suscitent l’incompréhension et invitent au fructueux inconfort intellectuel.</w:t>
      </w:r>
    </w:p>
    <w:p w14:paraId="30B8614E" w14:textId="77777777" w:rsidR="00B01930" w:rsidRPr="00320A86" w:rsidRDefault="00B01930" w:rsidP="00B01930">
      <w:pPr>
        <w:spacing w:before="120" w:after="120"/>
        <w:jc w:val="both"/>
      </w:pPr>
      <w:r w:rsidRPr="00320A86">
        <w:t>C’est d’abord en géologue que Teilhard de Chardin commença à appréhender le monde. Les volcans d’Auvergne qu’il contemplait d</w:t>
      </w:r>
      <w:r w:rsidRPr="00320A86">
        <w:t>e</w:t>
      </w:r>
      <w:r w:rsidRPr="00320A86">
        <w:t>puis la maison familiale de Sarcenat, au pied du Puy-de-Dôme, et qu’il arpentait dès qu’il en avait le lo</w:t>
      </w:r>
      <w:r w:rsidRPr="00320A86">
        <w:t>i</w:t>
      </w:r>
      <w:r w:rsidRPr="00320A86">
        <w:t>sir, exercèrent très tôt sur lui une attirance que n’égala que le fer dont la « </w:t>
      </w:r>
      <w:r w:rsidRPr="00AB19F3">
        <w:rPr>
          <w:i/>
        </w:rPr>
        <w:t>solidité </w:t>
      </w:r>
      <w:r w:rsidRPr="00320A86">
        <w:t>» et la « </w:t>
      </w:r>
      <w:r w:rsidRPr="00AB19F3">
        <w:rPr>
          <w:i/>
        </w:rPr>
        <w:t>consistance </w:t>
      </w:r>
      <w:r w:rsidRPr="00320A86">
        <w:t>» le fascinaient. Cet « </w:t>
      </w:r>
      <w:r w:rsidRPr="00AB19F3">
        <w:rPr>
          <w:i/>
        </w:rPr>
        <w:t>appel de la matière </w:t>
      </w:r>
      <w:r>
        <w:rPr>
          <w:rStyle w:val="Appelnotedebasdep"/>
        </w:rPr>
        <w:footnoteReference w:id="982"/>
      </w:r>
      <w:r w:rsidRPr="00320A86">
        <w:t> », que seul surpassa celui de Dieu, auquel il répondit à dix-huit ans, orienta pr</w:t>
      </w:r>
      <w:r w:rsidRPr="00320A86">
        <w:t>o</w:t>
      </w:r>
      <w:r w:rsidRPr="00320A86">
        <w:t>fond</w:t>
      </w:r>
      <w:r w:rsidRPr="00320A86">
        <w:t>é</w:t>
      </w:r>
      <w:r w:rsidRPr="00320A86">
        <w:t>ment sa vie.</w:t>
      </w:r>
    </w:p>
    <w:p w14:paraId="2C79CB73" w14:textId="77777777" w:rsidR="00B01930" w:rsidRPr="00320A86" w:rsidRDefault="00B01930" w:rsidP="00B01930">
      <w:pPr>
        <w:spacing w:before="120" w:after="120"/>
        <w:jc w:val="both"/>
      </w:pPr>
      <w:r w:rsidRPr="00320A86">
        <w:t>Durant la Grande Guerre, dont il connut les tranchées, la vermine, l’odeur du sang et de la mort, mais aussi cette indescriptible amitié qui liait cette jeunesse sacrifiée par ses pères dans cette boucherie sans nom ni raison, et au cours de laquelle il ne cessa d’écrire presque qu</w:t>
      </w:r>
      <w:r w:rsidRPr="00320A86">
        <w:t>o</w:t>
      </w:r>
      <w:r w:rsidRPr="00320A86">
        <w:t>tidiennement, trouvant toujours le moyen de s’isoler pour coucher sa pensée sur le papier, parfois à quelques ce</w:t>
      </w:r>
      <w:r w:rsidRPr="00320A86">
        <w:t>n</w:t>
      </w:r>
      <w:r w:rsidRPr="00320A86">
        <w:t>taines de mètres du chaos, il comprit le sens de sa vie</w:t>
      </w:r>
      <w:r>
        <w:t> </w:t>
      </w:r>
      <w:r>
        <w:rPr>
          <w:rStyle w:val="Appelnotedebasdep"/>
        </w:rPr>
        <w:footnoteReference w:id="983"/>
      </w:r>
      <w:r w:rsidRPr="00320A86">
        <w:t xml:space="preserve"> et élabora les grandes lignes théor</w:t>
      </w:r>
      <w:r w:rsidRPr="00320A86">
        <w:t>i</w:t>
      </w:r>
      <w:r w:rsidRPr="00320A86">
        <w:t>ques de son œuvre</w:t>
      </w:r>
      <w:r>
        <w:t> </w:t>
      </w:r>
      <w:r>
        <w:rPr>
          <w:rStyle w:val="Appelnotedebasdep"/>
        </w:rPr>
        <w:footnoteReference w:id="984"/>
      </w:r>
      <w:r w:rsidRPr="00320A86">
        <w:t xml:space="preserve">, achevant, en 1916, son premier essai, </w:t>
      </w:r>
      <w:r w:rsidRPr="00AB19F3">
        <w:rPr>
          <w:i/>
        </w:rPr>
        <w:t>La Vie cosm</w:t>
      </w:r>
      <w:r w:rsidRPr="00AB19F3">
        <w:rPr>
          <w:i/>
        </w:rPr>
        <w:t>i</w:t>
      </w:r>
      <w:r w:rsidRPr="00AB19F3">
        <w:rPr>
          <w:i/>
        </w:rPr>
        <w:t>que</w:t>
      </w:r>
      <w:r w:rsidRPr="00320A86">
        <w:t xml:space="preserve">, puis, en 1919, </w:t>
      </w:r>
      <w:r w:rsidRPr="00AB19F3">
        <w:rPr>
          <w:i/>
        </w:rPr>
        <w:t>Puissance spirituelle de la matière</w:t>
      </w:r>
      <w:r w:rsidRPr="00320A86">
        <w:t>. Ayant repris ses recherches scientifiques au lendemain de la guerre, il so</w:t>
      </w:r>
      <w:r w:rsidRPr="00320A86">
        <w:t>u</w:t>
      </w:r>
      <w:r w:rsidRPr="00320A86">
        <w:t xml:space="preserve">tint, en 1921, sa thèse de doctorat sur les </w:t>
      </w:r>
      <w:r w:rsidRPr="00AB19F3">
        <w:rPr>
          <w:i/>
        </w:rPr>
        <w:t>Mammifères de l’Éocène inférieur français et leurs gis</w:t>
      </w:r>
      <w:r w:rsidRPr="00AB19F3">
        <w:rPr>
          <w:i/>
        </w:rPr>
        <w:t>e</w:t>
      </w:r>
      <w:r w:rsidRPr="00AB19F3">
        <w:rPr>
          <w:i/>
        </w:rPr>
        <w:t>ments </w:t>
      </w:r>
      <w:r>
        <w:rPr>
          <w:rStyle w:val="Appelnotedebasdep"/>
        </w:rPr>
        <w:footnoteReference w:id="985"/>
      </w:r>
      <w:r w:rsidRPr="00320A86">
        <w:t>, et entama une carrière de géologue et de paléontologue. Ses nombreuses missions à l’étranger le conduis</w:t>
      </w:r>
      <w:r w:rsidRPr="00320A86">
        <w:t>i</w:t>
      </w:r>
      <w:r w:rsidRPr="00320A86">
        <w:t>rent à parcourir le monde, notamment l’Asie où, en 1929, il participa à l’étude du Sinanthrope – appelé également Homme de Pékin, de la sous-espèce de l’</w:t>
      </w:r>
      <w:r w:rsidRPr="00AB19F3">
        <w:rPr>
          <w:i/>
        </w:rPr>
        <w:t>Homo erectus pekinensis </w:t>
      </w:r>
      <w:r>
        <w:rPr>
          <w:rStyle w:val="Appelnotedebasdep"/>
        </w:rPr>
        <w:footnoteReference w:id="986"/>
      </w:r>
      <w:r w:rsidRPr="00320A86">
        <w:t> –, qui fut d</w:t>
      </w:r>
      <w:r w:rsidRPr="00320A86">
        <w:t>é</w:t>
      </w:r>
      <w:r w:rsidRPr="00320A86">
        <w:t>cisive pour la compréhension du processus d’hominisation. Grand voyageur, il d</w:t>
      </w:r>
      <w:r w:rsidRPr="00320A86">
        <w:t>e</w:t>
      </w:r>
      <w:r w:rsidRPr="00320A86">
        <w:t>vint aventurier, participa à la Croisière jaune, explora pour la pr</w:t>
      </w:r>
      <w:r w:rsidRPr="00320A86">
        <w:t>e</w:t>
      </w:r>
      <w:r w:rsidRPr="00320A86">
        <w:t>mière fois le continent à partir de la Chine dans le but d’en établir la struct</w:t>
      </w:r>
      <w:r w:rsidRPr="00320A86">
        <w:t>u</w:t>
      </w:r>
      <w:r w:rsidRPr="00320A86">
        <w:t>re morphologique et la genèse – il traversa, à cette occasion, le désert de Gobi –, et se lia d’amitié avec Henry de Mo</w:t>
      </w:r>
      <w:r w:rsidRPr="00320A86">
        <w:t>n</w:t>
      </w:r>
      <w:r w:rsidRPr="00320A86">
        <w:t>freid.</w:t>
      </w:r>
    </w:p>
    <w:p w14:paraId="577EB3A6" w14:textId="77777777" w:rsidR="00B01930" w:rsidRPr="00320A86" w:rsidRDefault="00B01930" w:rsidP="00B01930">
      <w:pPr>
        <w:spacing w:before="120" w:after="120"/>
        <w:jc w:val="both"/>
      </w:pPr>
      <w:r w:rsidRPr="00320A86">
        <w:t>L’homme était complexe et demeura incompris. Sa pensée l’est tout autant, combinant science et religion, réflexion et intuition.</w:t>
      </w:r>
    </w:p>
    <w:p w14:paraId="32BEBBFA" w14:textId="77777777" w:rsidR="00B01930" w:rsidRPr="00320A86" w:rsidRDefault="00B01930" w:rsidP="00B01930">
      <w:pPr>
        <w:spacing w:before="120" w:after="120"/>
        <w:jc w:val="both"/>
      </w:pPr>
    </w:p>
    <w:p w14:paraId="5A3E2309" w14:textId="77777777" w:rsidR="00B01930" w:rsidRPr="00320A86" w:rsidRDefault="00B01930" w:rsidP="00B01930">
      <w:pPr>
        <w:pStyle w:val="a"/>
      </w:pPr>
      <w:r w:rsidRPr="00320A86">
        <w:t>Science et religion</w:t>
      </w:r>
    </w:p>
    <w:p w14:paraId="1CD2F979" w14:textId="77777777" w:rsidR="00B01930" w:rsidRDefault="00B01930" w:rsidP="00B01930">
      <w:pPr>
        <w:spacing w:before="120" w:after="120"/>
        <w:jc w:val="both"/>
      </w:pPr>
    </w:p>
    <w:p w14:paraId="64B94B54" w14:textId="77777777" w:rsidR="00B01930" w:rsidRPr="00320A86" w:rsidRDefault="00B01930" w:rsidP="00B01930">
      <w:pPr>
        <w:pStyle w:val="citation"/>
      </w:pPr>
      <w:r w:rsidRPr="00320A86">
        <w:t>« Les travaux scientifiques de Teilhard de Chardin, loin de l’écarter de la religion, nourrirent au contraire sa pensée théologique et philosoph</w:t>
      </w:r>
      <w:r w:rsidRPr="00320A86">
        <w:t>i</w:t>
      </w:r>
      <w:r w:rsidRPr="00320A86">
        <w:t>que</w:t>
      </w:r>
      <w:r>
        <w:t> </w:t>
      </w:r>
      <w:r w:rsidRPr="00AE122C">
        <w:rPr>
          <w:rStyle w:val="Appelnotedebasdep"/>
          <w:i/>
        </w:rPr>
        <w:footnoteReference w:id="987"/>
      </w:r>
      <w:r w:rsidRPr="00320A86">
        <w:t>, et fin</w:t>
      </w:r>
      <w:r w:rsidRPr="00320A86">
        <w:t>i</w:t>
      </w:r>
      <w:r w:rsidRPr="00320A86">
        <w:t>rent de le convaincre de l’enracinement de l’humanité dans l’histoire de l’univers et de la vie. Ordonné prêtre en 1911, dans l’ordre des Jésuites, il poursuivit ses recherches en p</w:t>
      </w:r>
      <w:r w:rsidRPr="00320A86">
        <w:t>a</w:t>
      </w:r>
      <w:r w:rsidRPr="00320A86">
        <w:t>léontologie et mena, non pas parallèlement, mais de façon convergente, sa vie rel</w:t>
      </w:r>
      <w:r w:rsidRPr="00320A86">
        <w:t>i</w:t>
      </w:r>
      <w:r w:rsidRPr="00320A86">
        <w:t>gieuse et ses activités scientifiques, l’une et l’autre étayant sa réflexion sur l’homme, l’évolution et le Christ – même si l’on put lui reprocher de n’avoir qu’une vision pa</w:t>
      </w:r>
      <w:r w:rsidRPr="00320A86">
        <w:t>r</w:t>
      </w:r>
      <w:r w:rsidRPr="00320A86">
        <w:t>tielle de l’homme, celle de “l’homme de la technique et de la s</w:t>
      </w:r>
      <w:r w:rsidRPr="00320A86">
        <w:t>o</w:t>
      </w:r>
      <w:r w:rsidRPr="00320A86">
        <w:t>ciété</w:t>
      </w:r>
      <w:r>
        <w:t> </w:t>
      </w:r>
      <w:r w:rsidRPr="00AE122C">
        <w:rPr>
          <w:rStyle w:val="Appelnotedebasdep"/>
          <w:i/>
        </w:rPr>
        <w:footnoteReference w:id="988"/>
      </w:r>
      <w:r w:rsidRPr="00320A86">
        <w:t>”. Il fut ainsi l’un des premiers à exposer une synthèse de l’histoire de l’univers à travers une thé</w:t>
      </w:r>
      <w:r w:rsidRPr="00320A86">
        <w:t>o</w:t>
      </w:r>
      <w:r w:rsidRPr="00320A86">
        <w:t>rie articulée autour du thème de l’évolution</w:t>
      </w:r>
      <w:r>
        <w:t> </w:t>
      </w:r>
      <w:r w:rsidRPr="00AE122C">
        <w:rPr>
          <w:rStyle w:val="Appelnotedebasdep"/>
          <w:i/>
        </w:rPr>
        <w:footnoteReference w:id="989"/>
      </w:r>
      <w:r w:rsidRPr="00320A86">
        <w:t>, développa très longuement le concept de “noosphère</w:t>
      </w:r>
      <w:r>
        <w:t> </w:t>
      </w:r>
      <w:r w:rsidRPr="00AE122C">
        <w:rPr>
          <w:rStyle w:val="Appelnotedebasdep"/>
          <w:i/>
        </w:rPr>
        <w:footnoteReference w:id="990"/>
      </w:r>
      <w:r w:rsidRPr="00320A86">
        <w:t>”, e</w:t>
      </w:r>
      <w:r w:rsidRPr="00320A86">
        <w:t>n</w:t>
      </w:r>
      <w:r w:rsidRPr="00320A86">
        <w:t>veloppe pensante autour de la terre, et explicita le phénomène de planétisation, nota</w:t>
      </w:r>
      <w:r w:rsidRPr="00320A86">
        <w:t>m</w:t>
      </w:r>
      <w:r w:rsidRPr="00320A86">
        <w:t>ment dans Le Phénomène humain</w:t>
      </w:r>
      <w:r>
        <w:t> </w:t>
      </w:r>
      <w:r w:rsidRPr="00AE122C">
        <w:rPr>
          <w:rStyle w:val="Appelnotedebasdep"/>
          <w:i/>
        </w:rPr>
        <w:footnoteReference w:id="991"/>
      </w:r>
      <w:r w:rsidRPr="00320A86">
        <w:t>. »</w:t>
      </w:r>
    </w:p>
    <w:p w14:paraId="338BD472" w14:textId="77777777" w:rsidR="00B01930" w:rsidRDefault="00B01930" w:rsidP="00B01930">
      <w:pPr>
        <w:spacing w:before="120" w:after="120"/>
        <w:jc w:val="both"/>
      </w:pPr>
    </w:p>
    <w:p w14:paraId="1661E7B8" w14:textId="77777777" w:rsidR="00B01930" w:rsidRPr="00320A86" w:rsidRDefault="00B01930" w:rsidP="00B01930">
      <w:pPr>
        <w:spacing w:before="120" w:after="120"/>
        <w:jc w:val="both"/>
      </w:pPr>
      <w:r w:rsidRPr="00320A86">
        <w:t>La pensée de Teilhard de Chardin repose essentiellement sur le r</w:t>
      </w:r>
      <w:r w:rsidRPr="00320A86">
        <w:t>e</w:t>
      </w:r>
      <w:r w:rsidRPr="00320A86">
        <w:t>fus de l’absurde. Il était, pour lui, inconcevable que l’homme, se hi</w:t>
      </w:r>
      <w:r w:rsidRPr="00320A86">
        <w:t>s</w:t>
      </w:r>
      <w:r w:rsidRPr="00320A86">
        <w:t>sant au-dessus des autres espèces vivantes par son intelligence, par son « </w:t>
      </w:r>
      <w:r w:rsidRPr="00AB19F3">
        <w:rPr>
          <w:i/>
        </w:rPr>
        <w:t>pouvoir qu’il a de se r</w:t>
      </w:r>
      <w:r w:rsidRPr="00AB19F3">
        <w:rPr>
          <w:i/>
        </w:rPr>
        <w:t>e</w:t>
      </w:r>
      <w:r w:rsidRPr="00AB19F3">
        <w:rPr>
          <w:i/>
        </w:rPr>
        <w:t>plier sur soi, et de prendre possession de soi-même comme d’un objet doué de consistance et de valeur partic</w:t>
      </w:r>
      <w:r w:rsidRPr="00AB19F3">
        <w:rPr>
          <w:i/>
        </w:rPr>
        <w:t>u</w:t>
      </w:r>
      <w:r w:rsidRPr="00AB19F3">
        <w:rPr>
          <w:i/>
        </w:rPr>
        <w:t>lière. Non plus seulement connaître, mais se connaître, non plus se</w:t>
      </w:r>
      <w:r w:rsidRPr="00AB19F3">
        <w:rPr>
          <w:i/>
        </w:rPr>
        <w:t>u</w:t>
      </w:r>
      <w:r w:rsidRPr="00AB19F3">
        <w:rPr>
          <w:i/>
        </w:rPr>
        <w:t>lement savoir, mais savoir que l’on sait </w:t>
      </w:r>
      <w:r>
        <w:rPr>
          <w:rStyle w:val="Appelnotedebasdep"/>
        </w:rPr>
        <w:footnoteReference w:id="992"/>
      </w:r>
      <w:r w:rsidRPr="00320A86">
        <w:t> », vit son œ</w:t>
      </w:r>
      <w:r w:rsidRPr="00320A86">
        <w:t>u</w:t>
      </w:r>
      <w:r w:rsidRPr="00320A86">
        <w:t>vre disparaître dans la mort, sans que rien ne subsistât de son existence</w:t>
      </w:r>
      <w:r>
        <w:t> </w:t>
      </w:r>
      <w:r>
        <w:rPr>
          <w:rStyle w:val="Appelnotedebasdep"/>
        </w:rPr>
        <w:footnoteReference w:id="993"/>
      </w:r>
      <w:r w:rsidRPr="00320A86">
        <w:t>. Il ne po</w:t>
      </w:r>
      <w:r w:rsidRPr="00320A86">
        <w:t>u</w:t>
      </w:r>
      <w:r w:rsidRPr="00320A86">
        <w:t>vait accepter l’idée d’un « </w:t>
      </w:r>
      <w:r w:rsidRPr="00AB19F3">
        <w:rPr>
          <w:i/>
        </w:rPr>
        <w:t>univers qui continuerait à agir laborieus</w:t>
      </w:r>
      <w:r w:rsidRPr="00AB19F3">
        <w:rPr>
          <w:i/>
        </w:rPr>
        <w:t>e</w:t>
      </w:r>
      <w:r w:rsidRPr="00AB19F3">
        <w:rPr>
          <w:i/>
        </w:rPr>
        <w:t>ment dans l’attente consciente de la mort absolue </w:t>
      </w:r>
      <w:r>
        <w:rPr>
          <w:rStyle w:val="Appelnotedebasdep"/>
        </w:rPr>
        <w:footnoteReference w:id="994"/>
      </w:r>
      <w:r w:rsidRPr="00320A86">
        <w:t xml:space="preserve">. </w:t>
      </w:r>
      <w:r w:rsidRPr="00AB19F3">
        <w:rPr>
          <w:i/>
        </w:rPr>
        <w:t>Ce serait un mo</w:t>
      </w:r>
      <w:r w:rsidRPr="00AB19F3">
        <w:rPr>
          <w:i/>
        </w:rPr>
        <w:t>n</w:t>
      </w:r>
      <w:r w:rsidRPr="00AB19F3">
        <w:rPr>
          <w:i/>
        </w:rPr>
        <w:t>de stupide, un monstre d’esprit, autant dire une chimère. Donc le monde porte en soi (doit po</w:t>
      </w:r>
      <w:r w:rsidRPr="00AB19F3">
        <w:rPr>
          <w:i/>
        </w:rPr>
        <w:t>r</w:t>
      </w:r>
      <w:r w:rsidRPr="00AB19F3">
        <w:rPr>
          <w:i/>
        </w:rPr>
        <w:t>ter en soi) les garanties d’un succès final dès lors qu’il admet en lui de la pe</w:t>
      </w:r>
      <w:r w:rsidRPr="00AB19F3">
        <w:rPr>
          <w:i/>
        </w:rPr>
        <w:t>n</w:t>
      </w:r>
      <w:r w:rsidRPr="00AB19F3">
        <w:rPr>
          <w:i/>
        </w:rPr>
        <w:t>sée. Un univers ne saurait plus être simplement temporaire ni à évolution limitée. Il lui faut par stru</w:t>
      </w:r>
      <w:r w:rsidRPr="00AB19F3">
        <w:rPr>
          <w:i/>
        </w:rPr>
        <w:t>c</w:t>
      </w:r>
      <w:r w:rsidRPr="00AB19F3">
        <w:rPr>
          <w:i/>
        </w:rPr>
        <w:t>ture émerger dans l’absolu </w:t>
      </w:r>
      <w:r>
        <w:rPr>
          <w:rStyle w:val="Appelnotedebasdep"/>
        </w:rPr>
        <w:footnoteReference w:id="995"/>
      </w:r>
      <w:r w:rsidRPr="00320A86">
        <w:t>. » Teilhard de Chardin entendait ainsi redo</w:t>
      </w:r>
      <w:r w:rsidRPr="00320A86">
        <w:t>n</w:t>
      </w:r>
      <w:r w:rsidRPr="00320A86">
        <w:t>ner à l’homme toute sa place dans l’univers :</w:t>
      </w:r>
    </w:p>
    <w:p w14:paraId="45032A34" w14:textId="77777777" w:rsidR="00B01930" w:rsidRDefault="00B01930" w:rsidP="00B01930">
      <w:pPr>
        <w:pStyle w:val="citation"/>
      </w:pPr>
    </w:p>
    <w:p w14:paraId="2576D4C0" w14:textId="77777777" w:rsidR="00B01930" w:rsidRDefault="00B01930" w:rsidP="00B01930">
      <w:pPr>
        <w:pStyle w:val="citation"/>
      </w:pPr>
      <w:r w:rsidRPr="00320A86">
        <w:t>« Depuis Galilée, il pouvait sembler que l’homme eût perdu toute pos</w:t>
      </w:r>
      <w:r w:rsidRPr="00320A86">
        <w:t>i</w:t>
      </w:r>
      <w:r w:rsidRPr="00320A86">
        <w:t>tion privil</w:t>
      </w:r>
      <w:r w:rsidRPr="00320A86">
        <w:t>é</w:t>
      </w:r>
      <w:r w:rsidRPr="00320A86">
        <w:t>giée dans l’Univers, sous l’influence grandissante des forces combinées d’invention et de socialisation. Le voilà en train de reprendre la tête, non plus dans la stabilité, mais dans le mouvement, non plus en qual</w:t>
      </w:r>
      <w:r w:rsidRPr="00320A86">
        <w:t>i</w:t>
      </w:r>
      <w:r w:rsidRPr="00320A86">
        <w:t>té de centre, mais sous forme de flèche du monde en croissance. Néoa</w:t>
      </w:r>
      <w:r w:rsidRPr="00320A86">
        <w:t>n</w:t>
      </w:r>
      <w:r w:rsidRPr="00320A86">
        <w:t>thropocentrisme non plus de position, mais de dire</w:t>
      </w:r>
      <w:r w:rsidRPr="00320A86">
        <w:t>c</w:t>
      </w:r>
      <w:r w:rsidRPr="00320A86">
        <w:t>tion de l’évolution</w:t>
      </w:r>
      <w:r>
        <w:t> </w:t>
      </w:r>
      <w:r w:rsidRPr="00AE122C">
        <w:rPr>
          <w:rStyle w:val="Appelnotedebasdep"/>
          <w:i/>
        </w:rPr>
        <w:footnoteReference w:id="996"/>
      </w:r>
      <w:r w:rsidRPr="00320A86">
        <w:t>. »</w:t>
      </w:r>
    </w:p>
    <w:p w14:paraId="5ACC84A4" w14:textId="77777777" w:rsidR="00B01930" w:rsidRPr="00320A86" w:rsidRDefault="00B01930" w:rsidP="00B01930">
      <w:pPr>
        <w:pStyle w:val="citation"/>
      </w:pPr>
    </w:p>
    <w:p w14:paraId="73097EF0" w14:textId="77777777" w:rsidR="00B01930" w:rsidRPr="00320A86" w:rsidRDefault="00B01930" w:rsidP="00B01930">
      <w:pPr>
        <w:spacing w:before="120" w:after="120"/>
        <w:jc w:val="both"/>
      </w:pPr>
      <w:r w:rsidRPr="00320A86">
        <w:t>Tout dans l’aventure de l’évolution, de l’infiniment petit à l’infiniment grand, doit tendre vers l’Omega, ultime lettre de l’alphabet grec par laquelle il désignait Dieu et à la redécouverte d</w:t>
      </w:r>
      <w:r w:rsidRPr="00320A86">
        <w:t>u</w:t>
      </w:r>
      <w:r w:rsidRPr="00320A86">
        <w:t xml:space="preserve">quel il invitait ainsi ses lecteurs : </w:t>
      </w:r>
    </w:p>
    <w:p w14:paraId="4E57A497" w14:textId="77777777" w:rsidR="00B01930" w:rsidRDefault="00B01930" w:rsidP="00B01930">
      <w:pPr>
        <w:pStyle w:val="citation"/>
      </w:pPr>
    </w:p>
    <w:p w14:paraId="135201CF" w14:textId="77777777" w:rsidR="00B01930" w:rsidRDefault="00B01930" w:rsidP="00B01930">
      <w:pPr>
        <w:pStyle w:val="citation"/>
      </w:pPr>
      <w:r w:rsidRPr="00320A86">
        <w:t>« L’Effort universel du Monde peut être compris comme la prépar</w:t>
      </w:r>
      <w:r w:rsidRPr="00320A86">
        <w:t>a</w:t>
      </w:r>
      <w:r w:rsidRPr="00320A86">
        <w:t>tion d’un holocauste. […] Le seul millénarisme que j’entrevois est […] c</w:t>
      </w:r>
      <w:r w:rsidRPr="00320A86">
        <w:t>e</w:t>
      </w:r>
      <w:r w:rsidRPr="00320A86">
        <w:t>lui d’un âge où les Hommes, ayant pris conscience de leur un</w:t>
      </w:r>
      <w:r w:rsidRPr="00320A86">
        <w:t>i</w:t>
      </w:r>
      <w:r w:rsidRPr="00320A86">
        <w:t>té à tous, et de leur intime liaison avec tout le Reste, auront entre leurs mains la plén</w:t>
      </w:r>
      <w:r w:rsidRPr="00320A86">
        <w:t>i</w:t>
      </w:r>
      <w:r w:rsidRPr="00320A86">
        <w:t>tude de leur âme à jeter librement dans le foyer divin. – Tout notre travail, fin</w:t>
      </w:r>
      <w:r w:rsidRPr="00320A86">
        <w:t>a</w:t>
      </w:r>
      <w:r w:rsidRPr="00320A86">
        <w:t>lement, aboutit à former l’hostie sur qui doit descendre le Feu d</w:t>
      </w:r>
      <w:r w:rsidRPr="00320A86">
        <w:t>i</w:t>
      </w:r>
      <w:r w:rsidRPr="00320A86">
        <w:t>vin</w:t>
      </w:r>
      <w:r>
        <w:t> </w:t>
      </w:r>
      <w:r w:rsidRPr="00AE122C">
        <w:rPr>
          <w:rStyle w:val="Appelnotedebasdep"/>
          <w:i/>
        </w:rPr>
        <w:footnoteReference w:id="997"/>
      </w:r>
      <w:r w:rsidRPr="00320A86">
        <w:t>. »</w:t>
      </w:r>
    </w:p>
    <w:p w14:paraId="4C1C2A94" w14:textId="77777777" w:rsidR="00B01930" w:rsidRPr="00320A86" w:rsidRDefault="00B01930" w:rsidP="00B01930">
      <w:pPr>
        <w:pStyle w:val="citation"/>
      </w:pPr>
    </w:p>
    <w:p w14:paraId="6F9A5B6F" w14:textId="77777777" w:rsidR="00B01930" w:rsidRPr="00320A86" w:rsidRDefault="00B01930" w:rsidP="00B01930">
      <w:pPr>
        <w:spacing w:before="120" w:after="120"/>
        <w:jc w:val="both"/>
      </w:pPr>
      <w:r w:rsidRPr="00320A86">
        <w:t>La démarche intellectuelle de Teilhard apparaît ainsi dans sa gra</w:t>
      </w:r>
      <w:r w:rsidRPr="00320A86">
        <w:t>n</w:t>
      </w:r>
      <w:r w:rsidRPr="00320A86">
        <w:t>de co</w:t>
      </w:r>
      <w:r w:rsidRPr="00320A86">
        <w:t>m</w:t>
      </w:r>
      <w:r w:rsidRPr="00320A86">
        <w:t>plexité et, aujourd’hui encore, il semble toujours aussi difficile de dire s’il fut un scientifique pétri de foi et de religiosité, ou un prêtre passionné par les sciences. Il se voulait tout d’abord scientifique</w:t>
      </w:r>
      <w:r>
        <w:t> </w:t>
      </w:r>
      <w:r>
        <w:rPr>
          <w:rStyle w:val="Appelnotedebasdep"/>
        </w:rPr>
        <w:footnoteReference w:id="998"/>
      </w:r>
      <w:r w:rsidRPr="00320A86">
        <w:t>, et en aucune façon il ne souhaitait se placer uniquement sur le terrain des idées et de l’abstraction : la théorisation à laquelle il se livrait r</w:t>
      </w:r>
      <w:r w:rsidRPr="00320A86">
        <w:t>e</w:t>
      </w:r>
      <w:r w:rsidRPr="00320A86">
        <w:t>posait sur l’observation de la nature, qui alimentait ses connaissances scient</w:t>
      </w:r>
      <w:r w:rsidRPr="00320A86">
        <w:t>i</w:t>
      </w:r>
      <w:r w:rsidRPr="00320A86">
        <w:t>fiques et nourrissait sa réflexion théologique et philosoph</w:t>
      </w:r>
      <w:r w:rsidRPr="00320A86">
        <w:t>i</w:t>
      </w:r>
      <w:r w:rsidRPr="00320A86">
        <w:t>que</w:t>
      </w:r>
      <w:r>
        <w:t> </w:t>
      </w:r>
      <w:r>
        <w:rPr>
          <w:rStyle w:val="Appelnotedebasdep"/>
        </w:rPr>
        <w:footnoteReference w:id="999"/>
      </w:r>
      <w:r w:rsidRPr="00320A86">
        <w:t>.</w:t>
      </w:r>
    </w:p>
    <w:p w14:paraId="0FB2B234" w14:textId="77777777" w:rsidR="00B01930" w:rsidRPr="00320A86" w:rsidRDefault="00B01930" w:rsidP="00B01930">
      <w:pPr>
        <w:spacing w:before="120" w:after="120"/>
        <w:jc w:val="both"/>
      </w:pPr>
      <w:r w:rsidRPr="00320A86">
        <w:t>Mais Teilhard de Chardin était aussi – et peut-être surtout – un r</w:t>
      </w:r>
      <w:r w:rsidRPr="00320A86">
        <w:t>e</w:t>
      </w:r>
      <w:r w:rsidRPr="00320A86">
        <w:t>ligieux</w:t>
      </w:r>
      <w:r>
        <w:t> </w:t>
      </w:r>
      <w:r>
        <w:rPr>
          <w:rStyle w:val="Appelnotedebasdep"/>
        </w:rPr>
        <w:footnoteReference w:id="1000"/>
      </w:r>
      <w:r w:rsidRPr="00320A86">
        <w:t xml:space="preserve"> qui profita de son statut de scientifique pour élaborer une œuvre théologique esse</w:t>
      </w:r>
      <w:r w:rsidRPr="00320A86">
        <w:t>n</w:t>
      </w:r>
      <w:r w:rsidRPr="00320A86">
        <w:t>tielle tout en s’évadant du carcan intellectuel qu’imposait alors l’Église cathol</w:t>
      </w:r>
      <w:r w:rsidRPr="00320A86">
        <w:t>i</w:t>
      </w:r>
      <w:r w:rsidRPr="00320A86">
        <w:t>que. Mais s’affranchir de certains dogmes totalement en décalage par rapport à l’évolution des connai</w:t>
      </w:r>
      <w:r w:rsidRPr="00320A86">
        <w:t>s</w:t>
      </w:r>
      <w:r w:rsidRPr="00320A86">
        <w:t>sances scientifiques eut un prix : la mise à l’index par les autorités r</w:t>
      </w:r>
      <w:r w:rsidRPr="00320A86">
        <w:t>e</w:t>
      </w:r>
      <w:r w:rsidRPr="00320A86">
        <w:t>ligieuses qui lui interdirent, de son vivant, toute publication – ce qui n’empêcha pas la diffusion confidentielle de certains textes, surtout dans les années cinquante, de même que sa participation à des coll</w:t>
      </w:r>
      <w:r w:rsidRPr="00320A86">
        <w:t>o</w:t>
      </w:r>
      <w:r w:rsidRPr="00320A86">
        <w:t>ques lui donna l’opportunité de faire connaître ses idées.</w:t>
      </w:r>
    </w:p>
    <w:p w14:paraId="556B388D" w14:textId="77777777" w:rsidR="00B01930" w:rsidRPr="00320A86" w:rsidRDefault="00B01930" w:rsidP="00B01930">
      <w:pPr>
        <w:spacing w:before="120" w:after="120"/>
        <w:jc w:val="both"/>
      </w:pPr>
      <w:r w:rsidRPr="00320A86">
        <w:t>La source de l’œuvre de Teilhard de Chardin est donc double : la science et la foi, ce qui ne la prive nullement d’une grande cohérence intellectuelle, l’osmose entre la recherche scientifique et la pensée théologique ayant été re</w:t>
      </w:r>
      <w:r w:rsidRPr="00320A86">
        <w:t>n</w:t>
      </w:r>
      <w:r w:rsidRPr="00320A86">
        <w:t>due possible par l’influence que Bergson exerça sur lui, le conduisant à considérer la vérité comme l’objet fo</w:t>
      </w:r>
      <w:r w:rsidRPr="00320A86">
        <w:t>n</w:t>
      </w:r>
      <w:r w:rsidRPr="00320A86">
        <w:t>damental de sa recherche, ayant perdu sa certitude pour devenir une quête, ce que ne pouvait accepter l’Église.</w:t>
      </w:r>
    </w:p>
    <w:p w14:paraId="0D6553E4" w14:textId="77777777" w:rsidR="00B01930" w:rsidRPr="00320A86" w:rsidRDefault="00B01930" w:rsidP="00B01930">
      <w:pPr>
        <w:spacing w:before="120" w:after="120"/>
        <w:jc w:val="both"/>
      </w:pPr>
      <w:r w:rsidRPr="00320A86">
        <w:t>Ainsi, l’approche teilhardienne de l’histoire de l’univers et de l’homme s’inscrit dans la durée. Là où la Genèse donne la première explication du monde en replaçant son histoire dans un décor fixe a</w:t>
      </w:r>
      <w:r w:rsidRPr="00320A86">
        <w:t>u</w:t>
      </w:r>
      <w:r w:rsidRPr="00320A86">
        <w:t>quel les fondamentalistes sont re</w:t>
      </w:r>
      <w:r w:rsidRPr="00320A86">
        <w:t>s</w:t>
      </w:r>
      <w:r w:rsidRPr="00320A86">
        <w:t>tés fidèles, la science établit que l’univers est né il y a près de quatorze milliards d’années, qu’il évolue sans cesse depuis ses origines, et que l’homme n’y occupe pas le ce</w:t>
      </w:r>
      <w:r w:rsidRPr="00320A86">
        <w:t>n</w:t>
      </w:r>
      <w:r w:rsidRPr="00320A86">
        <w:t>tre, mais qu’il en est le produit. Cette approche historique de l’univers constitue le fondement essentiel de la pensée de Teilhard de Chardin. C’est elle qui lui permit d’affirmer qu’à partir de l’apparent</w:t>
      </w:r>
      <w:r>
        <w:t> </w:t>
      </w:r>
      <w:r>
        <w:rPr>
          <w:rStyle w:val="Appelnotedebasdep"/>
        </w:rPr>
        <w:footnoteReference w:id="1001"/>
      </w:r>
      <w:r w:rsidRPr="00320A86">
        <w:t xml:space="preserve"> chaos originel du </w:t>
      </w:r>
      <w:r w:rsidRPr="00AB19F3">
        <w:rPr>
          <w:i/>
        </w:rPr>
        <w:t>Big bang </w:t>
      </w:r>
      <w:r>
        <w:rPr>
          <w:rStyle w:val="Appelnotedebasdep"/>
        </w:rPr>
        <w:footnoteReference w:id="1002"/>
      </w:r>
      <w:r w:rsidRPr="00320A86">
        <w:t>, « </w:t>
      </w:r>
      <w:r w:rsidRPr="00AB19F3">
        <w:rPr>
          <w:i/>
        </w:rPr>
        <w:t>Tout ce qui monte converge </w:t>
      </w:r>
      <w:r w:rsidRPr="00320A86">
        <w:t>», en l’occurrence vers la transce</w:t>
      </w:r>
      <w:r w:rsidRPr="00320A86">
        <w:t>n</w:t>
      </w:r>
      <w:r w:rsidRPr="00320A86">
        <w:t>dance divine qu’il nommait le « </w:t>
      </w:r>
      <w:r w:rsidRPr="00AB19F3">
        <w:rPr>
          <w:i/>
        </w:rPr>
        <w:t>point Oméga </w:t>
      </w:r>
      <w:r w:rsidRPr="00320A86">
        <w:t>» et qui seule peut expliquer le sens général de l’évolution de l’univers – le terme « sens » devant être compris dans les deux acce</w:t>
      </w:r>
      <w:r w:rsidRPr="00320A86">
        <w:t>p</w:t>
      </w:r>
      <w:r w:rsidRPr="00320A86">
        <w:t>tions de direction et de logique. C’est ce cadre temporel de sa reche</w:t>
      </w:r>
      <w:r w:rsidRPr="00320A86">
        <w:t>r</w:t>
      </w:r>
      <w:r w:rsidRPr="00320A86">
        <w:t>che qui lui permit de replacer l’homme – à la fois son apparition et son évolution – dans un processus global conduisant la matière à to</w:t>
      </w:r>
      <w:r w:rsidRPr="00320A86">
        <w:t>u</w:t>
      </w:r>
      <w:r w:rsidRPr="00320A86">
        <w:t>jours plus de complexité jusqu’à ce qu’apparaissent l’esprit, la con</w:t>
      </w:r>
      <w:r w:rsidRPr="00320A86">
        <w:t>s</w:t>
      </w:r>
      <w:r w:rsidRPr="00320A86">
        <w:t>cience, l’intelligence et la réflexion, c’est-à-dire la conscience de la conscience. Le temps permit ainsi à Teilhard de Chardin de réhabiliter la matière, de réfuter l’opposition classique entre elle et l’esprit, et d’y voir finalement deux dimensions d’une même cré</w:t>
      </w:r>
      <w:r w:rsidRPr="00320A86">
        <w:t>a</w:t>
      </w:r>
      <w:r w:rsidRPr="00320A86">
        <w:t>tion, l’esprit n’étant plus assimilé systématiquement au bien et la matière au mal puisque les deux participent d’un même dessein. Il y a là une profonde remise en cause de la pensée chrétienne qui, à elle seule, suffit à expliquer l’hostilité de l’Église catholique à l’égard de son œuvre.</w:t>
      </w:r>
    </w:p>
    <w:p w14:paraId="034FFD11" w14:textId="77777777" w:rsidR="00B01930" w:rsidRPr="00320A86" w:rsidRDefault="00B01930" w:rsidP="00B01930">
      <w:pPr>
        <w:spacing w:before="120" w:after="120"/>
        <w:jc w:val="both"/>
      </w:pPr>
    </w:p>
    <w:p w14:paraId="2EAC213C" w14:textId="77777777" w:rsidR="00B01930" w:rsidRPr="00320A86" w:rsidRDefault="00B01930" w:rsidP="00B01930">
      <w:pPr>
        <w:pStyle w:val="a"/>
      </w:pPr>
      <w:r w:rsidRPr="00320A86">
        <w:t>Réflexion et intuition</w:t>
      </w:r>
    </w:p>
    <w:p w14:paraId="1C83CD26" w14:textId="77777777" w:rsidR="00B01930" w:rsidRDefault="00B01930" w:rsidP="00B01930">
      <w:pPr>
        <w:spacing w:before="120" w:after="120"/>
        <w:jc w:val="both"/>
      </w:pPr>
    </w:p>
    <w:p w14:paraId="0761E6D3" w14:textId="77777777" w:rsidR="00B01930" w:rsidRPr="00320A86" w:rsidRDefault="00B01930" w:rsidP="00B01930">
      <w:pPr>
        <w:spacing w:before="120" w:after="120"/>
        <w:jc w:val="both"/>
      </w:pPr>
      <w:r w:rsidRPr="00320A86">
        <w:t>Teilhard de Chardin a recherché la vérité au-delà de l’observation et de la réflexion scientifiques, recourant à un outil permettant de d</w:t>
      </w:r>
      <w:r w:rsidRPr="00320A86">
        <w:t>é</w:t>
      </w:r>
      <w:r w:rsidRPr="00320A86">
        <w:t>passer l’antagonisme entre esprit et matière, donc entre la religion et la science, et d’assurer ainsi l’osmose entre la recherche scientifique et la pensée métaphysique : l’intuition. Là encore est sensible l’influence de Bergson pour qui l’intelligence se distingue de l’intuition, la première portant sur la matière et réalisant son essence dans la technique, la seconde permettant de transcender les cadres clos établis par l’intelligence. Ainsi, « </w:t>
      </w:r>
      <w:r w:rsidRPr="00AB19F3">
        <w:rPr>
          <w:i/>
        </w:rPr>
        <w:t>l’analyse opère sur l’immobile alors que l’intuition se place dans la mobilité ou, ce qui revient au même, dans la durée. Là est la ligne de démarcation bien nette entre l’intuition et l’analyse. On reconnaît le réel, le vécu, le concret, à ce qu’il est la variabilité même. On reconnaît l’élément à ce qu’il est i</w:t>
      </w:r>
      <w:r w:rsidRPr="00AB19F3">
        <w:rPr>
          <w:i/>
        </w:rPr>
        <w:t>n</w:t>
      </w:r>
      <w:r w:rsidRPr="00AB19F3">
        <w:rPr>
          <w:i/>
        </w:rPr>
        <w:t>variable. Et il est invariable par définition, étant un schéma, une r</w:t>
      </w:r>
      <w:r w:rsidRPr="00AB19F3">
        <w:rPr>
          <w:i/>
        </w:rPr>
        <w:t>e</w:t>
      </w:r>
      <w:r w:rsidRPr="00AB19F3">
        <w:rPr>
          <w:i/>
        </w:rPr>
        <w:t>construction simplifiée, souvent un simple symbole, en tout cas une vue prise sur la réalité qui s’écoule </w:t>
      </w:r>
      <w:r>
        <w:rPr>
          <w:rStyle w:val="Appelnotedebasdep"/>
        </w:rPr>
        <w:footnoteReference w:id="1003"/>
      </w:r>
      <w:r w:rsidRPr="00320A86">
        <w:t>. » Par l’intuition, Teilhard de Chardin s’approcha ainsi plus sûrement de la vérité qu’il recherchait dans sa vie spirituelle et dans ses a</w:t>
      </w:r>
      <w:r w:rsidRPr="00320A86">
        <w:t>c</w:t>
      </w:r>
      <w:r w:rsidRPr="00320A86">
        <w:t>tivités scientifiques.</w:t>
      </w:r>
    </w:p>
    <w:p w14:paraId="51E0F316" w14:textId="77777777" w:rsidR="00B01930" w:rsidRPr="00320A86" w:rsidRDefault="00B01930" w:rsidP="00B01930">
      <w:pPr>
        <w:spacing w:before="120" w:after="120"/>
        <w:jc w:val="both"/>
      </w:pPr>
      <w:r w:rsidRPr="00320A86">
        <w:t>On peut également penser que la philosophie chinoise exerça sur Teilhard de Chardin une certaine influence. Il suffit, pour s’en convaincre, de rappeler ce qu’écrivait Zhang Zai, au XI</w:t>
      </w:r>
      <w:r w:rsidRPr="00320A86">
        <w:rPr>
          <w:vertAlign w:val="superscript"/>
        </w:rPr>
        <w:t>e</w:t>
      </w:r>
      <w:r w:rsidRPr="00320A86">
        <w:t xml:space="preserve"> siècle :</w:t>
      </w:r>
    </w:p>
    <w:p w14:paraId="3DDA62F1" w14:textId="77777777" w:rsidR="00B01930" w:rsidRDefault="00B01930" w:rsidP="00B01930">
      <w:pPr>
        <w:pStyle w:val="citation"/>
      </w:pPr>
    </w:p>
    <w:p w14:paraId="7E128A1E" w14:textId="77777777" w:rsidR="00B01930" w:rsidRDefault="00B01930" w:rsidP="00B01930">
      <w:pPr>
        <w:pStyle w:val="citation"/>
      </w:pPr>
      <w:r w:rsidRPr="00320A86">
        <w:t>« En élargissant son esprit, il est possible de faire corps avec les ch</w:t>
      </w:r>
      <w:r w:rsidRPr="00320A86">
        <w:t>o</w:t>
      </w:r>
      <w:r w:rsidRPr="00320A86">
        <w:t>ses de l’univers. Tant qu’on n’a pas fait corps avec toute chose, il restera quelque chose d’extérieur à l’esprit. L’esprit des hommes ordinaires se l</w:t>
      </w:r>
      <w:r w:rsidRPr="00320A86">
        <w:t>i</w:t>
      </w:r>
      <w:r w:rsidRPr="00320A86">
        <w:t>mite aux bornes étro</w:t>
      </w:r>
      <w:r w:rsidRPr="00320A86">
        <w:t>i</w:t>
      </w:r>
      <w:r w:rsidRPr="00320A86">
        <w:t>tes de ce qu’ils voient et entendent. Le Saint réalise pleinement sa nature et ne laisse pas e</w:t>
      </w:r>
      <w:r w:rsidRPr="00320A86">
        <w:t>n</w:t>
      </w:r>
      <w:r w:rsidRPr="00320A86">
        <w:t>traver son esprit par ce qu’il voit et entend. Dans le regard qu’il po</w:t>
      </w:r>
      <w:r w:rsidRPr="00320A86">
        <w:t>r</w:t>
      </w:r>
      <w:r w:rsidRPr="00320A86">
        <w:t>te sur l’univers, il n’est pas une chose qui ne soit sienne. C’est ce que voulait dire Mencius : “Épuiser le pote</w:t>
      </w:r>
      <w:r w:rsidRPr="00320A86">
        <w:t>n</w:t>
      </w:r>
      <w:r w:rsidRPr="00320A86">
        <w:t xml:space="preserve">tiel de son esprit, c’est connaître sa nature comme c’est connaître le Ciel.” Le Ciel est immense au point de ne pas avoir d’extérieur, aussi l’esprit auquel il reste quelque chose d’extérieur ne saurait-il s’unir à l’esprit du Ciel. La connaissance issue de la vue et de l’ouïe </w:t>
      </w:r>
      <w:r w:rsidRPr="00320A86">
        <w:rPr>
          <w:iCs/>
        </w:rPr>
        <w:t>(jianwen zhi zhi)</w:t>
      </w:r>
      <w:r w:rsidRPr="00320A86">
        <w:t xml:space="preserve"> s’acquiert par contact avec les choses, ce n’est pas la connaissance pr</w:t>
      </w:r>
      <w:r w:rsidRPr="00320A86">
        <w:t>o</w:t>
      </w:r>
      <w:r w:rsidRPr="00320A86">
        <w:t xml:space="preserve">pre à la nature morale </w:t>
      </w:r>
      <w:r w:rsidRPr="00320A86">
        <w:rPr>
          <w:iCs/>
        </w:rPr>
        <w:t>(dexing suo zhi),</w:t>
      </w:r>
      <w:r w:rsidRPr="00320A86">
        <w:t xml:space="preserve"> laquelle ne dérive pas de ce qui est vu et ente</w:t>
      </w:r>
      <w:r w:rsidRPr="00320A86">
        <w:t>n</w:t>
      </w:r>
      <w:r w:rsidRPr="00320A86">
        <w:t>du</w:t>
      </w:r>
      <w:r>
        <w:t> </w:t>
      </w:r>
      <w:r w:rsidRPr="00AE122C">
        <w:rPr>
          <w:rStyle w:val="Appelnotedebasdep"/>
          <w:i/>
        </w:rPr>
        <w:footnoteReference w:id="1004"/>
      </w:r>
      <w:r w:rsidRPr="00320A86">
        <w:t>. »</w:t>
      </w:r>
    </w:p>
    <w:p w14:paraId="2849A78C" w14:textId="77777777" w:rsidR="00B01930" w:rsidRPr="00320A86" w:rsidRDefault="00B01930" w:rsidP="00B01930">
      <w:pPr>
        <w:pStyle w:val="citation"/>
      </w:pPr>
    </w:p>
    <w:p w14:paraId="2CAD6912" w14:textId="77777777" w:rsidR="00B01930" w:rsidRPr="00320A86" w:rsidRDefault="00B01930" w:rsidP="00B01930">
      <w:pPr>
        <w:spacing w:before="120" w:after="120"/>
        <w:jc w:val="both"/>
      </w:pPr>
      <w:r w:rsidRPr="00320A86">
        <w:t>Pour autant, l’intelligence et l’intuition ne s’excluent pas. Non se</w:t>
      </w:r>
      <w:r w:rsidRPr="00320A86">
        <w:t>u</w:t>
      </w:r>
      <w:r w:rsidRPr="00320A86">
        <w:t>lement l’intuition n’est véritablement possible que dans le prolong</w:t>
      </w:r>
      <w:r w:rsidRPr="00320A86">
        <w:t>e</w:t>
      </w:r>
      <w:r w:rsidRPr="00320A86">
        <w:t>ment d’un effort intellectuel mobilisant l’intelligence, mais elle pe</w:t>
      </w:r>
      <w:r w:rsidRPr="00320A86">
        <w:t>r</w:t>
      </w:r>
      <w:r w:rsidRPr="00320A86">
        <w:t>met de « </w:t>
      </w:r>
      <w:r w:rsidRPr="00AB19F3">
        <w:rPr>
          <w:i/>
        </w:rPr>
        <w:t>savoir </w:t>
      </w:r>
      <w:r w:rsidRPr="00320A86">
        <w:t>» ce que l’intelligence ne permet pas de comprendre ou d’expliquer. C’est cette compl</w:t>
      </w:r>
      <w:r w:rsidRPr="00320A86">
        <w:t>é</w:t>
      </w:r>
      <w:r w:rsidRPr="00320A86">
        <w:t>mentarité de l’intelligence et de l’intuition qui permit à Teilhard de Chardin d’assurer la convergence de la science et de la foi dans la recherche de la vérité.</w:t>
      </w:r>
    </w:p>
    <w:p w14:paraId="13A4AEC2" w14:textId="77777777" w:rsidR="00B01930" w:rsidRPr="00320A86" w:rsidRDefault="00B01930" w:rsidP="00B01930">
      <w:pPr>
        <w:spacing w:before="120" w:after="120"/>
        <w:jc w:val="both"/>
      </w:pPr>
      <w:r w:rsidRPr="00320A86">
        <w:t>De cette démarche intellectuelle riche et complexe est née une œ</w:t>
      </w:r>
      <w:r w:rsidRPr="00320A86">
        <w:t>u</w:t>
      </w:r>
      <w:r w:rsidRPr="00320A86">
        <w:t>vre politique originale, souvent incomprise et donc injustement crit</w:t>
      </w:r>
      <w:r w:rsidRPr="00320A86">
        <w:t>i</w:t>
      </w:r>
      <w:r w:rsidRPr="00320A86">
        <w:t>quée ; on peut, par exemple, rappeler que Teilhard de Chardin fut a</w:t>
      </w:r>
      <w:r w:rsidRPr="00320A86">
        <w:t>c</w:t>
      </w:r>
      <w:r w:rsidRPr="00320A86">
        <w:t>cusé de visions totalitaires</w:t>
      </w:r>
      <w:r>
        <w:t> </w:t>
      </w:r>
      <w:r>
        <w:rPr>
          <w:rStyle w:val="Appelnotedebasdep"/>
        </w:rPr>
        <w:footnoteReference w:id="1005"/>
      </w:r>
      <w:r w:rsidRPr="00320A86">
        <w:t>. Certes, les écrits que celui-ci consacra aux régimes politiques et aux grands événements de la première mo</w:t>
      </w:r>
      <w:r w:rsidRPr="00320A86">
        <w:t>i</w:t>
      </w:r>
      <w:r w:rsidRPr="00320A86">
        <w:t xml:space="preserve">tié du </w:t>
      </w:r>
      <w:r w:rsidRPr="00320A86">
        <w:rPr>
          <w:smallCaps/>
        </w:rPr>
        <w:t>xx</w:t>
      </w:r>
      <w:r w:rsidRPr="00320A86">
        <w:rPr>
          <w:vertAlign w:val="superscript"/>
        </w:rPr>
        <w:t>e</w:t>
      </w:r>
      <w:r w:rsidRPr="00320A86">
        <w:t xml:space="preserve"> siècle ne proposent pas de théories polit</w:t>
      </w:r>
      <w:r w:rsidRPr="00320A86">
        <w:t>i</w:t>
      </w:r>
      <w:r w:rsidRPr="00320A86">
        <w:t>ques conséquentes, mais sa philosophie est porteuse d’un grand projet politique : réorg</w:t>
      </w:r>
      <w:r w:rsidRPr="00320A86">
        <w:t>a</w:t>
      </w:r>
      <w:r w:rsidRPr="00320A86">
        <w:t>niser politiquement l’humanité pour permettre la poursuite du proce</w:t>
      </w:r>
      <w:r w:rsidRPr="00320A86">
        <w:t>s</w:t>
      </w:r>
      <w:r w:rsidRPr="00320A86">
        <w:t>sus de planétisation, soutenir la constitution de la Noosphère et aider ainsi l’homme à tendre vers point Omega, but ultime de la Création. En ce sens, on peut affi</w:t>
      </w:r>
      <w:r w:rsidRPr="00320A86">
        <w:t>r</w:t>
      </w:r>
      <w:r w:rsidRPr="00320A86">
        <w:t>mer que la pensée de Teilhard de Chardin est essentiellement politique.</w:t>
      </w:r>
    </w:p>
    <w:p w14:paraId="2FD10C70" w14:textId="77777777" w:rsidR="00B01930" w:rsidRPr="00320A86" w:rsidRDefault="00B01930" w:rsidP="00B01930">
      <w:pPr>
        <w:spacing w:before="120" w:after="120"/>
        <w:jc w:val="both"/>
      </w:pPr>
      <w:r w:rsidRPr="00320A86">
        <w:t>La planétisation de l’humanité, ce grand projet humain que Tei</w:t>
      </w:r>
      <w:r w:rsidRPr="00320A86">
        <w:t>l</w:t>
      </w:r>
      <w:r w:rsidRPr="00320A86">
        <w:t>hard appelait de ses vœux et qu’il lui semblait percevoir dans l’évolution de l’espèce humaine, est par nature un phénomène polit</w:t>
      </w:r>
      <w:r w:rsidRPr="00320A86">
        <w:t>i</w:t>
      </w:r>
      <w:r w:rsidRPr="00320A86">
        <w:t>que. Elle suppose le rapprochement des hommes, non seulement gé</w:t>
      </w:r>
      <w:r w:rsidRPr="00320A86">
        <w:t>o</w:t>
      </w:r>
      <w:r w:rsidRPr="00320A86">
        <w:t>graphique, mais aussi politique. Les vieilles structures institutionne</w:t>
      </w:r>
      <w:r w:rsidRPr="00320A86">
        <w:t>l</w:t>
      </w:r>
      <w:r w:rsidRPr="00320A86">
        <w:t>les sont amenées à disparaître du fait de leur inadaptation grandissa</w:t>
      </w:r>
      <w:r w:rsidRPr="00320A86">
        <w:t>n</w:t>
      </w:r>
      <w:r w:rsidRPr="00320A86">
        <w:t>te. Il précisa là :</w:t>
      </w:r>
    </w:p>
    <w:p w14:paraId="01D6F4DD" w14:textId="77777777" w:rsidR="00B01930" w:rsidRDefault="00B01930" w:rsidP="00B01930">
      <w:pPr>
        <w:pStyle w:val="citation"/>
      </w:pPr>
    </w:p>
    <w:p w14:paraId="2E7C8366" w14:textId="77777777" w:rsidR="00B01930" w:rsidRDefault="00B01930" w:rsidP="00B01930">
      <w:pPr>
        <w:pStyle w:val="citation"/>
      </w:pPr>
      <w:r w:rsidRPr="00320A86">
        <w:t>« Les ressources dont nous disposons aujourd’hui, les puissances que nous avons déchaînées, ne sauraient être absorbées par le système étroit des cadres individuels ou nationaux dont se sont servis jusqu’ici les arch</w:t>
      </w:r>
      <w:r w:rsidRPr="00320A86">
        <w:t>i</w:t>
      </w:r>
      <w:r w:rsidRPr="00320A86">
        <w:t>tectes de la Terre humaine… l’âge des nations est passé. Il s’agit maint</w:t>
      </w:r>
      <w:r w:rsidRPr="00320A86">
        <w:t>e</w:t>
      </w:r>
      <w:r w:rsidRPr="00320A86">
        <w:t>nant pour nous, si nous ne voulons pas périr, de secouer les anciens préj</w:t>
      </w:r>
      <w:r w:rsidRPr="00320A86">
        <w:t>u</w:t>
      </w:r>
      <w:r w:rsidRPr="00320A86">
        <w:t>gés, et de construire la Terre… Plus je regarde scientifiqu</w:t>
      </w:r>
      <w:r w:rsidRPr="00320A86">
        <w:t>e</w:t>
      </w:r>
      <w:r w:rsidRPr="00320A86">
        <w:t>ment le Monde, moins je lui vois d’autre issue biologique possible que la con</w:t>
      </w:r>
      <w:r w:rsidRPr="00320A86">
        <w:t>s</w:t>
      </w:r>
      <w:r w:rsidRPr="00320A86">
        <w:t>cience active de son unité</w:t>
      </w:r>
      <w:r>
        <w:t> </w:t>
      </w:r>
      <w:r>
        <w:rPr>
          <w:rStyle w:val="Appelnotedebasdep"/>
        </w:rPr>
        <w:footnoteReference w:id="1006"/>
      </w:r>
      <w:r w:rsidRPr="00320A86">
        <w:t>. »</w:t>
      </w:r>
    </w:p>
    <w:p w14:paraId="79C9B3F9" w14:textId="77777777" w:rsidR="00B01930" w:rsidRPr="00320A86" w:rsidRDefault="00B01930" w:rsidP="00B01930">
      <w:pPr>
        <w:pStyle w:val="citation"/>
      </w:pPr>
    </w:p>
    <w:p w14:paraId="4A0A5915" w14:textId="77777777" w:rsidR="00B01930" w:rsidRPr="00320A86" w:rsidRDefault="00B01930" w:rsidP="00B01930">
      <w:pPr>
        <w:spacing w:before="120" w:after="120"/>
        <w:jc w:val="both"/>
      </w:pPr>
      <w:r w:rsidRPr="00320A86">
        <w:t>En attendant l’aboutissement de la grande convergence humaine, la socialisation se poursuit et nécessite une régulation des rapports h</w:t>
      </w:r>
      <w:r w:rsidRPr="00320A86">
        <w:t>u</w:t>
      </w:r>
      <w:r w:rsidRPr="00320A86">
        <w:t xml:space="preserve">mains. Cela conduisit Teilhard de Chardin à s’intéresser aux régimes politiques et à en proposer une analyse qui évolua, d’une part, au fur et à mesure où sa théorie se précisait, d’autre part, en fonction des événements qui jalonnèrent la première moitié du </w:t>
      </w:r>
      <w:r w:rsidRPr="00320A86">
        <w:rPr>
          <w:smallCaps/>
        </w:rPr>
        <w:t>xx</w:t>
      </w:r>
      <w:r w:rsidRPr="00320A86">
        <w:rPr>
          <w:vertAlign w:val="superscript"/>
        </w:rPr>
        <w:t>e</w:t>
      </w:r>
      <w:r w:rsidRPr="00320A86">
        <w:t xml:space="preserve"> siècle. Enfin, l’évolution de l’humanité se caractérise par une croissance démogr</w:t>
      </w:r>
      <w:r w:rsidRPr="00320A86">
        <w:t>a</w:t>
      </w:r>
      <w:r w:rsidRPr="00320A86">
        <w:t>phique et un progrès scientifique continu qui placent l’espèce humaine devant la responsabilité de son propre avenir, la confrontant au risque de sa di</w:t>
      </w:r>
      <w:r w:rsidRPr="00320A86">
        <w:t>s</w:t>
      </w:r>
      <w:r w:rsidRPr="00320A86">
        <w:t>parition.</w:t>
      </w:r>
    </w:p>
    <w:p w14:paraId="0A085DC3" w14:textId="77777777" w:rsidR="00B01930" w:rsidRPr="00320A86" w:rsidRDefault="00B01930" w:rsidP="00B01930">
      <w:pPr>
        <w:spacing w:before="120" w:after="120"/>
        <w:jc w:val="both"/>
      </w:pPr>
      <w:r>
        <w:br w:type="page"/>
      </w:r>
    </w:p>
    <w:p w14:paraId="7E01C13A" w14:textId="77777777" w:rsidR="00B01930" w:rsidRPr="00320A86" w:rsidRDefault="00B01930" w:rsidP="00B01930">
      <w:pPr>
        <w:pStyle w:val="planche"/>
      </w:pPr>
      <w:bookmarkStart w:id="211" w:name="Analyser_idees_pol_pt_3_texte_09A_I"/>
      <w:r w:rsidRPr="00320A86">
        <w:t>I. Le projet humain</w:t>
      </w:r>
    </w:p>
    <w:bookmarkEnd w:id="211"/>
    <w:p w14:paraId="245EC189" w14:textId="77777777" w:rsidR="00B01930" w:rsidRDefault="00B01930" w:rsidP="00B01930">
      <w:pPr>
        <w:spacing w:before="120" w:after="120"/>
        <w:jc w:val="both"/>
      </w:pPr>
    </w:p>
    <w:p w14:paraId="62337B29"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6C08BE4A" w14:textId="77777777" w:rsidR="00B01930" w:rsidRPr="00320A86" w:rsidRDefault="00B01930" w:rsidP="00B01930">
      <w:pPr>
        <w:spacing w:before="120" w:after="120"/>
        <w:jc w:val="both"/>
      </w:pPr>
      <w:r w:rsidRPr="00320A86">
        <w:t>Le phénomène social auquel le philosophe consacre de vastes d</w:t>
      </w:r>
      <w:r w:rsidRPr="00320A86">
        <w:t>é</w:t>
      </w:r>
      <w:r w:rsidRPr="00320A86">
        <w:t>velopp</w:t>
      </w:r>
      <w:r w:rsidRPr="00320A86">
        <w:t>e</w:t>
      </w:r>
      <w:r w:rsidRPr="00320A86">
        <w:t>ments tout au long de son œuvre ne s’inscrit pas en marge de sa réflexion sur l’évolution de l’univers et la place que l’homme y o</w:t>
      </w:r>
      <w:r w:rsidRPr="00320A86">
        <w:t>c</w:t>
      </w:r>
      <w:r w:rsidRPr="00320A86">
        <w:t>cupe. On peut même y voir le cœur de sa pensée. Si l’on en reprend succinctement les grandes étapes, on voit que la socialisation const</w:t>
      </w:r>
      <w:r w:rsidRPr="00320A86">
        <w:t>i</w:t>
      </w:r>
      <w:r w:rsidRPr="00320A86">
        <w:t>tue, si ce n’est l’objectif ultime de l’évolution de l’humanité, du moins la condition de la poursuite de l’aventure humaine, tout ce qui contr</w:t>
      </w:r>
      <w:r w:rsidRPr="00320A86">
        <w:t>i</w:t>
      </w:r>
      <w:r w:rsidRPr="00320A86">
        <w:t>bue à désunir les hommes les rapprochant un peu plus du précipice qu’ils longent depuis leur apparition sur la terre :</w:t>
      </w:r>
    </w:p>
    <w:p w14:paraId="26791A64" w14:textId="77777777" w:rsidR="00B01930" w:rsidRDefault="00B01930" w:rsidP="00B01930">
      <w:pPr>
        <w:pStyle w:val="citation"/>
      </w:pPr>
    </w:p>
    <w:p w14:paraId="0EF62B66" w14:textId="77777777" w:rsidR="00B01930" w:rsidRDefault="00B01930" w:rsidP="00B01930">
      <w:pPr>
        <w:pStyle w:val="citation"/>
      </w:pPr>
      <w:r w:rsidRPr="00320A86">
        <w:t>« […] Individualisation et isolement spontanés de ce qui bouge et monte à travers ce qui demeure immobile ; multiplication et agrégation i</w:t>
      </w:r>
      <w:r w:rsidRPr="00320A86">
        <w:t>r</w:t>
      </w:r>
      <w:r w:rsidRPr="00320A86">
        <w:t>résistibles, sur toute l’étendue du globe, d’éléments activés par un réveil (hominisé) du sens phylétique ; formation et émersion graduelles, en di</w:t>
      </w:r>
      <w:r w:rsidRPr="00320A86">
        <w:t>s</w:t>
      </w:r>
      <w:r w:rsidRPr="00320A86">
        <w:t>cordance avec la plupart des catégories anciennes, d’une surface noosph</w:t>
      </w:r>
      <w:r w:rsidRPr="00320A86">
        <w:t>é</w:t>
      </w:r>
      <w:r w:rsidRPr="00320A86">
        <w:t>rique nouvelle sur laquelle la colle</w:t>
      </w:r>
      <w:r w:rsidRPr="00320A86">
        <w:t>c</w:t>
      </w:r>
      <w:r w:rsidRPr="00320A86">
        <w:t>tivisation humaine, jusqu’alors forcée, entre enfin dans sa phase sympathique, sous l’influence, nouvellement a</w:t>
      </w:r>
      <w:r w:rsidRPr="00320A86">
        <w:t>p</w:t>
      </w:r>
      <w:r w:rsidRPr="00320A86">
        <w:t>parue, de l’esprit d’Évolution</w:t>
      </w:r>
      <w:r>
        <w:t> </w:t>
      </w:r>
      <w:r w:rsidRPr="00B06243">
        <w:rPr>
          <w:rStyle w:val="Appelnotedebasdep"/>
          <w:i/>
        </w:rPr>
        <w:footnoteReference w:id="1007"/>
      </w:r>
      <w:r w:rsidRPr="00320A86">
        <w:t>. »</w:t>
      </w:r>
    </w:p>
    <w:p w14:paraId="14EB9CF5" w14:textId="77777777" w:rsidR="00B01930" w:rsidRPr="00320A86" w:rsidRDefault="00B01930" w:rsidP="00B01930">
      <w:pPr>
        <w:pStyle w:val="citation"/>
      </w:pPr>
    </w:p>
    <w:p w14:paraId="2DF11F9F" w14:textId="77777777" w:rsidR="00B01930" w:rsidRPr="00320A86" w:rsidRDefault="00B01930" w:rsidP="00B01930">
      <w:pPr>
        <w:spacing w:before="120" w:after="120"/>
        <w:jc w:val="both"/>
      </w:pPr>
      <w:r w:rsidRPr="00320A86">
        <w:t>La socialisation constitue donc un phénomène essentiel de l’évolution de l’humanité qui doit nécessairement déboucher sur un autre phénomène, tout au</w:t>
      </w:r>
      <w:r w:rsidRPr="00320A86">
        <w:t>s</w:t>
      </w:r>
      <w:r w:rsidRPr="00320A86">
        <w:t>si lié à la nature humaine : la planétisation. Mais ces deux processus doivent fa</w:t>
      </w:r>
      <w:r w:rsidRPr="00320A86">
        <w:t>i</w:t>
      </w:r>
      <w:r w:rsidRPr="00320A86">
        <w:t>re face à deux menaces : l’individualisme, qui risque d’entraver la socialisation, et le totalit</w:t>
      </w:r>
      <w:r w:rsidRPr="00320A86">
        <w:t>a</w:t>
      </w:r>
      <w:r w:rsidRPr="00320A86">
        <w:t>risme, auquel la planétisation peut conduire.</w:t>
      </w:r>
    </w:p>
    <w:p w14:paraId="1656EE95" w14:textId="77777777" w:rsidR="00B01930" w:rsidRPr="00320A86" w:rsidRDefault="00B01930" w:rsidP="00B01930">
      <w:pPr>
        <w:spacing w:before="120" w:after="120"/>
        <w:jc w:val="both"/>
      </w:pPr>
      <w:r>
        <w:br w:type="page"/>
      </w:r>
    </w:p>
    <w:p w14:paraId="200B791C" w14:textId="77777777" w:rsidR="00B01930" w:rsidRPr="00320A86" w:rsidRDefault="00B01930" w:rsidP="00B01930">
      <w:pPr>
        <w:pStyle w:val="a"/>
      </w:pPr>
      <w:r w:rsidRPr="00320A86">
        <w:t>Socialisation et individualisme</w:t>
      </w:r>
    </w:p>
    <w:p w14:paraId="7331FCBD" w14:textId="77777777" w:rsidR="00B01930" w:rsidRDefault="00B01930" w:rsidP="00B01930">
      <w:pPr>
        <w:spacing w:before="120" w:after="120"/>
        <w:jc w:val="both"/>
      </w:pPr>
    </w:p>
    <w:p w14:paraId="5FB9C922" w14:textId="77777777" w:rsidR="00B01930" w:rsidRPr="00320A86" w:rsidRDefault="00B01930" w:rsidP="00B01930">
      <w:pPr>
        <w:spacing w:before="120" w:after="120"/>
        <w:jc w:val="both"/>
      </w:pPr>
      <w:r w:rsidRPr="00320A86">
        <w:t>Toute la pensée politique de Teilhard de Chardin repose sur le phénomène de socialisation, c’est-à-dire sur un rapprochement des hommes inscrit dans la nat</w:t>
      </w:r>
      <w:r w:rsidRPr="00320A86">
        <w:t>u</w:t>
      </w:r>
      <w:r w:rsidRPr="00320A86">
        <w:t>re, dans le cadre du long processus de complexification et de perfectionnement de la matière</w:t>
      </w:r>
      <w:r>
        <w:t> </w:t>
      </w:r>
      <w:r>
        <w:rPr>
          <w:rStyle w:val="Appelnotedebasdep"/>
        </w:rPr>
        <w:footnoteReference w:id="1008"/>
      </w:r>
      <w:r w:rsidRPr="00320A86">
        <w:t>.</w:t>
      </w:r>
    </w:p>
    <w:p w14:paraId="7565FB89" w14:textId="77777777" w:rsidR="00B01930" w:rsidRDefault="00B01930" w:rsidP="00B01930">
      <w:pPr>
        <w:pStyle w:val="citation"/>
      </w:pPr>
    </w:p>
    <w:p w14:paraId="646F9CF8" w14:textId="77777777" w:rsidR="00B01930" w:rsidRDefault="00B01930" w:rsidP="00B01930">
      <w:pPr>
        <w:pStyle w:val="citation"/>
      </w:pPr>
      <w:r w:rsidRPr="00320A86">
        <w:t>« Par nature, et à tous les degrés de complication, les éléments du Monde ont le pouvoir de s’influencer et de s’envahir mutuellement par leur Dedans, de manière à combiner en faisceaux leurs « énergies radi</w:t>
      </w:r>
      <w:r w:rsidRPr="00320A86">
        <w:t>a</w:t>
      </w:r>
      <w:r w:rsidRPr="00320A86">
        <w:t>les ». Conjecturale seulement dans les molécules et les atomes, cette inte</w:t>
      </w:r>
      <w:r w:rsidRPr="00320A86">
        <w:t>r</w:t>
      </w:r>
      <w:r w:rsidRPr="00320A86">
        <w:t>pénétrabilité psychique grandit, et elle devient directement perceptible e</w:t>
      </w:r>
      <w:r w:rsidRPr="00320A86">
        <w:t>n</w:t>
      </w:r>
      <w:r w:rsidRPr="00320A86">
        <w:t>tre êtres organisés. Dans l’Homme, f</w:t>
      </w:r>
      <w:r w:rsidRPr="00320A86">
        <w:t>i</w:t>
      </w:r>
      <w:r w:rsidRPr="00320A86">
        <w:t>nalement, chez qui les effets de conscience atteignent dans la Nature leur actuel maximum, elle est pa</w:t>
      </w:r>
      <w:r w:rsidRPr="00320A86">
        <w:t>r</w:t>
      </w:r>
      <w:r w:rsidRPr="00320A86">
        <w:t>tout extrême, partout lisible dans le Phénomène Social, et par nous du reste d</w:t>
      </w:r>
      <w:r w:rsidRPr="00320A86">
        <w:t>i</w:t>
      </w:r>
      <w:r w:rsidRPr="00320A86">
        <w:t>rectement sentie</w:t>
      </w:r>
      <w:r>
        <w:t> </w:t>
      </w:r>
      <w:r w:rsidRPr="00B06243">
        <w:rPr>
          <w:rStyle w:val="Appelnotedebasdep"/>
          <w:i/>
        </w:rPr>
        <w:footnoteReference w:id="1009"/>
      </w:r>
      <w:r w:rsidRPr="00320A86">
        <w:t>. »</w:t>
      </w:r>
    </w:p>
    <w:p w14:paraId="28E5CD02" w14:textId="77777777" w:rsidR="00B01930" w:rsidRPr="00320A86" w:rsidRDefault="00B01930" w:rsidP="00B01930">
      <w:pPr>
        <w:pStyle w:val="citation"/>
      </w:pPr>
    </w:p>
    <w:p w14:paraId="12F68352" w14:textId="77777777" w:rsidR="00B01930" w:rsidRPr="00320A86" w:rsidRDefault="00B01930" w:rsidP="00B01930">
      <w:pPr>
        <w:spacing w:before="120" w:after="120"/>
        <w:jc w:val="both"/>
      </w:pPr>
      <w:r w:rsidRPr="00320A86">
        <w:t>Ce rapprochement fécond à l’origine de la conscience et de la pe</w:t>
      </w:r>
      <w:r w:rsidRPr="00320A86">
        <w:t>n</w:t>
      </w:r>
      <w:r w:rsidRPr="00320A86">
        <w:t>sée a été rendu possible par la réunion de conditions spatiales. L’hominisation est ainsi la conséquence de la raréfaction des espaces libres à la surface de la terre. La concentration des populations a pr</w:t>
      </w:r>
      <w:r w:rsidRPr="00320A86">
        <w:t>o</w:t>
      </w:r>
      <w:r w:rsidRPr="00320A86">
        <w:t>duit un « réchauffement des esprits », c’est-à-dire, pour reprendre une notion chère à Michel Serres, la communication.</w:t>
      </w:r>
    </w:p>
    <w:p w14:paraId="1618A01B" w14:textId="77777777" w:rsidR="00B01930" w:rsidRDefault="00B01930" w:rsidP="00B01930">
      <w:pPr>
        <w:pStyle w:val="citation"/>
      </w:pPr>
    </w:p>
    <w:p w14:paraId="49C2F1F1" w14:textId="77777777" w:rsidR="00B01930" w:rsidRDefault="00B01930" w:rsidP="00B01930">
      <w:pPr>
        <w:pStyle w:val="citation"/>
      </w:pPr>
      <w:r w:rsidRPr="00320A86">
        <w:t>« À mesure que, sous l’effet de cette pression, et grâce à leur permé</w:t>
      </w:r>
      <w:r w:rsidRPr="00320A86">
        <w:t>a</w:t>
      </w:r>
      <w:r w:rsidRPr="00320A86">
        <w:t>bilité psych</w:t>
      </w:r>
      <w:r w:rsidRPr="00320A86">
        <w:t>i</w:t>
      </w:r>
      <w:r w:rsidRPr="00320A86">
        <w:t>que, les éléments humains rentraient davantage les uns dans les autres, leur esprit (mystérieuse coïncidence…) s’échauffait par rappr</w:t>
      </w:r>
      <w:r w:rsidRPr="00320A86">
        <w:t>o</w:t>
      </w:r>
      <w:r w:rsidRPr="00320A86">
        <w:t>chement. Et comme dilatés sur eux-mêmes, ils étendaient peu à peu ch</w:t>
      </w:r>
      <w:r w:rsidRPr="00320A86">
        <w:t>a</w:t>
      </w:r>
      <w:r w:rsidRPr="00320A86">
        <w:t>cun le rayon de leur zone d’influence sur une Terre qui, par le fait même, s’en trouvait toujours plus rapetissée. Que voyons-nous en effet se produ</w:t>
      </w:r>
      <w:r w:rsidRPr="00320A86">
        <w:t>i</w:t>
      </w:r>
      <w:r w:rsidRPr="00320A86">
        <w:t>re, dans le paroxysme moderne ? On l’a déjà fait bien des fois rema</w:t>
      </w:r>
      <w:r w:rsidRPr="00320A86">
        <w:t>r</w:t>
      </w:r>
      <w:r w:rsidRPr="00320A86">
        <w:t>quer. Par découverte, hier, du chemin de fer, de l’automobile, de l’avion, l’influence physique de chaque homme, réduit jadis à quelques k</w:t>
      </w:r>
      <w:r w:rsidRPr="00320A86">
        <w:t>i</w:t>
      </w:r>
      <w:r w:rsidRPr="00320A86">
        <w:t>lomètres, s’étend maintenant à des centaines de lieues. Bien mieux : grâce au prod</w:t>
      </w:r>
      <w:r w:rsidRPr="00320A86">
        <w:t>i</w:t>
      </w:r>
      <w:r w:rsidRPr="00320A86">
        <w:t>gieux événement biologique représenté par la découverte des ondes éle</w:t>
      </w:r>
      <w:r w:rsidRPr="00320A86">
        <w:t>c</w:t>
      </w:r>
      <w:r w:rsidRPr="00320A86">
        <w:t>tromagnétiques, chaque individu se trouve désormais (activement et pass</w:t>
      </w:r>
      <w:r w:rsidRPr="00320A86">
        <w:t>i</w:t>
      </w:r>
      <w:r w:rsidRPr="00320A86">
        <w:t>vement) simultanément présent à la totalité de la mer et des cont</w:t>
      </w:r>
      <w:r w:rsidRPr="00320A86">
        <w:t>i</w:t>
      </w:r>
      <w:r w:rsidRPr="00320A86">
        <w:t>nents – coextensif à la Terre. Ainsi non seulement par augmentation ince</w:t>
      </w:r>
      <w:r w:rsidRPr="00320A86">
        <w:t>s</w:t>
      </w:r>
      <w:r w:rsidRPr="00320A86">
        <w:t>sante du nombre de ses membres, mais par augmentation continuelle aussi de leur aire d’activité individuelle, l’Humanité, assujettie qu’elle est à se dévelo</w:t>
      </w:r>
      <w:r w:rsidRPr="00320A86">
        <w:t>p</w:t>
      </w:r>
      <w:r w:rsidRPr="00320A86">
        <w:t>per en su</w:t>
      </w:r>
      <w:r w:rsidRPr="00320A86">
        <w:t>r</w:t>
      </w:r>
      <w:r w:rsidRPr="00320A86">
        <w:t>face fermée, se trouve irrémédiablement soumise à une pression formidable – pression sans cesse accrue par son jeu même : puisque ch</w:t>
      </w:r>
      <w:r w:rsidRPr="00320A86">
        <w:t>a</w:t>
      </w:r>
      <w:r w:rsidRPr="00320A86">
        <w:t>que degré de plus dans le resserr</w:t>
      </w:r>
      <w:r w:rsidRPr="00320A86">
        <w:t>e</w:t>
      </w:r>
      <w:r w:rsidRPr="00320A86">
        <w:t>ment n’a d’autre effet que d’exalter un peu plus l’expansion de chaque élément</w:t>
      </w:r>
      <w:r>
        <w:t> </w:t>
      </w:r>
      <w:r w:rsidRPr="00B06243">
        <w:rPr>
          <w:rStyle w:val="Appelnotedebasdep"/>
          <w:i/>
        </w:rPr>
        <w:footnoteReference w:id="1010"/>
      </w:r>
      <w:r w:rsidRPr="00320A86">
        <w:t>. »</w:t>
      </w:r>
    </w:p>
    <w:p w14:paraId="56C884FD" w14:textId="77777777" w:rsidR="00B01930" w:rsidRPr="00320A86" w:rsidRDefault="00B01930" w:rsidP="00B01930">
      <w:pPr>
        <w:pStyle w:val="citation"/>
      </w:pPr>
    </w:p>
    <w:p w14:paraId="65A2C0F7" w14:textId="77777777" w:rsidR="00B01930" w:rsidRPr="00320A86" w:rsidRDefault="00B01930" w:rsidP="00B01930">
      <w:pPr>
        <w:spacing w:before="120" w:after="120"/>
        <w:jc w:val="both"/>
      </w:pPr>
      <w:r w:rsidRPr="00320A86">
        <w:t>Ainsi, l’évolution biologique qui avait permis initialement la diff</w:t>
      </w:r>
      <w:r w:rsidRPr="00320A86">
        <w:t>é</w:t>
      </w:r>
      <w:r w:rsidRPr="00320A86">
        <w:t>renciation des populations et donc leur diversité a également conduit, dans un second temps, au rapprochement des groupes humains et, par conséquent, à l’enrichissement mutuel au contact d’autres popul</w:t>
      </w:r>
      <w:r w:rsidRPr="00320A86">
        <w:t>a</w:t>
      </w:r>
      <w:r w:rsidRPr="00320A86">
        <w:t>tions. Teilhard de Chardin souligne notamment l’importance de la di</w:t>
      </w:r>
      <w:r w:rsidRPr="00320A86">
        <w:t>f</w:t>
      </w:r>
      <w:r w:rsidRPr="00320A86">
        <w:t>férenciation anatomique à partir d’un type primitif par l’effet des m</w:t>
      </w:r>
      <w:r w:rsidRPr="00320A86">
        <w:t>u</w:t>
      </w:r>
      <w:r w:rsidRPr="00320A86">
        <w:t>tations génétiques ainsi que de la diversité et de l’évolution des cl</w:t>
      </w:r>
      <w:r w:rsidRPr="00320A86">
        <w:t>i</w:t>
      </w:r>
      <w:r w:rsidRPr="00320A86">
        <w:t>mats et des environnements, qui ont permis l’apparition des races. Mais les groupes humains n’ont pas pu s’isoler suffisamment pour donner naissance à des espèces distinctes. Le produit de l’évolution est ainsi l’espèce humaine, c’est-à-dire « </w:t>
      </w:r>
      <w:r w:rsidRPr="00AB19F3">
        <w:rPr>
          <w:i/>
        </w:rPr>
        <w:t>une famille gigantesque, où les nervures, si distinctes soient-elles, demeurent toujours jointes dans un tissu commun </w:t>
      </w:r>
      <w:r>
        <w:rPr>
          <w:rStyle w:val="Appelnotedebasdep"/>
        </w:rPr>
        <w:footnoteReference w:id="1011"/>
      </w:r>
      <w:r w:rsidRPr="00320A86">
        <w:t> ».</w:t>
      </w:r>
    </w:p>
    <w:p w14:paraId="2FD1A284" w14:textId="77777777" w:rsidR="00B01930" w:rsidRPr="00320A86" w:rsidRDefault="00B01930" w:rsidP="00B01930">
      <w:pPr>
        <w:spacing w:before="120" w:after="120"/>
        <w:jc w:val="both"/>
      </w:pPr>
      <w:r w:rsidRPr="00320A86">
        <w:t>Mais comment expliquer la « confluence » des hommes ? Elle n’a pas pour origine une simple agglomération d’individus par laquelle ces derniers auraient tenté de satisfaire des besoins communs :</w:t>
      </w:r>
    </w:p>
    <w:p w14:paraId="1854732E" w14:textId="77777777" w:rsidR="00B01930" w:rsidRDefault="00B01930" w:rsidP="00B01930">
      <w:pPr>
        <w:pStyle w:val="citation"/>
      </w:pPr>
      <w:r w:rsidRPr="00320A86">
        <w:t>« Groupements essentiellement mécaniques et familiaux réalisés sur un geste purement “fonctionnel” de construction, de défense, ou de prop</w:t>
      </w:r>
      <w:r w:rsidRPr="00320A86">
        <w:t>a</w:t>
      </w:r>
      <w:r w:rsidRPr="00320A86">
        <w:t>gation. La colonie, la Ruche. La fourmilière. Tous organismes à po</w:t>
      </w:r>
      <w:r w:rsidRPr="00320A86">
        <w:t>u</w:t>
      </w:r>
      <w:r w:rsidRPr="00320A86">
        <w:t>voir de rapprochement limité aux produits d’une seule m</w:t>
      </w:r>
      <w:r w:rsidRPr="00320A86">
        <w:t>è</w:t>
      </w:r>
      <w:r w:rsidRPr="00320A86">
        <w:t>re</w:t>
      </w:r>
      <w:r>
        <w:t> </w:t>
      </w:r>
      <w:r>
        <w:rPr>
          <w:rStyle w:val="Appelnotedebasdep"/>
        </w:rPr>
        <w:footnoteReference w:id="1012"/>
      </w:r>
      <w:r w:rsidRPr="00320A86">
        <w:t>. »</w:t>
      </w:r>
    </w:p>
    <w:p w14:paraId="7AD35B4A" w14:textId="77777777" w:rsidR="00B01930" w:rsidRPr="00320A86" w:rsidRDefault="00B01930" w:rsidP="00B01930">
      <w:pPr>
        <w:pStyle w:val="citation"/>
      </w:pPr>
    </w:p>
    <w:p w14:paraId="19620CD6" w14:textId="77777777" w:rsidR="00B01930" w:rsidRPr="00320A86" w:rsidRDefault="00B01930" w:rsidP="00B01930">
      <w:pPr>
        <w:spacing w:before="120" w:after="120"/>
        <w:jc w:val="both"/>
      </w:pPr>
      <w:r w:rsidRPr="00320A86">
        <w:t>Elle s’explique, en premier lieu, par les limites de l’espace terrestre et la courbure de la terre, qui conduisent les individus à se rejoindre.</w:t>
      </w:r>
    </w:p>
    <w:p w14:paraId="61933765" w14:textId="77777777" w:rsidR="00B01930" w:rsidRDefault="00B01930" w:rsidP="00B01930">
      <w:pPr>
        <w:pStyle w:val="citation"/>
      </w:pPr>
    </w:p>
    <w:p w14:paraId="67C10CBC" w14:textId="77777777" w:rsidR="00B01930" w:rsidRDefault="00B01930" w:rsidP="00B01930">
      <w:pPr>
        <w:pStyle w:val="citation"/>
      </w:pPr>
      <w:r w:rsidRPr="00320A86">
        <w:t>« À partir de l’Homme, grâce au cadre ou support universels fournis par la Pe</w:t>
      </w:r>
      <w:r w:rsidRPr="00320A86">
        <w:t>n</w:t>
      </w:r>
      <w:r w:rsidRPr="00320A86">
        <w:t>sée, libre essor est donné aux forces de confluence. Au sein de ce nouveau milieu, les rameaux eux-mêmes d’un même groupe arrivent à se rejoindre. Ou plutôt ils se so</w:t>
      </w:r>
      <w:r w:rsidRPr="00320A86">
        <w:t>u</w:t>
      </w:r>
      <w:r w:rsidRPr="00320A86">
        <w:t>dent entre eux avant même d’avoir achevé de se séparer. De la sorte, au cours de la phylogenèse humaine, la diff</w:t>
      </w:r>
      <w:r w:rsidRPr="00320A86">
        <w:t>é</w:t>
      </w:r>
      <w:r w:rsidRPr="00320A86">
        <w:t>renciation des groupes se trouve conservée jusqu’à un certain point – c’est-à-dire dans la mesure où, en créant par tâtonnement des types no</w:t>
      </w:r>
      <w:r w:rsidRPr="00320A86">
        <w:t>u</w:t>
      </w:r>
      <w:r w:rsidRPr="00320A86">
        <w:t>veaux, elle est une condition biologique de découverte et d’enrichissement. Mais ensuite (ou en même temps), comme il arrive sur une sphère où les méridiens ne jai</w:t>
      </w:r>
      <w:r w:rsidRPr="00320A86">
        <w:t>l</w:t>
      </w:r>
      <w:r w:rsidRPr="00320A86">
        <w:t>lissent en s’écartant d’un pôle que pour se rejoindre au pôle opposé, cette dive</w:t>
      </w:r>
      <w:r w:rsidRPr="00320A86">
        <w:t>r</w:t>
      </w:r>
      <w:r w:rsidRPr="00320A86">
        <w:t>gence fait place et se subordonne à un mouvement de convergence, où races, peuples et n</w:t>
      </w:r>
      <w:r w:rsidRPr="00320A86">
        <w:t>a</w:t>
      </w:r>
      <w:r w:rsidRPr="00320A86">
        <w:t>tions se consolident et s’achèvent par mutuelle f</w:t>
      </w:r>
      <w:r w:rsidRPr="00320A86">
        <w:t>é</w:t>
      </w:r>
      <w:r w:rsidRPr="00320A86">
        <w:t>condation</w:t>
      </w:r>
      <w:r>
        <w:t> </w:t>
      </w:r>
      <w:r w:rsidRPr="00B06243">
        <w:rPr>
          <w:rStyle w:val="Appelnotedebasdep"/>
          <w:i/>
        </w:rPr>
        <w:footnoteReference w:id="1013"/>
      </w:r>
      <w:r w:rsidRPr="00320A86">
        <w:t>. »</w:t>
      </w:r>
    </w:p>
    <w:p w14:paraId="7412697A" w14:textId="77777777" w:rsidR="00B01930" w:rsidRPr="00320A86" w:rsidRDefault="00B01930" w:rsidP="00B01930">
      <w:pPr>
        <w:pStyle w:val="citation"/>
      </w:pPr>
    </w:p>
    <w:p w14:paraId="01655DB8" w14:textId="77777777" w:rsidR="00B01930" w:rsidRPr="00320A86" w:rsidRDefault="00B01930" w:rsidP="00B01930">
      <w:pPr>
        <w:spacing w:before="120" w:after="120"/>
        <w:jc w:val="both"/>
      </w:pPr>
      <w:r w:rsidRPr="00320A86">
        <w:t>L’unification est donc un facteur essentiel de l’évolution de la n</w:t>
      </w:r>
      <w:r w:rsidRPr="00320A86">
        <w:t>a</w:t>
      </w:r>
      <w:r w:rsidRPr="00320A86">
        <w:t>ture huma</w:t>
      </w:r>
      <w:r w:rsidRPr="00320A86">
        <w:t>i</w:t>
      </w:r>
      <w:r w:rsidRPr="00320A86">
        <w:t>ne, qu’il faut comprendre comme le prolongement de l’émergence et de l’épanouissement de la conscience</w:t>
      </w:r>
      <w:r>
        <w:t> </w:t>
      </w:r>
      <w:r>
        <w:rPr>
          <w:rStyle w:val="Appelnotedebasdep"/>
        </w:rPr>
        <w:footnoteReference w:id="1014"/>
      </w:r>
      <w:r w:rsidRPr="00320A86">
        <w:t>. L’avenir de cette humanité encore e</w:t>
      </w:r>
      <w:r w:rsidRPr="00320A86">
        <w:t>m</w:t>
      </w:r>
      <w:r w:rsidRPr="00320A86">
        <w:t xml:space="preserve">bryonnaire est nécessairement collectif : </w:t>
      </w:r>
    </w:p>
    <w:p w14:paraId="28C8FAA4" w14:textId="77777777" w:rsidR="00B01930" w:rsidRDefault="00B01930" w:rsidP="00B01930">
      <w:pPr>
        <w:pStyle w:val="citation"/>
      </w:pPr>
    </w:p>
    <w:p w14:paraId="41443228" w14:textId="77777777" w:rsidR="00B01930" w:rsidRDefault="00B01930" w:rsidP="00B01930">
      <w:pPr>
        <w:pStyle w:val="citation"/>
      </w:pPr>
      <w:r w:rsidRPr="00320A86">
        <w:t>« Au regard des “prophètes” du XVIII</w:t>
      </w:r>
      <w:r w:rsidRPr="00320A86">
        <w:rPr>
          <w:vertAlign w:val="superscript"/>
        </w:rPr>
        <w:t>e</w:t>
      </w:r>
      <w:r w:rsidRPr="00320A86">
        <w:t xml:space="preserve"> siècle, le monde ne prése</w:t>
      </w:r>
      <w:r w:rsidRPr="00320A86">
        <w:t>n</w:t>
      </w:r>
      <w:r w:rsidRPr="00320A86">
        <w:t>tait en réalité qu’un ensemble de liaisons confuses et lâches. Et il fallait vra</w:t>
      </w:r>
      <w:r w:rsidRPr="00320A86">
        <w:t>i</w:t>
      </w:r>
      <w:r w:rsidRPr="00320A86">
        <w:t>ment la div</w:t>
      </w:r>
      <w:r w:rsidRPr="00320A86">
        <w:t>i</w:t>
      </w:r>
      <w:r w:rsidRPr="00320A86">
        <w:t>nation d’un croyant pour sentir battre le cœur de cette sorte d’embryon. Or, après moins de deux cents ans, nous voici, presque sans nous en rendre compte, engagés dans la réalité, au moins matérielle, de ce que nos pères atte</w:t>
      </w:r>
      <w:r w:rsidRPr="00320A86">
        <w:t>n</w:t>
      </w:r>
      <w:r w:rsidRPr="00320A86">
        <w:t>daient</w:t>
      </w:r>
      <w:r>
        <w:t> </w:t>
      </w:r>
      <w:r w:rsidRPr="00B06243">
        <w:rPr>
          <w:rStyle w:val="Appelnotedebasdep"/>
          <w:i/>
        </w:rPr>
        <w:footnoteReference w:id="1015"/>
      </w:r>
      <w:r w:rsidRPr="00320A86">
        <w:t>. »</w:t>
      </w:r>
    </w:p>
    <w:p w14:paraId="7044FFEF" w14:textId="77777777" w:rsidR="00B01930" w:rsidRPr="00320A86" w:rsidRDefault="00B01930" w:rsidP="00B01930">
      <w:pPr>
        <w:pStyle w:val="citation"/>
      </w:pPr>
    </w:p>
    <w:p w14:paraId="221B5C6D" w14:textId="77777777" w:rsidR="00B01930" w:rsidRPr="00320A86" w:rsidRDefault="00B01930" w:rsidP="00B01930">
      <w:pPr>
        <w:spacing w:before="120" w:after="120"/>
        <w:jc w:val="both"/>
      </w:pPr>
      <w:r w:rsidRPr="00320A86">
        <w:t>Il s’agit d’un processus qui transcende le clivage classique entre la matière et l’esprit et, plus généralement, entre les sciences exactes et les sciences sociales.</w:t>
      </w:r>
    </w:p>
    <w:p w14:paraId="0EB58AF5" w14:textId="77777777" w:rsidR="00B01930" w:rsidRDefault="00B01930" w:rsidP="00B01930">
      <w:pPr>
        <w:pStyle w:val="citation"/>
      </w:pPr>
      <w:r w:rsidRPr="00320A86">
        <w:t>« Dans le Social se poursuivent en ligne droite la Chimie et la Biol</w:t>
      </w:r>
      <w:r w:rsidRPr="00320A86">
        <w:t>o</w:t>
      </w:r>
      <w:r w:rsidRPr="00320A86">
        <w:t>gie. Ainsi s’éclaire la tendance, point assez remarquée, qui pousse tout phylum vivant (Insectes et Vertébrés) à se grouper vers son e</w:t>
      </w:r>
      <w:r w:rsidRPr="00320A86">
        <w:t>x</w:t>
      </w:r>
      <w:r w:rsidRPr="00320A86">
        <w:t>trémité en ensembles socialisés. Et ainsi surtout s’explique, dans le cas de l’Homme (le seul vivant chez qui la variété, la qualité et l’intensité des liaisons int</w:t>
      </w:r>
      <w:r w:rsidRPr="00320A86">
        <w:t>e</w:t>
      </w:r>
      <w:r w:rsidRPr="00320A86">
        <w:t>rindividuelles permettent au ph</w:t>
      </w:r>
      <w:r w:rsidRPr="00320A86">
        <w:t>é</w:t>
      </w:r>
      <w:r w:rsidRPr="00320A86">
        <w:t>nomène de prendre toute son ampleur) la brusque montée psychique corrélative à la socialisation :</w:t>
      </w:r>
    </w:p>
    <w:p w14:paraId="65A085CF" w14:textId="77777777" w:rsidR="00B01930" w:rsidRPr="00320A86" w:rsidRDefault="00B01930" w:rsidP="00B01930">
      <w:pPr>
        <w:pStyle w:val="citationliste"/>
      </w:pPr>
    </w:p>
    <w:p w14:paraId="5A3A47DD" w14:textId="77777777" w:rsidR="00B01930" w:rsidRPr="00320A86" w:rsidRDefault="00B01930" w:rsidP="00B01930">
      <w:pPr>
        <w:pStyle w:val="citationliste"/>
      </w:pPr>
      <w:r w:rsidRPr="00320A86">
        <w:t>–</w:t>
      </w:r>
      <w:r>
        <w:tab/>
      </w:r>
      <w:r w:rsidRPr="00320A86">
        <w:t>apparition d’une mémoire collective où s’accumule par expériences accumulées et se transmet par éducation une hérédité générale de l’Humanité ;</w:t>
      </w:r>
    </w:p>
    <w:p w14:paraId="08E3D82F" w14:textId="77777777" w:rsidR="00B01930" w:rsidRPr="00320A86" w:rsidRDefault="00B01930" w:rsidP="00B01930">
      <w:pPr>
        <w:pStyle w:val="citationliste"/>
      </w:pPr>
      <w:r w:rsidRPr="00320A86">
        <w:t>–</w:t>
      </w:r>
      <w:r>
        <w:tab/>
      </w:r>
      <w:r w:rsidRPr="00320A86">
        <w:t>développement, par transmission toujours plus rapide de la pensée, d’un véritable réseau nerveux enveloppant, à partir de certains centres définis, la surface entière de la Terre ;</w:t>
      </w:r>
    </w:p>
    <w:p w14:paraId="27E92FF5" w14:textId="77777777" w:rsidR="00B01930" w:rsidRPr="00320A86" w:rsidRDefault="00B01930" w:rsidP="00B01930">
      <w:pPr>
        <w:pStyle w:val="citationliste"/>
      </w:pPr>
      <w:r w:rsidRPr="00320A86">
        <w:t>–</w:t>
      </w:r>
      <w:r>
        <w:tab/>
      </w:r>
      <w:r w:rsidRPr="00320A86">
        <w:t>émergence, par concours et concentration toujours plus poussés des points de vue individuels, d’une faculté de vision commune plongeant, par-delà le Monde cont</w:t>
      </w:r>
      <w:r w:rsidRPr="00320A86">
        <w:t>i</w:t>
      </w:r>
      <w:r w:rsidRPr="00320A86">
        <w:t>nu et statique des représentations vulgaires, dans un Univers fantastique, et cependant maîtrisable, d’énergie at</w:t>
      </w:r>
      <w:r w:rsidRPr="00320A86">
        <w:t>o</w:t>
      </w:r>
      <w:r w:rsidRPr="00320A86">
        <w:t>misée</w:t>
      </w:r>
      <w:r>
        <w:t> </w:t>
      </w:r>
      <w:r>
        <w:rPr>
          <w:rStyle w:val="Appelnotedebasdep"/>
        </w:rPr>
        <w:footnoteReference w:id="1016"/>
      </w:r>
      <w:r w:rsidRPr="00320A86">
        <w:t>. »</w:t>
      </w:r>
    </w:p>
    <w:p w14:paraId="37E19C47" w14:textId="77777777" w:rsidR="00B01930" w:rsidRDefault="00B01930" w:rsidP="00B01930">
      <w:pPr>
        <w:spacing w:before="120" w:after="120"/>
        <w:jc w:val="both"/>
      </w:pPr>
    </w:p>
    <w:p w14:paraId="65351433" w14:textId="77777777" w:rsidR="00B01930" w:rsidRPr="00320A86" w:rsidRDefault="00B01930" w:rsidP="00B01930">
      <w:pPr>
        <w:spacing w:before="120" w:after="120"/>
        <w:jc w:val="both"/>
      </w:pPr>
      <w:r w:rsidRPr="00320A86">
        <w:t>L’unification de l’humanité est donc en marche, permettant d’espérer que l’homme poursuive l’aventure de l’évolution, à la cond</w:t>
      </w:r>
      <w:r w:rsidRPr="00320A86">
        <w:t>i</w:t>
      </w:r>
      <w:r w:rsidRPr="00320A86">
        <w:t xml:space="preserve">tion qu’il parvienne à vaincre les tentations d’isolement : </w:t>
      </w:r>
    </w:p>
    <w:p w14:paraId="4054E283" w14:textId="77777777" w:rsidR="00B01930" w:rsidRDefault="00B01930" w:rsidP="00B01930">
      <w:pPr>
        <w:pStyle w:val="citation"/>
      </w:pPr>
    </w:p>
    <w:p w14:paraId="13828A58" w14:textId="77777777" w:rsidR="00B01930" w:rsidRDefault="00B01930" w:rsidP="00B01930">
      <w:pPr>
        <w:pStyle w:val="citation"/>
      </w:pPr>
      <w:r w:rsidRPr="00320A86">
        <w:t>« En fait, par la logique même de notre effort pour coordonner et org</w:t>
      </w:r>
      <w:r w:rsidRPr="00320A86">
        <w:t>a</w:t>
      </w:r>
      <w:r w:rsidRPr="00320A86">
        <w:t>niser les l</w:t>
      </w:r>
      <w:r w:rsidRPr="00320A86">
        <w:t>i</w:t>
      </w:r>
      <w:r w:rsidRPr="00320A86">
        <w:t>gnes du monde, c’est bien à des perspectives rappelant l’intuition initiale des premiers philanthropes que, par l’élimination des hérésies individualiste et raciste, notre pe</w:t>
      </w:r>
      <w:r w:rsidRPr="00320A86">
        <w:t>n</w:t>
      </w:r>
      <w:r w:rsidRPr="00320A86">
        <w:t>sée se trouve ramenée. Pas d’avenir évolutif à attendre pour l’homme en dehors de son ass</w:t>
      </w:r>
      <w:r w:rsidRPr="00320A86">
        <w:t>o</w:t>
      </w:r>
      <w:r w:rsidRPr="00320A86">
        <w:t>ciation avec tous les autres hommes</w:t>
      </w:r>
      <w:r>
        <w:t> </w:t>
      </w:r>
      <w:r w:rsidRPr="00B06243">
        <w:rPr>
          <w:rStyle w:val="Appelnotedebasdep"/>
          <w:i/>
        </w:rPr>
        <w:footnoteReference w:id="1017"/>
      </w:r>
      <w:r>
        <w:t>. »</w:t>
      </w:r>
    </w:p>
    <w:p w14:paraId="120201C7" w14:textId="77777777" w:rsidR="00B01930" w:rsidRPr="00320A86" w:rsidRDefault="00B01930" w:rsidP="00B01930">
      <w:pPr>
        <w:pStyle w:val="citation"/>
      </w:pPr>
    </w:p>
    <w:p w14:paraId="720ADE6C" w14:textId="77777777" w:rsidR="00B01930" w:rsidRPr="00320A86" w:rsidRDefault="00B01930" w:rsidP="00B01930">
      <w:pPr>
        <w:spacing w:before="120" w:after="120"/>
        <w:jc w:val="both"/>
      </w:pPr>
      <w:r w:rsidRPr="00320A86">
        <w:t>L’isolement des individus est le principal risque d’échec de l’aventure h</w:t>
      </w:r>
      <w:r w:rsidRPr="00320A86">
        <w:t>u</w:t>
      </w:r>
      <w:r w:rsidRPr="00320A86">
        <w:t>maine. Les hommes seraient, en quelque sorte, pris de vertige face à leur place dans la création et dans le projet divin, et a</w:t>
      </w:r>
      <w:r w:rsidRPr="00320A86">
        <w:t>u</w:t>
      </w:r>
      <w:r w:rsidRPr="00320A86">
        <w:t>raient tendance à fuir la logique de la socialisation par un phénomène de repli et d’isolement qui pourrait emprunter deux formes différentes.</w:t>
      </w:r>
    </w:p>
    <w:p w14:paraId="2603B8BE" w14:textId="77777777" w:rsidR="00B01930" w:rsidRPr="00320A86" w:rsidRDefault="00B01930" w:rsidP="00B01930">
      <w:pPr>
        <w:spacing w:before="120" w:after="120"/>
        <w:jc w:val="both"/>
      </w:pPr>
      <w:r w:rsidRPr="00320A86">
        <w:t>La première est, assez logiquement, celle de l’individualisme.</w:t>
      </w:r>
    </w:p>
    <w:p w14:paraId="77D30CE3" w14:textId="77777777" w:rsidR="00B01930" w:rsidRDefault="00B01930" w:rsidP="00B01930">
      <w:pPr>
        <w:pStyle w:val="citation"/>
      </w:pPr>
    </w:p>
    <w:p w14:paraId="76A265AF" w14:textId="77777777" w:rsidR="00B01930" w:rsidRDefault="00B01930" w:rsidP="00B01930">
      <w:pPr>
        <w:pStyle w:val="citation"/>
      </w:pPr>
      <w:r w:rsidRPr="00320A86">
        <w:t>« Dans un premier cas, dangereusement favorable à notre égoïsme pr</w:t>
      </w:r>
      <w:r w:rsidRPr="00320A86">
        <w:t>i</w:t>
      </w:r>
      <w:r w:rsidRPr="00320A86">
        <w:t>vé, quelque instinct natif, justifié par la réflexion, nous incite à j</w:t>
      </w:r>
      <w:r w:rsidRPr="00320A86">
        <w:t>u</w:t>
      </w:r>
      <w:r w:rsidRPr="00320A86">
        <w:t>ger que, pour donner à notre être sa plénitude, nous avons à nous d</w:t>
      </w:r>
      <w:r w:rsidRPr="00320A86">
        <w:t>é</w:t>
      </w:r>
      <w:r w:rsidRPr="00320A86">
        <w:t>gager le plus possible de la foule des autres. Ce « bout de nous-mêmes » qu’il nous faut atteindre, n’est-il pas dans la séparation, ou du moins dans l’asservissement à nous-mêmes de tout le reste ? En devenant réfléchi, nous apprenons l’étude du Passé, l’élément, partiellement libéré des serv</w:t>
      </w:r>
      <w:r w:rsidRPr="00320A86">
        <w:t>i</w:t>
      </w:r>
      <w:r w:rsidRPr="00320A86">
        <w:t>tudes phyl</w:t>
      </w:r>
      <w:r w:rsidRPr="00320A86">
        <w:t>é</w:t>
      </w:r>
      <w:r w:rsidRPr="00320A86">
        <w:t>tiques, a commencé à vivre pour soi. Ne serait-ce pas dans la ligne toujours plus poussée de cette émancipation qu’il nous faut déso</w:t>
      </w:r>
      <w:r w:rsidRPr="00320A86">
        <w:t>r</w:t>
      </w:r>
      <w:r w:rsidRPr="00320A86">
        <w:t>mais avancer ? Se faire plus seul pour être davantage</w:t>
      </w:r>
      <w:r>
        <w:t> </w:t>
      </w:r>
      <w:r w:rsidRPr="00B06243">
        <w:rPr>
          <w:rStyle w:val="Appelnotedebasdep"/>
          <w:i/>
        </w:rPr>
        <w:footnoteReference w:id="1018"/>
      </w:r>
      <w:r w:rsidRPr="00320A86">
        <w:t>. »</w:t>
      </w:r>
    </w:p>
    <w:p w14:paraId="4F23E947" w14:textId="77777777" w:rsidR="00B01930" w:rsidRPr="00320A86" w:rsidRDefault="00B01930" w:rsidP="00B01930">
      <w:pPr>
        <w:pStyle w:val="citation"/>
      </w:pPr>
    </w:p>
    <w:p w14:paraId="2FB928A1" w14:textId="77777777" w:rsidR="00B01930" w:rsidRPr="00320A86" w:rsidRDefault="00B01930" w:rsidP="00B01930">
      <w:pPr>
        <w:spacing w:before="120" w:after="120"/>
        <w:jc w:val="both"/>
      </w:pPr>
      <w:r w:rsidRPr="00320A86">
        <w:t>Il s’agit là, pour Teilhard de Chardin, d’une dangereuse illusion conduisant inévitablement l’humanité dans une impasse.</w:t>
      </w:r>
    </w:p>
    <w:p w14:paraId="6D58682D" w14:textId="77777777" w:rsidR="00B01930" w:rsidRDefault="00B01930" w:rsidP="00B01930">
      <w:pPr>
        <w:pStyle w:val="citation"/>
      </w:pPr>
    </w:p>
    <w:p w14:paraId="73A16F52" w14:textId="77777777" w:rsidR="00B01930" w:rsidRDefault="00B01930" w:rsidP="00B01930">
      <w:pPr>
        <w:pStyle w:val="citation"/>
      </w:pPr>
      <w:r w:rsidRPr="00320A86">
        <w:t>Semblable, dans ce cas, à quelque substance radiante, l’Humanité culminerait en une poussière de particules actives, dissociées. Non pas, sans doute, la gerbe d’étincelles s’éteignant dans la nuit : ce serait là cette Mort totale […]. Mais l’espoir plutôt que, à la longue, certains rayons, plus pénétrants ou plus heureux, nous finirons bien  par trouver le chemin cherché depuis toujours par la Conscience vers sa consommation. Conce</w:t>
      </w:r>
      <w:r w:rsidRPr="00320A86">
        <w:t>n</w:t>
      </w:r>
      <w:r w:rsidRPr="00320A86">
        <w:t>tration par décentration d’avec le reste. Solita</w:t>
      </w:r>
      <w:r w:rsidRPr="00320A86">
        <w:t>i</w:t>
      </w:r>
      <w:r w:rsidRPr="00320A86">
        <w:t>res, et à force de solitude, les éléments sauvables de la Noosphère trouv</w:t>
      </w:r>
      <w:r w:rsidRPr="00320A86">
        <w:t>e</w:t>
      </w:r>
      <w:r w:rsidRPr="00320A86">
        <w:t>raient leur salut à la limite supérieure, et par excès, dans leur individualis</w:t>
      </w:r>
      <w:r w:rsidRPr="00320A86">
        <w:t>a</w:t>
      </w:r>
      <w:r w:rsidRPr="00320A86">
        <w:t>tion</w:t>
      </w:r>
      <w:r>
        <w:t> </w:t>
      </w:r>
      <w:r w:rsidRPr="00B06243">
        <w:rPr>
          <w:rStyle w:val="Appelnotedebasdep"/>
          <w:i/>
        </w:rPr>
        <w:footnoteReference w:id="1019"/>
      </w:r>
      <w:r w:rsidRPr="00320A86">
        <w:t>. »</w:t>
      </w:r>
    </w:p>
    <w:p w14:paraId="13388910" w14:textId="77777777" w:rsidR="00B01930" w:rsidRPr="00320A86" w:rsidRDefault="00B01930" w:rsidP="00B01930">
      <w:pPr>
        <w:pStyle w:val="citation"/>
      </w:pPr>
    </w:p>
    <w:p w14:paraId="7AEEF06B" w14:textId="77777777" w:rsidR="00B01930" w:rsidRPr="00320A86" w:rsidRDefault="00B01930" w:rsidP="00B01930">
      <w:pPr>
        <w:spacing w:before="120" w:after="120"/>
        <w:jc w:val="both"/>
      </w:pPr>
      <w:r w:rsidRPr="00320A86">
        <w:t>Les tendances individualistes doivent être condamnées. D’une part, sans qu’il soit nécessaire de développer ce point qui occupe d’ailleurs une place relativ</w:t>
      </w:r>
      <w:r w:rsidRPr="00320A86">
        <w:t>e</w:t>
      </w:r>
      <w:r w:rsidRPr="00320A86">
        <w:t xml:space="preserve">ment modeste dans les développements que Teilhard de Chardin consacre aux risques de l’individualisme, la socialisation est bénéfique. Acceptant leur sort, les hommes s’émanciperont à de l’autorité : </w:t>
      </w:r>
    </w:p>
    <w:p w14:paraId="3B8A2F42" w14:textId="77777777" w:rsidR="00B01930" w:rsidRDefault="00B01930" w:rsidP="00B01930">
      <w:pPr>
        <w:pStyle w:val="citation"/>
      </w:pPr>
    </w:p>
    <w:p w14:paraId="3F43D084" w14:textId="77777777" w:rsidR="00B01930" w:rsidRDefault="00B01930" w:rsidP="00B01930">
      <w:pPr>
        <w:pStyle w:val="citation"/>
      </w:pPr>
      <w:r w:rsidRPr="00320A86">
        <w:t>« Les hommes, ayant enfin reconnu qu’ils sont les éléments sol</w:t>
      </w:r>
      <w:r w:rsidRPr="00320A86">
        <w:t>i</w:t>
      </w:r>
      <w:r w:rsidRPr="00320A86">
        <w:t>daires d’un Tout convergent, et se prenant par suite à aimer les déterminismes qui les resse</w:t>
      </w:r>
      <w:r w:rsidRPr="00320A86">
        <w:t>r</w:t>
      </w:r>
      <w:r w:rsidRPr="00320A86">
        <w:t>rent, l’unanimité d’affinités et de sympathie se substituera aux puissances de coercition</w:t>
      </w:r>
      <w:r>
        <w:t> </w:t>
      </w:r>
      <w:r w:rsidRPr="00B06243">
        <w:rPr>
          <w:rStyle w:val="Appelnotedebasdep"/>
          <w:i/>
        </w:rPr>
        <w:footnoteReference w:id="1020"/>
      </w:r>
      <w:r>
        <w:t>. »</w:t>
      </w:r>
    </w:p>
    <w:p w14:paraId="27A3341E" w14:textId="77777777" w:rsidR="00B01930" w:rsidRPr="00320A86" w:rsidRDefault="00B01930" w:rsidP="00B01930">
      <w:pPr>
        <w:pStyle w:val="citation"/>
      </w:pPr>
    </w:p>
    <w:p w14:paraId="3B132669" w14:textId="77777777" w:rsidR="00B01930" w:rsidRPr="00320A86" w:rsidRDefault="00B01930" w:rsidP="00B01930">
      <w:pPr>
        <w:spacing w:before="120" w:after="120"/>
        <w:jc w:val="both"/>
      </w:pPr>
      <w:r w:rsidRPr="00320A86">
        <w:t>D’autre part, et c’est là le fondement même de la critique teilha</w:t>
      </w:r>
      <w:r w:rsidRPr="00320A86">
        <w:t>r</w:t>
      </w:r>
      <w:r w:rsidRPr="00320A86">
        <w:t>dienne, l’individualisme va à l’encontre de la socialisation qui s’inscrit dans un « sens de l’histoire » – contre lequel, par définition, nul ne peut aller – et freine le pr</w:t>
      </w:r>
      <w:r w:rsidRPr="00320A86">
        <w:t>o</w:t>
      </w:r>
      <w:r w:rsidRPr="00320A86">
        <w:t>cessus de planétisation : l’individualisme est l’ennemi de l’intérêt même des hommes puisque « </w:t>
      </w:r>
      <w:r w:rsidRPr="00AB19F3">
        <w:rPr>
          <w:i/>
        </w:rPr>
        <w:t>le mouvement qui nous entraîne vers des formes super-organisées ne tend, par nature, qu’à nous faire complètement personnels et h</w:t>
      </w:r>
      <w:r w:rsidRPr="00AB19F3">
        <w:rPr>
          <w:i/>
        </w:rPr>
        <w:t>u</w:t>
      </w:r>
      <w:r w:rsidRPr="00AB19F3">
        <w:rPr>
          <w:i/>
        </w:rPr>
        <w:t>mains </w:t>
      </w:r>
      <w:r>
        <w:rPr>
          <w:rStyle w:val="Appelnotedebasdep"/>
        </w:rPr>
        <w:footnoteReference w:id="1021"/>
      </w:r>
      <w:r w:rsidRPr="00320A86">
        <w:t> ». La socialisation poursuit l’évolution de l’espèce humaine et répond aux exigences de sa survie. L’individualisme, au contraire, est une menace, alors même qu’il a été, dans le passé, une nécessité, lor</w:t>
      </w:r>
      <w:r w:rsidRPr="00320A86">
        <w:t>s</w:t>
      </w:r>
      <w:r w:rsidRPr="00320A86">
        <w:t>que la séparation des individus était indispensable pour assurer la c</w:t>
      </w:r>
      <w:r w:rsidRPr="00320A86">
        <w:t>o</w:t>
      </w:r>
      <w:r w:rsidRPr="00320A86">
        <w:t>lonisation de la terre ; Teilhard de Chardin n’hésite pas à parler de « </w:t>
      </w:r>
      <w:r w:rsidRPr="00AB19F3">
        <w:rPr>
          <w:i/>
        </w:rPr>
        <w:t>décomposition psychique </w:t>
      </w:r>
      <w:r>
        <w:rPr>
          <w:rStyle w:val="Appelnotedebasdep"/>
        </w:rPr>
        <w:footnoteReference w:id="1022"/>
      </w:r>
      <w:r w:rsidRPr="00320A86">
        <w:t> », à laquelle « </w:t>
      </w:r>
      <w:r w:rsidRPr="00AB19F3">
        <w:rPr>
          <w:i/>
        </w:rPr>
        <w:t>la perspective d’un ach</w:t>
      </w:r>
      <w:r w:rsidRPr="00AB19F3">
        <w:rPr>
          <w:i/>
        </w:rPr>
        <w:t>è</w:t>
      </w:r>
      <w:r w:rsidRPr="00AB19F3">
        <w:rPr>
          <w:i/>
        </w:rPr>
        <w:t>vement humain planétaire vient apporter un remède </w:t>
      </w:r>
      <w:r w:rsidRPr="00320A86">
        <w:t>».</w:t>
      </w:r>
    </w:p>
    <w:p w14:paraId="68B556DE" w14:textId="77777777" w:rsidR="00B01930" w:rsidRPr="00320A86" w:rsidRDefault="00B01930" w:rsidP="00B01930">
      <w:pPr>
        <w:spacing w:before="120" w:after="120"/>
        <w:jc w:val="both"/>
      </w:pPr>
      <w:r w:rsidRPr="00320A86">
        <w:t>L’isolement des individus les menace, « </w:t>
      </w:r>
      <w:r w:rsidRPr="00AB19F3">
        <w:rPr>
          <w:i/>
        </w:rPr>
        <w:t>comme si, par hominis</w:t>
      </w:r>
      <w:r w:rsidRPr="00AB19F3">
        <w:rPr>
          <w:i/>
        </w:rPr>
        <w:t>a</w:t>
      </w:r>
      <w:r w:rsidRPr="00AB19F3">
        <w:rPr>
          <w:i/>
        </w:rPr>
        <w:t>tion, le ph</w:t>
      </w:r>
      <w:r w:rsidRPr="00AB19F3">
        <w:rPr>
          <w:i/>
        </w:rPr>
        <w:t>y</w:t>
      </w:r>
      <w:r w:rsidRPr="00AB19F3">
        <w:rPr>
          <w:i/>
        </w:rPr>
        <w:t>lum se pulvérisait en individus, et comme si, dans l’individu hominisé, le sens phylétique s’oblitérait puis s’évanouissait </w:t>
      </w:r>
      <w:r w:rsidRPr="00320A86">
        <w:t>». C’est ce qui fait de la socialisation une impérieuse nécessité :</w:t>
      </w:r>
    </w:p>
    <w:p w14:paraId="0FD282DB" w14:textId="77777777" w:rsidR="00B01930" w:rsidRDefault="00B01930" w:rsidP="00B01930">
      <w:pPr>
        <w:pStyle w:val="citation"/>
      </w:pPr>
    </w:p>
    <w:p w14:paraId="19F2B6DF" w14:textId="77777777" w:rsidR="00B01930" w:rsidRDefault="00B01930" w:rsidP="00B01930">
      <w:pPr>
        <w:pStyle w:val="citation"/>
      </w:pPr>
      <w:r w:rsidRPr="00320A86">
        <w:t>« C’est à cette inquiétante crise de décomposition psychique (et au moment même où elle semble atteindre son paroxysme) que la perspective d’un achèv</w:t>
      </w:r>
      <w:r w:rsidRPr="00320A86">
        <w:t>e</w:t>
      </w:r>
      <w:r w:rsidRPr="00320A86">
        <w:t>ment humain planétaire vient apporter un remède approprié. Si, en effet, comme démontré ci-dessus, le phénomène s</w:t>
      </w:r>
      <w:r w:rsidRPr="00320A86">
        <w:t>o</w:t>
      </w:r>
      <w:r w:rsidRPr="00320A86">
        <w:t>cial n’est pas un déterminisme aveugle, mais l’annonce, l’amorce d’une deuxième phase de Réflexion humaine (non plus seulement individue</w:t>
      </w:r>
      <w:r w:rsidRPr="00320A86">
        <w:t>l</w:t>
      </w:r>
      <w:r w:rsidRPr="00320A86">
        <w:t>le, mais collective, cette fois) : alors, et bien que sous une forme renouvelée (ramific</w:t>
      </w:r>
      <w:r w:rsidRPr="00320A86">
        <w:t>a</w:t>
      </w:r>
      <w:r w:rsidRPr="00320A86">
        <w:t>tion, non plus de divergence, mais de convergence), c’est le phylum qui se reconstitue au-dessus de nos têtes ; et c’est par suite l’esprit d’Évolution qui, refo</w:t>
      </w:r>
      <w:r w:rsidRPr="00320A86">
        <w:t>u</w:t>
      </w:r>
      <w:r w:rsidRPr="00320A86">
        <w:t>lant l’esprit d’Égoïsme, se ranime en droit dans notre cœur, précisément de manière à corriger ce que véhiculent de vitalement toxique les forces de co</w:t>
      </w:r>
      <w:r w:rsidRPr="00320A86">
        <w:t>l</w:t>
      </w:r>
      <w:r w:rsidRPr="00320A86">
        <w:t>lectivisation</w:t>
      </w:r>
      <w:r>
        <w:t> </w:t>
      </w:r>
      <w:r w:rsidRPr="00B06243">
        <w:rPr>
          <w:rStyle w:val="Appelnotedebasdep"/>
          <w:i/>
        </w:rPr>
        <w:footnoteReference w:id="1023"/>
      </w:r>
      <w:r w:rsidRPr="00320A86">
        <w:t>. »</w:t>
      </w:r>
    </w:p>
    <w:p w14:paraId="0F5E3C0B" w14:textId="77777777" w:rsidR="00B01930" w:rsidRPr="00320A86" w:rsidRDefault="00B01930" w:rsidP="00B01930">
      <w:pPr>
        <w:pStyle w:val="citation"/>
      </w:pPr>
    </w:p>
    <w:p w14:paraId="2D3219DC" w14:textId="77777777" w:rsidR="00B01930" w:rsidRPr="00320A86" w:rsidRDefault="00B01930" w:rsidP="00B01930">
      <w:pPr>
        <w:spacing w:before="120" w:after="120"/>
        <w:jc w:val="both"/>
      </w:pPr>
      <w:r w:rsidRPr="00320A86">
        <w:t>La seconde forme d’isolement, considérée par Teilhard de Chardin comme plus probable, mais aussi beaucoup plus insidieuse et donc particulièrement dangereuse, est le racisme.</w:t>
      </w:r>
    </w:p>
    <w:p w14:paraId="7616D8AC" w14:textId="77777777" w:rsidR="00B01930" w:rsidRDefault="00B01930" w:rsidP="00B01930">
      <w:pPr>
        <w:pStyle w:val="citation"/>
      </w:pPr>
    </w:p>
    <w:p w14:paraId="658330D3" w14:textId="77777777" w:rsidR="00B01930" w:rsidRDefault="00B01930" w:rsidP="00B01930">
      <w:pPr>
        <w:pStyle w:val="citation"/>
      </w:pPr>
      <w:r w:rsidRPr="00320A86">
        <w:t>« […] Une autre doctrine de « progrès par isolement » fascine en ce moment même, de larges fractions d’Humanité : celle de la séle</w:t>
      </w:r>
      <w:r w:rsidRPr="00320A86">
        <w:t>c</w:t>
      </w:r>
      <w:r w:rsidRPr="00320A86">
        <w:t>tion et de l’élection des Races. Flatteur pour un égoïsme collectif, plus vif, plus n</w:t>
      </w:r>
      <w:r w:rsidRPr="00320A86">
        <w:t>o</w:t>
      </w:r>
      <w:r w:rsidRPr="00320A86">
        <w:t>ble, et plus chatouilleux encore que tout amour-propre particulier, le R</w:t>
      </w:r>
      <w:r w:rsidRPr="00320A86">
        <w:t>a</w:t>
      </w:r>
      <w:r w:rsidRPr="00320A86">
        <w:t>cisme a pour lui le fait d’accepter et de prolonger, rigo</w:t>
      </w:r>
      <w:r w:rsidRPr="00320A86">
        <w:t>u</w:t>
      </w:r>
      <w:r w:rsidRPr="00320A86">
        <w:t>reusement telles quelles, dans ses perspectives, les lignes de l’Arbre de la Vie. Que nous montre en effet l’Histoire du Monde animé, sinon une succession d’éventails surgissant, l’un après l’autre, sur l’autre, par succès et domin</w:t>
      </w:r>
      <w:r w:rsidRPr="00320A86">
        <w:t>a</w:t>
      </w:r>
      <w:r w:rsidRPr="00320A86">
        <w:t>tion d’un groupe privilégié ? Et pourquoi échapp</w:t>
      </w:r>
      <w:r w:rsidRPr="00320A86">
        <w:t>e</w:t>
      </w:r>
      <w:r w:rsidRPr="00320A86">
        <w:t>rions-nous à cette loi générale ? Encore maintenant, donc, et même entre nous, lutte pour la vie, survivance du plus apte. Épreuve de fo</w:t>
      </w:r>
      <w:r w:rsidRPr="00320A86">
        <w:t>r</w:t>
      </w:r>
      <w:r w:rsidRPr="00320A86">
        <w:t>ce. Le Surhomme doit germer, comme toute autre tige, à partir d’un seul bourgeon d’Humanité</w:t>
      </w:r>
      <w:r>
        <w:t> </w:t>
      </w:r>
      <w:r w:rsidRPr="00B06243">
        <w:rPr>
          <w:rStyle w:val="Appelnotedebasdep"/>
          <w:i/>
        </w:rPr>
        <w:footnoteReference w:id="1024"/>
      </w:r>
      <w:r w:rsidRPr="00320A86">
        <w:t> ! »</w:t>
      </w:r>
    </w:p>
    <w:p w14:paraId="74F4EFAE" w14:textId="77777777" w:rsidR="00B01930" w:rsidRPr="00320A86" w:rsidRDefault="00B01930" w:rsidP="00B01930">
      <w:pPr>
        <w:pStyle w:val="citation"/>
      </w:pPr>
    </w:p>
    <w:p w14:paraId="739BEF07" w14:textId="77777777" w:rsidR="00B01930" w:rsidRPr="00320A86" w:rsidRDefault="00B01930" w:rsidP="00B01930">
      <w:pPr>
        <w:spacing w:before="120" w:after="120"/>
        <w:jc w:val="both"/>
      </w:pPr>
      <w:r w:rsidRPr="00320A86">
        <w:t>Pour Teilhard, ces deux formes d’isolement sont contraires à une loi esse</w:t>
      </w:r>
      <w:r w:rsidRPr="00320A86">
        <w:t>n</w:t>
      </w:r>
      <w:r w:rsidRPr="00320A86">
        <w:t xml:space="preserve">tielle de l’évolution de la création dans laquelle, précise-t-il, </w:t>
      </w:r>
    </w:p>
    <w:p w14:paraId="402DD375" w14:textId="77777777" w:rsidR="00B01930" w:rsidRDefault="00B01930" w:rsidP="00B01930">
      <w:pPr>
        <w:pStyle w:val="citation"/>
      </w:pPr>
    </w:p>
    <w:p w14:paraId="39160958" w14:textId="77777777" w:rsidR="00B01930" w:rsidRPr="00320A86" w:rsidRDefault="00B01930" w:rsidP="00B01930">
      <w:pPr>
        <w:pStyle w:val="citation"/>
      </w:pPr>
      <w:r w:rsidRPr="00320A86">
        <w:t>« tout […] a été coalescence, influencement mutuel à partir du d</w:t>
      </w:r>
      <w:r w:rsidRPr="00320A86">
        <w:t>e</w:t>
      </w:r>
      <w:r w:rsidRPr="00320A86">
        <w:t>dans de chaque élément, interpénétration</w:t>
      </w:r>
      <w:r>
        <w:t> </w:t>
      </w:r>
      <w:r w:rsidRPr="007D4B3B">
        <w:rPr>
          <w:rStyle w:val="Appelnotedebasdep"/>
          <w:i/>
        </w:rPr>
        <w:footnoteReference w:id="1025"/>
      </w:r>
      <w:r w:rsidRPr="00320A86">
        <w:t> » : « négligeant un phénomène e</w:t>
      </w:r>
      <w:r w:rsidRPr="00320A86">
        <w:t>s</w:t>
      </w:r>
      <w:r w:rsidRPr="00320A86">
        <w:t>sentiel, “la confluence naturelle des grains de pensée”, [e</w:t>
      </w:r>
      <w:r w:rsidRPr="00320A86">
        <w:t>l</w:t>
      </w:r>
      <w:r w:rsidRPr="00320A86">
        <w:t>les] cachent ou défigurent à nos yeux les contours véritables de la Noo</w:t>
      </w:r>
      <w:r w:rsidRPr="00320A86">
        <w:t>s</w:t>
      </w:r>
      <w:r w:rsidRPr="00320A86">
        <w:t>phère, et rendent impossible, biologiquement, la formation d’un véritable Esprit de la Te</w:t>
      </w:r>
      <w:r w:rsidRPr="00320A86">
        <w:t>r</w:t>
      </w:r>
      <w:r w:rsidRPr="00320A86">
        <w:t>re</w:t>
      </w:r>
      <w:r>
        <w:t> </w:t>
      </w:r>
      <w:r w:rsidRPr="007D4B3B">
        <w:rPr>
          <w:rStyle w:val="Appelnotedebasdep"/>
          <w:i/>
        </w:rPr>
        <w:footnoteReference w:id="1026"/>
      </w:r>
      <w:r w:rsidRPr="00320A86">
        <w:t> ».</w:t>
      </w:r>
    </w:p>
    <w:p w14:paraId="1D7146A5" w14:textId="77777777" w:rsidR="00B01930" w:rsidRPr="00320A86" w:rsidRDefault="00B01930" w:rsidP="00B01930">
      <w:pPr>
        <w:spacing w:before="120" w:after="120"/>
        <w:jc w:val="both"/>
      </w:pPr>
    </w:p>
    <w:p w14:paraId="1DAFDAF8" w14:textId="77777777" w:rsidR="00B01930" w:rsidRPr="00320A86" w:rsidRDefault="00B01930" w:rsidP="00B01930">
      <w:pPr>
        <w:pStyle w:val="a"/>
      </w:pPr>
      <w:r w:rsidRPr="00320A86">
        <w:t>Planétisation et totalitarisme</w:t>
      </w:r>
    </w:p>
    <w:p w14:paraId="7E702A51" w14:textId="77777777" w:rsidR="00B01930" w:rsidRDefault="00B01930" w:rsidP="00B01930">
      <w:pPr>
        <w:spacing w:before="120" w:after="120"/>
        <w:jc w:val="both"/>
      </w:pPr>
    </w:p>
    <w:p w14:paraId="3014578B" w14:textId="77777777" w:rsidR="00B01930" w:rsidRPr="00320A86" w:rsidRDefault="00B01930" w:rsidP="00B01930">
      <w:pPr>
        <w:spacing w:before="120" w:after="120"/>
        <w:jc w:val="both"/>
      </w:pPr>
      <w:r w:rsidRPr="00320A86">
        <w:t>Dès lors que l’humanité échappe au danger de l’individualisme, e</w:t>
      </w:r>
      <w:r w:rsidRPr="00320A86">
        <w:t>l</w:t>
      </w:r>
      <w:r w:rsidRPr="00320A86">
        <w:t>le peut d</w:t>
      </w:r>
      <w:r w:rsidRPr="00320A86">
        <w:t>e</w:t>
      </w:r>
      <w:r w:rsidRPr="00320A86">
        <w:t>venir ce qu’elle a vocation à être : « </w:t>
      </w:r>
      <w:r w:rsidRPr="00AB19F3">
        <w:rPr>
          <w:i/>
        </w:rPr>
        <w:t>la Réalité elle-même constituée par la r</w:t>
      </w:r>
      <w:r w:rsidRPr="00AB19F3">
        <w:rPr>
          <w:i/>
        </w:rPr>
        <w:t>é</w:t>
      </w:r>
      <w:r w:rsidRPr="00AB19F3">
        <w:rPr>
          <w:i/>
        </w:rPr>
        <w:t>union vivante des particules réfléchies </w:t>
      </w:r>
      <w:r>
        <w:rPr>
          <w:rStyle w:val="Appelnotedebasdep"/>
        </w:rPr>
        <w:footnoteReference w:id="1027"/>
      </w:r>
      <w:r w:rsidRPr="00320A86">
        <w:t> », c’est-à-dire, finalement, un esprit. Ainsi, « </w:t>
      </w:r>
      <w:r w:rsidRPr="00AB19F3">
        <w:rPr>
          <w:i/>
        </w:rPr>
        <w:t>l’Étoffe de l’Univers, en dev</w:t>
      </w:r>
      <w:r w:rsidRPr="00AB19F3">
        <w:rPr>
          <w:i/>
        </w:rPr>
        <w:t>e</w:t>
      </w:r>
      <w:r w:rsidRPr="00AB19F3">
        <w:rPr>
          <w:i/>
        </w:rPr>
        <w:t>nant pensante, n’a pas encore achevé son cycle évolutif. […] Malgré ses liaisons organiques […] la Biosphère ne formait encore qu’un asse</w:t>
      </w:r>
      <w:r w:rsidRPr="00AB19F3">
        <w:rPr>
          <w:i/>
        </w:rPr>
        <w:t>m</w:t>
      </w:r>
      <w:r w:rsidRPr="00AB19F3">
        <w:rPr>
          <w:i/>
        </w:rPr>
        <w:t>blage de lignes divergentes, libres aux extrémités ». Mais co</w:t>
      </w:r>
      <w:r w:rsidRPr="00AB19F3">
        <w:rPr>
          <w:i/>
        </w:rPr>
        <w:t>m</w:t>
      </w:r>
      <w:r w:rsidRPr="00AB19F3">
        <w:rPr>
          <w:i/>
        </w:rPr>
        <w:t>ment ne pas frémir quand Teilhard de Chardin affirme que « sous l’effet de la Réflexion, et des reploiements que celle-ci entraîne, les chaînes se ferment ; et [que] la Noosphère tend à se constituer en un seul syst</w:t>
      </w:r>
      <w:r w:rsidRPr="00AB19F3">
        <w:rPr>
          <w:i/>
        </w:rPr>
        <w:t>è</w:t>
      </w:r>
      <w:r w:rsidRPr="00AB19F3">
        <w:rPr>
          <w:i/>
        </w:rPr>
        <w:t>me clos – où chaque élément pour soi voit, sent, désire, souffre les mêmes choses que tous les autres à la fois </w:t>
      </w:r>
      <w:r>
        <w:rPr>
          <w:rStyle w:val="Appelnotedebasdep"/>
        </w:rPr>
        <w:footnoteReference w:id="1028"/>
      </w:r>
      <w:r w:rsidRPr="00320A86">
        <w:t> » ? Une « </w:t>
      </w:r>
      <w:r w:rsidRPr="00AB19F3">
        <w:rPr>
          <w:i/>
        </w:rPr>
        <w:t>super-conscience </w:t>
      </w:r>
      <w:r w:rsidRPr="00320A86">
        <w:t>» est ainsi en train d’éclore, « la Terre non seul</w:t>
      </w:r>
      <w:r w:rsidRPr="00320A86">
        <w:t>e</w:t>
      </w:r>
      <w:r w:rsidRPr="00320A86">
        <w:t>ment se couvrant de grains de Pensée par myriades, mais s’enveloppant d’une seule env</w:t>
      </w:r>
      <w:r w:rsidRPr="00320A86">
        <w:t>e</w:t>
      </w:r>
      <w:r w:rsidRPr="00320A86">
        <w:t>loppe pensante, jusqu’à ne plus former fonctionnellement qu’un seul vaste Grain de pensée, à l’échelle sid</w:t>
      </w:r>
      <w:r w:rsidRPr="00320A86">
        <w:t>é</w:t>
      </w:r>
      <w:r w:rsidRPr="00320A86">
        <w:t>rale</w:t>
      </w:r>
      <w:r>
        <w:t> </w:t>
      </w:r>
      <w:r>
        <w:rPr>
          <w:rStyle w:val="Appelnotedebasdep"/>
        </w:rPr>
        <w:footnoteReference w:id="1029"/>
      </w:r>
      <w:r w:rsidRPr="00320A86">
        <w:t> ».</w:t>
      </w:r>
    </w:p>
    <w:p w14:paraId="176F3B8D" w14:textId="77777777" w:rsidR="00B01930" w:rsidRDefault="00B01930" w:rsidP="00B01930">
      <w:pPr>
        <w:spacing w:before="120" w:after="120"/>
        <w:jc w:val="both"/>
      </w:pPr>
      <w:r w:rsidRPr="00320A86">
        <w:t>Mais l’avenir de l’humanité est cauchemardesque :</w:t>
      </w:r>
    </w:p>
    <w:p w14:paraId="214C51B6" w14:textId="77777777" w:rsidR="00B01930" w:rsidRPr="00320A86" w:rsidRDefault="00B01930" w:rsidP="00B01930">
      <w:pPr>
        <w:spacing w:before="120" w:after="120"/>
        <w:jc w:val="both"/>
      </w:pPr>
    </w:p>
    <w:p w14:paraId="07E78385" w14:textId="77777777" w:rsidR="00B01930" w:rsidRDefault="00B01930" w:rsidP="00B01930">
      <w:pPr>
        <w:pStyle w:val="citation"/>
      </w:pPr>
      <w:r w:rsidRPr="00320A86">
        <w:t>« Au train où vont les choses, nous nous écraserons bientôt les uns sur les autres, et quelque chose explosera, si nous nous obstinons à vouloir a</w:t>
      </w:r>
      <w:r w:rsidRPr="00320A86">
        <w:t>b</w:t>
      </w:r>
      <w:r w:rsidRPr="00320A86">
        <w:t>sorber dans le soin donné à nos vieilles masures des forces matérielles et spirituelles taillées désormais à la mesure d’un Mo</w:t>
      </w:r>
      <w:r w:rsidRPr="00320A86">
        <w:t>n</w:t>
      </w:r>
      <w:r w:rsidRPr="00320A86">
        <w:t>de</w:t>
      </w:r>
      <w:r>
        <w:t> </w:t>
      </w:r>
      <w:r w:rsidRPr="007D4B3B">
        <w:rPr>
          <w:rStyle w:val="Appelnotedebasdep"/>
          <w:i/>
        </w:rPr>
        <w:footnoteReference w:id="1030"/>
      </w:r>
      <w:r w:rsidRPr="00320A86">
        <w:t xml:space="preserve">. » </w:t>
      </w:r>
    </w:p>
    <w:p w14:paraId="57AD34F8" w14:textId="77777777" w:rsidR="00B01930" w:rsidRPr="00320A86" w:rsidRDefault="00B01930" w:rsidP="00B01930">
      <w:pPr>
        <w:pStyle w:val="citation"/>
      </w:pPr>
    </w:p>
    <w:p w14:paraId="2AD5FC04" w14:textId="77777777" w:rsidR="00B01930" w:rsidRPr="00320A86" w:rsidRDefault="00B01930" w:rsidP="00B01930">
      <w:pPr>
        <w:spacing w:before="120" w:after="120"/>
        <w:jc w:val="both"/>
      </w:pPr>
      <w:r w:rsidRPr="00320A86">
        <w:t>Comment ne pas voir dans ces lignes l’annonce et la critique d’une mondial</w:t>
      </w:r>
      <w:r w:rsidRPr="00320A86">
        <w:t>i</w:t>
      </w:r>
      <w:r w:rsidRPr="00320A86">
        <w:t>sation qui, déjà à l’époque de Teilhard de Chardin, étaient prévisibles, et à l</w:t>
      </w:r>
      <w:r w:rsidRPr="00320A86">
        <w:t>a</w:t>
      </w:r>
      <w:r w:rsidRPr="00320A86">
        <w:t>quelle il ne trouve qu’une solution : la conquête de nouveaux espaces permettant à l’homme de s’épanouir à l’échelle qui est désormais la sienne ? « </w:t>
      </w:r>
      <w:r w:rsidRPr="00AB19F3">
        <w:rPr>
          <w:i/>
        </w:rPr>
        <w:t>Un domaine nouveau d’expansion psych</w:t>
      </w:r>
      <w:r w:rsidRPr="00AB19F3">
        <w:rPr>
          <w:i/>
        </w:rPr>
        <w:t>i</w:t>
      </w:r>
      <w:r w:rsidRPr="00AB19F3">
        <w:rPr>
          <w:i/>
        </w:rPr>
        <w:t>que : voilà ce qui nous manque, et ce qui est juste devant nous, si se</w:t>
      </w:r>
      <w:r w:rsidRPr="00AB19F3">
        <w:rPr>
          <w:i/>
        </w:rPr>
        <w:t>u</w:t>
      </w:r>
      <w:r w:rsidRPr="00AB19F3">
        <w:rPr>
          <w:i/>
        </w:rPr>
        <w:t>lement nous levions les yeux. La paix dans la conquête, le travail dans la joie : ils nous attendent, au-delà de tout empire opposé à d’autres empires, dans une totalisation intérieure du Monde sur lui-même – dans l’édification unanime d’un Esprit de la Terre </w:t>
      </w:r>
      <w:r>
        <w:rPr>
          <w:rStyle w:val="Appelnotedebasdep"/>
        </w:rPr>
        <w:footnoteReference w:id="1031"/>
      </w:r>
      <w:r w:rsidRPr="00320A86">
        <w:t>. »</w:t>
      </w:r>
    </w:p>
    <w:p w14:paraId="6E31EAD6" w14:textId="77777777" w:rsidR="00B01930" w:rsidRPr="00320A86" w:rsidRDefault="00B01930" w:rsidP="00B01930">
      <w:pPr>
        <w:spacing w:before="120" w:after="120"/>
        <w:jc w:val="both"/>
      </w:pPr>
      <w:r w:rsidRPr="00320A86">
        <w:t>La planétisation constitue donc une réponse à l’évolution de l’humanité. Mais Teilhard de Chardin pèche par excès d’optimisme. Il voit l’évolution de l’humanité comme conservant sa lenteur initiale : il a fallu des centaines de mi</w:t>
      </w:r>
      <w:r w:rsidRPr="00320A86">
        <w:t>l</w:t>
      </w:r>
      <w:r w:rsidRPr="00320A86">
        <w:t xml:space="preserve">liers d’années pour que l’humanité arrive au stade d’évolution qui est le sien au </w:t>
      </w:r>
      <w:r w:rsidRPr="00320A86">
        <w:rPr>
          <w:smallCaps/>
        </w:rPr>
        <w:t>xx</w:t>
      </w:r>
      <w:r w:rsidRPr="00320A86">
        <w:rPr>
          <w:vertAlign w:val="superscript"/>
        </w:rPr>
        <w:t>e</w:t>
      </w:r>
      <w:r w:rsidRPr="00320A86">
        <w:t xml:space="preserve"> siècle, et il en faudra prob</w:t>
      </w:r>
      <w:r w:rsidRPr="00320A86">
        <w:t>a</w:t>
      </w:r>
      <w:r w:rsidRPr="00320A86">
        <w:t>blement autant pour qu’elle apporte aux probl</w:t>
      </w:r>
      <w:r w:rsidRPr="00320A86">
        <w:t>è</w:t>
      </w:r>
      <w:r w:rsidRPr="00320A86">
        <w:t>mes hypothéquant sa survie des réponses concrètes. Il ne voyait pas – ou peut-être ne vo</w:t>
      </w:r>
      <w:r w:rsidRPr="00320A86">
        <w:t>u</w:t>
      </w:r>
      <w:r w:rsidRPr="00320A86">
        <w:t xml:space="preserve">lait-il pas le voir – que l’homme doit agir dans l’urgence, et que la mèche des bombes démographique et écologique est courte : </w:t>
      </w:r>
    </w:p>
    <w:p w14:paraId="0C0AF53A" w14:textId="77777777" w:rsidR="00B01930" w:rsidRDefault="00B01930" w:rsidP="00B01930">
      <w:pPr>
        <w:pStyle w:val="citation"/>
      </w:pPr>
      <w:r w:rsidRPr="00320A86">
        <w:t>« Calmons notre impatience et rassurons-nous. En dépit de toutes a</w:t>
      </w:r>
      <w:r w:rsidRPr="00320A86">
        <w:t>p</w:t>
      </w:r>
      <w:r w:rsidRPr="00320A86">
        <w:t>parences contraires, l’Humanité peut très bien avancer (à de nombreux s</w:t>
      </w:r>
      <w:r w:rsidRPr="00320A86">
        <w:t>i</w:t>
      </w:r>
      <w:r w:rsidRPr="00320A86">
        <w:t>gnes mêmes nous pouvons raisonnablement conjecturer qu’elle avance) autour de nous en ce moment : mais, si elle le fait, ce ne saurait être qu’à la manière des très grandes choses, c’est-à-dire presque insensibl</w:t>
      </w:r>
      <w:r w:rsidRPr="00320A86">
        <w:t>e</w:t>
      </w:r>
      <w:r w:rsidRPr="00320A86">
        <w:t>ment</w:t>
      </w:r>
      <w:r>
        <w:t> </w:t>
      </w:r>
      <w:r w:rsidRPr="007D4B3B">
        <w:rPr>
          <w:rStyle w:val="Appelnotedebasdep"/>
          <w:i/>
        </w:rPr>
        <w:footnoteReference w:id="1032"/>
      </w:r>
      <w:r w:rsidRPr="00320A86">
        <w:t>. »</w:t>
      </w:r>
    </w:p>
    <w:p w14:paraId="1B6E71B0" w14:textId="77777777" w:rsidR="00B01930" w:rsidRPr="00320A86" w:rsidRDefault="00B01930" w:rsidP="00B01930">
      <w:pPr>
        <w:pStyle w:val="citation"/>
      </w:pPr>
    </w:p>
    <w:p w14:paraId="770C2894" w14:textId="77777777" w:rsidR="00B01930" w:rsidRPr="00320A86" w:rsidRDefault="00B01930" w:rsidP="00B01930">
      <w:pPr>
        <w:spacing w:before="120" w:after="120"/>
        <w:jc w:val="both"/>
      </w:pPr>
      <w:r w:rsidRPr="00320A86">
        <w:t>Par contre, il était conscient des risques de dérives totalitaires. Il est vrai que l’époque s’y prêtait particulièrement.</w:t>
      </w:r>
    </w:p>
    <w:p w14:paraId="287DA616" w14:textId="77777777" w:rsidR="00B01930" w:rsidRDefault="00B01930" w:rsidP="00B01930">
      <w:pPr>
        <w:pStyle w:val="citation"/>
      </w:pPr>
      <w:r w:rsidRPr="00320A86">
        <w:t>« À aucun âge de l’Histoire, l’Humanité n’a été aussi bien équipée, et n’a fait a</w:t>
      </w:r>
      <w:r w:rsidRPr="00320A86">
        <w:t>u</w:t>
      </w:r>
      <w:r w:rsidRPr="00320A86">
        <w:t>tant d’efforts pour ordonner ses multitudes. « Mouvements de masses ». Non plus les hordes descendues en fle</w:t>
      </w:r>
      <w:r w:rsidRPr="00320A86">
        <w:t>u</w:t>
      </w:r>
      <w:r w:rsidRPr="00320A86">
        <w:t>ves, des forêts du Nord et des steppes de l’Asie. Mais « le million d’hommes », comme on a si bien dit, scientifiquement assemblé. Le Million d’hommes en quinconce, sur les champs de parade. Le Mi</w:t>
      </w:r>
      <w:r w:rsidRPr="00320A86">
        <w:t>l</w:t>
      </w:r>
      <w:r w:rsidRPr="00320A86">
        <w:t>lion d’hommes standardisé à l’usine. Le Million d’hommes motorisé… Et tout ceci n’aboutissant, avec le Comm</w:t>
      </w:r>
      <w:r w:rsidRPr="00320A86">
        <w:t>u</w:t>
      </w:r>
      <w:r w:rsidRPr="00320A86">
        <w:t>nisme et le National-Socialisme, qu’à la plus effroyable des mises en cha</w:t>
      </w:r>
      <w:r w:rsidRPr="00320A86">
        <w:t>î</w:t>
      </w:r>
      <w:r w:rsidRPr="00320A86">
        <w:t>ne ! Le cristal au lieu de la cellule. La termitière au lieu de la Fraternité. Au lieu du sursaut escompté de conscience, la mécanisation qui émerge inévit</w:t>
      </w:r>
      <w:r w:rsidRPr="00320A86">
        <w:t>a</w:t>
      </w:r>
      <w:r w:rsidRPr="00320A86">
        <w:t>blement, semblerait-il, de la totalisation</w:t>
      </w:r>
      <w:r>
        <w:t> </w:t>
      </w:r>
      <w:r w:rsidRPr="007D4B3B">
        <w:rPr>
          <w:rStyle w:val="Appelnotedebasdep"/>
          <w:i/>
        </w:rPr>
        <w:footnoteReference w:id="1033"/>
      </w:r>
      <w:r w:rsidRPr="00320A86">
        <w:t>. »</w:t>
      </w:r>
    </w:p>
    <w:p w14:paraId="77595841" w14:textId="77777777" w:rsidR="00B01930" w:rsidRPr="00320A86" w:rsidRDefault="00B01930" w:rsidP="00B01930">
      <w:pPr>
        <w:pStyle w:val="citation"/>
      </w:pPr>
    </w:p>
    <w:p w14:paraId="399BB3A5" w14:textId="77777777" w:rsidR="00B01930" w:rsidRPr="00320A86" w:rsidRDefault="00B01930" w:rsidP="00B01930">
      <w:pPr>
        <w:spacing w:before="120" w:after="120"/>
        <w:jc w:val="both"/>
      </w:pPr>
      <w:r w:rsidRPr="00320A86">
        <w:t>Et l’informatique était encore balbutiante et n’annonçait pas encore le fichage des individus, l’externalisation des données et la centralis</w:t>
      </w:r>
      <w:r w:rsidRPr="00320A86">
        <w:t>a</w:t>
      </w:r>
      <w:r w:rsidRPr="00320A86">
        <w:t>tion des connaissances humaines, autant de moyens permettant au t</w:t>
      </w:r>
      <w:r w:rsidRPr="00320A86">
        <w:t>o</w:t>
      </w:r>
      <w:r w:rsidRPr="00320A86">
        <w:t>talitarisme d’atteindre un nouveau degré de perfectionnement techn</w:t>
      </w:r>
      <w:r w:rsidRPr="00320A86">
        <w:t>i</w:t>
      </w:r>
      <w:r w:rsidRPr="00320A86">
        <w:t>que.</w:t>
      </w:r>
    </w:p>
    <w:p w14:paraId="25478880" w14:textId="77777777" w:rsidR="00B01930" w:rsidRDefault="00B01930" w:rsidP="00B01930">
      <w:pPr>
        <w:pStyle w:val="citation"/>
      </w:pPr>
      <w:r w:rsidRPr="00320A86">
        <w:t>« En présence d’une aussi profonde perversion des règles de la No</w:t>
      </w:r>
      <w:r w:rsidRPr="00320A86">
        <w:t>o</w:t>
      </w:r>
      <w:r w:rsidRPr="00320A86">
        <w:t>genèse, je tiens que notre réaction ne doit pas être de désespérer – mais de nous réexam</w:t>
      </w:r>
      <w:r w:rsidRPr="00320A86">
        <w:t>i</w:t>
      </w:r>
      <w:r w:rsidRPr="00320A86">
        <w:t>ner. Quand une énergie devient folle, l’ingénieur, loin d’en remettre en question la pui</w:t>
      </w:r>
      <w:r w:rsidRPr="00320A86">
        <w:t>s</w:t>
      </w:r>
      <w:r w:rsidRPr="00320A86">
        <w:t>sance, ne reprend-il pas simplement ses calculs afin de trouver comment la mieux diriger ? Pour être aussi mon</w:t>
      </w:r>
      <w:r w:rsidRPr="00320A86">
        <w:t>s</w:t>
      </w:r>
      <w:r w:rsidRPr="00320A86">
        <w:t>trueux, le totalitarisme moderne ne doit-il pas déformer une chose bien magnifique, et être bien proche de la vérité ? Impossible d’en douter : la grande mach</w:t>
      </w:r>
      <w:r w:rsidRPr="00320A86">
        <w:t>i</w:t>
      </w:r>
      <w:r w:rsidRPr="00320A86">
        <w:t>ne humaine est faite pour marcher – et elle doit marcher – en produ</w:t>
      </w:r>
      <w:r w:rsidRPr="00320A86">
        <w:t>i</w:t>
      </w:r>
      <w:r w:rsidRPr="00320A86">
        <w:t>sant une surabondance d’Esprit. Si elle ne fonctionne pas, ou plutôt si elle n’engendre que de la Matière, c’est donc qu’elle travaille à rebours</w:t>
      </w:r>
      <w:r>
        <w:t> </w:t>
      </w:r>
      <w:r w:rsidRPr="007D4B3B">
        <w:rPr>
          <w:rStyle w:val="Appelnotedebasdep"/>
          <w:i/>
        </w:rPr>
        <w:footnoteReference w:id="1034"/>
      </w:r>
      <w:r w:rsidRPr="00320A86">
        <w:t>… »</w:t>
      </w:r>
    </w:p>
    <w:p w14:paraId="444C5BE2" w14:textId="77777777" w:rsidR="00B01930" w:rsidRPr="00320A86" w:rsidRDefault="00B01930" w:rsidP="00B01930">
      <w:pPr>
        <w:pStyle w:val="citation"/>
      </w:pPr>
    </w:p>
    <w:p w14:paraId="406DCE95" w14:textId="77777777" w:rsidR="00B01930" w:rsidRPr="00320A86" w:rsidRDefault="00B01930" w:rsidP="00B01930">
      <w:pPr>
        <w:spacing w:before="120" w:after="120"/>
        <w:jc w:val="both"/>
      </w:pPr>
      <w:r w:rsidRPr="00320A86">
        <w:t>Le totalitarisme doit être compris comme une éventualité, non comme une fatalité, ce qui incite Teilhard de Chardin à se montrer optimiste quant à l’avenir de l’homme. La question est d’autant plus importante que, contrairement à la dérive totalitaire dont elle est la conséquence éventuelle, la socialisation huma</w:t>
      </w:r>
      <w:r w:rsidRPr="00320A86">
        <w:t>i</w:t>
      </w:r>
      <w:r w:rsidRPr="00320A86">
        <w:t>ne, dont la planétisation est le prolongement, constitue un phénomène inéluct</w:t>
      </w:r>
      <w:r w:rsidRPr="00320A86">
        <w:t>a</w:t>
      </w:r>
      <w:r w:rsidRPr="00320A86">
        <w:t>ble qui relève, non pas d’un choix personnel ou collectif, mais de la logique même de l’évolution :</w:t>
      </w:r>
    </w:p>
    <w:p w14:paraId="4F9B1008" w14:textId="77777777" w:rsidR="00B01930" w:rsidRDefault="00B01930" w:rsidP="00B01930">
      <w:pPr>
        <w:pStyle w:val="citation"/>
      </w:pPr>
      <w:r w:rsidRPr="00320A86">
        <w:t>« Sous-jacentes aux péripéties superficielles de l’Histoire contemp</w:t>
      </w:r>
      <w:r w:rsidRPr="00320A86">
        <w:t>o</w:t>
      </w:r>
      <w:r w:rsidRPr="00320A86">
        <w:t>raine se dég</w:t>
      </w:r>
      <w:r w:rsidRPr="00320A86">
        <w:t>a</w:t>
      </w:r>
      <w:r w:rsidRPr="00320A86">
        <w:t>gent chaque jour plus distinctement la réalité et l’importance dominantes d’un seul et même événement de fond : la montée des masses, avec son corollaire naturel, la socialisation humaine. Or ce qui fait la s</w:t>
      </w:r>
      <w:r w:rsidRPr="00320A86">
        <w:t>u</w:t>
      </w:r>
      <w:r w:rsidRPr="00320A86">
        <w:t>prême gravité et le suprême intérêt de la situation c’est que, scientifiqu</w:t>
      </w:r>
      <w:r w:rsidRPr="00320A86">
        <w:t>e</w:t>
      </w:r>
      <w:r w:rsidRPr="00320A86">
        <w:t>ment analysé, le phénomène se révèle comme doublement irrésistible. I</w:t>
      </w:r>
      <w:r w:rsidRPr="00320A86">
        <w:t>r</w:t>
      </w:r>
      <w:r w:rsidRPr="00320A86">
        <w:t>résistible d’abord planétairement, parce que lié à la forme close de la Te</w:t>
      </w:r>
      <w:r w:rsidRPr="00320A86">
        <w:t>r</w:t>
      </w:r>
      <w:r w:rsidRPr="00320A86">
        <w:t>re, au mécanisme de la génération et aux propriétés psychiques de la m</w:t>
      </w:r>
      <w:r w:rsidRPr="00320A86">
        <w:t>a</w:t>
      </w:r>
      <w:r w:rsidRPr="00320A86">
        <w:t>tière huma</w:t>
      </w:r>
      <w:r w:rsidRPr="00320A86">
        <w:t>i</w:t>
      </w:r>
      <w:r w:rsidRPr="00320A86">
        <w:t>ne. Et irrésistible aussi cosmiquement, parce qu’exprimant et prolongeant le proce</w:t>
      </w:r>
      <w:r w:rsidRPr="00320A86">
        <w:t>s</w:t>
      </w:r>
      <w:r w:rsidRPr="00320A86">
        <w:t>sus primordial en vertu duquel, aux antipodes des atomes qui se désintègrent, le psychique émerge et croît con</w:t>
      </w:r>
      <w:r w:rsidRPr="00320A86">
        <w:t>s</w:t>
      </w:r>
      <w:r w:rsidRPr="00320A86">
        <w:t>tamment dans l’Univers au sein de groupements matériels de plus en plus compl</w:t>
      </w:r>
      <w:r w:rsidRPr="00320A86">
        <w:t>i</w:t>
      </w:r>
      <w:r w:rsidRPr="00320A86">
        <w:t>qués</w:t>
      </w:r>
      <w:r>
        <w:t> </w:t>
      </w:r>
      <w:r w:rsidRPr="007D4B3B">
        <w:rPr>
          <w:rStyle w:val="Appelnotedebasdep"/>
          <w:i/>
        </w:rPr>
        <w:footnoteReference w:id="1035"/>
      </w:r>
      <w:r w:rsidRPr="00320A86">
        <w:t>. »</w:t>
      </w:r>
    </w:p>
    <w:p w14:paraId="0AC2DDF3" w14:textId="77777777" w:rsidR="00B01930" w:rsidRPr="00320A86" w:rsidRDefault="00B01930" w:rsidP="00B01930">
      <w:pPr>
        <w:pStyle w:val="citation"/>
      </w:pPr>
    </w:p>
    <w:p w14:paraId="70C95AFD" w14:textId="77777777" w:rsidR="00B01930" w:rsidRPr="00320A86" w:rsidRDefault="00B01930" w:rsidP="00B01930">
      <w:pPr>
        <w:spacing w:before="120" w:after="120"/>
        <w:jc w:val="both"/>
      </w:pPr>
      <w:r w:rsidRPr="00320A86">
        <w:t>Bien qu’elle ait conduit les peuples à se dresser les uns contre les autres, dans un déchaînement de haine et de violence, la Seconde Guerre mondiale n’a pas fondamentalement remis en cause le proce</w:t>
      </w:r>
      <w:r w:rsidRPr="00320A86">
        <w:t>s</w:t>
      </w:r>
      <w:r w:rsidRPr="00320A86">
        <w:t>sus de planétisation. Au contraire, en permettant l’entrée des nations asiatiques sur la scène mondiale, de grands bra</w:t>
      </w:r>
      <w:r w:rsidRPr="00320A86">
        <w:t>s</w:t>
      </w:r>
      <w:r w:rsidRPr="00320A86">
        <w:t>sages de population et une transformation économique, elle n’a, pas plus que la Première Guerre mondiale, entravé la dynamique qui caractérise l’histoire mo</w:t>
      </w:r>
      <w:r w:rsidRPr="00320A86">
        <w:t>n</w:t>
      </w:r>
      <w:r w:rsidRPr="00320A86">
        <w:t xml:space="preserve">diale de la première moitié du </w:t>
      </w:r>
      <w:r w:rsidRPr="00320A86">
        <w:rPr>
          <w:smallCaps/>
        </w:rPr>
        <w:t>xx</w:t>
      </w:r>
      <w:r w:rsidRPr="00320A86">
        <w:rPr>
          <w:vertAlign w:val="superscript"/>
        </w:rPr>
        <w:t>e</w:t>
      </w:r>
      <w:r w:rsidRPr="00320A86">
        <w:t xml:space="preserve"> siècle :</w:t>
      </w:r>
    </w:p>
    <w:p w14:paraId="77B48016" w14:textId="77777777" w:rsidR="00B01930" w:rsidRPr="00320A86" w:rsidRDefault="00B01930" w:rsidP="00B01930">
      <w:pPr>
        <w:pStyle w:val="citation"/>
      </w:pPr>
      <w:r w:rsidRPr="00320A86">
        <w:t>« […] la masse entière du genre humain s’est trouvée maintenue au moule d’une existence commune : étroitement encadrée, par larges fra</w:t>
      </w:r>
      <w:r w:rsidRPr="00320A86">
        <w:t>g</w:t>
      </w:r>
      <w:r w:rsidRPr="00320A86">
        <w:t>ments, dans de multiples organisations internationales (les plus vastes et les plus audacieuses qu’on ait jamais vues) ; anxieusement attachée, dans sa totalité, aux mêmes r</w:t>
      </w:r>
      <w:r w:rsidRPr="00320A86">
        <w:t>e</w:t>
      </w:r>
      <w:r w:rsidRPr="00320A86">
        <w:t>mous passionnés, aux mêmes problèmes et aux mêmes nouvelles… Y a-t-il personne pour croire sérieusement qu’à de te</w:t>
      </w:r>
      <w:r w:rsidRPr="00320A86">
        <w:t>l</w:t>
      </w:r>
      <w:r w:rsidRPr="00320A86">
        <w:t>les habitudes elle va pouvoir s’arracher ?</w:t>
      </w:r>
    </w:p>
    <w:p w14:paraId="62A2C6A6" w14:textId="77777777" w:rsidR="00B01930" w:rsidRDefault="00B01930" w:rsidP="00B01930">
      <w:pPr>
        <w:pStyle w:val="citation"/>
      </w:pPr>
      <w:r w:rsidRPr="00320A86">
        <w:t>Non, pendant ces six années, et malgré tant de haines déchaînées, le bloc humain ne s’est pas désagrégé. Mais, dans ses profondeurs organ</w:t>
      </w:r>
      <w:r w:rsidRPr="00320A86">
        <w:t>i</w:t>
      </w:r>
      <w:r w:rsidRPr="00320A86">
        <w:t>ques les plus inflexibles, au contraire, il s’est refermé sur nous d’un cran davantage. 1914-1918, 1939-1945 : chaque fois un tour de plus donné à l’écrou… Engagée par les nations pour se dég</w:t>
      </w:r>
      <w:r w:rsidRPr="00320A86">
        <w:t>a</w:t>
      </w:r>
      <w:r w:rsidRPr="00320A86">
        <w:t>ger les unes des autres, chaque nouvelle guerre n’a pour résultat que de les faire se lier et s’emmêler en un nœud toujours plus inextricable. Plus nous nous repou</w:t>
      </w:r>
      <w:r w:rsidRPr="00320A86">
        <w:t>s</w:t>
      </w:r>
      <w:r w:rsidRPr="00320A86">
        <w:t>sons, plus nous nous compénétrons</w:t>
      </w:r>
      <w:r>
        <w:t> </w:t>
      </w:r>
      <w:r w:rsidRPr="007D4B3B">
        <w:rPr>
          <w:rStyle w:val="Appelnotedebasdep"/>
          <w:i/>
        </w:rPr>
        <w:footnoteReference w:id="1036"/>
      </w:r>
      <w:r w:rsidRPr="00320A86">
        <w:t>. »</w:t>
      </w:r>
    </w:p>
    <w:p w14:paraId="19ABB57C" w14:textId="77777777" w:rsidR="00B01930" w:rsidRPr="00320A86" w:rsidRDefault="00B01930" w:rsidP="00B01930">
      <w:pPr>
        <w:pStyle w:val="citation"/>
      </w:pPr>
    </w:p>
    <w:p w14:paraId="6B5E0E17" w14:textId="77777777" w:rsidR="00B01930" w:rsidRPr="00320A86" w:rsidRDefault="00B01930" w:rsidP="00B01930">
      <w:pPr>
        <w:spacing w:before="120" w:after="120"/>
        <w:jc w:val="both"/>
      </w:pPr>
      <w:r w:rsidRPr="00320A86">
        <w:t>Le processus de planétisation doit donc se poursuivre, malgré – ou grâce à – ce processus d’accélération de l’histoire que sont les grands conflits, forçant les nations à organiser différemment leurs relations pour restaurer et protéger la paix. Il doit également accompagner l’approfondissement de la socialisation, rendu indispensable par la croissance démographique et le progrès de la civilis</w:t>
      </w:r>
      <w:r w:rsidRPr="00320A86">
        <w:t>a</w:t>
      </w:r>
      <w:r w:rsidRPr="00320A86">
        <w:t>tion mondiale qui rendent sans cesse plus étroit l’espace dont dispose l’humanité :</w:t>
      </w:r>
    </w:p>
    <w:p w14:paraId="124F8377" w14:textId="77777777" w:rsidR="00B01930" w:rsidRDefault="00B01930" w:rsidP="00B01930">
      <w:pPr>
        <w:pStyle w:val="citation"/>
      </w:pPr>
      <w:r w:rsidRPr="00320A86">
        <w:t>« Sur la surface géométriquement limitée de la Terre, constamment r</w:t>
      </w:r>
      <w:r w:rsidRPr="00320A86">
        <w:t>é</w:t>
      </w:r>
      <w:r w:rsidRPr="00320A86">
        <w:t>trécie par l’accroissement de leur rayon d’action, les particules humaines, non seul</w:t>
      </w:r>
      <w:r w:rsidRPr="00320A86">
        <w:t>e</w:t>
      </w:r>
      <w:r w:rsidRPr="00320A86">
        <w:t>ment se multiplient chaque jour davantage, mais, par réaction à leurs mutuels frottements, elles développent automatiqu</w:t>
      </w:r>
      <w:r w:rsidRPr="00320A86">
        <w:t>e</w:t>
      </w:r>
      <w:r w:rsidRPr="00320A86">
        <w:t>ment autour d’elles un chevelu toujours plus dense de liaisons économiques et sociales. Bien plus : exposées chacune, jusque dans leur ce</w:t>
      </w:r>
      <w:r w:rsidRPr="00320A86">
        <w:t>n</w:t>
      </w:r>
      <w:r w:rsidRPr="00320A86">
        <w:t>tre, aux innombrables influences spirituelles émanées à chaque instant de la pensée, de la volo</w:t>
      </w:r>
      <w:r w:rsidRPr="00320A86">
        <w:t>n</w:t>
      </w:r>
      <w:r w:rsidRPr="00320A86">
        <w:t>té, des passions de toutes les autres, elles se trouvent constamment soum</w:t>
      </w:r>
      <w:r w:rsidRPr="00320A86">
        <w:t>i</w:t>
      </w:r>
      <w:r w:rsidRPr="00320A86">
        <w:t>ses, intérieurement, à un régime forcé de résonance. – Sous la pression de ces facteurs qui ne pardo</w:t>
      </w:r>
      <w:r w:rsidRPr="00320A86">
        <w:t>n</w:t>
      </w:r>
      <w:r w:rsidRPr="00320A86">
        <w:t>nent pas, parce qu’ils tiennent aux conditions les plus générales et les plus profondes de la structure planétaire, n’est-il pas évident qu’une seule direction demeure ouverte au mo</w:t>
      </w:r>
      <w:r w:rsidRPr="00320A86">
        <w:t>u</w:t>
      </w:r>
      <w:r w:rsidRPr="00320A86">
        <w:t>vement qui nous entraîne : celle d’une toujours croissante unification ? Spéc</w:t>
      </w:r>
      <w:r w:rsidRPr="00320A86">
        <w:t>u</w:t>
      </w:r>
      <w:r w:rsidRPr="00320A86">
        <w:t>lant sur la destinée terrestre de l’Homme, nous avons coutume de dire que rien n’est ass</w:t>
      </w:r>
      <w:r w:rsidRPr="00320A86">
        <w:t>u</w:t>
      </w:r>
      <w:r w:rsidRPr="00320A86">
        <w:t>ré dans le grand futur, en ce qui nous concerne, sauf que le jour vient inexorablement où le globe sera devenu inhabitable. Or, pour qui n’a pas peur de regarder, une deuxième chose, également certaine, nous attend en avant. En même temps que la Terre vieillit, plus vite encore sa pellicule vivante se contracte. Le dernier jour de l’Humanité coïncidera pour elle avec un maximum de son resserrement et de son e</w:t>
      </w:r>
      <w:r w:rsidRPr="00320A86">
        <w:t>n</w:t>
      </w:r>
      <w:r w:rsidRPr="00320A86">
        <w:t>roulement sur soi</w:t>
      </w:r>
      <w:r>
        <w:t> </w:t>
      </w:r>
      <w:r w:rsidRPr="007D4B3B">
        <w:rPr>
          <w:rStyle w:val="Appelnotedebasdep"/>
          <w:i/>
        </w:rPr>
        <w:footnoteReference w:id="1037"/>
      </w:r>
      <w:r w:rsidRPr="00320A86">
        <w:t>. »</w:t>
      </w:r>
    </w:p>
    <w:p w14:paraId="0F73307E" w14:textId="77777777" w:rsidR="00B01930" w:rsidRPr="00320A86" w:rsidRDefault="00B01930" w:rsidP="00B01930">
      <w:pPr>
        <w:pStyle w:val="citation"/>
      </w:pPr>
    </w:p>
    <w:p w14:paraId="51181775" w14:textId="77777777" w:rsidR="00B01930" w:rsidRPr="00320A86" w:rsidRDefault="00B01930" w:rsidP="00B01930">
      <w:pPr>
        <w:spacing w:before="120" w:after="120"/>
        <w:jc w:val="both"/>
      </w:pPr>
      <w:r w:rsidRPr="00320A86">
        <w:t>Aller à l’encontre de la planétisation reviendrait à remettre en ca</w:t>
      </w:r>
      <w:r w:rsidRPr="00320A86">
        <w:t>u</w:t>
      </w:r>
      <w:r w:rsidRPr="00320A86">
        <w:t>se le sens même de l’évolution de l’univers depuis sa création, ce qui est inconcevable. Teilhard de Chardin reconnaît qu’il s’agit là d’une idée d’un abord difficile : comment, en effet, « </w:t>
      </w:r>
      <w:r w:rsidRPr="00AB19F3">
        <w:rPr>
          <w:i/>
        </w:rPr>
        <w:t>admettre autre chose que des analogies superficielles entre le domaine “moral ou artif</w:t>
      </w:r>
      <w:r w:rsidRPr="00AB19F3">
        <w:rPr>
          <w:i/>
        </w:rPr>
        <w:t>i</w:t>
      </w:r>
      <w:r w:rsidRPr="00AB19F3">
        <w:rPr>
          <w:i/>
        </w:rPr>
        <w:t>ciel” des institutions humaines et le domaine “ph</w:t>
      </w:r>
      <w:r w:rsidRPr="00AB19F3">
        <w:rPr>
          <w:i/>
        </w:rPr>
        <w:t>y</w:t>
      </w:r>
      <w:r w:rsidRPr="00AB19F3">
        <w:rPr>
          <w:i/>
        </w:rPr>
        <w:t>sique” de la nature organisée </w:t>
      </w:r>
      <w:r w:rsidRPr="00320A86">
        <w:t>». Or, « </w:t>
      </w:r>
      <w:r w:rsidRPr="00AB19F3">
        <w:rPr>
          <w:i/>
        </w:rPr>
        <w:t>aussitôt établie […] la loi générale de récu</w:t>
      </w:r>
      <w:r w:rsidRPr="00AB19F3">
        <w:rPr>
          <w:i/>
        </w:rPr>
        <w:t>r</w:t>
      </w:r>
      <w:r w:rsidRPr="00AB19F3">
        <w:rPr>
          <w:i/>
        </w:rPr>
        <w:t>rence qui relie, au sein d’une évolution universelle, l’éveil de la conscience avec les progrès de la complexité, rien ne saurait plus arrêter le mo</w:t>
      </w:r>
      <w:r w:rsidRPr="00AB19F3">
        <w:rPr>
          <w:i/>
        </w:rPr>
        <w:t>u</w:t>
      </w:r>
      <w:r w:rsidRPr="00AB19F3">
        <w:rPr>
          <w:i/>
        </w:rPr>
        <w:t>vement qui tend à faire se rapprocher et se prolonger l’un dans l’autre deux mondes que nous étions habitués à regarder comme complèt</w:t>
      </w:r>
      <w:r w:rsidRPr="00AB19F3">
        <w:rPr>
          <w:i/>
        </w:rPr>
        <w:t>e</w:t>
      </w:r>
      <w:r w:rsidRPr="00AB19F3">
        <w:rPr>
          <w:i/>
        </w:rPr>
        <w:t>ment séparés </w:t>
      </w:r>
      <w:r>
        <w:rPr>
          <w:rStyle w:val="Appelnotedebasdep"/>
        </w:rPr>
        <w:footnoteReference w:id="1038"/>
      </w:r>
      <w:r w:rsidRPr="00320A86">
        <w:t> ». Ainsi, de même que la matière évolue dans le sens d’une complexité croissante, depuis les particules élémentaires des premi</w:t>
      </w:r>
      <w:r w:rsidRPr="00320A86">
        <w:t>è</w:t>
      </w:r>
      <w:r w:rsidRPr="00320A86">
        <w:t>res secondes de l’univers jusqu’aux galaxies, la vie elle-même a connu une même évolution, depuis les premières cellules ju</w:t>
      </w:r>
      <w:r w:rsidRPr="00320A86">
        <w:t>s</w:t>
      </w:r>
      <w:r w:rsidRPr="00320A86">
        <w:t>qu’à la conscience et à l’intelligence. Plus encore, l’évolution de la vie s’imbrique dans celle de la matière, faisant de la conscience le produit de l’évolution de la matière. La planétisation, elle-même conséquence de l’émergence de la conscience et du développement de l’intelligence, apparaît donc comme le produit nécessaire de l’évolution.</w:t>
      </w:r>
    </w:p>
    <w:p w14:paraId="2448BA7F" w14:textId="77777777" w:rsidR="00B01930" w:rsidRDefault="00B01930" w:rsidP="00B01930">
      <w:pPr>
        <w:pStyle w:val="citation"/>
      </w:pPr>
    </w:p>
    <w:p w14:paraId="15276F8F" w14:textId="77777777" w:rsidR="00B01930" w:rsidRDefault="00B01930" w:rsidP="00B01930">
      <w:pPr>
        <w:pStyle w:val="citation"/>
      </w:pPr>
      <w:r w:rsidRPr="00320A86">
        <w:t>« Autour de nous, tangiblement et matériellement, l’enveloppe pensa</w:t>
      </w:r>
      <w:r w:rsidRPr="00320A86">
        <w:t>n</w:t>
      </w:r>
      <w:r w:rsidRPr="00320A86">
        <w:t>te de la Te</w:t>
      </w:r>
      <w:r w:rsidRPr="00320A86">
        <w:t>r</w:t>
      </w:r>
      <w:r w:rsidRPr="00320A86">
        <w:t>re – la Noosphère – multiplie ses fibres internes, resserre son réseau ; et, simultanément, sa température intérieure s’élève, son psychi</w:t>
      </w:r>
      <w:r w:rsidRPr="00320A86">
        <w:t>s</w:t>
      </w:r>
      <w:r w:rsidRPr="00320A86">
        <w:t>me monte. À ces deux signes ass</w:t>
      </w:r>
      <w:r w:rsidRPr="00320A86">
        <w:t>o</w:t>
      </w:r>
      <w:r w:rsidRPr="00320A86">
        <w:t>ciés, impossible de se méprendre. Sous le voile, sous la forme de la collectivisation humaine, c’est vraiment la s</w:t>
      </w:r>
      <w:r w:rsidRPr="00320A86">
        <w:t>u</w:t>
      </w:r>
      <w:r w:rsidRPr="00320A86">
        <w:t>per-organisation de la Matière sur elle-même qui cont</w:t>
      </w:r>
      <w:r w:rsidRPr="00320A86">
        <w:t>i</w:t>
      </w:r>
      <w:r w:rsidRPr="00320A86">
        <w:t>nue sa marche en avant, avec son effet habituel, spécifique, d’une libération de conscie</w:t>
      </w:r>
      <w:r w:rsidRPr="00320A86">
        <w:t>n</w:t>
      </w:r>
      <w:r w:rsidRPr="00320A86">
        <w:t>ce</w:t>
      </w:r>
      <w:r>
        <w:t> </w:t>
      </w:r>
      <w:r w:rsidRPr="007D4B3B">
        <w:rPr>
          <w:rStyle w:val="Appelnotedebasdep"/>
          <w:i/>
        </w:rPr>
        <w:footnoteReference w:id="1039"/>
      </w:r>
      <w:r w:rsidRPr="00320A86">
        <w:t>. »</w:t>
      </w:r>
    </w:p>
    <w:p w14:paraId="24EF7720" w14:textId="77777777" w:rsidR="00B01930" w:rsidRPr="00320A86" w:rsidRDefault="00B01930" w:rsidP="00B01930">
      <w:pPr>
        <w:pStyle w:val="citation"/>
      </w:pPr>
    </w:p>
    <w:p w14:paraId="11B9C69E" w14:textId="77777777" w:rsidR="00B01930" w:rsidRPr="00320A86" w:rsidRDefault="00B01930" w:rsidP="00B01930">
      <w:pPr>
        <w:spacing w:before="120" w:after="120"/>
        <w:jc w:val="both"/>
      </w:pPr>
      <w:r w:rsidRPr="00320A86">
        <w:t>Prétendant inscrire ses propos dans une logique scientifique pr</w:t>
      </w:r>
      <w:r w:rsidRPr="00320A86">
        <w:t>o</w:t>
      </w:r>
      <w:r w:rsidRPr="00320A86">
        <w:t>longeant l’étude biologique de l’évolution de l’humanité, Teilhard de Chardin se pose la question, non pas de ce que doit être l’avenir de l’homme, mais de ce qu’il sera inévitablement, et des façons dont il est possible d’éviter une dérive totalitaire de la « collectivisation h</w:t>
      </w:r>
      <w:r w:rsidRPr="00320A86">
        <w:t>u</w:t>
      </w:r>
      <w:r w:rsidRPr="00320A86">
        <w:t>maine ». La question est d’autant plus importante qu’à l’époque où il évoque la question, la Seconde Guerre mondiale vient à peine de s’achever, et l’on a pu se demander, devant tant de crimes commis dans chaque camp, qui était le vainqueur</w:t>
      </w:r>
      <w:r>
        <w:t> </w:t>
      </w:r>
      <w:r>
        <w:rPr>
          <w:rStyle w:val="Appelnotedebasdep"/>
        </w:rPr>
        <w:footnoteReference w:id="1040"/>
      </w:r>
      <w:r w:rsidRPr="00320A86">
        <w:t xml:space="preserve"> : </w:t>
      </w:r>
    </w:p>
    <w:p w14:paraId="1F055386" w14:textId="77777777" w:rsidR="00B01930" w:rsidRDefault="00B01930" w:rsidP="00B01930">
      <w:pPr>
        <w:pStyle w:val="citation"/>
      </w:pPr>
    </w:p>
    <w:p w14:paraId="2A61F108" w14:textId="77777777" w:rsidR="00B01930" w:rsidRDefault="00B01930" w:rsidP="00B01930">
      <w:pPr>
        <w:pStyle w:val="citation"/>
      </w:pPr>
      <w:r w:rsidRPr="00320A86">
        <w:t>« Au lendemain de la secousse la plus terrible qui ait certainement j</w:t>
      </w:r>
      <w:r w:rsidRPr="00320A86">
        <w:t>a</w:t>
      </w:r>
      <w:r w:rsidRPr="00320A86">
        <w:t>mais ébranlé les couches vivantes de la Terre, si nous cherchons à appr</w:t>
      </w:r>
      <w:r w:rsidRPr="00320A86">
        <w:t>é</w:t>
      </w:r>
      <w:r w:rsidRPr="00320A86">
        <w:t>cier l’état dans lequel le séisme nous a laissés, on pourrait croire que ce qui va apparaître soit un sol miné et fissuré jusques au fond</w:t>
      </w:r>
      <w:r>
        <w:t> </w:t>
      </w:r>
      <w:r w:rsidRPr="007D4B3B">
        <w:rPr>
          <w:rStyle w:val="Appelnotedebasdep"/>
          <w:i/>
        </w:rPr>
        <w:footnoteReference w:id="1041"/>
      </w:r>
      <w:r w:rsidRPr="00320A86">
        <w:t>. »</w:t>
      </w:r>
    </w:p>
    <w:p w14:paraId="0A687FF9" w14:textId="77777777" w:rsidR="00B01930" w:rsidRPr="00320A86" w:rsidRDefault="00B01930" w:rsidP="00B01930">
      <w:pPr>
        <w:pStyle w:val="citation"/>
      </w:pPr>
    </w:p>
    <w:p w14:paraId="6602328B" w14:textId="77777777" w:rsidR="00B01930" w:rsidRPr="00320A86" w:rsidRDefault="00B01930" w:rsidP="00B01930">
      <w:pPr>
        <w:spacing w:before="120" w:after="120"/>
        <w:jc w:val="both"/>
      </w:pPr>
      <w:r w:rsidRPr="00320A86">
        <w:t>Mais si la planétisation est une nécessité, ne faut-il pas pour autant s’en i</w:t>
      </w:r>
      <w:r w:rsidRPr="00320A86">
        <w:t>n</w:t>
      </w:r>
      <w:r w:rsidRPr="00320A86">
        <w:t>quiéter ? Teilhard de Chardin ne le pense pas. D’une part, elle peut être un fa</w:t>
      </w:r>
      <w:r w:rsidRPr="00320A86">
        <w:t>c</w:t>
      </w:r>
      <w:r w:rsidRPr="00320A86">
        <w:t xml:space="preserve">teur d’émancipation : </w:t>
      </w:r>
    </w:p>
    <w:p w14:paraId="7D59FC72" w14:textId="77777777" w:rsidR="00B01930" w:rsidRDefault="00B01930" w:rsidP="00B01930">
      <w:pPr>
        <w:pStyle w:val="citation"/>
      </w:pPr>
      <w:r w:rsidRPr="00320A86">
        <w:t>« Au lieu de chercher à nier ou à minimiser, contre toute évidence, la réalité de ce grand phénomène, acceptons-le franchement ; rega</w:t>
      </w:r>
      <w:r w:rsidRPr="00320A86">
        <w:t>r</w:t>
      </w:r>
      <w:r w:rsidRPr="00320A86">
        <w:t>dons-le en face ; et voyons si, en l’utilisant comme un fondement ina</w:t>
      </w:r>
      <w:r w:rsidRPr="00320A86">
        <w:t>t</w:t>
      </w:r>
      <w:r w:rsidRPr="00320A86">
        <w:t>taquable, nous ne pourrions pas construire sur lui un édifice optimiste de joie et de libér</w:t>
      </w:r>
      <w:r w:rsidRPr="00320A86">
        <w:t>a</w:t>
      </w:r>
      <w:r w:rsidRPr="00320A86">
        <w:t>tion</w:t>
      </w:r>
      <w:r>
        <w:t> </w:t>
      </w:r>
      <w:r>
        <w:rPr>
          <w:rStyle w:val="Appelnotedebasdep"/>
        </w:rPr>
        <w:footnoteReference w:id="1042"/>
      </w:r>
      <w:r w:rsidRPr="00320A86">
        <w:t xml:space="preserve">. » </w:t>
      </w:r>
    </w:p>
    <w:p w14:paraId="0036AE95" w14:textId="77777777" w:rsidR="00B01930" w:rsidRPr="00320A86" w:rsidRDefault="00B01930" w:rsidP="00B01930">
      <w:pPr>
        <w:pStyle w:val="citation"/>
      </w:pPr>
    </w:p>
    <w:p w14:paraId="4CD445B2" w14:textId="77777777" w:rsidR="00B01930" w:rsidRDefault="00B01930" w:rsidP="00B01930">
      <w:pPr>
        <w:spacing w:before="120" w:after="120"/>
        <w:jc w:val="both"/>
      </w:pPr>
      <w:r w:rsidRPr="00320A86">
        <w:t>D’autre part, « </w:t>
      </w:r>
      <w:r w:rsidRPr="00021532">
        <w:rPr>
          <w:i/>
        </w:rPr>
        <w:t>toute forme d’existence communisée nous effraie parce qu’elle semble entraîner automatiquement avec soi perte ou mutilation de notre personnalité </w:t>
      </w:r>
      <w:r>
        <w:rPr>
          <w:rStyle w:val="Appelnotedebasdep"/>
        </w:rPr>
        <w:footnoteReference w:id="1043"/>
      </w:r>
      <w:r w:rsidRPr="00320A86">
        <w:t> » ; or, c’est sans compter la possib</w:t>
      </w:r>
      <w:r w:rsidRPr="00320A86">
        <w:t>i</w:t>
      </w:r>
      <w:r w:rsidRPr="00320A86">
        <w:t>lité d’une réaction des ho</w:t>
      </w:r>
      <w:r w:rsidRPr="00320A86">
        <w:t>m</w:t>
      </w:r>
      <w:r w:rsidRPr="00320A86">
        <w:t>mes contre ce qui pourrait apparaître comme leur fusion dans un ensemble social faisant disparaître leur individu</w:t>
      </w:r>
      <w:r w:rsidRPr="00320A86">
        <w:t>a</w:t>
      </w:r>
      <w:r w:rsidRPr="00320A86">
        <w:t>lité, et qui serait dicté par « l’esprit d’Évolution ».</w:t>
      </w:r>
    </w:p>
    <w:p w14:paraId="0682A705" w14:textId="77777777" w:rsidR="00B01930" w:rsidRPr="00320A86" w:rsidRDefault="00B01930" w:rsidP="00B01930">
      <w:pPr>
        <w:pStyle w:val="citation"/>
      </w:pPr>
      <w:r w:rsidRPr="00320A86">
        <w:t>« Qu’arrive-t-il par contre si nous observons le même traitement « planétisant » appliqué, non plus cette fois à un substratum passif, mais à une masse humaine an</w:t>
      </w:r>
      <w:r w:rsidRPr="00320A86">
        <w:t>i</w:t>
      </w:r>
      <w:r w:rsidRPr="00320A86">
        <w:t>mée de « l’esprit d’Évolution » ? – Alors, au cœur du système, un flot de forces sy</w:t>
      </w:r>
      <w:r w:rsidRPr="00320A86">
        <w:t>m</w:t>
      </w:r>
      <w:r w:rsidRPr="00320A86">
        <w:t>pathiques se répand, qui modifie du tout au tout l’allure du phénomène : sympathie d’abord (quasi adorante, celle-ci) de tous les éléments pris ensemble pour le Mouv</w:t>
      </w:r>
      <w:r w:rsidRPr="00320A86">
        <w:t>e</w:t>
      </w:r>
      <w:r w:rsidRPr="00320A86">
        <w:t>ment général qui les entraîne ; et sympathie aussi (toute fraternelle, celle-là) de chaque él</w:t>
      </w:r>
      <w:r w:rsidRPr="00320A86">
        <w:t>é</w:t>
      </w:r>
      <w:r w:rsidRPr="00320A86">
        <w:t>ment en particulier pour ce qui se cache de plus original et de plus incommun</w:t>
      </w:r>
      <w:r w:rsidRPr="00320A86">
        <w:t>i</w:t>
      </w:r>
      <w:r w:rsidRPr="00320A86">
        <w:t>cable en chacun des coéléments avec lesquels il converge dans l’unité, non seulement d’un même acte de vision, mais d’un même sujet v</w:t>
      </w:r>
      <w:r w:rsidRPr="00320A86">
        <w:t>i</w:t>
      </w:r>
      <w:r w:rsidRPr="00320A86">
        <w:t>vant. Or qui dit amour dit l</w:t>
      </w:r>
      <w:r w:rsidRPr="00320A86">
        <w:t>i</w:t>
      </w:r>
      <w:r w:rsidRPr="00320A86">
        <w:t>berté. Plus d’asservissement ni d’atrophie à craindre dans un milieu ainsi chargé de dile</w:t>
      </w:r>
      <w:r w:rsidRPr="00320A86">
        <w:t>c</w:t>
      </w:r>
      <w:r w:rsidRPr="00320A86">
        <w:t>tion</w:t>
      </w:r>
      <w:r>
        <w:t> </w:t>
      </w:r>
      <w:r w:rsidRPr="007D4B3B">
        <w:rPr>
          <w:rStyle w:val="Appelnotedebasdep"/>
          <w:i/>
        </w:rPr>
        <w:footnoteReference w:id="1044"/>
      </w:r>
      <w:r w:rsidRPr="00320A86">
        <w:t> ! »</w:t>
      </w:r>
    </w:p>
    <w:p w14:paraId="5D4E1526" w14:textId="77777777" w:rsidR="00B01930" w:rsidRDefault="00B01930" w:rsidP="00B01930">
      <w:pPr>
        <w:spacing w:before="120" w:after="120"/>
        <w:jc w:val="both"/>
      </w:pPr>
    </w:p>
    <w:p w14:paraId="178E44B3" w14:textId="77777777" w:rsidR="00B01930" w:rsidRPr="00320A86" w:rsidRDefault="00B01930" w:rsidP="00B01930">
      <w:pPr>
        <w:spacing w:before="120" w:after="120"/>
        <w:jc w:val="both"/>
      </w:pPr>
      <w:r w:rsidRPr="00320A86">
        <w:t>Finalement, « en s’intériorisant sous l’influence de l’esprit d’Évolution, la Planétisation ne peut physiquement (ainsi que la thé</w:t>
      </w:r>
      <w:r w:rsidRPr="00320A86">
        <w:t>o</w:t>
      </w:r>
      <w:r w:rsidRPr="00320A86">
        <w:t>rie de la Complexité le fa</w:t>
      </w:r>
      <w:r w:rsidRPr="00320A86">
        <w:t>i</w:t>
      </w:r>
      <w:r w:rsidRPr="00320A86">
        <w:t>sait deviner) avoir qu’un seul effet : nous personnaliser toujours plus</w:t>
      </w:r>
      <w:r>
        <w:t> </w:t>
      </w:r>
      <w:r>
        <w:rPr>
          <w:rStyle w:val="Appelnotedebasdep"/>
        </w:rPr>
        <w:footnoteReference w:id="1045"/>
      </w:r>
      <w:r w:rsidRPr="00320A86">
        <w:t> ».</w:t>
      </w:r>
    </w:p>
    <w:p w14:paraId="47EE3E19" w14:textId="77777777" w:rsidR="00B01930" w:rsidRPr="00320A86" w:rsidRDefault="00B01930" w:rsidP="00B01930">
      <w:pPr>
        <w:spacing w:before="120" w:after="120"/>
        <w:jc w:val="both"/>
      </w:pPr>
      <w:r w:rsidRPr="00320A86">
        <w:t>La démonstration de Teilhard de Chardin pèche donc par excès d’optimisme. Lui qui s’affirme scientifique et qui voit dans la planét</w:t>
      </w:r>
      <w:r w:rsidRPr="00320A86">
        <w:t>i</w:t>
      </w:r>
      <w:r w:rsidRPr="00320A86">
        <w:t>sation un phénomène inéluctable à la logique scientifiquement démo</w:t>
      </w:r>
      <w:r w:rsidRPr="00320A86">
        <w:t>n</w:t>
      </w:r>
      <w:r w:rsidRPr="00320A86">
        <w:t>trée voit dans un « </w:t>
      </w:r>
      <w:r w:rsidRPr="00021532">
        <w:rPr>
          <w:i/>
        </w:rPr>
        <w:t>esprit </w:t>
      </w:r>
      <w:r w:rsidRPr="00320A86">
        <w:t>», en l’occurrence « </w:t>
      </w:r>
      <w:r w:rsidRPr="00021532">
        <w:rPr>
          <w:i/>
        </w:rPr>
        <w:t>l’esprit d’Évolution </w:t>
      </w:r>
      <w:r w:rsidRPr="00320A86">
        <w:t>», la raison de penser que la planétisation ne nous conduira pas à un total</w:t>
      </w:r>
      <w:r w:rsidRPr="00320A86">
        <w:t>i</w:t>
      </w:r>
      <w:r w:rsidRPr="00320A86">
        <w:t>tarisme planétaire ultime et définitif. Cet esprit, dont il affirme que « </w:t>
      </w:r>
      <w:r w:rsidRPr="00021532">
        <w:rPr>
          <w:i/>
        </w:rPr>
        <w:t>la théorie fait prévoir son apparition prochaine </w:t>
      </w:r>
      <w:r>
        <w:rPr>
          <w:rStyle w:val="Appelnotedebasdep"/>
        </w:rPr>
        <w:footnoteReference w:id="1046"/>
      </w:r>
      <w:r w:rsidRPr="00320A86">
        <w:t> », va pourtant à l’encontre de la constatation de l’évolution du monde, ce dont il convient :</w:t>
      </w:r>
    </w:p>
    <w:p w14:paraId="19D13255" w14:textId="77777777" w:rsidR="00B01930" w:rsidRDefault="00B01930" w:rsidP="00B01930">
      <w:pPr>
        <w:pStyle w:val="citation"/>
      </w:pPr>
    </w:p>
    <w:p w14:paraId="098493EA" w14:textId="77777777" w:rsidR="00B01930" w:rsidRDefault="00B01930" w:rsidP="00B01930">
      <w:pPr>
        <w:pStyle w:val="citation"/>
      </w:pPr>
      <w:r w:rsidRPr="00320A86">
        <w:t>« Jamais, dirait-on, les hommes ne se sont plus cordialement repou</w:t>
      </w:r>
      <w:r w:rsidRPr="00320A86">
        <w:t>s</w:t>
      </w:r>
      <w:r w:rsidRPr="00320A86">
        <w:t>sés et haïs qu’aujourd’hui où tout les rapproche. Un tel chaos m</w:t>
      </w:r>
      <w:r w:rsidRPr="00320A86">
        <w:t>o</w:t>
      </w:r>
      <w:r w:rsidRPr="00320A86">
        <w:t>ral est-il vraiment conciliable avec l’idée et l’espoir que par la co</w:t>
      </w:r>
      <w:r w:rsidRPr="00320A86">
        <w:t>m</w:t>
      </w:r>
      <w:r w:rsidRPr="00320A86">
        <w:t>pression de nos corps et de nos intelligences nous marchions vers une unanimité</w:t>
      </w:r>
      <w:r>
        <w:t> </w:t>
      </w:r>
      <w:r w:rsidRPr="007D4B3B">
        <w:rPr>
          <w:rStyle w:val="Appelnotedebasdep"/>
          <w:i/>
        </w:rPr>
        <w:footnoteReference w:id="1047"/>
      </w:r>
      <w:r w:rsidRPr="00320A86">
        <w:t> ? »</w:t>
      </w:r>
    </w:p>
    <w:p w14:paraId="3E2B31DA" w14:textId="77777777" w:rsidR="00B01930" w:rsidRPr="00320A86" w:rsidRDefault="00B01930" w:rsidP="00B01930">
      <w:pPr>
        <w:pStyle w:val="citation"/>
      </w:pPr>
    </w:p>
    <w:p w14:paraId="1A245ABB" w14:textId="77777777" w:rsidR="00B01930" w:rsidRPr="00320A86" w:rsidRDefault="00B01930" w:rsidP="00B01930">
      <w:pPr>
        <w:spacing w:before="120" w:after="120"/>
        <w:jc w:val="both"/>
      </w:pPr>
      <w:r w:rsidRPr="00320A86">
        <w:t>Il est vrai que l’humanité est fractionnée sur le plan ethnique, pol</w:t>
      </w:r>
      <w:r w:rsidRPr="00320A86">
        <w:t>i</w:t>
      </w:r>
      <w:r w:rsidRPr="00320A86">
        <w:t>tique, rel</w:t>
      </w:r>
      <w:r w:rsidRPr="00320A86">
        <w:t>i</w:t>
      </w:r>
      <w:r w:rsidRPr="00320A86">
        <w:t>gieux, économique et social, et que les antagonismes sont tels que rien ne pe</w:t>
      </w:r>
      <w:r w:rsidRPr="00320A86">
        <w:t>r</w:t>
      </w:r>
      <w:r w:rsidRPr="00320A86">
        <w:t>met d’espérer une quelconque unanimisation de l’humanité. Pour autant, selon Teilhard de Chardin, il ne faut pas s’arrêter à une telle appréciation inévitablement superficielle. Ce s</w:t>
      </w:r>
      <w:r w:rsidRPr="00320A86">
        <w:t>e</w:t>
      </w:r>
      <w:r w:rsidRPr="00320A86">
        <w:t>rait sans compter avec l’apparition, récente à l’échelle de l’humanité – environ deux siècles –, de l’Homo progressivus, c’est-à-dire de l’homme pour qui l’avenir de la terre et de l’humanité compte plus que le pr</w:t>
      </w:r>
      <w:r w:rsidRPr="00320A86">
        <w:t>é</w:t>
      </w:r>
      <w:r w:rsidRPr="00320A86">
        <w:t>sent : « </w:t>
      </w:r>
      <w:r w:rsidRPr="00021532">
        <w:rPr>
          <w:i/>
        </w:rPr>
        <w:t>savants, penseurs, aviateurs, etc., – tous ceux que possède le Démon (ou l’Ange) de la Recherche </w:t>
      </w:r>
      <w:r>
        <w:rPr>
          <w:rStyle w:val="Appelnotedebasdep"/>
        </w:rPr>
        <w:footnoteReference w:id="1048"/>
      </w:r>
      <w:r w:rsidRPr="00320A86">
        <w:t> ». La planétis</w:t>
      </w:r>
      <w:r w:rsidRPr="00320A86">
        <w:t>a</w:t>
      </w:r>
      <w:r w:rsidRPr="00320A86">
        <w:t>tion devrait ainsi reposer sur un « </w:t>
      </w:r>
      <w:r w:rsidRPr="00021532">
        <w:rPr>
          <w:i/>
        </w:rPr>
        <w:t>nouveau type humain [qui se mo</w:t>
      </w:r>
      <w:r w:rsidRPr="00021532">
        <w:rPr>
          <w:i/>
        </w:rPr>
        <w:t>n</w:t>
      </w:r>
      <w:r w:rsidRPr="00021532">
        <w:rPr>
          <w:i/>
        </w:rPr>
        <w:t>tre] un peu partout sur la face pensante de la Terre </w:t>
      </w:r>
      <w:r w:rsidRPr="00320A86">
        <w:t>», et tout particulièrement « </w:t>
      </w:r>
      <w:r w:rsidRPr="00021532">
        <w:rPr>
          <w:i/>
        </w:rPr>
        <w:t>à l’intérieur de la race blanche et au vois</w:t>
      </w:r>
      <w:r w:rsidRPr="00021532">
        <w:rPr>
          <w:i/>
        </w:rPr>
        <w:t>i</w:t>
      </w:r>
      <w:r w:rsidRPr="00021532">
        <w:rPr>
          <w:i/>
        </w:rPr>
        <w:t>nage des classes sociales inférieures </w:t>
      </w:r>
      <w:r w:rsidRPr="00320A86">
        <w:t>». Une attraction rapprocherait les me</w:t>
      </w:r>
      <w:r w:rsidRPr="00320A86">
        <w:t>m</w:t>
      </w:r>
      <w:r w:rsidRPr="00320A86">
        <w:t>bres de cette caste intellectuellement supérieure, doués du « </w:t>
      </w:r>
      <w:r w:rsidRPr="00021532">
        <w:rPr>
          <w:i/>
        </w:rPr>
        <w:t>sens de l’Avenir </w:t>
      </w:r>
      <w:r w:rsidRPr="00320A86">
        <w:t>» et se r</w:t>
      </w:r>
      <w:r w:rsidRPr="00320A86">
        <w:t>e</w:t>
      </w:r>
      <w:r w:rsidRPr="00320A86">
        <w:t>connaissant comme tels. Cette force d’attraction serait, par ailleurs, sup</w:t>
      </w:r>
      <w:r w:rsidRPr="00320A86">
        <w:t>é</w:t>
      </w:r>
      <w:r w:rsidRPr="00320A86">
        <w:t>rieure aux résistances que lui imposeraient les cloisonnements raciaux, sociaux ou religieux, permettant à « </w:t>
      </w:r>
      <w:r w:rsidRPr="00021532">
        <w:rPr>
          <w:i/>
        </w:rPr>
        <w:t>un contact profond, déf</w:t>
      </w:r>
      <w:r w:rsidRPr="00021532">
        <w:rPr>
          <w:i/>
        </w:rPr>
        <w:t>i</w:t>
      </w:r>
      <w:r w:rsidRPr="00021532">
        <w:rPr>
          <w:i/>
        </w:rPr>
        <w:t>nitif et total </w:t>
      </w:r>
      <w:r w:rsidRPr="00320A86">
        <w:t>» de s’établir « </w:t>
      </w:r>
      <w:r w:rsidRPr="00021532">
        <w:rPr>
          <w:i/>
        </w:rPr>
        <w:t>instantanément </w:t>
      </w:r>
      <w:r w:rsidRPr="00320A86">
        <w:t>».</w:t>
      </w:r>
    </w:p>
    <w:p w14:paraId="7FB965F0" w14:textId="77777777" w:rsidR="00B01930" w:rsidRPr="00320A86" w:rsidRDefault="00B01930" w:rsidP="00B01930">
      <w:pPr>
        <w:spacing w:before="120" w:after="120"/>
        <w:jc w:val="both"/>
      </w:pPr>
      <w:r w:rsidRPr="00320A86">
        <w:t>À terme, la planétisation, horizon ultime de l’évolution de l’humanité, serait mue par « </w:t>
      </w:r>
      <w:r w:rsidRPr="00021532">
        <w:rPr>
          <w:i/>
        </w:rPr>
        <w:t>l’esprit de mouvement </w:t>
      </w:r>
      <w:r w:rsidRPr="00320A86">
        <w:t>» et donnerait naissance à « </w:t>
      </w:r>
      <w:r w:rsidRPr="00021532">
        <w:rPr>
          <w:i/>
        </w:rPr>
        <w:t>un total et peut-être définitif, clivage de l’Humanité, non plus sur le plan de la richesse, mais sur la foi au progrès </w:t>
      </w:r>
      <w:r>
        <w:rPr>
          <w:rStyle w:val="Appelnotedebasdep"/>
        </w:rPr>
        <w:footnoteReference w:id="1049"/>
      </w:r>
      <w:r w:rsidRPr="00320A86">
        <w:t> ».</w:t>
      </w:r>
    </w:p>
    <w:p w14:paraId="06889643" w14:textId="77777777" w:rsidR="00B01930" w:rsidRPr="00320A86" w:rsidRDefault="00B01930" w:rsidP="00B01930">
      <w:pPr>
        <w:spacing w:before="120" w:after="120"/>
        <w:jc w:val="both"/>
      </w:pPr>
    </w:p>
    <w:p w14:paraId="40F9355F" w14:textId="77777777" w:rsidR="00B01930" w:rsidRPr="00320A86" w:rsidRDefault="00B01930" w:rsidP="00B01930">
      <w:pPr>
        <w:pStyle w:val="planche"/>
      </w:pPr>
      <w:bookmarkStart w:id="212" w:name="Analyser_idees_pol_pt_3_texte_09A_II"/>
      <w:r w:rsidRPr="00320A86">
        <w:t>II. L’organisation politique</w:t>
      </w:r>
    </w:p>
    <w:bookmarkEnd w:id="212"/>
    <w:p w14:paraId="33815DB9" w14:textId="77777777" w:rsidR="00B01930" w:rsidRDefault="00B01930" w:rsidP="00B01930">
      <w:pPr>
        <w:spacing w:before="120" w:after="120"/>
        <w:jc w:val="both"/>
      </w:pPr>
    </w:p>
    <w:p w14:paraId="04F53E61"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4F66BD3E" w14:textId="77777777" w:rsidR="00B01930" w:rsidRPr="00320A86" w:rsidRDefault="00B01930" w:rsidP="00B01930">
      <w:pPr>
        <w:spacing w:before="120" w:after="120"/>
        <w:jc w:val="both"/>
      </w:pPr>
      <w:r w:rsidRPr="00320A86">
        <w:t>Le phénomène de planétisation que Teilhard de Chardin envisage en tant que relevant de l’évolution naturelle de l’espèce humaine a, par définition, une d</w:t>
      </w:r>
      <w:r w:rsidRPr="00320A86">
        <w:t>i</w:t>
      </w:r>
      <w:r w:rsidRPr="00320A86">
        <w:t>mension politique. Outre le fait qu’il relève très directement du « vivre ense</w:t>
      </w:r>
      <w:r w:rsidRPr="00320A86">
        <w:t>m</w:t>
      </w:r>
      <w:r w:rsidRPr="00320A86">
        <w:t>ble » qui constitue l’objet même de la politique, il soulève d’importantes inte</w:t>
      </w:r>
      <w:r w:rsidRPr="00320A86">
        <w:t>r</w:t>
      </w:r>
      <w:r w:rsidRPr="00320A86">
        <w:t>rogations relatives à l’organisation politique de la société. Teilhard de Chardin y a d’ailleurs consacré de longs développements, non seulement dans la plupart de ses ouvrages, mais aussi dans de nombreux articles et le</w:t>
      </w:r>
      <w:r w:rsidRPr="00320A86">
        <w:t>t</w:t>
      </w:r>
      <w:r w:rsidRPr="00320A86">
        <w:t>tres. On ne peut, en e</w:t>
      </w:r>
      <w:r w:rsidRPr="00320A86">
        <w:t>f</w:t>
      </w:r>
      <w:r w:rsidRPr="00320A86">
        <w:t>fet, envisager une poursuite de la planétisation sans une organisation politique favorisant la convergence humaine.</w:t>
      </w:r>
    </w:p>
    <w:p w14:paraId="3376E198" w14:textId="77777777" w:rsidR="00B01930" w:rsidRPr="00320A86" w:rsidRDefault="00B01930" w:rsidP="00B01930">
      <w:pPr>
        <w:spacing w:before="120" w:after="120"/>
        <w:jc w:val="both"/>
      </w:pPr>
      <w:r w:rsidRPr="00320A86">
        <w:t>C’est dans cette optique de Teilhard de Chardin s’intéresse aux r</w:t>
      </w:r>
      <w:r w:rsidRPr="00320A86">
        <w:t>é</w:t>
      </w:r>
      <w:r w:rsidRPr="00320A86">
        <w:t>gimes pol</w:t>
      </w:r>
      <w:r w:rsidRPr="00320A86">
        <w:t>i</w:t>
      </w:r>
      <w:r w:rsidRPr="00320A86">
        <w:t>tiques. L’époque à laquelle il rédige son œuvre s’y prête tout particulièrement. L’entre-deux-guerres et l’établissement des r</w:t>
      </w:r>
      <w:r w:rsidRPr="00320A86">
        <w:t>é</w:t>
      </w:r>
      <w:r w:rsidRPr="00320A86">
        <w:t>gimes totalitaires, puis l’après-Seconde Guerre mondiale et le début de la Guerre froide, constituent un vérit</w:t>
      </w:r>
      <w:r w:rsidRPr="00320A86">
        <w:t>a</w:t>
      </w:r>
      <w:r w:rsidRPr="00320A86">
        <w:t>ble laboratoire où les grandes théories politiques font l’objet d’applications pr</w:t>
      </w:r>
      <w:r w:rsidRPr="00320A86">
        <w:t>a</w:t>
      </w:r>
      <w:r w:rsidRPr="00320A86">
        <w:t>tiques et peuvent être appréciées au regard des faits. On peut, à ce titre, noter chez Teilhard de Chardin une constante évolution dans l’analyse qu’il propose des grands régimes politiques – démocratie, fascisme et communisme. Certains y verront la marque de l’hésitation, voire d’un certain am</w:t>
      </w:r>
      <w:r w:rsidRPr="00320A86">
        <w:t>a</w:t>
      </w:r>
      <w:r w:rsidRPr="00320A86">
        <w:t>teurisme. Il s’agissait en fait de la difficulté pour Teilhard de Chardin d’apprécier les régimes polit</w:t>
      </w:r>
      <w:r w:rsidRPr="00320A86">
        <w:t>i</w:t>
      </w:r>
      <w:r w:rsidRPr="00320A86">
        <w:t>ques, non pas seulement en tant que tels, mais en ce qu’ils sont susceptibles de collaborer au projet de socialis</w:t>
      </w:r>
      <w:r w:rsidRPr="00320A86">
        <w:t>a</w:t>
      </w:r>
      <w:r w:rsidRPr="00320A86">
        <w:t>tion et de planétisation de l’humanité et d’écarter le risque d’une dér</w:t>
      </w:r>
      <w:r w:rsidRPr="00320A86">
        <w:t>i</w:t>
      </w:r>
      <w:r w:rsidRPr="00320A86">
        <w:t>ve totalitaire.</w:t>
      </w:r>
    </w:p>
    <w:p w14:paraId="72B95789" w14:textId="77777777" w:rsidR="00B01930" w:rsidRPr="00320A86" w:rsidRDefault="00B01930" w:rsidP="00B01930">
      <w:pPr>
        <w:spacing w:before="120" w:after="120"/>
        <w:jc w:val="both"/>
      </w:pPr>
      <w:r w:rsidRPr="00320A86">
        <w:t>C’est cette longue maturation de la pensée politique de Teilhard de Chardin qui le conduisit progressivement à voir dans la démocratie libérale</w:t>
      </w:r>
      <w:r>
        <w:t> </w:t>
      </w:r>
      <w:r>
        <w:rPr>
          <w:rStyle w:val="Appelnotedebasdep"/>
        </w:rPr>
        <w:footnoteReference w:id="1050"/>
      </w:r>
      <w:r w:rsidRPr="00320A86">
        <w:t>, non pas l’organisation politique idéale, mais le régime le mieux à même de concilier le respect de la personne – dès lors que les dérives libérales peuvent être corr</w:t>
      </w:r>
      <w:r w:rsidRPr="00320A86">
        <w:t>i</w:t>
      </w:r>
      <w:r w:rsidRPr="00320A86">
        <w:t>gées – et l’unanimisation de l’humanité.</w:t>
      </w:r>
    </w:p>
    <w:p w14:paraId="4B60225F" w14:textId="77777777" w:rsidR="00B01930" w:rsidRPr="00320A86" w:rsidRDefault="00B01930" w:rsidP="00B01930">
      <w:pPr>
        <w:spacing w:before="120" w:after="120"/>
        <w:jc w:val="both"/>
      </w:pPr>
    </w:p>
    <w:p w14:paraId="42137D3D" w14:textId="77777777" w:rsidR="00B01930" w:rsidRPr="00320A86" w:rsidRDefault="00B01930" w:rsidP="00B01930">
      <w:pPr>
        <w:pStyle w:val="a"/>
      </w:pPr>
      <w:r w:rsidRPr="00320A86">
        <w:t>Le rejet des régimes totalitaires</w:t>
      </w:r>
    </w:p>
    <w:p w14:paraId="00B86821" w14:textId="77777777" w:rsidR="00B01930" w:rsidRDefault="00B01930" w:rsidP="00B01930">
      <w:pPr>
        <w:spacing w:before="120" w:after="120"/>
        <w:jc w:val="both"/>
      </w:pPr>
    </w:p>
    <w:p w14:paraId="3D7F5ABC" w14:textId="77777777" w:rsidR="00B01930" w:rsidRPr="00320A86" w:rsidRDefault="00B01930" w:rsidP="00B01930">
      <w:pPr>
        <w:spacing w:before="120" w:after="120"/>
        <w:jc w:val="both"/>
      </w:pPr>
      <w:r w:rsidRPr="00320A86">
        <w:t>Tout auteur est naturellement influencé par son époque. La situ</w:t>
      </w:r>
      <w:r w:rsidRPr="00320A86">
        <w:t>a</w:t>
      </w:r>
      <w:r w:rsidRPr="00320A86">
        <w:t>tion polit</w:t>
      </w:r>
      <w:r w:rsidRPr="00320A86">
        <w:t>i</w:t>
      </w:r>
      <w:r w:rsidRPr="00320A86">
        <w:t>que, économique et sociale, les mœurs et coutumes, etc., contribuent à forger une pensée et conditionnent son expression. Les œuvres de fictions ne sont pas les seules à confirmer cela : les écrits scientifiques sont, eux aussi, le reflet du contexte dans lequel ils sont rédigés. La pensée politique est tout particulièr</w:t>
      </w:r>
      <w:r w:rsidRPr="00320A86">
        <w:t>e</w:t>
      </w:r>
      <w:r w:rsidRPr="00320A86">
        <w:t>ment concernée par cette tendance, du fait de son objet, et si les auteurs se do</w:t>
      </w:r>
      <w:r w:rsidRPr="00320A86">
        <w:t>i</w:t>
      </w:r>
      <w:r w:rsidRPr="00320A86">
        <w:t>vent, par souci d’objectivité scientifique, de ne pas prendre part aux débats pa</w:t>
      </w:r>
      <w:r w:rsidRPr="00320A86">
        <w:t>r</w:t>
      </w:r>
      <w:r w:rsidRPr="00320A86">
        <w:t>tisans, ils ne peuvent pour autant se soustraire totalement à toute i</w:t>
      </w:r>
      <w:r w:rsidRPr="00320A86">
        <w:t>n</w:t>
      </w:r>
      <w:r w:rsidRPr="00320A86">
        <w:t>fluence, qu’elle soit idéologique, philosophique ou morale : les grands clivages doctr</w:t>
      </w:r>
      <w:r w:rsidRPr="00320A86">
        <w:t>i</w:t>
      </w:r>
      <w:r w:rsidRPr="00320A86">
        <w:t>naux ou idéologiques et la situation politique impriment inévitablement leur marque sur les propos et les écrits, même si leurs auteurs s’en défendent.</w:t>
      </w:r>
    </w:p>
    <w:p w14:paraId="59C8A03C" w14:textId="77777777" w:rsidR="00B01930" w:rsidRPr="00320A86" w:rsidRDefault="00B01930" w:rsidP="00B01930">
      <w:pPr>
        <w:spacing w:before="120" w:after="120"/>
        <w:jc w:val="both"/>
      </w:pPr>
      <w:r w:rsidRPr="00320A86">
        <w:t>Le père Teilhard de Chardin échappe d’autant moins à la règle que c’est en tant que scientifique, mais aussi en tant que religieux, qu’il se penche sur les grands enjeux politiques de son époque. Il ne peut – si tant est qu’il le veuille – faire abstraction de tout présupposé. Aussi, lorsqu’il s’interroge sur la capacité des régimes politiques à participer à la réalisation du « projet humain », il ne peut manquer de porter sur ceux-ci un jugement plus moral que véritablement scientifique. On ne retrouve donc chez lui aucune véritable analyse juridique ou politol</w:t>
      </w:r>
      <w:r w:rsidRPr="00320A86">
        <w:t>o</w:t>
      </w:r>
      <w:r w:rsidRPr="00320A86">
        <w:t>gique des régimes politiques. Ses écrits ne sont toutefois pas dénués d’intérêt : outre le fait qu’ils prolongent sa pensée philosophique et religieuse en envisageant les conditions politiques du perfectionn</w:t>
      </w:r>
      <w:r w:rsidRPr="00320A86">
        <w:t>e</w:t>
      </w:r>
      <w:r w:rsidRPr="00320A86">
        <w:t>ment de l’humanité, ils sont un témoignage important des grands e</w:t>
      </w:r>
      <w:r w:rsidRPr="00320A86">
        <w:t>n</w:t>
      </w:r>
      <w:r w:rsidRPr="00320A86">
        <w:t xml:space="preserve">jeux politiques de la première moitié du </w:t>
      </w:r>
      <w:r w:rsidRPr="00320A86">
        <w:rPr>
          <w:smallCaps/>
        </w:rPr>
        <w:t>xx</w:t>
      </w:r>
      <w:r w:rsidRPr="00320A86">
        <w:rPr>
          <w:vertAlign w:val="superscript"/>
        </w:rPr>
        <w:t>e</w:t>
      </w:r>
      <w:r w:rsidRPr="00320A86">
        <w:t xml:space="preserve"> siècle. En ce sens, on peut noter une évolution entre les écrits des années trente, dans le</w:t>
      </w:r>
      <w:r w:rsidRPr="00320A86">
        <w:t>s</w:t>
      </w:r>
      <w:r w:rsidRPr="00320A86">
        <w:t>quels Teilhard de Chardin s’intéressait principalement aux rég</w:t>
      </w:r>
      <w:r w:rsidRPr="00320A86">
        <w:t>i</w:t>
      </w:r>
      <w:r w:rsidRPr="00320A86">
        <w:t>mes politiques, et ceux rédigés au lendemain de la Seconde Guerre mo</w:t>
      </w:r>
      <w:r w:rsidRPr="00320A86">
        <w:t>n</w:t>
      </w:r>
      <w:r w:rsidRPr="00320A86">
        <w:t>diale, qui marquent un recentrage assez sensible sur l’une des que</w:t>
      </w:r>
      <w:r w:rsidRPr="00320A86">
        <w:t>s</w:t>
      </w:r>
      <w:r w:rsidRPr="00320A86">
        <w:t>tions fondamentales de sa philosophie : la planétisation.</w:t>
      </w:r>
    </w:p>
    <w:p w14:paraId="00B7FD1C" w14:textId="77777777" w:rsidR="00B01930" w:rsidRPr="00320A86" w:rsidRDefault="00B01930" w:rsidP="00B01930">
      <w:pPr>
        <w:spacing w:before="120" w:after="120"/>
        <w:jc w:val="both"/>
      </w:pPr>
      <w:r w:rsidRPr="00320A86">
        <w:t>Dans les années trente, trois courants idéologiques principaux lu</w:t>
      </w:r>
      <w:r w:rsidRPr="00320A86">
        <w:t>t</w:t>
      </w:r>
      <w:r w:rsidRPr="00320A86">
        <w:t>tent pour la suprématie mondiale : la démocratie, le communisme et le fascisme</w:t>
      </w:r>
      <w:r>
        <w:t> </w:t>
      </w:r>
      <w:r>
        <w:rPr>
          <w:rStyle w:val="Appelnotedebasdep"/>
        </w:rPr>
        <w:footnoteReference w:id="1051"/>
      </w:r>
      <w:r w:rsidRPr="00320A86">
        <w:t>. Ils part</w:t>
      </w:r>
      <w:r w:rsidRPr="00320A86">
        <w:t>a</w:t>
      </w:r>
      <w:r w:rsidRPr="00320A86">
        <w:t>gent trois aspirations qui, aux yeux de Teilhard de Chardin, sont « les caractéri</w:t>
      </w:r>
      <w:r w:rsidRPr="00320A86">
        <w:t>s</w:t>
      </w:r>
      <w:r w:rsidRPr="00320A86">
        <w:t>tiques de la foi en l’avenir. Passion du futur, passion de l’universel, passion du personnel ».</w:t>
      </w:r>
    </w:p>
    <w:p w14:paraId="2D75D073" w14:textId="77777777" w:rsidR="00B01930" w:rsidRPr="00320A86" w:rsidRDefault="00B01930" w:rsidP="00B01930">
      <w:pPr>
        <w:spacing w:before="120" w:after="120"/>
        <w:jc w:val="both"/>
      </w:pPr>
      <w:r w:rsidRPr="00320A86">
        <w:t>En ce qui concerne la démocratie, elle est portée par l’espoir en un perfe</w:t>
      </w:r>
      <w:r w:rsidRPr="00320A86">
        <w:t>c</w:t>
      </w:r>
      <w:r w:rsidRPr="00320A86">
        <w:t>tionnement illimité qui s’inscrit dans la logique de l’idée de progrès des révol</w:t>
      </w:r>
      <w:r w:rsidRPr="00320A86">
        <w:t>u</w:t>
      </w:r>
      <w:r w:rsidRPr="00320A86">
        <w:t>tionnaires de 1789</w:t>
      </w:r>
      <w:r>
        <w:t> </w:t>
      </w:r>
      <w:r>
        <w:rPr>
          <w:rStyle w:val="Appelnotedebasdep"/>
        </w:rPr>
        <w:footnoteReference w:id="1052"/>
      </w:r>
      <w:r w:rsidRPr="00320A86">
        <w:t>. Teilhard de Chardin ne peut qu’y être sensible, même s’il reconnaît qu’« </w:t>
      </w:r>
      <w:r w:rsidRPr="00021532">
        <w:rPr>
          <w:i/>
        </w:rPr>
        <w:t>elle porte en soi ces in</w:t>
      </w:r>
      <w:r w:rsidRPr="00021532">
        <w:rPr>
          <w:i/>
        </w:rPr>
        <w:t>a</w:t>
      </w:r>
      <w:r w:rsidRPr="00021532">
        <w:rPr>
          <w:i/>
        </w:rPr>
        <w:t>daptations et ce simplisme qui caractér</w:t>
      </w:r>
      <w:r w:rsidRPr="00021532">
        <w:rPr>
          <w:i/>
        </w:rPr>
        <w:t>i</w:t>
      </w:r>
      <w:r w:rsidRPr="00021532">
        <w:rPr>
          <w:i/>
        </w:rPr>
        <w:t>sent souvent les premières manifestations de la vérité </w:t>
      </w:r>
      <w:r w:rsidRPr="00320A86">
        <w:t>» et qui en affectent la pertinence et la po</w:t>
      </w:r>
      <w:r w:rsidRPr="00320A86">
        <w:t>r</w:t>
      </w:r>
      <w:r w:rsidRPr="00320A86">
        <w:t>tée sur le plan du personnalisme et de l’universalisme. En effet, dès ses origines révolutionnaires, la démocratie a voulu libérer, mais elle n’a su qu’émanciper. Reconnaissant l’importance de la personne h</w:t>
      </w:r>
      <w:r w:rsidRPr="00320A86">
        <w:t>u</w:t>
      </w:r>
      <w:r w:rsidRPr="00320A86">
        <w:t>maine, elle n’a pas su en tirer les conséquences qui s’imposaient pou</w:t>
      </w:r>
      <w:r w:rsidRPr="00320A86">
        <w:t>r</w:t>
      </w:r>
      <w:r w:rsidRPr="00320A86">
        <w:t>tant : « </w:t>
      </w:r>
      <w:r w:rsidRPr="00021532">
        <w:rPr>
          <w:i/>
        </w:rPr>
        <w:t>les apôtres de 89 n’ont pas vu que l’élément social ne prend sa pleine originalité et sa pleine valeur que dans un ensemble où il se différencie </w:t>
      </w:r>
      <w:r w:rsidRPr="00320A86">
        <w:t>». Teilhard de Chardin condamne alors « </w:t>
      </w:r>
      <w:r w:rsidRPr="00021532">
        <w:rPr>
          <w:i/>
        </w:rPr>
        <w:t>les faux libér</w:t>
      </w:r>
      <w:r w:rsidRPr="00021532">
        <w:rPr>
          <w:i/>
        </w:rPr>
        <w:t>a</w:t>
      </w:r>
      <w:r w:rsidRPr="00021532">
        <w:rPr>
          <w:i/>
        </w:rPr>
        <w:t>lismes intellectuels et sociaux </w:t>
      </w:r>
      <w:r w:rsidRPr="00320A86">
        <w:t>», rendus possibles par le fait que ch</w:t>
      </w:r>
      <w:r w:rsidRPr="00320A86">
        <w:t>a</w:t>
      </w:r>
      <w:r w:rsidRPr="00320A86">
        <w:t>que individu est devenu le centre de ses préoccupations en oubliant sa pl</w:t>
      </w:r>
      <w:r w:rsidRPr="00320A86">
        <w:t>a</w:t>
      </w:r>
      <w:r w:rsidRPr="00320A86">
        <w:t>ce et son rôle par rapport aux autres, et tenté par l’égalitarisme qu’il juge coûteux et impossible et auquel il reproche d’avoir hyp</w:t>
      </w:r>
      <w:r w:rsidRPr="00320A86">
        <w:t>o</w:t>
      </w:r>
      <w:r w:rsidRPr="00320A86">
        <w:t>théqué toute chance de construire une « </w:t>
      </w:r>
      <w:r w:rsidRPr="00021532">
        <w:rPr>
          <w:i/>
        </w:rPr>
        <w:t>terre nouvelle </w:t>
      </w:r>
      <w:r w:rsidRPr="00320A86">
        <w:t>». En effet, s</w:t>
      </w:r>
      <w:r w:rsidRPr="00320A86">
        <w:t>e</w:t>
      </w:r>
      <w:r w:rsidRPr="00320A86">
        <w:t>lon lui, la démocratie ne respecte pas le pri</w:t>
      </w:r>
      <w:r w:rsidRPr="00320A86">
        <w:t>n</w:t>
      </w:r>
      <w:r w:rsidRPr="00320A86">
        <w:t>cipe de totalité et n’en constitue qu’une « </w:t>
      </w:r>
      <w:r w:rsidRPr="00021532">
        <w:rPr>
          <w:i/>
        </w:rPr>
        <w:t>contrefaçon </w:t>
      </w:r>
      <w:r w:rsidRPr="00320A86">
        <w:t>», même si elle indique à chacun la « </w:t>
      </w:r>
      <w:r w:rsidRPr="00021532">
        <w:rPr>
          <w:i/>
        </w:rPr>
        <w:t>direction du progrès </w:t>
      </w:r>
      <w:r w:rsidRPr="00320A86">
        <w:t>» et tente d’associer à la poursuite de ce but toutes les p</w:t>
      </w:r>
      <w:r w:rsidRPr="00320A86">
        <w:t>o</w:t>
      </w:r>
      <w:r w:rsidRPr="00320A86">
        <w:t>tentialités et toutes les initiatives : il lui manque l’organisation et la hiérarchisation qui caractérisent l’authentique un</w:t>
      </w:r>
      <w:r w:rsidRPr="00320A86">
        <w:t>i</w:t>
      </w:r>
      <w:r w:rsidRPr="00320A86">
        <w:t>versalisme. Le j</w:t>
      </w:r>
      <w:r w:rsidRPr="00320A86">
        <w:t>u</w:t>
      </w:r>
      <w:r w:rsidRPr="00320A86">
        <w:t>gement est sévère :</w:t>
      </w:r>
    </w:p>
    <w:p w14:paraId="1BCA84E0" w14:textId="77777777" w:rsidR="00B01930" w:rsidRDefault="00B01930" w:rsidP="00B01930">
      <w:pPr>
        <w:pStyle w:val="citation"/>
      </w:pPr>
      <w:r w:rsidRPr="00320A86">
        <w:t>« Pour avoir confondu individualisme et personnalisme, foule et total</w:t>
      </w:r>
      <w:r w:rsidRPr="00320A86">
        <w:t>i</w:t>
      </w:r>
      <w:r w:rsidRPr="00320A86">
        <w:t>té, – la démocratie a risqué de compromettre les espérances, nées avec e</w:t>
      </w:r>
      <w:r w:rsidRPr="00320A86">
        <w:t>l</w:t>
      </w:r>
      <w:r w:rsidRPr="00320A86">
        <w:t>le, d’un avenir h</w:t>
      </w:r>
      <w:r w:rsidRPr="00320A86">
        <w:t>u</w:t>
      </w:r>
      <w:r w:rsidRPr="00320A86">
        <w:t>main</w:t>
      </w:r>
      <w:r>
        <w:t> </w:t>
      </w:r>
      <w:r w:rsidRPr="007D4B3B">
        <w:rPr>
          <w:rStyle w:val="Appelnotedebasdep"/>
          <w:i/>
        </w:rPr>
        <w:footnoteReference w:id="1053"/>
      </w:r>
      <w:r w:rsidRPr="00320A86">
        <w:t>. »</w:t>
      </w:r>
    </w:p>
    <w:p w14:paraId="43585416" w14:textId="77777777" w:rsidR="00B01930" w:rsidRPr="00320A86" w:rsidRDefault="00B01930" w:rsidP="00B01930">
      <w:pPr>
        <w:spacing w:before="120" w:after="120"/>
        <w:jc w:val="both"/>
      </w:pPr>
      <w:r w:rsidRPr="00320A86">
        <w:t>C’est la raison pour laquelle la démocratie a échoué dans son e</w:t>
      </w:r>
      <w:r w:rsidRPr="00320A86">
        <w:t>n</w:t>
      </w:r>
      <w:r w:rsidRPr="00320A86">
        <w:t>treprise h</w:t>
      </w:r>
      <w:r w:rsidRPr="00320A86">
        <w:t>é</w:t>
      </w:r>
      <w:r w:rsidRPr="00320A86">
        <w:t>gémonique, le communisme et les fascismes se dressant contre elle.</w:t>
      </w:r>
    </w:p>
    <w:p w14:paraId="2E9EB5DC" w14:textId="77777777" w:rsidR="00B01930" w:rsidRPr="00320A86" w:rsidRDefault="00B01930" w:rsidP="00B01930">
      <w:pPr>
        <w:spacing w:before="120" w:after="120"/>
        <w:jc w:val="both"/>
      </w:pPr>
      <w:r w:rsidRPr="00320A86">
        <w:t>Le communisme, quant à lui, est porteur d’une « </w:t>
      </w:r>
      <w:r w:rsidRPr="00021532">
        <w:rPr>
          <w:i/>
        </w:rPr>
        <w:t>foi en un org</w:t>
      </w:r>
      <w:r w:rsidRPr="00021532">
        <w:rPr>
          <w:i/>
        </w:rPr>
        <w:t>a</w:t>
      </w:r>
      <w:r w:rsidRPr="00021532">
        <w:rPr>
          <w:i/>
        </w:rPr>
        <w:t>nisme humain universel [qui] s’est trouvé, du moins aux origines, magnifiquement exalté </w:t>
      </w:r>
      <w:r>
        <w:rPr>
          <w:rStyle w:val="Appelnotedebasdep"/>
        </w:rPr>
        <w:footnoteReference w:id="1054"/>
      </w:r>
      <w:r w:rsidRPr="00320A86">
        <w:t> ». Expression d’un « </w:t>
      </w:r>
      <w:r w:rsidRPr="00021532">
        <w:rPr>
          <w:i/>
        </w:rPr>
        <w:t>néomarxisme </w:t>
      </w:r>
      <w:r w:rsidRPr="00320A86">
        <w:t>», il vise la création d’une civilisation totalitaire « </w:t>
      </w:r>
      <w:r w:rsidRPr="00021532">
        <w:rPr>
          <w:i/>
        </w:rPr>
        <w:t>fortement reliée aux pui</w:t>
      </w:r>
      <w:r w:rsidRPr="00021532">
        <w:rPr>
          <w:i/>
        </w:rPr>
        <w:t>s</w:t>
      </w:r>
      <w:r w:rsidRPr="00021532">
        <w:rPr>
          <w:i/>
        </w:rPr>
        <w:t>sances cosmiques de la matière </w:t>
      </w:r>
      <w:r w:rsidRPr="00320A86">
        <w:t>», ce qui conduit Teilhard de Chardin à préf</w:t>
      </w:r>
      <w:r w:rsidRPr="00320A86">
        <w:t>é</w:t>
      </w:r>
      <w:r w:rsidRPr="00320A86">
        <w:t>rer parler de « </w:t>
      </w:r>
      <w:r w:rsidRPr="00021532">
        <w:rPr>
          <w:i/>
        </w:rPr>
        <w:t>terrénisme </w:t>
      </w:r>
      <w:r w:rsidRPr="00320A86">
        <w:t>» plutôt que de « </w:t>
      </w:r>
      <w:r w:rsidRPr="00021532">
        <w:rPr>
          <w:i/>
        </w:rPr>
        <w:t>communisme </w:t>
      </w:r>
      <w:r w:rsidRPr="00320A86">
        <w:t>». Ce qui rend le communisme dangereux, outre son objectif d’une société dé</w:t>
      </w:r>
      <w:r w:rsidRPr="00320A86">
        <w:t>s</w:t>
      </w:r>
      <w:r w:rsidRPr="00320A86">
        <w:t>humanisée, c’est le fait qu’il ne soit porteur d’universalité comme a</w:t>
      </w:r>
      <w:r w:rsidRPr="00320A86">
        <w:t>u</w:t>
      </w:r>
      <w:r w:rsidRPr="00320A86">
        <w:t>cun autre courant politique contemporain, ce qui ne manque pas de séduire nombre des contemporains de Teilhard de Chardin. Mais le communi</w:t>
      </w:r>
      <w:r w:rsidRPr="00320A86">
        <w:t>s</w:t>
      </w:r>
      <w:r w:rsidRPr="00320A86">
        <w:t>me repose sur une incompréhension de l’idéal humain, d’une part, parce qu’il fait « </w:t>
      </w:r>
      <w:r w:rsidRPr="00021532">
        <w:rPr>
          <w:i/>
        </w:rPr>
        <w:t>de l’homme un termite </w:t>
      </w:r>
      <w:r w:rsidRPr="00320A86">
        <w:t>» en niant la pe</w:t>
      </w:r>
      <w:r w:rsidRPr="00320A86">
        <w:t>r</w:t>
      </w:r>
      <w:r w:rsidRPr="00320A86">
        <w:t>sonne, d’autre part, parce qu’il nie toute dimension spirituelle de l’évolution de l’univers : « </w:t>
      </w:r>
      <w:r w:rsidRPr="00021532">
        <w:rPr>
          <w:i/>
        </w:rPr>
        <w:t>la matière a voilé l’esprit </w:t>
      </w:r>
      <w:r>
        <w:rPr>
          <w:rStyle w:val="Appelnotedebasdep"/>
        </w:rPr>
        <w:footnoteReference w:id="1055"/>
      </w:r>
      <w:r w:rsidRPr="00320A86">
        <w:t>. » Il n’a su a</w:t>
      </w:r>
      <w:r w:rsidRPr="00320A86">
        <w:t>c</w:t>
      </w:r>
      <w:r w:rsidRPr="00320A86">
        <w:t>coucher que d’une société sans âme au développement de laquelle se résume le phénomène humain qui ne se définit plus par le développ</w:t>
      </w:r>
      <w:r w:rsidRPr="00320A86">
        <w:t>e</w:t>
      </w:r>
      <w:r w:rsidRPr="00320A86">
        <w:t>ment de la pensée. La négation de la personne limite et fausse les perspe</w:t>
      </w:r>
      <w:r w:rsidRPr="00320A86">
        <w:t>c</w:t>
      </w:r>
      <w:r w:rsidRPr="00320A86">
        <w:t>tives d’avenir, ruinant tout espoir de voir émerger l’universalisme. Le comm</w:t>
      </w:r>
      <w:r w:rsidRPr="00320A86">
        <w:t>u</w:t>
      </w:r>
      <w:r w:rsidRPr="00320A86">
        <w:t>nisme ne constitue donc aucunement une réponse aux insuffisances de la démocratie. Au contraire, il les radic</w:t>
      </w:r>
      <w:r w:rsidRPr="00320A86">
        <w:t>a</w:t>
      </w:r>
      <w:r w:rsidRPr="00320A86">
        <w:t>lise.</w:t>
      </w:r>
    </w:p>
    <w:p w14:paraId="19B37D42" w14:textId="77777777" w:rsidR="00B01930" w:rsidRPr="00320A86" w:rsidRDefault="00B01930" w:rsidP="00B01930">
      <w:pPr>
        <w:spacing w:before="120" w:after="120"/>
        <w:jc w:val="both"/>
      </w:pPr>
      <w:r w:rsidRPr="00320A86">
        <w:t>Pourtant, Teilhard de Chardin ne s’est pas toujours montré critique à l’égard du communisme. Son analyse de ce régime a nécessité près de trois décennies de maturation. Ceci s’explique en grande partie par l’influence que Marx a exercée sur lui. Même s’il peut paraître a priori étonnant pour un jésuite de trouver une source, si ce n’est d’inspiration, du moins de réflexion constructive chez un auteur o</w:t>
      </w:r>
      <w:r w:rsidRPr="00320A86">
        <w:t>u</w:t>
      </w:r>
      <w:r w:rsidRPr="00320A86">
        <w:t>vertement athée et matérialiste, Teilhard de Chardin n’a jamais env</w:t>
      </w:r>
      <w:r w:rsidRPr="00320A86">
        <w:t>i</w:t>
      </w:r>
      <w:r w:rsidRPr="00320A86">
        <w:t>sagé Marx comme un ennemi idéologique. Il considérait notamment que « </w:t>
      </w:r>
      <w:r w:rsidRPr="00021532">
        <w:rPr>
          <w:i/>
        </w:rPr>
        <w:t>la loi né</w:t>
      </w:r>
      <w:r w:rsidRPr="00021532">
        <w:rPr>
          <w:i/>
        </w:rPr>
        <w:t>o</w:t>
      </w:r>
      <w:r w:rsidRPr="00021532">
        <w:rPr>
          <w:i/>
        </w:rPr>
        <w:t>humaine au Monde, dans la mesure même où elle est une foi (c’est-à-dire don et abandon, pour toujours, à un plus grand que soi), implique nécessairement un élément d’adoration, c’est-à-dire l’admission de quelque “Divin” </w:t>
      </w:r>
      <w:r>
        <w:rPr>
          <w:rStyle w:val="Appelnotedebasdep"/>
        </w:rPr>
        <w:footnoteReference w:id="1056"/>
      </w:r>
      <w:r w:rsidRPr="00320A86">
        <w:t> ». Cela fit dire à Léopold Sédar Senghor que « </w:t>
      </w:r>
      <w:r w:rsidRPr="00021532">
        <w:rPr>
          <w:i/>
        </w:rPr>
        <w:t>Teilhard de Chardin complète Marx plus qu’il ne le contredit : il accomplit son néohumanisme </w:t>
      </w:r>
      <w:r>
        <w:rPr>
          <w:rStyle w:val="Appelnotedebasdep"/>
        </w:rPr>
        <w:footnoteReference w:id="1057"/>
      </w:r>
      <w:r w:rsidRPr="00320A86">
        <w:t> ».</w:t>
      </w:r>
    </w:p>
    <w:p w14:paraId="15D919A2" w14:textId="77777777" w:rsidR="00B01930" w:rsidRPr="00320A86" w:rsidRDefault="00B01930" w:rsidP="00B01930">
      <w:pPr>
        <w:spacing w:before="120" w:after="120"/>
        <w:jc w:val="both"/>
      </w:pPr>
      <w:r w:rsidRPr="00320A86">
        <w:t>Teilhard de Chardin ne rejette pas le transformisme de Marx. L’évolutionnisme, sur lequel repose sa philosophie, en est un appr</w:t>
      </w:r>
      <w:r w:rsidRPr="00320A86">
        <w:t>o</w:t>
      </w:r>
      <w:r w:rsidRPr="00320A86">
        <w:t>fondissement et un prolongement. Alors que Marx centre sa réflexion sur l’homme et s’arrête à l’</w:t>
      </w:r>
      <w:r w:rsidRPr="00021532">
        <w:rPr>
          <w:i/>
        </w:rPr>
        <w:t>Homo œconomicus</w:t>
      </w:r>
      <w:r w:rsidRPr="00320A86">
        <w:t>, Teilhard de Chardin prolonge sa pensée jusqu’à l’</w:t>
      </w:r>
      <w:r w:rsidRPr="00021532">
        <w:rPr>
          <w:i/>
        </w:rPr>
        <w:t>Homo sapiens</w:t>
      </w:r>
      <w:r w:rsidRPr="00320A86">
        <w:t>, englobant les sciences de la nature qui concourent à la compréhension de l’homme. Il existe ainsi entre les deux penseurs plus une différence de degré que de nat</w:t>
      </w:r>
      <w:r w:rsidRPr="00320A86">
        <w:t>u</w:t>
      </w:r>
      <w:r w:rsidRPr="00320A86">
        <w:t>re.</w:t>
      </w:r>
    </w:p>
    <w:p w14:paraId="44B9085C" w14:textId="77777777" w:rsidR="00B01930" w:rsidRPr="00320A86" w:rsidRDefault="00B01930" w:rsidP="00B01930">
      <w:pPr>
        <w:spacing w:before="120" w:after="120"/>
        <w:jc w:val="both"/>
      </w:pPr>
      <w:r w:rsidRPr="00320A86">
        <w:t>De même, Teilhard de Chardin ne peut être opposé à Marx sur le matérialisme. Une nouvelle fois, il pousse simplement le raisonn</w:t>
      </w:r>
      <w:r w:rsidRPr="00320A86">
        <w:t>e</w:t>
      </w:r>
      <w:r w:rsidRPr="00320A86">
        <w:t>ment plus loin. Mais alors que pour Marx tout est matière et ne peut être que matière, Teilhard de Chardin, certes, part de la matière – comment d’ailleurs pourrait-il en être autrement de la part d’un scie</w:t>
      </w:r>
      <w:r w:rsidRPr="00320A86">
        <w:t>n</w:t>
      </w:r>
      <w:r w:rsidRPr="00320A86">
        <w:t>tifique ? –, mais là encore pour l’appréhender dans toutes ses dime</w:t>
      </w:r>
      <w:r w:rsidRPr="00320A86">
        <w:t>n</w:t>
      </w:r>
      <w:r w:rsidRPr="00320A86">
        <w:t>sions, de l’infiniment petit à l’infiniment grand, dans une complexif</w:t>
      </w:r>
      <w:r w:rsidRPr="00320A86">
        <w:t>i</w:t>
      </w:r>
      <w:r w:rsidRPr="00320A86">
        <w:t>cation croissante qui conduit à dépasser la matière comme horizon de l’aventure humaine. Teilhard de Chardin envisage la matière tout a</w:t>
      </w:r>
      <w:r w:rsidRPr="00320A86">
        <w:t>u</w:t>
      </w:r>
      <w:r w:rsidRPr="00320A86">
        <w:t xml:space="preserve">tant que Marx, mais différemment, porté en cela par les connaissances scientifiques – notamment en physique – autrement plus développées qu’au </w:t>
      </w:r>
      <w:r w:rsidRPr="00320A86">
        <w:rPr>
          <w:smallCaps/>
        </w:rPr>
        <w:t>xix</w:t>
      </w:r>
      <w:r w:rsidRPr="00320A86">
        <w:rPr>
          <w:vertAlign w:val="superscript"/>
        </w:rPr>
        <w:t>e</w:t>
      </w:r>
      <w:r w:rsidRPr="00320A86">
        <w:t xml:space="preserve"> siècle : son matérialisme ne pouvait être étranger à la m</w:t>
      </w:r>
      <w:r w:rsidRPr="00320A86">
        <w:t>é</w:t>
      </w:r>
      <w:r w:rsidRPr="00320A86">
        <w:t>canique quantique et à l’astrophysique, l’homme se trouvant « </w:t>
      </w:r>
      <w:r w:rsidRPr="00021532">
        <w:rPr>
          <w:i/>
        </w:rPr>
        <w:t>au m</w:t>
      </w:r>
      <w:r w:rsidRPr="00021532">
        <w:rPr>
          <w:i/>
        </w:rPr>
        <w:t>i</w:t>
      </w:r>
      <w:r w:rsidRPr="00021532">
        <w:rPr>
          <w:i/>
        </w:rPr>
        <w:t>lieu des deux infinis </w:t>
      </w:r>
      <w:r>
        <w:rPr>
          <w:rStyle w:val="Appelnotedebasdep"/>
        </w:rPr>
        <w:footnoteReference w:id="1058"/>
      </w:r>
      <w:r w:rsidRPr="00320A86">
        <w:t> » que sont l’atome et l’univers, l’infime et l’immense. De plus, les progrès spectaculaires des connaissances en biologie ont permis à Teilhard de Chardin de comprendre que l’homme n’était pas isolé entre deux infinis, mais qu’il était lui-même un infini, non pas dans l’espace, mais dans la complexité. La matière n’est alors plus à opposer à l’esprit : elle l’abrite. Dans un processus de perfectionnement constant, elle a donné naissance à la vie, puis a permis l’éclosion de la conscie</w:t>
      </w:r>
      <w:r w:rsidRPr="00320A86">
        <w:t>n</w:t>
      </w:r>
      <w:r w:rsidRPr="00320A86">
        <w:t>ce, c’est-à-dire de cette capacité qu’a l’être vivant de savoir qu’il existe, et enfin de l’intelligence qui culm</w:t>
      </w:r>
      <w:r w:rsidRPr="00320A86">
        <w:t>i</w:t>
      </w:r>
      <w:r w:rsidRPr="00320A86">
        <w:t>ne avec l’humain, cet être conscient de sa conscience.</w:t>
      </w:r>
    </w:p>
    <w:p w14:paraId="09828738" w14:textId="77777777" w:rsidR="00B01930" w:rsidRPr="00320A86" w:rsidRDefault="00B01930" w:rsidP="00B01930">
      <w:pPr>
        <w:spacing w:before="120" w:after="120"/>
        <w:jc w:val="both"/>
      </w:pPr>
      <w:r w:rsidRPr="00320A86">
        <w:t>Si Teilhard n’a jamais été marxiste, son analyse du régime co</w:t>
      </w:r>
      <w:r w:rsidRPr="00320A86">
        <w:t>m</w:t>
      </w:r>
      <w:r w:rsidRPr="00320A86">
        <w:t>muniste a to</w:t>
      </w:r>
      <w:r w:rsidRPr="00320A86">
        <w:t>u</w:t>
      </w:r>
      <w:r w:rsidRPr="00320A86">
        <w:t>tefois évolué et a parfois été assez ambiguë.</w:t>
      </w:r>
    </w:p>
    <w:p w14:paraId="6F8A21FE" w14:textId="77777777" w:rsidR="00B01930" w:rsidRPr="00320A86" w:rsidRDefault="00B01930" w:rsidP="00B01930">
      <w:pPr>
        <w:spacing w:before="120" w:after="120"/>
        <w:jc w:val="both"/>
      </w:pPr>
      <w:r w:rsidRPr="00320A86">
        <w:t xml:space="preserve">Ainsi, en 1919, il écrit : </w:t>
      </w:r>
    </w:p>
    <w:p w14:paraId="21470563" w14:textId="77777777" w:rsidR="00B01930" w:rsidRDefault="00B01930" w:rsidP="00B01930">
      <w:pPr>
        <w:pStyle w:val="citation"/>
      </w:pPr>
      <w:r w:rsidRPr="00320A86">
        <w:t>« Lu ce matin la profession de foi soviétiste : ni Dieu ni Maître. Une seule haine : le Capital ; une seule loi : la Conscience ; une seule patrie : l’Univers ; une seule religion : l’Humanité. Tous pour tous. Et plus cla</w:t>
      </w:r>
      <w:r w:rsidRPr="00320A86">
        <w:t>i</w:t>
      </w:r>
      <w:r w:rsidRPr="00320A86">
        <w:t>rement que jamais, je me suis vu dans l’impossibilité d’anathématiser “simplicité”. Avec la négation du sommet divin que j’adore, c’est la foi en la base naturelle que je révère de tout mon être</w:t>
      </w:r>
      <w:r>
        <w:t> </w:t>
      </w:r>
      <w:r w:rsidRPr="007D4B3B">
        <w:rPr>
          <w:rStyle w:val="Appelnotedebasdep"/>
          <w:i/>
        </w:rPr>
        <w:footnoteReference w:id="1059"/>
      </w:r>
      <w:r>
        <w:t>. »</w:t>
      </w:r>
    </w:p>
    <w:p w14:paraId="3CA66109" w14:textId="77777777" w:rsidR="00B01930" w:rsidRPr="00320A86" w:rsidRDefault="00B01930" w:rsidP="00B01930">
      <w:pPr>
        <w:pStyle w:val="citation"/>
      </w:pPr>
    </w:p>
    <w:p w14:paraId="55E56757" w14:textId="77777777" w:rsidR="00B01930" w:rsidRPr="00320A86" w:rsidRDefault="00B01930" w:rsidP="00B01930">
      <w:pPr>
        <w:spacing w:before="120" w:after="120"/>
        <w:jc w:val="both"/>
      </w:pPr>
      <w:r w:rsidRPr="00320A86">
        <w:t>En 1933, il poursuit dans le même sens :</w:t>
      </w:r>
    </w:p>
    <w:p w14:paraId="5CBA62F9" w14:textId="77777777" w:rsidR="00B01930" w:rsidRDefault="00B01930" w:rsidP="00B01930">
      <w:pPr>
        <w:pStyle w:val="citation"/>
      </w:pPr>
      <w:r w:rsidRPr="00320A86">
        <w:t>« À mon avis c’est de plus en plus le communisme qui […] à l’heure actuelle, r</w:t>
      </w:r>
      <w:r w:rsidRPr="00320A86">
        <w:t>e</w:t>
      </w:r>
      <w:r w:rsidRPr="00320A86">
        <w:t>présente et monopolise la vraie croissance humaine. À prendre les mots avec leur s</w:t>
      </w:r>
      <w:r w:rsidRPr="00320A86">
        <w:t>i</w:t>
      </w:r>
      <w:r w:rsidRPr="00320A86">
        <w:t>gnification purement psychologique, c’est le seul mouvement qui, en ce moment, « convertisse » […] du plus grand – par enthousiasme et propagation spontanés et i</w:t>
      </w:r>
      <w:r w:rsidRPr="00320A86">
        <w:t>n</w:t>
      </w:r>
      <w:r w:rsidRPr="00320A86">
        <w:t>ternes ; ici même, en Chine, ses « martyrs » ne se comptent plus. Encore une chose qu’il faudrait s</w:t>
      </w:r>
      <w:r w:rsidRPr="00320A86">
        <w:t>a</w:t>
      </w:r>
      <w:r w:rsidRPr="00320A86">
        <w:t>voir regarder objectivement, mais sur laquelle les conventions de la pre</w:t>
      </w:r>
      <w:r w:rsidRPr="00320A86">
        <w:t>s</w:t>
      </w:r>
      <w:r w:rsidRPr="00320A86">
        <w:t>se « bourgeoise » nous aveuglent. Je rêverais d’une christianisation de la Te</w:t>
      </w:r>
      <w:r w:rsidRPr="00320A86">
        <w:t>r</w:t>
      </w:r>
      <w:r w:rsidRPr="00320A86">
        <w:t>re par le baptême du communi</w:t>
      </w:r>
      <w:r w:rsidRPr="00320A86">
        <w:t>s</w:t>
      </w:r>
      <w:r w:rsidRPr="00320A86">
        <w:t>me</w:t>
      </w:r>
      <w:r>
        <w:t> </w:t>
      </w:r>
      <w:r w:rsidRPr="007D4B3B">
        <w:rPr>
          <w:rStyle w:val="Appelnotedebasdep"/>
          <w:i/>
        </w:rPr>
        <w:footnoteReference w:id="1060"/>
      </w:r>
      <w:r w:rsidRPr="00320A86">
        <w:t>. »</w:t>
      </w:r>
    </w:p>
    <w:p w14:paraId="7573D9A6" w14:textId="77777777" w:rsidR="00B01930" w:rsidRPr="00320A86" w:rsidRDefault="00B01930" w:rsidP="00B01930">
      <w:pPr>
        <w:pStyle w:val="citation"/>
      </w:pPr>
    </w:p>
    <w:p w14:paraId="7871A46C" w14:textId="77777777" w:rsidR="00B01930" w:rsidRPr="00320A86" w:rsidRDefault="00B01930" w:rsidP="00B01930">
      <w:pPr>
        <w:spacing w:before="120" w:after="120"/>
        <w:jc w:val="both"/>
      </w:pPr>
      <w:r w:rsidRPr="00320A86">
        <w:t>Mais en 1937, il souligne les errements du communisme, nota</w:t>
      </w:r>
      <w:r w:rsidRPr="00320A86">
        <w:t>m</w:t>
      </w:r>
      <w:r w:rsidRPr="00320A86">
        <w:t>ment au r</w:t>
      </w:r>
      <w:r w:rsidRPr="00320A86">
        <w:t>e</w:t>
      </w:r>
      <w:r w:rsidRPr="00320A86">
        <w:t>gard de l’expérience soviétique :</w:t>
      </w:r>
    </w:p>
    <w:p w14:paraId="3ABDAB76" w14:textId="77777777" w:rsidR="00B01930" w:rsidRDefault="00B01930" w:rsidP="00B01930">
      <w:pPr>
        <w:pStyle w:val="citation"/>
      </w:pPr>
      <w:r w:rsidRPr="00320A86">
        <w:t>« Dans le communisme, la foi en un organisme humain universel s’est tro</w:t>
      </w:r>
      <w:r w:rsidRPr="00320A86">
        <w:t>u</w:t>
      </w:r>
      <w:r w:rsidRPr="00320A86">
        <w:t>vée, du moins aux origines, formidablement exaltée. On ne saurait trop le dire. Ce qui crée pour une élite la tentation du néomarxisme russe, c’est bien moins son évangile h</w:t>
      </w:r>
      <w:r w:rsidRPr="00320A86">
        <w:t>u</w:t>
      </w:r>
      <w:r w:rsidRPr="00320A86">
        <w:t>manitaire que sa vision d’une civilisation totalitaire, fortement reliée aux puissances cosmiques de la matière […]. Une séduction réelle émane de cet entho</w:t>
      </w:r>
      <w:r w:rsidRPr="00320A86">
        <w:t>u</w:t>
      </w:r>
      <w:r w:rsidRPr="00320A86">
        <w:t>siasme pour les ressources et l’avenir de la terre. Aussi tous les faits démontrent-ils, depuis vingt ans, la mystérieuse puissance cachée dans l’Évangile de Lénine. Aucun mouv</w:t>
      </w:r>
      <w:r w:rsidRPr="00320A86">
        <w:t>e</w:t>
      </w:r>
      <w:r w:rsidRPr="00320A86">
        <w:t>ment moderne n’a su créer (au moins par bouffées) une pareille atmosph</w:t>
      </w:r>
      <w:r w:rsidRPr="00320A86">
        <w:t>è</w:t>
      </w:r>
      <w:r w:rsidRPr="00320A86">
        <w:t>re de nouveauté et d’universalité […]. Cependant, dans le communi</w:t>
      </w:r>
      <w:r w:rsidRPr="00320A86">
        <w:t>s</w:t>
      </w:r>
      <w:r w:rsidRPr="00320A86">
        <w:t>me l’idéal humain se trouve gravement lacunaire ou d</w:t>
      </w:r>
      <w:r w:rsidRPr="00320A86">
        <w:t>é</w:t>
      </w:r>
      <w:r w:rsidRPr="00320A86">
        <w:t>formé. D’une part, dans sa réaction trop vive au libéralisme anarchique de la démocratie, le communisme en arrive à supprimer virtuellement la personne et […] faire de l’homme un termite. D’autre part, dans son admiration mal équilibrée pour les puissances tangibles de l’univers, il a systématiquement fe</w:t>
      </w:r>
      <w:r w:rsidRPr="00320A86">
        <w:t>r</w:t>
      </w:r>
      <w:r w:rsidRPr="00320A86">
        <w:t>mé ses espérances aux possibilités d’une métamorphose spirituelle de l’univers. Le phénomène humain (essentiellement défini, nous l’avons vu, par le d</w:t>
      </w:r>
      <w:r w:rsidRPr="00320A86">
        <w:t>é</w:t>
      </w:r>
      <w:r w:rsidRPr="00320A86">
        <w:t>veloppement de la pe</w:t>
      </w:r>
      <w:r w:rsidRPr="00320A86">
        <w:t>n</w:t>
      </w:r>
      <w:r w:rsidRPr="00320A86">
        <w:t>sée) s’est dès lors trouvé réduit aux développements mécaniques d’une collectivité sans âme. La matière a voilé l’esprit. Un pseudo-déterminisme a tué l’amour. Absence de personnalisme, entra</w:t>
      </w:r>
      <w:r w:rsidRPr="00320A86">
        <w:t>î</w:t>
      </w:r>
      <w:r w:rsidRPr="00320A86">
        <w:t>nant une limitation, ou même une perversion de l’avenir, et minant, par voie de conséquence, la possibilité et la notion même d’universalisme ; tels sont, beaucoup plus que tous les renversements économiques, les dangers du bo</w:t>
      </w:r>
      <w:r w:rsidRPr="00320A86">
        <w:t>l</w:t>
      </w:r>
      <w:r w:rsidRPr="00320A86">
        <w:t>chevisme</w:t>
      </w:r>
      <w:r>
        <w:t> </w:t>
      </w:r>
      <w:r w:rsidRPr="007D4B3B">
        <w:rPr>
          <w:rStyle w:val="Appelnotedebasdep"/>
          <w:i/>
        </w:rPr>
        <w:footnoteReference w:id="1061"/>
      </w:r>
      <w:r w:rsidRPr="00320A86">
        <w:t>. »</w:t>
      </w:r>
    </w:p>
    <w:p w14:paraId="19679AD2" w14:textId="77777777" w:rsidR="00B01930" w:rsidRPr="00320A86" w:rsidRDefault="00B01930" w:rsidP="00B01930">
      <w:pPr>
        <w:pStyle w:val="citation"/>
      </w:pPr>
    </w:p>
    <w:p w14:paraId="36AB32AC" w14:textId="77777777" w:rsidR="00B01930" w:rsidRPr="00320A86" w:rsidRDefault="00B01930" w:rsidP="00B01930">
      <w:pPr>
        <w:spacing w:before="120" w:after="120"/>
        <w:jc w:val="both"/>
      </w:pPr>
      <w:r w:rsidRPr="00320A86">
        <w:t>Pour autant, Teilhard de Chardin n’exclut pas une possible conve</w:t>
      </w:r>
      <w:r w:rsidRPr="00320A86">
        <w:t>r</w:t>
      </w:r>
      <w:r w:rsidRPr="00320A86">
        <w:t>gence entre communisme et christianisme.</w:t>
      </w:r>
    </w:p>
    <w:p w14:paraId="60C3B5CB" w14:textId="77777777" w:rsidR="00B01930" w:rsidRDefault="00B01930" w:rsidP="00B01930">
      <w:pPr>
        <w:pStyle w:val="citation"/>
      </w:pPr>
      <w:r w:rsidRPr="00320A86">
        <w:t>« Chacun à sa façon, et en directions divergentes [le marxiste et le chrétien] croit avoir résolu, une fois pour toutes, l’ambiguïté du monde. Mais cette dive</w:t>
      </w:r>
      <w:r w:rsidRPr="00320A86">
        <w:t>r</w:t>
      </w:r>
      <w:r w:rsidRPr="00320A86">
        <w:t>gence, en réalité, n’est pas complète ni définitive, aussi longtemps du moins que, par un prodige d’exclusion inimaginable ou même contradictoire (parce que rien ne resterait plus de sa foi) le marxiste, par exemple, n’aura pas éliminé de son matérialisme toute force asce</w:t>
      </w:r>
      <w:r w:rsidRPr="00320A86">
        <w:t>n</w:t>
      </w:r>
      <w:r w:rsidRPr="00320A86">
        <w:t>sionnelle vers l’esprit. Poussées au bout, les deux trajectoires finiront ce</w:t>
      </w:r>
      <w:r w:rsidRPr="00320A86">
        <w:t>r</w:t>
      </w:r>
      <w:r w:rsidRPr="00320A86">
        <w:t>tain</w:t>
      </w:r>
      <w:r w:rsidRPr="00320A86">
        <w:t>e</w:t>
      </w:r>
      <w:r w:rsidRPr="00320A86">
        <w:t>ment par se rapprocher. Car, par nature, tout ce qui est foi monte ; et tout ce qui mo</w:t>
      </w:r>
      <w:r w:rsidRPr="00320A86">
        <w:t>n</w:t>
      </w:r>
      <w:r w:rsidRPr="00320A86">
        <w:t>te converge inévitablement</w:t>
      </w:r>
      <w:r>
        <w:t> </w:t>
      </w:r>
      <w:r w:rsidRPr="007D4B3B">
        <w:rPr>
          <w:rStyle w:val="Appelnotedebasdep"/>
          <w:i/>
        </w:rPr>
        <w:footnoteReference w:id="1062"/>
      </w:r>
      <w:r w:rsidRPr="00320A86">
        <w:t>. »</w:t>
      </w:r>
    </w:p>
    <w:p w14:paraId="4F220742" w14:textId="77777777" w:rsidR="00B01930" w:rsidRPr="00320A86" w:rsidRDefault="00B01930" w:rsidP="00B01930">
      <w:pPr>
        <w:pStyle w:val="citation"/>
      </w:pPr>
    </w:p>
    <w:p w14:paraId="677D58FF" w14:textId="77777777" w:rsidR="00B01930" w:rsidRDefault="00B01930" w:rsidP="00B01930">
      <w:pPr>
        <w:spacing w:before="120" w:after="120"/>
        <w:jc w:val="both"/>
      </w:pPr>
      <w:r w:rsidRPr="00320A86">
        <w:t>Ce n’est finalement qu’à la fin de sa vie que Teilhard de Chardin condamne définitivement les errements du communisme, en grande partie parce que le m</w:t>
      </w:r>
      <w:r w:rsidRPr="00320A86">
        <w:t>a</w:t>
      </w:r>
      <w:r w:rsidRPr="00320A86">
        <w:t>térialisme ne pouvant être considéré comme un but, mais seulement comme un moyen.</w:t>
      </w:r>
    </w:p>
    <w:p w14:paraId="4ECC2FAA" w14:textId="77777777" w:rsidR="00B01930" w:rsidRDefault="00B01930" w:rsidP="00B01930">
      <w:pPr>
        <w:pStyle w:val="citation"/>
      </w:pPr>
      <w:r w:rsidRPr="00320A86">
        <w:t>« Une période d’euphorie et d’abondance – un Âge d’or – voilà, nous laisse-t-on entendre, tout ce que tiendrait en réserve pour nous l’Évolution. Et, devant un idéal aussi « bourgeois », il est juste que notre cœur défaille. À l’encontre de ce matérialisme et de ce naturalisme pr</w:t>
      </w:r>
      <w:r w:rsidRPr="00320A86">
        <w:t>o</w:t>
      </w:r>
      <w:r w:rsidRPr="00320A86">
        <w:t>prement « païens » il devient urgent de rappeler, une fois de plus que, si les lois de la Biogenèse supposent et entraînent effectivement par nature une améli</w:t>
      </w:r>
      <w:r w:rsidRPr="00320A86">
        <w:t>o</w:t>
      </w:r>
      <w:r w:rsidRPr="00320A86">
        <w:t>ration économique des conditions humaines, ce n’est pas c</w:t>
      </w:r>
      <w:r w:rsidRPr="00320A86">
        <w:t>e</w:t>
      </w:r>
      <w:r w:rsidRPr="00320A86">
        <w:t>pendant une question de bien-être, mais une soif de plus être qui, seule, de nécessité psychologique, peut sauver la Terre pensante du taedium v</w:t>
      </w:r>
      <w:r w:rsidRPr="00320A86">
        <w:t>i</w:t>
      </w:r>
      <w:r w:rsidRPr="00320A86">
        <w:t>tae</w:t>
      </w:r>
      <w:r>
        <w:t> </w:t>
      </w:r>
      <w:r w:rsidRPr="007D4B3B">
        <w:rPr>
          <w:rStyle w:val="Appelnotedebasdep"/>
          <w:i/>
        </w:rPr>
        <w:footnoteReference w:id="1063"/>
      </w:r>
      <w:r w:rsidRPr="00320A86">
        <w:t>. »</w:t>
      </w:r>
    </w:p>
    <w:p w14:paraId="0A4D5E5C" w14:textId="77777777" w:rsidR="00B01930" w:rsidRPr="00320A86" w:rsidRDefault="00B01930" w:rsidP="00B01930">
      <w:pPr>
        <w:pStyle w:val="citation"/>
      </w:pPr>
    </w:p>
    <w:p w14:paraId="55299B7B" w14:textId="77777777" w:rsidR="00B01930" w:rsidRPr="00320A86" w:rsidRDefault="00B01930" w:rsidP="00B01930">
      <w:pPr>
        <w:spacing w:before="120" w:after="120"/>
        <w:jc w:val="both"/>
      </w:pPr>
      <w:r w:rsidRPr="00320A86">
        <w:t>Quant au fascisme, Teilhard de Chardin porte sur lui un jugement plutôt m</w:t>
      </w:r>
      <w:r w:rsidRPr="00320A86">
        <w:t>o</w:t>
      </w:r>
      <w:r w:rsidRPr="00320A86">
        <w:t>déré qui peut surprendre dans le contexte des années trente, alors que la nature de ce régime ne peut plus faire illusion. Ainsi, alors même que l’Espagne so</w:t>
      </w:r>
      <w:r w:rsidRPr="00320A86">
        <w:t>m</w:t>
      </w:r>
      <w:r w:rsidRPr="00320A86">
        <w:t>bre dans la dictature, il écrit, en 1937 :</w:t>
      </w:r>
    </w:p>
    <w:p w14:paraId="383E9008" w14:textId="77777777" w:rsidR="00B01930" w:rsidRDefault="00B01930" w:rsidP="00B01930">
      <w:pPr>
        <w:pStyle w:val="citation"/>
      </w:pPr>
    </w:p>
    <w:p w14:paraId="53284E49" w14:textId="77777777" w:rsidR="00B01930" w:rsidRDefault="00B01930" w:rsidP="00B01930">
      <w:pPr>
        <w:pStyle w:val="citation"/>
      </w:pPr>
      <w:r w:rsidRPr="00320A86">
        <w:t>« […] Le fascisme est ouvert au futur. Son ambition est d’englober de vastes e</w:t>
      </w:r>
      <w:r w:rsidRPr="00320A86">
        <w:t>n</w:t>
      </w:r>
      <w:r w:rsidRPr="00320A86">
        <w:t>sembles sous son empire. Et, dans la solide organisation dont il rêve, une place est faite plus soigneusement que partout ai</w:t>
      </w:r>
      <w:r w:rsidRPr="00320A86">
        <w:t>l</w:t>
      </w:r>
      <w:r w:rsidRPr="00320A86">
        <w:t>leurs à la conservation et à l’utilisation de l’élite (c’est-à-dire du pe</w:t>
      </w:r>
      <w:r w:rsidRPr="00320A86">
        <w:t>r</w:t>
      </w:r>
      <w:r w:rsidRPr="00320A86">
        <w:t>sonnel et de l’esprit). Sur le domaine qu’il veut couvrir, ses constru</w:t>
      </w:r>
      <w:r w:rsidRPr="00320A86">
        <w:t>c</w:t>
      </w:r>
      <w:r w:rsidRPr="00320A86">
        <w:t>tions ne satisfont donc, plus qu’aucune autre peut-être, aux conditions que nous avons r</w:t>
      </w:r>
      <w:r w:rsidRPr="00320A86">
        <w:t>e</w:t>
      </w:r>
      <w:r w:rsidRPr="00320A86">
        <w:t>connues comme fondamentales à la cité de l’avenir. Le seul, mais le grand malheur est que ce domaine qu’il cons</w:t>
      </w:r>
      <w:r w:rsidRPr="00320A86">
        <w:t>i</w:t>
      </w:r>
      <w:r w:rsidRPr="00320A86">
        <w:t>dère est dérisoirement restreint. […] Le fascisme représente possiblement une maquette assez réussie du monde de demain. Il est peut-être même une phase nécessaire au cours de laquelle les hommes ont à apprendre, comme à l’exercice, sur terrain r</w:t>
      </w:r>
      <w:r w:rsidRPr="00320A86">
        <w:t>é</w:t>
      </w:r>
      <w:r w:rsidRPr="00320A86">
        <w:t>duit, leur métier humain</w:t>
      </w:r>
      <w:r>
        <w:t> </w:t>
      </w:r>
      <w:r w:rsidRPr="007D4B3B">
        <w:rPr>
          <w:rStyle w:val="Appelnotedebasdep"/>
          <w:i/>
        </w:rPr>
        <w:footnoteReference w:id="1064"/>
      </w:r>
      <w:r w:rsidRPr="00320A86">
        <w:t>. »</w:t>
      </w:r>
    </w:p>
    <w:p w14:paraId="4C501605" w14:textId="77777777" w:rsidR="00B01930" w:rsidRPr="00320A86" w:rsidRDefault="00B01930" w:rsidP="00B01930">
      <w:pPr>
        <w:pStyle w:val="citation"/>
      </w:pPr>
    </w:p>
    <w:p w14:paraId="37698CF1" w14:textId="77777777" w:rsidR="00B01930" w:rsidRPr="00320A86" w:rsidRDefault="00B01930" w:rsidP="00B01930">
      <w:pPr>
        <w:spacing w:before="120" w:after="120"/>
        <w:jc w:val="both"/>
      </w:pPr>
      <w:r w:rsidRPr="00320A86">
        <w:t>La clémence de l’appréciation que porte Teilhard de Chardin sur le fascisme s’explique essentiellement par le fait que ce régime semble, à ses yeux, constituer une étape nécessaire de l’évolution de la civil</w:t>
      </w:r>
      <w:r w:rsidRPr="00320A86">
        <w:t>i</w:t>
      </w:r>
      <w:r w:rsidRPr="00320A86">
        <w:t>sation humaine. En fait, sa critique principale porte sur le caractère trop étroit du projet fasciste qui ne prend pas en compte le stade d’évolution de l’humanité.</w:t>
      </w:r>
    </w:p>
    <w:p w14:paraId="6750CC32" w14:textId="77777777" w:rsidR="00B01930" w:rsidRDefault="00B01930" w:rsidP="00B01930">
      <w:pPr>
        <w:pStyle w:val="citation"/>
      </w:pPr>
    </w:p>
    <w:p w14:paraId="21B6816B" w14:textId="77777777" w:rsidR="00B01930" w:rsidRDefault="00B01930" w:rsidP="00B01930">
      <w:pPr>
        <w:pStyle w:val="citation"/>
      </w:pPr>
      <w:r w:rsidRPr="00320A86">
        <w:t>« Il s’obstine à penser et à réaliser le monde moderne qui vit en lui sur des dime</w:t>
      </w:r>
      <w:r w:rsidRPr="00320A86">
        <w:t>n</w:t>
      </w:r>
      <w:r w:rsidRPr="00320A86">
        <w:t>sions appartenant à des âges révolus. Il préfère le racial à l’humain ; il veut rendre une âme à son peuple et n’a point souci du mo</w:t>
      </w:r>
      <w:r w:rsidRPr="00320A86">
        <w:t>n</w:t>
      </w:r>
      <w:r w:rsidRPr="00320A86">
        <w:t>de sans âme. Et le résultat de cette disposition est qu’il ne nous offre, du futur dont nous rêvons, qu’une image réduite, manquant précisément de cette qualité essentielle qui s</w:t>
      </w:r>
      <w:r w:rsidRPr="00320A86">
        <w:t>é</w:t>
      </w:r>
      <w:r w:rsidRPr="00320A86">
        <w:t>pare la totalité du partiel, le fini de l’illimité</w:t>
      </w:r>
      <w:r>
        <w:t> </w:t>
      </w:r>
      <w:r w:rsidRPr="007D4B3B">
        <w:rPr>
          <w:rStyle w:val="Appelnotedebasdep"/>
          <w:i/>
        </w:rPr>
        <w:footnoteReference w:id="1065"/>
      </w:r>
      <w:r w:rsidRPr="00320A86">
        <w:t>. »</w:t>
      </w:r>
    </w:p>
    <w:p w14:paraId="718FA4E2" w14:textId="77777777" w:rsidR="00B01930" w:rsidRPr="00320A86" w:rsidRDefault="00B01930" w:rsidP="00B01930">
      <w:pPr>
        <w:pStyle w:val="citation"/>
      </w:pPr>
    </w:p>
    <w:p w14:paraId="2EB56917" w14:textId="77777777" w:rsidR="00B01930" w:rsidRPr="00320A86" w:rsidRDefault="00B01930" w:rsidP="00B01930">
      <w:pPr>
        <w:spacing w:before="120" w:after="120"/>
        <w:jc w:val="both"/>
      </w:pPr>
      <w:r w:rsidRPr="00320A86">
        <w:t xml:space="preserve">En fait, comme pour le communisme, Teilhard de Chardin a fait preuve d’une certaine hésitation à l’égard du fascisme. Ainsi, en 1933, il écrit : </w:t>
      </w:r>
    </w:p>
    <w:p w14:paraId="008D5BEB" w14:textId="77777777" w:rsidR="00B01930" w:rsidRDefault="00B01930" w:rsidP="00B01930">
      <w:pPr>
        <w:pStyle w:val="citation"/>
      </w:pPr>
      <w:r w:rsidRPr="00320A86">
        <w:t>« Je hais les nationalismes, et leurs patentes régressions vers le passé. Mais je suis vivement intéressé par le primat qu’ils accordent au collectif. La passion pour la “r</w:t>
      </w:r>
      <w:r w:rsidRPr="00320A86">
        <w:t>a</w:t>
      </w:r>
      <w:r w:rsidRPr="00320A86">
        <w:t>ce” représenterait-elle une première ébauche de l’Esprit de la Te</w:t>
      </w:r>
      <w:r w:rsidRPr="00320A86">
        <w:t>r</w:t>
      </w:r>
      <w:r w:rsidRPr="00320A86">
        <w:t>re</w:t>
      </w:r>
      <w:r>
        <w:t> </w:t>
      </w:r>
      <w:r w:rsidRPr="007D4B3B">
        <w:rPr>
          <w:rStyle w:val="Appelnotedebasdep"/>
          <w:i/>
        </w:rPr>
        <w:footnoteReference w:id="1066"/>
      </w:r>
      <w:r w:rsidRPr="00320A86">
        <w:t xml:space="preserve"> ? » </w:t>
      </w:r>
    </w:p>
    <w:p w14:paraId="4A0C0190" w14:textId="77777777" w:rsidR="00B01930" w:rsidRPr="00320A86" w:rsidRDefault="00B01930" w:rsidP="00B01930">
      <w:pPr>
        <w:pStyle w:val="citation"/>
      </w:pPr>
    </w:p>
    <w:p w14:paraId="49A4DE2F" w14:textId="77777777" w:rsidR="00B01930" w:rsidRPr="00320A86" w:rsidRDefault="00B01930" w:rsidP="00B01930">
      <w:pPr>
        <w:spacing w:before="120" w:after="120"/>
        <w:jc w:val="both"/>
      </w:pPr>
      <w:r w:rsidRPr="00320A86">
        <w:t>Trois ans plus tard, il se montre plus critique :</w:t>
      </w:r>
    </w:p>
    <w:p w14:paraId="54EC9374" w14:textId="77777777" w:rsidR="00B01930" w:rsidRDefault="00B01930" w:rsidP="00B01930">
      <w:pPr>
        <w:pStyle w:val="citation"/>
      </w:pPr>
    </w:p>
    <w:p w14:paraId="12E1B5F1" w14:textId="77777777" w:rsidR="00B01930" w:rsidRDefault="00B01930" w:rsidP="00B01930">
      <w:pPr>
        <w:pStyle w:val="citation"/>
      </w:pPr>
      <w:r w:rsidRPr="00320A86">
        <w:t>« Je crains de sentir que les fascismes n’ont pas l’esprit de progrès – et je m’effraie de les voir attirer à eux, instinctivement, tous les éléments fixistes (défaitistes) du Monde. Mauvais symptôme : qui se re</w:t>
      </w:r>
      <w:r w:rsidRPr="00320A86">
        <w:t>s</w:t>
      </w:r>
      <w:r w:rsidRPr="00320A86">
        <w:t>semble s’assemble</w:t>
      </w:r>
      <w:r>
        <w:t> </w:t>
      </w:r>
      <w:r w:rsidRPr="007D4B3B">
        <w:rPr>
          <w:rStyle w:val="Appelnotedebasdep"/>
          <w:i/>
        </w:rPr>
        <w:footnoteReference w:id="1067"/>
      </w:r>
      <w:r w:rsidRPr="00320A86">
        <w:t>. »</w:t>
      </w:r>
    </w:p>
    <w:p w14:paraId="780D8822" w14:textId="77777777" w:rsidR="00B01930" w:rsidRPr="00320A86" w:rsidRDefault="00B01930" w:rsidP="00B01930">
      <w:pPr>
        <w:pStyle w:val="citation"/>
      </w:pPr>
    </w:p>
    <w:p w14:paraId="3A2C7949" w14:textId="77777777" w:rsidR="00B01930" w:rsidRPr="00320A86" w:rsidRDefault="00B01930" w:rsidP="00B01930">
      <w:pPr>
        <w:spacing w:before="120" w:after="120"/>
        <w:jc w:val="both"/>
      </w:pPr>
      <w:r w:rsidRPr="00320A86">
        <w:t>Mais l’on doit se garder de jugements hâtifs. A posteriori, il est f</w:t>
      </w:r>
      <w:r w:rsidRPr="00320A86">
        <w:t>a</w:t>
      </w:r>
      <w:r w:rsidRPr="00320A86">
        <w:t>cile de r</w:t>
      </w:r>
      <w:r w:rsidRPr="00320A86">
        <w:t>e</w:t>
      </w:r>
      <w:r w:rsidRPr="00320A86">
        <w:t>procher à Teilhard une certaine incompréhension du « mal politique » et à sa méthode de conduire à exclure toute régression dans le processus de converge</w:t>
      </w:r>
      <w:r w:rsidRPr="00320A86">
        <w:t>n</w:t>
      </w:r>
      <w:r w:rsidRPr="00320A86">
        <w:t>ce, même s’il est vrai qu’« </w:t>
      </w:r>
      <w:r w:rsidRPr="00021532">
        <w:rPr>
          <w:i/>
        </w:rPr>
        <w:t>une dialectique qui n’admet pas de moment négatif risque de trop concéder aux car</w:t>
      </w:r>
      <w:r w:rsidRPr="00021532">
        <w:rPr>
          <w:i/>
        </w:rPr>
        <w:t>i</w:t>
      </w:r>
      <w:r w:rsidRPr="00021532">
        <w:rPr>
          <w:i/>
        </w:rPr>
        <w:t>catures totalitaires d’un Universel conçu comme “organique et hi</w:t>
      </w:r>
      <w:r w:rsidRPr="00021532">
        <w:rPr>
          <w:i/>
        </w:rPr>
        <w:t>é</w:t>
      </w:r>
      <w:r w:rsidRPr="00021532">
        <w:rPr>
          <w:i/>
        </w:rPr>
        <w:t>rarchique”</w:t>
      </w:r>
      <w:r>
        <w:t> </w:t>
      </w:r>
      <w:r>
        <w:rPr>
          <w:rStyle w:val="Appelnotedebasdep"/>
        </w:rPr>
        <w:footnoteReference w:id="1068"/>
      </w:r>
      <w:r w:rsidRPr="00320A86">
        <w:t> ». Le principal enseignement qu’il tire de l’échec du fa</w:t>
      </w:r>
      <w:r w:rsidRPr="00320A86">
        <w:t>s</w:t>
      </w:r>
      <w:r w:rsidRPr="00320A86">
        <w:t>cisme « </w:t>
      </w:r>
      <w:r w:rsidRPr="00021532">
        <w:rPr>
          <w:i/>
        </w:rPr>
        <w:t>est que dans la mesure où ces premiers essais ont paru nous incliner dangereusement vers un régime ou un état infrahumain de fourmilière ou de termitière, ce n’est pas le principe même de la tot</w:t>
      </w:r>
      <w:r w:rsidRPr="00021532">
        <w:rPr>
          <w:i/>
        </w:rPr>
        <w:t>a</w:t>
      </w:r>
      <w:r w:rsidRPr="00021532">
        <w:rPr>
          <w:i/>
        </w:rPr>
        <w:t>lisation qui est en faute, mais seulement la façon maladroite et inco</w:t>
      </w:r>
      <w:r w:rsidRPr="00021532">
        <w:rPr>
          <w:i/>
        </w:rPr>
        <w:t>m</w:t>
      </w:r>
      <w:r w:rsidRPr="00021532">
        <w:rPr>
          <w:i/>
        </w:rPr>
        <w:t>plète dont il a été appl</w:t>
      </w:r>
      <w:r w:rsidRPr="00021532">
        <w:rPr>
          <w:i/>
        </w:rPr>
        <w:t>i</w:t>
      </w:r>
      <w:r w:rsidRPr="00021532">
        <w:rPr>
          <w:i/>
        </w:rPr>
        <w:t>qué </w:t>
      </w:r>
      <w:r>
        <w:rPr>
          <w:rStyle w:val="Appelnotedebasdep"/>
        </w:rPr>
        <w:footnoteReference w:id="1069"/>
      </w:r>
      <w:r w:rsidRPr="00320A86">
        <w:t> ».</w:t>
      </w:r>
    </w:p>
    <w:p w14:paraId="5735C5F3" w14:textId="77777777" w:rsidR="00B01930" w:rsidRPr="00320A86" w:rsidRDefault="00B01930" w:rsidP="00B01930">
      <w:pPr>
        <w:spacing w:before="120" w:after="120"/>
        <w:jc w:val="both"/>
      </w:pPr>
      <w:r w:rsidRPr="00320A86">
        <w:t>En vérité, ce n’est que dans l’immédiat après-guerre que Teilhard a clair</w:t>
      </w:r>
      <w:r w:rsidRPr="00320A86">
        <w:t>e</w:t>
      </w:r>
      <w:r w:rsidRPr="00320A86">
        <w:t>ment synthétisé sa pensée sur le fascisme, écrivant en 1946 :</w:t>
      </w:r>
    </w:p>
    <w:p w14:paraId="44F7F2B7" w14:textId="77777777" w:rsidR="00B01930" w:rsidRDefault="00B01930" w:rsidP="00B01930">
      <w:pPr>
        <w:pStyle w:val="citation"/>
      </w:pPr>
    </w:p>
    <w:p w14:paraId="77271E7C" w14:textId="77777777" w:rsidR="00B01930" w:rsidRDefault="00B01930" w:rsidP="00B01930">
      <w:pPr>
        <w:pStyle w:val="citation"/>
      </w:pPr>
      <w:r w:rsidRPr="00320A86">
        <w:t>« Je crains qu’on n’en vienne à identifier, pour des raisons « fixistes », Christi</w:t>
      </w:r>
      <w:r w:rsidRPr="00320A86">
        <w:t>a</w:t>
      </w:r>
      <w:r w:rsidRPr="00320A86">
        <w:t>nisme et Fascisme, et à voir comme d’habitude le diable dans les « fronts popula</w:t>
      </w:r>
      <w:r w:rsidRPr="00320A86">
        <w:t>i</w:t>
      </w:r>
      <w:r w:rsidRPr="00320A86">
        <w:t>res ». Pour moi, mon choix est fait depuis longtemps. J’appartiens à la fra</w:t>
      </w:r>
      <w:r w:rsidRPr="00320A86">
        <w:t>c</w:t>
      </w:r>
      <w:r w:rsidRPr="00320A86">
        <w:t>tion « espérance » de l’Humanité. Et si je me défie instinctivement des fascistes, c’est parce qu’ils me paraissent systémat</w:t>
      </w:r>
      <w:r w:rsidRPr="00320A86">
        <w:t>i</w:t>
      </w:r>
      <w:r w:rsidRPr="00320A86">
        <w:t>quement limités dans leurs espérances humaines (tout précisément comme un certain christianisme officiel – et c’est en cela précis</w:t>
      </w:r>
      <w:r w:rsidRPr="00320A86">
        <w:t>é</w:t>
      </w:r>
      <w:r w:rsidRPr="00320A86">
        <w:t>ment que l’un et l’autre se rejoignent). Ils réal</w:t>
      </w:r>
      <w:r w:rsidRPr="00320A86">
        <w:t>i</w:t>
      </w:r>
      <w:r w:rsidRPr="00320A86">
        <w:t>sent certains progrès. Mais ils n’ont pas « l’esprit de progrès ». Tout cela finira peut-être par une énorme synthèse dans laquelle l’ordre fasciste se trouvera animé par l’élan si impropr</w:t>
      </w:r>
      <w:r w:rsidRPr="00320A86">
        <w:t>e</w:t>
      </w:r>
      <w:r w:rsidRPr="00320A86">
        <w:t>ment appelé « communiste »</w:t>
      </w:r>
      <w:r>
        <w:t> </w:t>
      </w:r>
      <w:r w:rsidRPr="007D4B3B">
        <w:rPr>
          <w:rStyle w:val="Appelnotedebasdep"/>
          <w:i/>
        </w:rPr>
        <w:footnoteReference w:id="1070"/>
      </w:r>
      <w:r w:rsidRPr="00320A86">
        <w:t>. »</w:t>
      </w:r>
    </w:p>
    <w:p w14:paraId="32C96A3E" w14:textId="77777777" w:rsidR="00B01930" w:rsidRPr="00320A86" w:rsidRDefault="00B01930" w:rsidP="00B01930">
      <w:pPr>
        <w:pStyle w:val="citation"/>
      </w:pPr>
    </w:p>
    <w:p w14:paraId="73FD9547" w14:textId="77777777" w:rsidR="00B01930" w:rsidRPr="00320A86" w:rsidRDefault="00B01930" w:rsidP="00B01930">
      <w:pPr>
        <w:spacing w:before="120" w:after="120"/>
        <w:jc w:val="both"/>
      </w:pPr>
      <w:r w:rsidRPr="00320A86">
        <w:t>À partir de l’étude de ces trois catégories de régimes politiques, il a tenté d’expliquer la situation politique de la fin des années trente, qui se caractérisait essentiellement par la division des pays en trois e</w:t>
      </w:r>
      <w:r w:rsidRPr="00320A86">
        <w:t>n</w:t>
      </w:r>
      <w:r w:rsidRPr="00320A86">
        <w:t>sembles : celui des pays d</w:t>
      </w:r>
      <w:r w:rsidRPr="00320A86">
        <w:t>é</w:t>
      </w:r>
      <w:r w:rsidRPr="00320A86">
        <w:t>mocratiques, celui des pays communistes, et celui des pays fascistes, à partir des « </w:t>
      </w:r>
      <w:r w:rsidRPr="00021532">
        <w:rPr>
          <w:i/>
        </w:rPr>
        <w:t>trois caractères […] défini</w:t>
      </w:r>
      <w:r w:rsidRPr="00021532">
        <w:rPr>
          <w:i/>
        </w:rPr>
        <w:t>s</w:t>
      </w:r>
      <w:r w:rsidRPr="00021532">
        <w:rPr>
          <w:i/>
        </w:rPr>
        <w:t>sant le sens de la poussée humaine : le futurisme, l’universalisme et le personnalisme </w:t>
      </w:r>
      <w:r>
        <w:rPr>
          <w:rStyle w:val="Appelnotedebasdep"/>
        </w:rPr>
        <w:footnoteReference w:id="1071"/>
      </w:r>
      <w:r w:rsidRPr="00320A86">
        <w:t> ». Malgré les risques d’un nouveau conflit mo</w:t>
      </w:r>
      <w:r w:rsidRPr="00320A86">
        <w:t>n</w:t>
      </w:r>
      <w:r w:rsidRPr="00320A86">
        <w:t>dial, trois raisons le poussent à faire preuve d’un certain optimisme : les puissances qui s’opposent ne se caractérisent pas uniquement par des tendances destructrices, mais sont porteuses d’un projet ; leur conce</w:t>
      </w:r>
      <w:r w:rsidRPr="00320A86">
        <w:t>p</w:t>
      </w:r>
      <w:r w:rsidRPr="00320A86">
        <w:t>tion de l’avenir est relativement proche ; enfin, « </w:t>
      </w:r>
      <w:r w:rsidRPr="00021532">
        <w:rPr>
          <w:i/>
        </w:rPr>
        <w:t>en chacune d’elles c’est le monde lui-même qui se défend et qui veut venir à la lumi</w:t>
      </w:r>
      <w:r w:rsidRPr="00021532">
        <w:rPr>
          <w:i/>
        </w:rPr>
        <w:t>è</w:t>
      </w:r>
      <w:r w:rsidRPr="00021532">
        <w:rPr>
          <w:i/>
        </w:rPr>
        <w:t>re </w:t>
      </w:r>
      <w:r>
        <w:rPr>
          <w:rStyle w:val="Appelnotedebasdep"/>
        </w:rPr>
        <w:footnoteReference w:id="1072"/>
      </w:r>
      <w:r w:rsidRPr="00320A86">
        <w:t> ». Teilhard en déduit que ces trois formes de régimes politiques ne sont pas symptomatiques d’une dégénérescence morte</w:t>
      </w:r>
      <w:r w:rsidRPr="00320A86">
        <w:t>l</w:t>
      </w:r>
      <w:r w:rsidRPr="00320A86">
        <w:t>le de l’humanité, mais d’une « </w:t>
      </w:r>
      <w:r w:rsidRPr="00021532">
        <w:rPr>
          <w:i/>
        </w:rPr>
        <w:t>crise de naissance </w:t>
      </w:r>
      <w:r w:rsidRPr="00320A86">
        <w:t>». Cette analyse le conduit à voir dans la situation politique des années trente l’annonce d’un no</w:t>
      </w:r>
      <w:r w:rsidRPr="00320A86">
        <w:t>u</w:t>
      </w:r>
      <w:r w:rsidRPr="00320A86">
        <w:t>vel âge pour l’humanité :</w:t>
      </w:r>
    </w:p>
    <w:p w14:paraId="6254ACF1" w14:textId="77777777" w:rsidR="00B01930" w:rsidRDefault="00B01930" w:rsidP="00B01930">
      <w:pPr>
        <w:pStyle w:val="citation"/>
      </w:pPr>
    </w:p>
    <w:p w14:paraId="657B85F8" w14:textId="77777777" w:rsidR="00B01930" w:rsidRDefault="00B01930" w:rsidP="00B01930">
      <w:pPr>
        <w:pStyle w:val="citation"/>
      </w:pPr>
      <w:r w:rsidRPr="00320A86">
        <w:t>« Confiance en un avenir illimité, où toutes les valeurs positives de la civilisation s’uniraient dans une totalité exaltant les valeurs indiv</w:t>
      </w:r>
      <w:r w:rsidRPr="00320A86">
        <w:t>i</w:t>
      </w:r>
      <w:r w:rsidRPr="00320A86">
        <w:t>duelles. Passion supérieure, où se trouveraient à la fois repris et consommés, dans une synthèse nouvelle, et le sens démocratique des droits de la personne, et la vision comm</w:t>
      </w:r>
      <w:r w:rsidRPr="00320A86">
        <w:t>u</w:t>
      </w:r>
      <w:r w:rsidRPr="00320A86">
        <w:t>niste des puissances de la matière, et l’idéal fasciste des élites organisées. Voilà le « quatrième esprit », qui mûrit, et que tous a</w:t>
      </w:r>
      <w:r w:rsidRPr="00320A86">
        <w:t>t</w:t>
      </w:r>
      <w:r w:rsidRPr="00320A86">
        <w:t>tendent. Ainsi, correspondant à une profonde transformation du monde, s’élabore sans doute un idéal nouveau capable de s’imposer aux ho</w:t>
      </w:r>
      <w:r w:rsidRPr="00320A86">
        <w:t>m</w:t>
      </w:r>
      <w:r w:rsidRPr="00320A86">
        <w:t>mes</w:t>
      </w:r>
      <w:r>
        <w:t> </w:t>
      </w:r>
      <w:r w:rsidRPr="007D4B3B">
        <w:rPr>
          <w:rStyle w:val="Appelnotedebasdep"/>
          <w:i/>
        </w:rPr>
        <w:footnoteReference w:id="1073"/>
      </w:r>
      <w:r w:rsidRPr="00320A86">
        <w:t>. »</w:t>
      </w:r>
    </w:p>
    <w:p w14:paraId="4ECF74ED" w14:textId="77777777" w:rsidR="00B01930" w:rsidRPr="00320A86" w:rsidRDefault="00B01930" w:rsidP="00B01930">
      <w:pPr>
        <w:pStyle w:val="citation"/>
      </w:pPr>
    </w:p>
    <w:p w14:paraId="07C58F47" w14:textId="77777777" w:rsidR="00B01930" w:rsidRDefault="00B01930" w:rsidP="00B01930">
      <w:pPr>
        <w:spacing w:before="120" w:after="120"/>
        <w:jc w:val="both"/>
      </w:pPr>
      <w:r w:rsidRPr="00320A86">
        <w:t>Mais il faut se garder de déduire de ces lignes que le philosophe décèle entre la démocratie, le communisme et le fascisme une conve</w:t>
      </w:r>
      <w:r w:rsidRPr="00320A86">
        <w:t>r</w:t>
      </w:r>
      <w:r w:rsidRPr="00320A86">
        <w:t>gence d’idées perme</w:t>
      </w:r>
      <w:r w:rsidRPr="00320A86">
        <w:t>t</w:t>
      </w:r>
      <w:r w:rsidRPr="00320A86">
        <w:t xml:space="preserve">tant d’envisager leur participation à un projet commun. Certes, il affirme : </w:t>
      </w:r>
    </w:p>
    <w:p w14:paraId="41164ED7" w14:textId="77777777" w:rsidR="00B01930" w:rsidRPr="00320A86" w:rsidRDefault="00B01930" w:rsidP="00B01930">
      <w:pPr>
        <w:spacing w:before="120" w:after="120"/>
        <w:jc w:val="both"/>
      </w:pPr>
      <w:r>
        <w:br w:type="page"/>
      </w:r>
    </w:p>
    <w:p w14:paraId="0FDB62DA" w14:textId="77777777" w:rsidR="00B01930" w:rsidRDefault="00B01930" w:rsidP="00B01930">
      <w:pPr>
        <w:pStyle w:val="citation"/>
      </w:pPr>
      <w:r w:rsidRPr="00320A86">
        <w:t>« Que la démocratie, que le communisme, que le fascisme aillent au bout et à la plénitude des aspirations positives qui animent leur élan : et alors, tout nat</w:t>
      </w:r>
      <w:r w:rsidRPr="00320A86">
        <w:t>u</w:t>
      </w:r>
      <w:r w:rsidRPr="00320A86">
        <w:t>rellement, leurs routes convergeront. […] Et, quelque jour, sans même probablement avoir conscience du pas réal</w:t>
      </w:r>
      <w:r w:rsidRPr="00320A86">
        <w:t>i</w:t>
      </w:r>
      <w:r w:rsidRPr="00320A86">
        <w:t>sé en eux par la vie, les trois courants se trouveront amenés à concevoir une œuvre co</w:t>
      </w:r>
      <w:r w:rsidRPr="00320A86">
        <w:t>m</w:t>
      </w:r>
      <w:r w:rsidRPr="00320A86">
        <w:t>mune : promouvoir l’avenir spirituel du mo</w:t>
      </w:r>
      <w:r w:rsidRPr="00320A86">
        <w:t>n</w:t>
      </w:r>
      <w:r w:rsidRPr="00320A86">
        <w:t>de</w:t>
      </w:r>
      <w:r>
        <w:t> </w:t>
      </w:r>
      <w:r w:rsidRPr="007D4B3B">
        <w:rPr>
          <w:rStyle w:val="Appelnotedebasdep"/>
          <w:i/>
        </w:rPr>
        <w:footnoteReference w:id="1074"/>
      </w:r>
      <w:r w:rsidRPr="00320A86">
        <w:t xml:space="preserve">. » </w:t>
      </w:r>
    </w:p>
    <w:p w14:paraId="6E6C0961" w14:textId="77777777" w:rsidR="00B01930" w:rsidRPr="00320A86" w:rsidRDefault="00B01930" w:rsidP="00B01930">
      <w:pPr>
        <w:pStyle w:val="citation"/>
      </w:pPr>
    </w:p>
    <w:p w14:paraId="41B0B351" w14:textId="77777777" w:rsidR="00B01930" w:rsidRPr="00320A86" w:rsidRDefault="00B01930" w:rsidP="00B01930">
      <w:pPr>
        <w:spacing w:before="120" w:after="120"/>
        <w:jc w:val="both"/>
      </w:pPr>
      <w:r w:rsidRPr="00320A86">
        <w:t>Mais il évoque moins les idées véhiculées par les trois formes de régimes, qui sont pour l’essentiel radicalement opposées, que les asp</w:t>
      </w:r>
      <w:r w:rsidRPr="00320A86">
        <w:t>i</w:t>
      </w:r>
      <w:r w:rsidRPr="00320A86">
        <w:t>rations des hommes, les premières pouvant même aller jusqu’à const</w:t>
      </w:r>
      <w:r w:rsidRPr="00320A86">
        <w:t>i</w:t>
      </w:r>
      <w:r w:rsidRPr="00320A86">
        <w:t>tuer une négation des secondes.</w:t>
      </w:r>
    </w:p>
    <w:p w14:paraId="32DC059D" w14:textId="77777777" w:rsidR="00B01930" w:rsidRPr="00320A86" w:rsidRDefault="00B01930" w:rsidP="00B01930">
      <w:pPr>
        <w:spacing w:before="120" w:after="120"/>
        <w:jc w:val="both"/>
      </w:pPr>
    </w:p>
    <w:p w14:paraId="3DD0340C" w14:textId="77777777" w:rsidR="00B01930" w:rsidRPr="00320A86" w:rsidRDefault="00B01930" w:rsidP="00B01930">
      <w:pPr>
        <w:pStyle w:val="a"/>
      </w:pPr>
      <w:r w:rsidRPr="00320A86">
        <w:t>La démocratisation et la planétisation</w:t>
      </w:r>
    </w:p>
    <w:p w14:paraId="77698C4B" w14:textId="77777777" w:rsidR="00B01930" w:rsidRDefault="00B01930" w:rsidP="00B01930">
      <w:pPr>
        <w:spacing w:before="120" w:after="120"/>
        <w:jc w:val="both"/>
      </w:pPr>
    </w:p>
    <w:p w14:paraId="27381494" w14:textId="77777777" w:rsidR="00B01930" w:rsidRPr="00320A86" w:rsidRDefault="00B01930" w:rsidP="00B01930">
      <w:pPr>
        <w:spacing w:before="120" w:after="120"/>
        <w:jc w:val="both"/>
      </w:pPr>
      <w:r w:rsidRPr="00320A86">
        <w:t>Déplorant « </w:t>
      </w:r>
      <w:r w:rsidRPr="00021532">
        <w:rPr>
          <w:i/>
        </w:rPr>
        <w:t>le spectacle décourageant de la masse humaine di</w:t>
      </w:r>
      <w:r w:rsidRPr="00021532">
        <w:rPr>
          <w:i/>
        </w:rPr>
        <w:t>s</w:t>
      </w:r>
      <w:r w:rsidRPr="00021532">
        <w:rPr>
          <w:i/>
        </w:rPr>
        <w:t>persée </w:t>
      </w:r>
      <w:r>
        <w:rPr>
          <w:rStyle w:val="Appelnotedebasdep"/>
        </w:rPr>
        <w:footnoteReference w:id="1075"/>
      </w:r>
      <w:r w:rsidRPr="00320A86">
        <w:t> » que lui offrait le monde de l’après-Seconde Guerre mondi</w:t>
      </w:r>
      <w:r w:rsidRPr="00320A86">
        <w:t>a</w:t>
      </w:r>
      <w:r w:rsidRPr="00320A86">
        <w:t>le, Teilhard s’est i</w:t>
      </w:r>
      <w:r w:rsidRPr="00320A86">
        <w:t>n</w:t>
      </w:r>
      <w:r w:rsidRPr="00320A86">
        <w:t>terrogé sur les modalités de la réalisation politique de la planétisation. La question est, pour lui, d’une importance cruci</w:t>
      </w:r>
      <w:r w:rsidRPr="00320A86">
        <w:t>a</w:t>
      </w:r>
      <w:r w:rsidRPr="00320A86">
        <w:t>le, car si la planétisation lui apparaît comme inéluctable et imposée par la logique de l’évolution de l’humanité à la surface de la Terre, nota</w:t>
      </w:r>
      <w:r w:rsidRPr="00320A86">
        <w:t>m</w:t>
      </w:r>
      <w:r w:rsidRPr="00320A86">
        <w:t>ment en raison de la croissance démographique et des progrès techn</w:t>
      </w:r>
      <w:r w:rsidRPr="00320A86">
        <w:t>i</w:t>
      </w:r>
      <w:r w:rsidRPr="00320A86">
        <w:t>ques et culturels, a priori illimités et incompatibles avec l’exiguïté de la planète, il n’est pas dit qu’elle lui survive.</w:t>
      </w:r>
    </w:p>
    <w:p w14:paraId="2D7A4B02" w14:textId="77777777" w:rsidR="00B01930" w:rsidRPr="00320A86" w:rsidRDefault="00B01930" w:rsidP="00B01930">
      <w:pPr>
        <w:spacing w:before="120" w:after="120"/>
        <w:jc w:val="both"/>
      </w:pPr>
      <w:r w:rsidRPr="00320A86">
        <w:t>Dès lors que « </w:t>
      </w:r>
      <w:r w:rsidRPr="00021532">
        <w:rPr>
          <w:i/>
        </w:rPr>
        <w:t>la densification de l’étoffe humaine </w:t>
      </w:r>
      <w:r>
        <w:rPr>
          <w:rStyle w:val="Appelnotedebasdep"/>
        </w:rPr>
        <w:footnoteReference w:id="1076"/>
      </w:r>
      <w:r w:rsidRPr="00320A86">
        <w:t> » est un fait établi, il faut répondre aux conséquences prévisibles de celle-ci sur les âmes. Il y va, non se</w:t>
      </w:r>
      <w:r w:rsidRPr="00320A86">
        <w:t>u</w:t>
      </w:r>
      <w:r w:rsidRPr="00320A86">
        <w:t>lement de la qualité de vie des humains, mais aussi et surtout de la survie de l’espèce humaine. Cela suppose de fa</w:t>
      </w:r>
      <w:r w:rsidRPr="00320A86">
        <w:t>i</w:t>
      </w:r>
      <w:r w:rsidRPr="00320A86">
        <w:t>re un certain nombre de choix économ</w:t>
      </w:r>
      <w:r w:rsidRPr="00320A86">
        <w:t>i</w:t>
      </w:r>
      <w:r w:rsidRPr="00320A86">
        <w:t>ques et sociaux qui répondent aux besoins des hommes sans remettre en cause le processus de plan</w:t>
      </w:r>
      <w:r w:rsidRPr="00320A86">
        <w:t>é</w:t>
      </w:r>
      <w:r w:rsidRPr="00320A86">
        <w:t>tisation. L’humanité doit inventer « </w:t>
      </w:r>
      <w:r w:rsidRPr="00021532">
        <w:rPr>
          <w:i/>
        </w:rPr>
        <w:t>ce qui […] la force à r</w:t>
      </w:r>
      <w:r w:rsidRPr="00021532">
        <w:rPr>
          <w:i/>
        </w:rPr>
        <w:t>é</w:t>
      </w:r>
      <w:r w:rsidRPr="00021532">
        <w:rPr>
          <w:i/>
        </w:rPr>
        <w:t>fléchir – Ce qui, finalement, l’amène à se réfléchir un degré de plus sur soi, – c’est-à-dire à surdévelopper ce qui, en elle, est le plus spécifiquement et sup</w:t>
      </w:r>
      <w:r w:rsidRPr="00021532">
        <w:rPr>
          <w:i/>
        </w:rPr>
        <w:t>é</w:t>
      </w:r>
      <w:r w:rsidRPr="00021532">
        <w:rPr>
          <w:i/>
        </w:rPr>
        <w:t>rieurement humain </w:t>
      </w:r>
      <w:r>
        <w:rPr>
          <w:rStyle w:val="Appelnotedebasdep"/>
        </w:rPr>
        <w:footnoteReference w:id="1077"/>
      </w:r>
      <w:r w:rsidRPr="00320A86">
        <w:t> ».</w:t>
      </w:r>
    </w:p>
    <w:p w14:paraId="479C4C04" w14:textId="77777777" w:rsidR="00B01930" w:rsidRPr="00320A86" w:rsidRDefault="00B01930" w:rsidP="00B01930">
      <w:pPr>
        <w:spacing w:before="120" w:after="120"/>
        <w:jc w:val="both"/>
      </w:pPr>
      <w:r w:rsidRPr="00320A86">
        <w:t>Pour autant, le philosophe doute que la planétisation puisse avoir une inc</w:t>
      </w:r>
      <w:r w:rsidRPr="00320A86">
        <w:t>i</w:t>
      </w:r>
      <w:r w:rsidRPr="00320A86">
        <w:t xml:space="preserve">dence sur les choix politiques de ses contemporains : l’histoire du </w:t>
      </w:r>
      <w:r w:rsidRPr="00320A86">
        <w:rPr>
          <w:smallCaps/>
        </w:rPr>
        <w:t>xx</w:t>
      </w:r>
      <w:r w:rsidRPr="00320A86">
        <w:rPr>
          <w:vertAlign w:val="superscript"/>
        </w:rPr>
        <w:t>e</w:t>
      </w:r>
      <w:r w:rsidRPr="00320A86">
        <w:t xml:space="preserve"> siècle ne lui donne pas de raisons d’être optimiste. Il relève toutefois que l’évolution pol</w:t>
      </w:r>
      <w:r w:rsidRPr="00320A86">
        <w:t>i</w:t>
      </w:r>
      <w:r w:rsidRPr="00320A86">
        <w:t xml:space="preserve">tique de l’occident depuis le </w:t>
      </w:r>
      <w:r w:rsidRPr="00320A86">
        <w:rPr>
          <w:smallCaps/>
        </w:rPr>
        <w:t>xviii</w:t>
      </w:r>
      <w:r w:rsidRPr="00320A86">
        <w:rPr>
          <w:vertAlign w:val="superscript"/>
        </w:rPr>
        <w:t>e</w:t>
      </w:r>
      <w:r w:rsidRPr="00320A86">
        <w:t xml:space="preserve"> siècle semble cacher une dynamique positive « </w:t>
      </w:r>
      <w:r w:rsidRPr="00021532">
        <w:rPr>
          <w:i/>
        </w:rPr>
        <w:t>sous la montée en cascade des démocraties et des totalitarismes qui se succèdent depuis cent ci</w:t>
      </w:r>
      <w:r w:rsidRPr="00021532">
        <w:rPr>
          <w:i/>
        </w:rPr>
        <w:t>n</w:t>
      </w:r>
      <w:r w:rsidRPr="00021532">
        <w:rPr>
          <w:i/>
        </w:rPr>
        <w:t>quante ans dans l’histoire du monde </w:t>
      </w:r>
      <w:r>
        <w:rPr>
          <w:rStyle w:val="Appelnotedebasdep"/>
        </w:rPr>
        <w:footnoteReference w:id="1078"/>
      </w:r>
      <w:r w:rsidRPr="00320A86">
        <w:t> », comme si l’humanité, par touches successives, redéfinissait les systèmes politiques en fonction d’une logique encore à définir :</w:t>
      </w:r>
    </w:p>
    <w:p w14:paraId="521D0972" w14:textId="77777777" w:rsidR="00B01930" w:rsidRDefault="00B01930" w:rsidP="00B01930">
      <w:pPr>
        <w:pStyle w:val="citation"/>
      </w:pPr>
    </w:p>
    <w:p w14:paraId="3F004C01" w14:textId="77777777" w:rsidR="00B01930" w:rsidRDefault="00B01930" w:rsidP="00B01930">
      <w:pPr>
        <w:pStyle w:val="citation"/>
      </w:pPr>
      <w:r w:rsidRPr="00320A86">
        <w:t>« N’est-ce pas le Sens de l’Espèce qui, après avoir semblé un in</w:t>
      </w:r>
      <w:r w:rsidRPr="00320A86">
        <w:t>s</w:t>
      </w:r>
      <w:r w:rsidRPr="00320A86">
        <w:t>tant s’évanouir au fond de nos cœurs, volatilisé en quelque sorte par l’émergence de la Réflexion, – n’est-ce pas le Sens de l’Espèce, dis-je, qui par-dessus tout individualisme rétréci r</w:t>
      </w:r>
      <w:r w:rsidRPr="00320A86">
        <w:t>e</w:t>
      </w:r>
      <w:r w:rsidRPr="00320A86">
        <w:t>prend peu à peu sa place et ses droits</w:t>
      </w:r>
      <w:r>
        <w:t> </w:t>
      </w:r>
      <w:r w:rsidRPr="007D4B3B">
        <w:rPr>
          <w:rStyle w:val="Appelnotedebasdep"/>
          <w:i/>
        </w:rPr>
        <w:footnoteReference w:id="1079"/>
      </w:r>
      <w:r w:rsidRPr="00320A86">
        <w:t> ? »</w:t>
      </w:r>
    </w:p>
    <w:p w14:paraId="0970AA4B" w14:textId="77777777" w:rsidR="00B01930" w:rsidRPr="00320A86" w:rsidRDefault="00B01930" w:rsidP="00B01930">
      <w:pPr>
        <w:pStyle w:val="citation"/>
      </w:pPr>
    </w:p>
    <w:p w14:paraId="4241B040" w14:textId="77777777" w:rsidR="00B01930" w:rsidRPr="00320A86" w:rsidRDefault="00B01930" w:rsidP="00B01930">
      <w:pPr>
        <w:spacing w:before="120" w:after="120"/>
        <w:jc w:val="both"/>
      </w:pPr>
      <w:r w:rsidRPr="00320A86">
        <w:t xml:space="preserve"> L’alternance des régimes politiques depuis la fin du </w:t>
      </w:r>
      <w:r w:rsidRPr="00320A86">
        <w:rPr>
          <w:smallCaps/>
        </w:rPr>
        <w:t>xviii</w:t>
      </w:r>
      <w:r w:rsidRPr="00320A86">
        <w:rPr>
          <w:vertAlign w:val="superscript"/>
        </w:rPr>
        <w:t>e</w:t>
      </w:r>
      <w:r w:rsidRPr="00320A86">
        <w:t xml:space="preserve"> siècle marquerait ainsi la marche saccadée de l’humanité pour s’adapter à la planétisation dans le cadre de l’évolution de l’Espèce.</w:t>
      </w:r>
    </w:p>
    <w:p w14:paraId="6D135925" w14:textId="77777777" w:rsidR="00B01930" w:rsidRPr="00320A86" w:rsidRDefault="00B01930" w:rsidP="00B01930">
      <w:pPr>
        <w:spacing w:before="120" w:after="120"/>
        <w:jc w:val="both"/>
      </w:pPr>
      <w:r w:rsidRPr="00320A86">
        <w:t>Se référant au contexte politique du début des années cinquante, Teilhard o</w:t>
      </w:r>
      <w:r w:rsidRPr="00320A86">
        <w:t>p</w:t>
      </w:r>
      <w:r w:rsidRPr="00320A86">
        <w:t>pose deux solutions : la solution marxiste et la solution chrétienne, la seconde étant, à ses yeux, la seule susceptible de const</w:t>
      </w:r>
      <w:r w:rsidRPr="00320A86">
        <w:t>i</w:t>
      </w:r>
      <w:r w:rsidRPr="00320A86">
        <w:t>tuer une réponse aux enjeux de la planétisation.</w:t>
      </w:r>
    </w:p>
    <w:p w14:paraId="1A4FCEBD" w14:textId="77777777" w:rsidR="00B01930" w:rsidRDefault="00B01930" w:rsidP="00B01930">
      <w:pPr>
        <w:pStyle w:val="citation"/>
      </w:pPr>
    </w:p>
    <w:p w14:paraId="02BAEA87" w14:textId="77777777" w:rsidR="00B01930" w:rsidRPr="00320A86" w:rsidRDefault="00B01930" w:rsidP="00B01930">
      <w:pPr>
        <w:pStyle w:val="citation"/>
      </w:pPr>
      <w:r w:rsidRPr="00320A86">
        <w:t>« Suivant les uns (solution de type « marxiste »), il suffirait, pour exc</w:t>
      </w:r>
      <w:r w:rsidRPr="00320A86">
        <w:t>i</w:t>
      </w:r>
      <w:r w:rsidRPr="00320A86">
        <w:t>ter et polar</w:t>
      </w:r>
      <w:r w:rsidRPr="00320A86">
        <w:t>i</w:t>
      </w:r>
      <w:r w:rsidRPr="00320A86">
        <w:t>ser les molécules humaines, de leur faire entrevoir, au terme de l’Anthropogénèse, l’accession à un certain état de réflexion et de symp</w:t>
      </w:r>
      <w:r w:rsidRPr="00320A86">
        <w:t>a</w:t>
      </w:r>
      <w:r w:rsidRPr="00320A86">
        <w:t>thie collectives, dont chacune profiterait par participation : voûte de pe</w:t>
      </w:r>
      <w:r w:rsidRPr="00320A86">
        <w:t>n</w:t>
      </w:r>
      <w:r w:rsidRPr="00320A86">
        <w:t>sées arc-boutées, circuit fermé d’attachements, où chaque individu humain trouverait intellectuellement et affectivement sa pl</w:t>
      </w:r>
      <w:r w:rsidRPr="00320A86">
        <w:t>é</w:t>
      </w:r>
      <w:r w:rsidRPr="00320A86">
        <w:t>nitude dans la mesure où il fait corps avec le système tout entier.</w:t>
      </w:r>
    </w:p>
    <w:p w14:paraId="57C3E38E" w14:textId="77777777" w:rsidR="00B01930" w:rsidRDefault="00B01930" w:rsidP="00B01930">
      <w:pPr>
        <w:pStyle w:val="citation"/>
      </w:pPr>
      <w:r w:rsidRPr="00320A86">
        <w:t>Suivant les autres (solution de type « chrétien »), seule finalement l’apparition, au sommet et au cœur du monde unifié, d’un Centre auton</w:t>
      </w:r>
      <w:r w:rsidRPr="00320A86">
        <w:t>o</w:t>
      </w:r>
      <w:r w:rsidRPr="00320A86">
        <w:t>me de rassemblement est structurellement et fonctionnellement capable de susciter, d’entretenir et de déchaîner à fond, au sein de la masse humaine encore dissociée, les forces attendues d’unanimisation. Seul en effet, a</w:t>
      </w:r>
      <w:r w:rsidRPr="00320A86">
        <w:t>f</w:t>
      </w:r>
      <w:r w:rsidRPr="00320A86">
        <w:t>firment les tenants de cette deuxième hypothèse, seul un véritable super-amour (c’est-à-dire seule l’attraction d’une véritable « super-personne ») peut, de nécessité psycholog</w:t>
      </w:r>
      <w:r w:rsidRPr="00320A86">
        <w:t>i</w:t>
      </w:r>
      <w:r w:rsidRPr="00320A86">
        <w:t>que, dominer, capter et synthétiser la foule des autres amours de la Terre. Sans l’existence d’un pareil foyer (non pas métaphor</w:t>
      </w:r>
      <w:r w:rsidRPr="00320A86">
        <w:t>i</w:t>
      </w:r>
      <w:r w:rsidRPr="00320A86">
        <w:t>que ou virtuel, – mais réel) d’universelle convergence, pas de cohérence possible pour l’Humanité totalisée ; –  et, par conséquent, pas de consistance. D’un Monde culminant en Impersonnel ne sauraient de</w:t>
      </w:r>
      <w:r w:rsidRPr="00320A86">
        <w:t>s</w:t>
      </w:r>
      <w:r w:rsidRPr="00320A86">
        <w:t>cendre sur nous ni la chaleur d’attrait, ni l’espérance d’irréversibilité (i</w:t>
      </w:r>
      <w:r w:rsidRPr="00320A86">
        <w:t>m</w:t>
      </w:r>
      <w:r w:rsidRPr="00320A86">
        <w:t>mortalité) sans lesquelles notre égoïsme aura toujours le de</w:t>
      </w:r>
      <w:r w:rsidRPr="00320A86">
        <w:t>r</w:t>
      </w:r>
      <w:r w:rsidRPr="00320A86">
        <w:t>nier mot. Il faut un véritable Ego au sommet du Monde, pour consommer, sans les confondre, tous les ego élémentaires de la Terre</w:t>
      </w:r>
      <w:r>
        <w:t> </w:t>
      </w:r>
      <w:r w:rsidRPr="007D4B3B">
        <w:rPr>
          <w:rStyle w:val="Appelnotedebasdep"/>
          <w:i/>
        </w:rPr>
        <w:footnoteReference w:id="1080"/>
      </w:r>
      <w:r w:rsidRPr="00320A86">
        <w:t>… »</w:t>
      </w:r>
    </w:p>
    <w:p w14:paraId="10FDA65E" w14:textId="77777777" w:rsidR="00B01930" w:rsidRPr="00320A86" w:rsidRDefault="00B01930" w:rsidP="00B01930">
      <w:pPr>
        <w:pStyle w:val="citation"/>
      </w:pPr>
    </w:p>
    <w:p w14:paraId="6DE41E37" w14:textId="77777777" w:rsidR="00B01930" w:rsidRPr="00320A86" w:rsidRDefault="00B01930" w:rsidP="00B01930">
      <w:pPr>
        <w:spacing w:before="120" w:after="120"/>
        <w:jc w:val="both"/>
      </w:pPr>
      <w:r w:rsidRPr="00320A86">
        <w:t>La forme collective de l’issue de l’évolution de l’humanité, dans le cadre d’une hominisation de l’espèce, étant établie, il convient de d</w:t>
      </w:r>
      <w:r w:rsidRPr="00320A86">
        <w:t>é</w:t>
      </w:r>
      <w:r w:rsidRPr="00320A86">
        <w:t>terminer quelle organisation humaine permet d’atteindre la réalisation du « </w:t>
      </w:r>
      <w:r w:rsidRPr="00021532">
        <w:rPr>
          <w:i/>
        </w:rPr>
        <w:t>phénomène social </w:t>
      </w:r>
      <w:r w:rsidRPr="00320A86">
        <w:t>». Le choix du régime politique est, en ce sens, essentiel. Or, d’après le philosophe chrétien, l’établissement d’un r</w:t>
      </w:r>
      <w:r w:rsidRPr="00320A86">
        <w:t>é</w:t>
      </w:r>
      <w:r w:rsidRPr="00320A86">
        <w:t>gime démocratique à l’échelle mondiale est une nécessité. Lui seul devrait permettre aux hommes d’atteindre, sur un plan tant individuel que collectif, la plénitude de leur personnalité. Ce choix est d’autant plus important qu’il estime que l’histoire ne se renouvelle pas, mais se bâtit : contrairement aux philosophes grecs qui avaient une conception cyclique des régimes politiques</w:t>
      </w:r>
      <w:r>
        <w:t> </w:t>
      </w:r>
      <w:r>
        <w:rPr>
          <w:rStyle w:val="Appelnotedebasdep"/>
        </w:rPr>
        <w:footnoteReference w:id="1081"/>
      </w:r>
      <w:r w:rsidRPr="00320A86">
        <w:t xml:space="preserve"> – chaque régime politique étant condamné à dégénérer pour donner la place à un autre suivant un pr</w:t>
      </w:r>
      <w:r w:rsidRPr="00320A86">
        <w:t>o</w:t>
      </w:r>
      <w:r w:rsidRPr="00320A86">
        <w:t>cessus logiquement ordonné –, Teilhard ne conçoit aucun retour po</w:t>
      </w:r>
      <w:r w:rsidRPr="00320A86">
        <w:t>s</w:t>
      </w:r>
      <w:r w:rsidRPr="00320A86">
        <w:t>sible en arrière. L’échec de l’établissement d’un ordre politique mo</w:t>
      </w:r>
      <w:r w:rsidRPr="00320A86">
        <w:t>n</w:t>
      </w:r>
      <w:r w:rsidRPr="00320A86">
        <w:t>dial devant permettre l’unanimisation de l’humanité serait d</w:t>
      </w:r>
      <w:r w:rsidRPr="00320A86">
        <w:t>é</w:t>
      </w:r>
      <w:r w:rsidRPr="00320A86">
        <w:t>finitif et mettrait un terme à l’histoire de l’humanité qui tend tout entière vers la réalisation de la Noosphère. En ce sens, le choix du régime dém</w:t>
      </w:r>
      <w:r w:rsidRPr="00320A86">
        <w:t>o</w:t>
      </w:r>
      <w:r w:rsidRPr="00320A86">
        <w:t>cratique lui semble indispensable, mais à la condition de prendre ses distances vis-à-vis de la philosophie des Lumières, trop individualiste à ses yeux.</w:t>
      </w:r>
    </w:p>
    <w:p w14:paraId="63681B6A" w14:textId="77777777" w:rsidR="00B01930" w:rsidRPr="00320A86" w:rsidRDefault="00B01930" w:rsidP="00B01930">
      <w:pPr>
        <w:spacing w:before="120" w:after="120"/>
        <w:jc w:val="both"/>
      </w:pPr>
      <w:r w:rsidRPr="00320A86">
        <w:t>Teilhard se tourne ainsi vers la démocratie libérale, mais il lui r</w:t>
      </w:r>
      <w:r w:rsidRPr="00320A86">
        <w:t>e</w:t>
      </w:r>
      <w:r w:rsidRPr="00320A86">
        <w:t>proche sa philosophie individualiste, préférant reformuler le projet dans un sens personnaliste, ce qui ne peut manquer d’avoir une inc</w:t>
      </w:r>
      <w:r w:rsidRPr="00320A86">
        <w:t>i</w:t>
      </w:r>
      <w:r w:rsidRPr="00320A86">
        <w:t>dence sur les droits de l’homme, eux aussi beaucoup trop individuali</w:t>
      </w:r>
      <w:r w:rsidRPr="00320A86">
        <w:t>s</w:t>
      </w:r>
      <w:r w:rsidRPr="00320A86">
        <w:t xml:space="preserve">tes à ses yeux, du moins tels qu’ils étaient envisagés au </w:t>
      </w:r>
      <w:r w:rsidRPr="00320A86">
        <w:rPr>
          <w:smallCaps/>
        </w:rPr>
        <w:t>xviii</w:t>
      </w:r>
      <w:r w:rsidRPr="00320A86">
        <w:rPr>
          <w:vertAlign w:val="superscript"/>
        </w:rPr>
        <w:t>e</w:t>
      </w:r>
      <w:r w:rsidRPr="00320A86">
        <w:t xml:space="preserve"> si</w:t>
      </w:r>
      <w:r w:rsidRPr="00320A86">
        <w:t>è</w:t>
      </w:r>
      <w:r w:rsidRPr="00320A86">
        <w:t>cle</w:t>
      </w:r>
      <w:r>
        <w:t> </w:t>
      </w:r>
      <w:r>
        <w:rPr>
          <w:rStyle w:val="Appelnotedebasdep"/>
        </w:rPr>
        <w:footnoteReference w:id="1082"/>
      </w:r>
      <w:r w:rsidRPr="00320A86">
        <w:t>.</w:t>
      </w:r>
    </w:p>
    <w:p w14:paraId="2BF0A007" w14:textId="77777777" w:rsidR="00B01930" w:rsidRPr="00320A86" w:rsidRDefault="00B01930" w:rsidP="00B01930">
      <w:pPr>
        <w:spacing w:before="120" w:after="120"/>
        <w:jc w:val="both"/>
      </w:pPr>
      <w:r w:rsidRPr="00320A86">
        <w:t>Constatant un phénomène d’« </w:t>
      </w:r>
      <w:r w:rsidRPr="00021532">
        <w:rPr>
          <w:i/>
        </w:rPr>
        <w:t>“emballement moderne”, si étra</w:t>
      </w:r>
      <w:r w:rsidRPr="00021532">
        <w:rPr>
          <w:i/>
        </w:rPr>
        <w:t>n</w:t>
      </w:r>
      <w:r w:rsidRPr="00021532">
        <w:rPr>
          <w:i/>
        </w:rPr>
        <w:t>gement contagieux, pour l’idéal démocratique </w:t>
      </w:r>
      <w:r>
        <w:rPr>
          <w:rStyle w:val="Appelnotedebasdep"/>
        </w:rPr>
        <w:footnoteReference w:id="1083"/>
      </w:r>
      <w:r w:rsidRPr="00320A86">
        <w:t> », il cherche à en comprendre la ra</w:t>
      </w:r>
      <w:r w:rsidRPr="00320A86">
        <w:t>i</w:t>
      </w:r>
      <w:r w:rsidRPr="00320A86">
        <w:t>son. Pour lui, l’« </w:t>
      </w:r>
      <w:r w:rsidRPr="00021532">
        <w:rPr>
          <w:i/>
        </w:rPr>
        <w:t>esprit démocratique </w:t>
      </w:r>
      <w:r w:rsidRPr="00320A86">
        <w:t>» va dans le « </w:t>
      </w:r>
      <w:r w:rsidRPr="00021532">
        <w:rPr>
          <w:i/>
        </w:rPr>
        <w:t>sens évolutif </w:t>
      </w:r>
      <w:r w:rsidRPr="00320A86">
        <w:t>», ou encore « </w:t>
      </w:r>
      <w:r w:rsidRPr="00021532">
        <w:rPr>
          <w:i/>
        </w:rPr>
        <w:t>le sens de l’espèce </w:t>
      </w:r>
      <w:r w:rsidRPr="00320A86">
        <w:t>». Ainsi, le système politique s’inscrit dans la logique de l’espèce humaine qui se dirige vers un état nouveau de « </w:t>
      </w:r>
      <w:r w:rsidRPr="00021532">
        <w:rPr>
          <w:i/>
        </w:rPr>
        <w:t>super-personnalisation </w:t>
      </w:r>
      <w:r w:rsidRPr="00320A86">
        <w:t>», autrement dit, de « </w:t>
      </w:r>
      <w:r w:rsidRPr="00021532">
        <w:rPr>
          <w:i/>
        </w:rPr>
        <w:t>super-réflexion </w:t>
      </w:r>
      <w:r w:rsidRPr="00320A86">
        <w:t>». L’esprit démocratique est donc une réponse à l’évolution de l’homme, « </w:t>
      </w:r>
      <w:r w:rsidRPr="00021532">
        <w:rPr>
          <w:i/>
        </w:rPr>
        <w:t>non plus tendance à la permanence par pr</w:t>
      </w:r>
      <w:r w:rsidRPr="00021532">
        <w:rPr>
          <w:i/>
        </w:rPr>
        <w:t>o</w:t>
      </w:r>
      <w:r w:rsidRPr="00021532">
        <w:rPr>
          <w:i/>
        </w:rPr>
        <w:t>pagation, mais volonté de croissance par arrangement, de l’espèce sur elle-même </w:t>
      </w:r>
      <w:r>
        <w:rPr>
          <w:rStyle w:val="Appelnotedebasdep"/>
        </w:rPr>
        <w:footnoteReference w:id="1084"/>
      </w:r>
      <w:r w:rsidRPr="00320A86">
        <w:t> ».</w:t>
      </w:r>
    </w:p>
    <w:p w14:paraId="4938034F" w14:textId="77777777" w:rsidR="00B01930" w:rsidRPr="00320A86" w:rsidRDefault="00B01930" w:rsidP="00B01930">
      <w:pPr>
        <w:spacing w:before="120" w:after="120"/>
        <w:jc w:val="both"/>
      </w:pPr>
      <w:r w:rsidRPr="00320A86">
        <w:t>Dans son esprit, le fait que la démocratisation satisfasse à une n</w:t>
      </w:r>
      <w:r w:rsidRPr="00320A86">
        <w:t>é</w:t>
      </w:r>
      <w:r w:rsidRPr="00320A86">
        <w:t>cessité bi</w:t>
      </w:r>
      <w:r w:rsidRPr="00320A86">
        <w:t>o</w:t>
      </w:r>
      <w:r w:rsidRPr="00320A86">
        <w:t>logique doit permettre de répondre à un certain nombre d’interrogations et de voir « </w:t>
      </w:r>
      <w:r w:rsidRPr="00021532">
        <w:rPr>
          <w:i/>
        </w:rPr>
        <w:t>se résoudre sans effort (au moins en thé</w:t>
      </w:r>
      <w:r w:rsidRPr="00021532">
        <w:rPr>
          <w:i/>
        </w:rPr>
        <w:t>o</w:t>
      </w:r>
      <w:r w:rsidRPr="00021532">
        <w:rPr>
          <w:i/>
        </w:rPr>
        <w:t>rie) certaines inquiétantes antinomies </w:t>
      </w:r>
      <w:r>
        <w:rPr>
          <w:rStyle w:val="Appelnotedebasdep"/>
        </w:rPr>
        <w:footnoteReference w:id="1085"/>
      </w:r>
      <w:r w:rsidRPr="00320A86">
        <w:t> ». Ces dernières sont au no</w:t>
      </w:r>
      <w:r w:rsidRPr="00320A86">
        <w:t>m</w:t>
      </w:r>
      <w:r w:rsidRPr="00320A86">
        <w:t>bre de deux : d’une part, celle entre les « trois attributs légenda</w:t>
      </w:r>
      <w:r w:rsidRPr="00320A86">
        <w:t>i</w:t>
      </w:r>
      <w:r w:rsidRPr="00320A86">
        <w:t>res » du principe de gouvernement du peuple par le peuple, à savoir la l</w:t>
      </w:r>
      <w:r w:rsidRPr="00320A86">
        <w:t>i</w:t>
      </w:r>
      <w:r w:rsidRPr="00320A86">
        <w:t>berté, l’égalité et la fraternité, d’autre part, celle entre la démocratie libérale et la démocratie socialiste.</w:t>
      </w:r>
    </w:p>
    <w:p w14:paraId="04E3D494" w14:textId="77777777" w:rsidR="00B01930" w:rsidRPr="00320A86" w:rsidRDefault="00B01930" w:rsidP="00B01930">
      <w:pPr>
        <w:spacing w:before="120" w:after="120"/>
        <w:jc w:val="both"/>
      </w:pPr>
      <w:r w:rsidRPr="00320A86">
        <w:t>En ce qui concerne les trois attributs de la démocratie</w:t>
      </w:r>
      <w:r>
        <w:t> </w:t>
      </w:r>
      <w:r>
        <w:rPr>
          <w:rStyle w:val="Appelnotedebasdep"/>
        </w:rPr>
        <w:footnoteReference w:id="1086"/>
      </w:r>
      <w:r w:rsidRPr="00320A86">
        <w:t>, Tei</w:t>
      </w:r>
      <w:r w:rsidRPr="00320A86">
        <w:t>l</w:t>
      </w:r>
      <w:r w:rsidRPr="00320A86">
        <w:t>hard note que leur portée concrète doit être précisée. La liberté pe</w:t>
      </w:r>
      <w:r w:rsidRPr="00320A86">
        <w:t>r</w:t>
      </w:r>
      <w:r w:rsidRPr="00320A86">
        <w:t>met-elle de tout faire ? L’égalité doit-elle toucher tous les attributs des indiv</w:t>
      </w:r>
      <w:r w:rsidRPr="00320A86">
        <w:t>i</w:t>
      </w:r>
      <w:r w:rsidRPr="00320A86">
        <w:t>dus ? Sur quels liens la fraternité est-elle fondée ? Comme il le soul</w:t>
      </w:r>
      <w:r w:rsidRPr="00320A86">
        <w:t>i</w:t>
      </w:r>
      <w:r w:rsidRPr="00320A86">
        <w:t>gne à juste titre, « aujourd’hui enc</w:t>
      </w:r>
      <w:r w:rsidRPr="00320A86">
        <w:t>o</w:t>
      </w:r>
      <w:r w:rsidRPr="00320A86">
        <w:t>re, ces trois mots magiques sont beaucoup plus sentis que compris », et il pense qu’il est possible de mieux définir leur contenu en se plaçant du point de vue biologique de l’évolution de l’espèce humaine.</w:t>
      </w:r>
    </w:p>
    <w:p w14:paraId="335EF44E" w14:textId="77777777" w:rsidR="00B01930" w:rsidRPr="00320A86" w:rsidRDefault="00B01930" w:rsidP="00B01930">
      <w:pPr>
        <w:spacing w:before="120" w:after="120"/>
        <w:jc w:val="both"/>
      </w:pPr>
      <w:r w:rsidRPr="00320A86">
        <w:t>Ainsi, la liberté est la possibilité qu’a chaque individu de se « </w:t>
      </w:r>
      <w:r w:rsidRPr="00021532">
        <w:rPr>
          <w:i/>
        </w:rPr>
        <w:t>transhumaniser </w:t>
      </w:r>
      <w:r w:rsidRPr="00320A86">
        <w:t>» en réalisant pleinement sa nature, ce qui suppose que les obstacles qui lui sont mis soient supprimés et que tous les moyens dont il a b</w:t>
      </w:r>
      <w:r w:rsidRPr="00320A86">
        <w:t>e</w:t>
      </w:r>
      <w:r w:rsidRPr="00320A86">
        <w:t>soin soient mis à sa disposition. L’égalité doit être définie comme le « </w:t>
      </w:r>
      <w:r w:rsidRPr="00021532">
        <w:rPr>
          <w:i/>
        </w:rPr>
        <w:t>droit, pour chaque homme, de participer, suivant ses qualités et ses forces, à l’effort co</w:t>
      </w:r>
      <w:r w:rsidRPr="00021532">
        <w:rPr>
          <w:i/>
        </w:rPr>
        <w:t>m</w:t>
      </w:r>
      <w:r w:rsidRPr="00021532">
        <w:rPr>
          <w:i/>
        </w:rPr>
        <w:t>mun de promouvoir, l’un par l’autre, l’avenir de l’individu et celui de l’espèce </w:t>
      </w:r>
      <w:r>
        <w:rPr>
          <w:rStyle w:val="Appelnotedebasdep"/>
        </w:rPr>
        <w:footnoteReference w:id="1087"/>
      </w:r>
      <w:r w:rsidRPr="00320A86">
        <w:t> » ; c’est par elle que chaque homme peut « </w:t>
      </w:r>
      <w:r w:rsidRPr="00021532">
        <w:rPr>
          <w:i/>
        </w:rPr>
        <w:t>vivre coextensivement avec l’Humanité </w:t>
      </w:r>
      <w:r w:rsidRPr="00320A86">
        <w:t>», et le non-respect de ce principe explique largement la révolte de ce</w:t>
      </w:r>
      <w:r w:rsidRPr="00320A86">
        <w:t>r</w:t>
      </w:r>
      <w:r w:rsidRPr="00320A86">
        <w:t>taines populations – « </w:t>
      </w:r>
      <w:r w:rsidRPr="00021532">
        <w:rPr>
          <w:i/>
        </w:rPr>
        <w:t>certaines classes et certaines races </w:t>
      </w:r>
      <w:r w:rsidRPr="00320A86">
        <w:t>» – laissées pour compte. Enfin, la fraternité est définie par Teilhard comme le « sens d’une interliaison organique fondée, non pas seulement sur n</w:t>
      </w:r>
      <w:r w:rsidRPr="00320A86">
        <w:t>o</w:t>
      </w:r>
      <w:r w:rsidRPr="00320A86">
        <w:t>tre coexistence plus ou moins accidentelle à la surface de la Terre, ou même sur quelque descendance commune, mais sur le fait de repr</w:t>
      </w:r>
      <w:r w:rsidRPr="00320A86">
        <w:t>é</w:t>
      </w:r>
      <w:r w:rsidRPr="00320A86">
        <w:t>senter, tous ensemble, le front extrême, la pointe d’une onde évolutive encore en pleine course</w:t>
      </w:r>
      <w:r>
        <w:t> </w:t>
      </w:r>
      <w:r>
        <w:rPr>
          <w:rStyle w:val="Appelnotedebasdep"/>
        </w:rPr>
        <w:footnoteReference w:id="1088"/>
      </w:r>
      <w:r w:rsidRPr="00320A86">
        <w:t> ».</w:t>
      </w:r>
    </w:p>
    <w:p w14:paraId="5CCF1333" w14:textId="77777777" w:rsidR="00B01930" w:rsidRPr="00320A86" w:rsidRDefault="00B01930" w:rsidP="00B01930">
      <w:pPr>
        <w:spacing w:before="120" w:after="120"/>
        <w:jc w:val="both"/>
      </w:pPr>
      <w:r w:rsidRPr="00320A86">
        <w:t>Par ailleurs, il réaffirme l’opposition entre démocratie libérale et démocratie socialiste, qu’il fait reposer sur deux phénomènes qui, combinés, définissent l’essence et le progrès de l’anthropogenèse : la personnalisation et la totalisation. La démocratie libérale est ainsi in</w:t>
      </w:r>
      <w:r w:rsidRPr="00320A86">
        <w:t>s</w:t>
      </w:r>
      <w:r w:rsidRPr="00320A86">
        <w:t>pirée par l’individualisme et la démocratie socialiste par le totalitari</w:t>
      </w:r>
      <w:r w:rsidRPr="00320A86">
        <w:t>s</w:t>
      </w:r>
      <w:r w:rsidRPr="00320A86">
        <w:t>me, la première se recentrant sur l’individu et la seconde sur le gro</w:t>
      </w:r>
      <w:r w:rsidRPr="00320A86">
        <w:t>u</w:t>
      </w:r>
      <w:r w:rsidRPr="00320A86">
        <w:t>pe. Mais la « </w:t>
      </w:r>
      <w:r w:rsidRPr="00021532">
        <w:rPr>
          <w:i/>
        </w:rPr>
        <w:t>démocratie véritable </w:t>
      </w:r>
      <w:r w:rsidRPr="00320A86">
        <w:t>» ne correspond, ni à la d</w:t>
      </w:r>
      <w:r w:rsidRPr="00320A86">
        <w:t>é</w:t>
      </w:r>
      <w:r w:rsidRPr="00320A86">
        <w:t>mocratie libérale, ni à la démocratie socialiste : elle repose sur une « </w:t>
      </w:r>
      <w:r w:rsidRPr="00021532">
        <w:rPr>
          <w:i/>
        </w:rPr>
        <w:t>combinaison balancée des deux facteurs complémentaires s’exprimant, à l’état pur, l’un en régimes individualistes, l’autre en régimes autoritaires </w:t>
      </w:r>
      <w:r>
        <w:rPr>
          <w:rStyle w:val="Appelnotedebasdep"/>
        </w:rPr>
        <w:footnoteReference w:id="1089"/>
      </w:r>
      <w:r w:rsidRPr="00320A86">
        <w:t> ».</w:t>
      </w:r>
    </w:p>
    <w:p w14:paraId="0F207495" w14:textId="77777777" w:rsidR="00B01930" w:rsidRPr="00320A86" w:rsidRDefault="00B01930" w:rsidP="00B01930">
      <w:pPr>
        <w:spacing w:before="120" w:after="120"/>
        <w:jc w:val="both"/>
      </w:pPr>
      <w:r w:rsidRPr="00320A86">
        <w:t>Donc tout projet d’institution démocratique repose sur la réunion de deux conditions générales : d’une part, laisser à l’individu la plus grande liberté possible pour lui permettre de « </w:t>
      </w:r>
      <w:r w:rsidRPr="00021532">
        <w:rPr>
          <w:i/>
        </w:rPr>
        <w:t>développer son orig</w:t>
      </w:r>
      <w:r w:rsidRPr="00021532">
        <w:rPr>
          <w:i/>
        </w:rPr>
        <w:t>i</w:t>
      </w:r>
      <w:r w:rsidRPr="00021532">
        <w:rPr>
          <w:i/>
        </w:rPr>
        <w:t>nalité </w:t>
      </w:r>
      <w:r w:rsidRPr="00320A86">
        <w:t>» et ainsi de « </w:t>
      </w:r>
      <w:r w:rsidRPr="00021532">
        <w:rPr>
          <w:i/>
        </w:rPr>
        <w:t>s’ouvrir en direction des valeurs croissantes de r</w:t>
      </w:r>
      <w:r w:rsidRPr="00021532">
        <w:rPr>
          <w:i/>
        </w:rPr>
        <w:t>é</w:t>
      </w:r>
      <w:r w:rsidRPr="00021532">
        <w:rPr>
          <w:i/>
        </w:rPr>
        <w:t>flexion et de conscience </w:t>
      </w:r>
      <w:r w:rsidRPr="00320A86">
        <w:t>», d’autre part, permettre une convergence des individus dans le cadre d’organisations collect</w:t>
      </w:r>
      <w:r w:rsidRPr="00320A86">
        <w:t>i</w:t>
      </w:r>
      <w:r w:rsidRPr="00320A86">
        <w:t>ves pour que les initiatives individuelles puissent se développer pleinement et aboutir concrètement, c’est-à-dire finalement réaliser un « judicieux mélange de laisser-faire et de fermeté ». Cette délicate alchimie est relativ</w:t>
      </w:r>
      <w:r w:rsidRPr="00320A86">
        <w:t>e</w:t>
      </w:r>
      <w:r w:rsidRPr="00320A86">
        <w:t>ment facile à réaliser dès lors que les peuples ont suffisamment dév</w:t>
      </w:r>
      <w:r w:rsidRPr="00320A86">
        <w:t>e</w:t>
      </w:r>
      <w:r w:rsidRPr="00320A86">
        <w:t>loppé l’instinct de progrès et de « surhumanisation », mais Teilhard se montre prudent et évite de préciser davantage en quoi consiste cette réunion des deux conditions et quels sont les moyens à mettre en œ</w:t>
      </w:r>
      <w:r w:rsidRPr="00320A86">
        <w:t>u</w:t>
      </w:r>
      <w:r w:rsidRPr="00320A86">
        <w:t>vre pour y parvenir.</w:t>
      </w:r>
    </w:p>
    <w:p w14:paraId="6B251E91" w14:textId="77777777" w:rsidR="00B01930" w:rsidRPr="00320A86" w:rsidRDefault="00B01930" w:rsidP="00B01930">
      <w:pPr>
        <w:spacing w:before="120" w:after="120"/>
        <w:jc w:val="both"/>
      </w:pPr>
      <w:r w:rsidRPr="00320A86">
        <w:t>En outre, il insiste sur le fait que l’idéal démocratique possède avec la vie le point commun de ne pouvoir être atteint qu’après de no</w:t>
      </w:r>
      <w:r w:rsidRPr="00320A86">
        <w:t>m</w:t>
      </w:r>
      <w:r w:rsidRPr="00320A86">
        <w:t>breux essais et tâto</w:t>
      </w:r>
      <w:r w:rsidRPr="00320A86">
        <w:t>n</w:t>
      </w:r>
      <w:r w:rsidRPr="00320A86">
        <w:t>nements, chaque peuple devant trouver la voie la plus adaptée à ses spécificités :</w:t>
      </w:r>
    </w:p>
    <w:p w14:paraId="0A12817D" w14:textId="77777777" w:rsidR="00B01930" w:rsidRDefault="00B01930" w:rsidP="00B01930">
      <w:pPr>
        <w:pStyle w:val="citation"/>
      </w:pPr>
    </w:p>
    <w:p w14:paraId="02FE3F9A" w14:textId="77777777" w:rsidR="00B01930" w:rsidRDefault="00B01930" w:rsidP="00B01930">
      <w:pPr>
        <w:pStyle w:val="citation"/>
      </w:pPr>
      <w:r w:rsidRPr="00320A86">
        <w:t>« L’Humanité est encore formée de pièces terriblement hétérogènes, inég</w:t>
      </w:r>
      <w:r w:rsidRPr="00320A86">
        <w:t>a</w:t>
      </w:r>
      <w:r w:rsidRPr="00320A86">
        <w:t>lement maturées, dont la “démocratisation” ne peut s’opérer qu’à force d’imagination et de souplesse, suivant des modalités variant avec chaque fraction du Monde consid</w:t>
      </w:r>
      <w:r w:rsidRPr="00320A86">
        <w:t>é</w:t>
      </w:r>
      <w:r w:rsidRPr="00320A86">
        <w:t>rée</w:t>
      </w:r>
      <w:r>
        <w:t> </w:t>
      </w:r>
      <w:r w:rsidRPr="007D4B3B">
        <w:rPr>
          <w:rStyle w:val="Appelnotedebasdep"/>
          <w:i/>
        </w:rPr>
        <w:footnoteReference w:id="1090"/>
      </w:r>
      <w:r w:rsidRPr="00320A86">
        <w:t>. »</w:t>
      </w:r>
    </w:p>
    <w:p w14:paraId="6EDAAA58" w14:textId="77777777" w:rsidR="00B01930" w:rsidRPr="00320A86" w:rsidRDefault="00B01930" w:rsidP="00B01930">
      <w:pPr>
        <w:pStyle w:val="citation"/>
      </w:pPr>
    </w:p>
    <w:p w14:paraId="55C5E309" w14:textId="77777777" w:rsidR="00B01930" w:rsidRPr="00320A86" w:rsidRDefault="00B01930" w:rsidP="00B01930">
      <w:pPr>
        <w:spacing w:before="120" w:after="120"/>
        <w:jc w:val="both"/>
      </w:pPr>
      <w:r w:rsidRPr="00320A86">
        <w:t>Enfin, le philosophe estime que la généralisation des régimes d</w:t>
      </w:r>
      <w:r w:rsidRPr="00320A86">
        <w:t>é</w:t>
      </w:r>
      <w:r w:rsidRPr="00320A86">
        <w:t>mocratiques dépend étroitement de la conscience humaine du « </w:t>
      </w:r>
      <w:r w:rsidRPr="00021532">
        <w:rPr>
          <w:i/>
        </w:rPr>
        <w:t>Sens de l’Espèce </w:t>
      </w:r>
      <w:r w:rsidRPr="00320A86">
        <w:t xml:space="preserve">». Il convient, en effet, que les volontés individuelles convergent, surtout dans l’optique du projet démocratique ultime : « un </w:t>
      </w:r>
      <w:r w:rsidRPr="00021532">
        <w:rPr>
          <w:i/>
        </w:rPr>
        <w:t>seul système planétaire coh</w:t>
      </w:r>
      <w:r w:rsidRPr="00021532">
        <w:rPr>
          <w:i/>
        </w:rPr>
        <w:t>é</w:t>
      </w:r>
      <w:r w:rsidRPr="00021532">
        <w:rPr>
          <w:i/>
        </w:rPr>
        <w:t>rent », étant entendu qu’il rejette par principe toute coercition qui, par défin</w:t>
      </w:r>
      <w:r w:rsidRPr="00021532">
        <w:rPr>
          <w:i/>
        </w:rPr>
        <w:t>i</w:t>
      </w:r>
      <w:r w:rsidRPr="00021532">
        <w:rPr>
          <w:i/>
        </w:rPr>
        <w:t>tion, irait à l’encontre de l’« unanimité, en quoi finalement consiste l’ultime et fuya</w:t>
      </w:r>
      <w:r w:rsidRPr="00021532">
        <w:rPr>
          <w:i/>
        </w:rPr>
        <w:t>n</w:t>
      </w:r>
      <w:r w:rsidRPr="00021532">
        <w:rPr>
          <w:i/>
        </w:rPr>
        <w:t>te essence de la Démocratie </w:t>
      </w:r>
      <w:r w:rsidRPr="00320A86">
        <w:t>».</w:t>
      </w:r>
    </w:p>
    <w:p w14:paraId="23A3C4C9" w14:textId="77777777" w:rsidR="00B01930" w:rsidRPr="00320A86" w:rsidRDefault="00B01930" w:rsidP="00B01930">
      <w:pPr>
        <w:spacing w:before="120" w:after="120"/>
        <w:jc w:val="both"/>
      </w:pPr>
      <w:r w:rsidRPr="00320A86">
        <w:t>La préférence de Teilhard pour la démocratie libérale relève donc en grande partie d’un choix par défaut. Elle repose essentiellement sur le rejet des autres régimes et sur la conviction que seule la démocratie est susceptible de permettre l’accomplissement de l’unanimisation de l’humanité. Mais cela ne l’empêche pas de se montrer sévère à l’égard du libéralisme, dont il condamne l’individualisme. Ainsi, en 1917, écrit-il :</w:t>
      </w:r>
    </w:p>
    <w:p w14:paraId="5CC117CD" w14:textId="77777777" w:rsidR="00B01930" w:rsidRDefault="00B01930" w:rsidP="00B01930">
      <w:pPr>
        <w:pStyle w:val="citation"/>
      </w:pPr>
    </w:p>
    <w:p w14:paraId="76BB09EE" w14:textId="77777777" w:rsidR="00B01930" w:rsidRDefault="00B01930" w:rsidP="00B01930">
      <w:pPr>
        <w:pStyle w:val="citation"/>
      </w:pPr>
      <w:r w:rsidRPr="00320A86">
        <w:t>« Chaque monade se repliant jalousement en soi, et prétendant s’assujettir toutes les autres, leur foule se dissocie et s’éparpille. L’orgueil, l’égoïsme sont les dissolvants par excellence de l’unité, et donc de la spir</w:t>
      </w:r>
      <w:r w:rsidRPr="00320A86">
        <w:t>i</w:t>
      </w:r>
      <w:r w:rsidRPr="00320A86">
        <w:t>tualité à venir. […] Les monades, isolées, commenc</w:t>
      </w:r>
      <w:r w:rsidRPr="00320A86">
        <w:t>è</w:t>
      </w:r>
      <w:r w:rsidRPr="00320A86">
        <w:t>rent à se haïr, à se disputer la première place, à s’enivrer d’indépendance et d’égalité. […] Comme une eau limpide arrivée au terme de sa course, le jet de la Vie perdit sa belle transparence ; et d</w:t>
      </w:r>
      <w:r w:rsidRPr="00320A86">
        <w:t>e</w:t>
      </w:r>
      <w:r w:rsidRPr="00320A86">
        <w:t>puis lors, il s’éparpille en gouttes, et bientôt en poussière, qui fatal</w:t>
      </w:r>
      <w:r w:rsidRPr="00320A86">
        <w:t>e</w:t>
      </w:r>
      <w:r w:rsidRPr="00320A86">
        <w:t>ment retombent</w:t>
      </w:r>
      <w:r>
        <w:t> </w:t>
      </w:r>
      <w:r w:rsidRPr="007D4B3B">
        <w:rPr>
          <w:rStyle w:val="Appelnotedebasdep"/>
          <w:i/>
        </w:rPr>
        <w:footnoteReference w:id="1091"/>
      </w:r>
      <w:r w:rsidRPr="00320A86">
        <w:t>. »</w:t>
      </w:r>
    </w:p>
    <w:p w14:paraId="0078F656" w14:textId="77777777" w:rsidR="00B01930" w:rsidRPr="00320A86" w:rsidRDefault="00B01930" w:rsidP="00B01930">
      <w:pPr>
        <w:pStyle w:val="citation"/>
      </w:pPr>
    </w:p>
    <w:p w14:paraId="3B8EF2EC" w14:textId="77777777" w:rsidR="00B01930" w:rsidRPr="00320A86" w:rsidRDefault="00B01930" w:rsidP="00B01930">
      <w:pPr>
        <w:spacing w:before="120" w:after="120"/>
        <w:jc w:val="both"/>
      </w:pPr>
      <w:r w:rsidRPr="00320A86">
        <w:t>Cette critique de la dimension individualiste de la démocratie lib</w:t>
      </w:r>
      <w:r w:rsidRPr="00320A86">
        <w:t>é</w:t>
      </w:r>
      <w:r w:rsidRPr="00320A86">
        <w:t>rale deme</w:t>
      </w:r>
      <w:r w:rsidRPr="00320A86">
        <w:t>u</w:t>
      </w:r>
      <w:r w:rsidRPr="00320A86">
        <w:t>re une constante chez Teilhard de Chardin. Au lendemain de la Grande Guerre, au cours de laquelle il a connu la solidarité des hommes face au danger, il regrette le retour des comportements égoï</w:t>
      </w:r>
      <w:r w:rsidRPr="00320A86">
        <w:t>s</w:t>
      </w:r>
      <w:r w:rsidRPr="00320A86">
        <w:t>tes, comme si quatre années de tranchées ne leur avaient rien appris :</w:t>
      </w:r>
    </w:p>
    <w:p w14:paraId="760A0B9E" w14:textId="77777777" w:rsidR="00B01930" w:rsidRDefault="00B01930" w:rsidP="00B01930">
      <w:pPr>
        <w:pStyle w:val="citation"/>
      </w:pPr>
    </w:p>
    <w:p w14:paraId="7A6CA76D" w14:textId="77777777" w:rsidR="00B01930" w:rsidRDefault="00B01930" w:rsidP="00B01930">
      <w:pPr>
        <w:pStyle w:val="citation"/>
      </w:pPr>
      <w:r w:rsidRPr="00320A86">
        <w:t>« Un instant mus, unis, grandis dans une défense commune, les ho</w:t>
      </w:r>
      <w:r w:rsidRPr="00320A86">
        <w:t>m</w:t>
      </w:r>
      <w:r w:rsidRPr="00320A86">
        <w:t>mes, aussitôt que l’étreinte du danger s’est relâchée, sont revenus à leur éparpillement égoïste et jaloux. Beaucoup de vice, beaucoup d’exploitation éhontée, beaucoup d’utilitarisme et, au-dessous de tout c</w:t>
      </w:r>
      <w:r w:rsidRPr="00320A86">
        <w:t>e</w:t>
      </w:r>
      <w:r w:rsidRPr="00320A86">
        <w:t>la, un dégoût profond et révolté pour tant de mal inutilement subi ou ca</w:t>
      </w:r>
      <w:r w:rsidRPr="00320A86">
        <w:t>u</w:t>
      </w:r>
      <w:r w:rsidRPr="00320A86">
        <w:t>sé, tel est, paraît-il, le triste bilan de la gue</w:t>
      </w:r>
      <w:r w:rsidRPr="00320A86">
        <w:t>r</w:t>
      </w:r>
      <w:r w:rsidRPr="00320A86">
        <w:t>re</w:t>
      </w:r>
      <w:r>
        <w:t> </w:t>
      </w:r>
      <w:r w:rsidRPr="007D4B3B">
        <w:rPr>
          <w:rStyle w:val="Appelnotedebasdep"/>
          <w:i/>
        </w:rPr>
        <w:footnoteReference w:id="1092"/>
      </w:r>
      <w:r w:rsidRPr="00320A86">
        <w:t>. »</w:t>
      </w:r>
    </w:p>
    <w:p w14:paraId="35600AB1" w14:textId="77777777" w:rsidR="00B01930" w:rsidRPr="00320A86" w:rsidRDefault="00B01930" w:rsidP="00B01930">
      <w:pPr>
        <w:pStyle w:val="citation"/>
      </w:pPr>
    </w:p>
    <w:p w14:paraId="4086F926" w14:textId="77777777" w:rsidR="00B01930" w:rsidRPr="00320A86" w:rsidRDefault="00B01930" w:rsidP="00B01930">
      <w:pPr>
        <w:spacing w:before="120" w:after="120"/>
        <w:jc w:val="both"/>
      </w:pPr>
      <w:r w:rsidRPr="00320A86">
        <w:t>À la veille de la Seconde Guerre mondiale, il continue de se mo</w:t>
      </w:r>
      <w:r w:rsidRPr="00320A86">
        <w:t>n</w:t>
      </w:r>
      <w:r w:rsidRPr="00320A86">
        <w:t>trer sévère à l’égard du libéralisme, la montée des totalitarismes et l’imminence d’un nouveau conflit finissant de le convaincre de la fa</w:t>
      </w:r>
      <w:r w:rsidRPr="00320A86">
        <w:t>i</w:t>
      </w:r>
      <w:r w:rsidRPr="00320A86">
        <w:t>blesse et des imperfections de la démocratie :</w:t>
      </w:r>
    </w:p>
    <w:p w14:paraId="15110046" w14:textId="77777777" w:rsidR="00B01930" w:rsidRDefault="00B01930" w:rsidP="00B01930">
      <w:pPr>
        <w:pStyle w:val="citation"/>
      </w:pPr>
    </w:p>
    <w:p w14:paraId="48442C42" w14:textId="77777777" w:rsidR="00B01930" w:rsidRDefault="00B01930" w:rsidP="00B01930">
      <w:pPr>
        <w:pStyle w:val="citation"/>
      </w:pPr>
      <w:r w:rsidRPr="00320A86">
        <w:t>« Il serait vain pour les démocrates de rêver plus longtemps […] un de ces mondes inachevés et ambigus où les peuples, sans s’aimer, mais fid</w:t>
      </w:r>
      <w:r w:rsidRPr="00320A86">
        <w:t>è</w:t>
      </w:r>
      <w:r w:rsidRPr="00320A86">
        <w:t>les à je ne sais quelle justice statique, respecteraient docilement leurs fro</w:t>
      </w:r>
      <w:r w:rsidRPr="00320A86">
        <w:t>n</w:t>
      </w:r>
      <w:r w:rsidRPr="00320A86">
        <w:t>tières, sans mieux se connaître que des étrangers vivant sur le même p</w:t>
      </w:r>
      <w:r w:rsidRPr="00320A86">
        <w:t>a</w:t>
      </w:r>
      <w:r w:rsidRPr="00320A86">
        <w:t>lier. Bien plus que la menace permanente d’une guerre suspendue sur nos têtes, ne serait-ce pas l’équivoque de cette situation qui a fait déto</w:t>
      </w:r>
      <w:r w:rsidRPr="00320A86">
        <w:t>n</w:t>
      </w:r>
      <w:r w:rsidRPr="00320A86">
        <w:t>ner l’Europe ? […] Que nous le voulions ou non, l’âge des pluralismes tièdes est définitivement passé. Ou bien un seul peuple arrivera à détruire et à a</w:t>
      </w:r>
      <w:r w:rsidRPr="00320A86">
        <w:t>b</w:t>
      </w:r>
      <w:r w:rsidRPr="00320A86">
        <w:t>sorber tous les autres. Ou bien tous les peuples s’associeront en une âme commune, afin d’être plus h</w:t>
      </w:r>
      <w:r w:rsidRPr="00320A86">
        <w:t>u</w:t>
      </w:r>
      <w:r w:rsidRPr="00320A86">
        <w:t>mains</w:t>
      </w:r>
      <w:r>
        <w:t> </w:t>
      </w:r>
      <w:r w:rsidRPr="007D4B3B">
        <w:rPr>
          <w:rStyle w:val="Appelnotedebasdep"/>
          <w:i/>
        </w:rPr>
        <w:footnoteReference w:id="1093"/>
      </w:r>
      <w:r w:rsidRPr="00320A86">
        <w:t>. »</w:t>
      </w:r>
    </w:p>
    <w:p w14:paraId="7A62CDF8" w14:textId="77777777" w:rsidR="00B01930" w:rsidRPr="00320A86" w:rsidRDefault="00B01930" w:rsidP="00B01930">
      <w:pPr>
        <w:pStyle w:val="citation"/>
      </w:pPr>
    </w:p>
    <w:p w14:paraId="3B8495CF" w14:textId="77777777" w:rsidR="00B01930" w:rsidRPr="00320A86" w:rsidRDefault="00B01930" w:rsidP="00B01930">
      <w:pPr>
        <w:spacing w:before="120" w:after="120"/>
        <w:jc w:val="both"/>
      </w:pPr>
      <w:r w:rsidRPr="00320A86">
        <w:t>Cette critique de l’individualisme qui caractérise la démocratie l</w:t>
      </w:r>
      <w:r w:rsidRPr="00320A86">
        <w:t>i</w:t>
      </w:r>
      <w:r w:rsidRPr="00320A86">
        <w:t>bérale se prolonge dans celle de son expression économique, le capit</w:t>
      </w:r>
      <w:r w:rsidRPr="00320A86">
        <w:t>a</w:t>
      </w:r>
      <w:r w:rsidRPr="00320A86">
        <w:t>lisme :</w:t>
      </w:r>
    </w:p>
    <w:p w14:paraId="687403A2" w14:textId="77777777" w:rsidR="00B01930" w:rsidRDefault="00B01930" w:rsidP="00B01930">
      <w:pPr>
        <w:pStyle w:val="citation"/>
      </w:pPr>
      <w:r w:rsidRPr="00320A86">
        <w:t>« Le Capitalisme a dégénéré en Religion de l’Argent. L’Argent devenu le terme de l’effort, le dieu du bien-être (ou, chez les mei</w:t>
      </w:r>
      <w:r w:rsidRPr="00320A86">
        <w:t>l</w:t>
      </w:r>
      <w:r w:rsidRPr="00320A86">
        <w:t>leurs, l’Ersatz du plus être)</w:t>
      </w:r>
      <w:r>
        <w:t> </w:t>
      </w:r>
      <w:r w:rsidRPr="007D4B3B">
        <w:rPr>
          <w:rStyle w:val="Appelnotedebasdep"/>
          <w:i/>
        </w:rPr>
        <w:footnoteReference w:id="1094"/>
      </w:r>
      <w:r w:rsidRPr="00320A86">
        <w:t>. »</w:t>
      </w:r>
    </w:p>
    <w:p w14:paraId="45BC4B19" w14:textId="77777777" w:rsidR="00B01930" w:rsidRPr="00320A86" w:rsidRDefault="00B01930" w:rsidP="00B01930">
      <w:pPr>
        <w:pStyle w:val="citation"/>
      </w:pPr>
    </w:p>
    <w:p w14:paraId="6399D17A" w14:textId="77777777" w:rsidR="00B01930" w:rsidRPr="00320A86" w:rsidRDefault="00B01930" w:rsidP="00B01930">
      <w:pPr>
        <w:spacing w:before="120" w:after="120"/>
        <w:jc w:val="both"/>
      </w:pPr>
      <w:r w:rsidRPr="00320A86">
        <w:t>Certes, le capitalisme a permis le développement économique des pays occidentaux, mais ces derniers – et les États-Unis tout particuli</w:t>
      </w:r>
      <w:r w:rsidRPr="00320A86">
        <w:t>è</w:t>
      </w:r>
      <w:r w:rsidRPr="00320A86">
        <w:t>rement – paient leur enrichissement matériel par un appauvrissement spirituel et moral :</w:t>
      </w:r>
    </w:p>
    <w:p w14:paraId="1F061588" w14:textId="77777777" w:rsidR="00B01930" w:rsidRDefault="00B01930" w:rsidP="00B01930">
      <w:pPr>
        <w:pStyle w:val="citation"/>
      </w:pPr>
    </w:p>
    <w:p w14:paraId="4774BE93" w14:textId="77777777" w:rsidR="00B01930" w:rsidRDefault="00B01930" w:rsidP="00B01930">
      <w:pPr>
        <w:pStyle w:val="citation"/>
      </w:pPr>
      <w:r w:rsidRPr="00320A86">
        <w:t>« Ce qui domine, chez les Américains, c’est l’intérêt passionné pour le présent. Ils vivent dans l’instant, ce qui leur permet d’obtenir des réalis</w:t>
      </w:r>
      <w:r w:rsidRPr="00320A86">
        <w:t>a</w:t>
      </w:r>
      <w:r w:rsidRPr="00320A86">
        <w:t>tions techniques étonna</w:t>
      </w:r>
      <w:r w:rsidRPr="00320A86">
        <w:t>n</w:t>
      </w:r>
      <w:r w:rsidRPr="00320A86">
        <w:t>tes, d’être à l’avant-garde de toutes sortes de techniques et, de ce point de vue, de mener le monde […]. Mais ils ma</w:t>
      </w:r>
      <w:r w:rsidRPr="00320A86">
        <w:t>n</w:t>
      </w:r>
      <w:r w:rsidRPr="00320A86">
        <w:t>quent de « vision » : l’avenir compte explicitement fort peu pour eux. Leur philosophie courante est un paganisme au sens classique du terme : prof</w:t>
      </w:r>
      <w:r w:rsidRPr="00320A86">
        <w:t>i</w:t>
      </w:r>
      <w:r w:rsidRPr="00320A86">
        <w:t>ter immédiatement des biens de la terre. D’où chez eux une certaine m</w:t>
      </w:r>
      <w:r w:rsidRPr="00320A86">
        <w:t>é</w:t>
      </w:r>
      <w:r w:rsidRPr="00320A86">
        <w:t>lancolie, comme dans tout paganisme. Une des conditions de la joie, c’est l’espérance, qui suppose la pensée de l’avenir. De là aussi la difficulté qu’ils éprouvent à équil</w:t>
      </w:r>
      <w:r w:rsidRPr="00320A86">
        <w:t>i</w:t>
      </w:r>
      <w:r w:rsidRPr="00320A86">
        <w:t>brer les Russes, qui ont plus de « vision » qu’eux : leur paganisme est béat, celui des Russes est messian</w:t>
      </w:r>
      <w:r w:rsidRPr="00320A86">
        <w:t>i</w:t>
      </w:r>
      <w:r w:rsidRPr="00320A86">
        <w:t>que</w:t>
      </w:r>
      <w:r>
        <w:t> </w:t>
      </w:r>
      <w:r w:rsidRPr="007D4B3B">
        <w:rPr>
          <w:rStyle w:val="Appelnotedebasdep"/>
          <w:i/>
        </w:rPr>
        <w:footnoteReference w:id="1095"/>
      </w:r>
      <w:r w:rsidRPr="00320A86">
        <w:t>. »</w:t>
      </w:r>
    </w:p>
    <w:p w14:paraId="64BFE1C5" w14:textId="77777777" w:rsidR="00B01930" w:rsidRPr="00320A86" w:rsidRDefault="00B01930" w:rsidP="00B01930">
      <w:pPr>
        <w:pStyle w:val="citation"/>
      </w:pPr>
    </w:p>
    <w:p w14:paraId="304530A3" w14:textId="77777777" w:rsidR="00B01930" w:rsidRDefault="00B01930" w:rsidP="00B01930">
      <w:pPr>
        <w:spacing w:before="120" w:after="120"/>
        <w:jc w:val="both"/>
      </w:pPr>
      <w:r w:rsidRPr="00320A86">
        <w:t>Le capitalisme doit être dépassé par un idéal communautaire qui peut donner à l’économie libérale un rôle noble :</w:t>
      </w:r>
    </w:p>
    <w:p w14:paraId="6967B088" w14:textId="77777777" w:rsidR="00B01930" w:rsidRPr="00320A86" w:rsidRDefault="00B01930" w:rsidP="00B01930">
      <w:pPr>
        <w:spacing w:before="120" w:after="120"/>
        <w:jc w:val="both"/>
      </w:pPr>
      <w:r>
        <w:br w:type="page"/>
      </w:r>
    </w:p>
    <w:p w14:paraId="49EC5102" w14:textId="77777777" w:rsidR="00B01930" w:rsidRPr="00320A86" w:rsidRDefault="00B01930" w:rsidP="00B01930">
      <w:pPr>
        <w:pStyle w:val="citation"/>
      </w:pPr>
      <w:r w:rsidRPr="00320A86">
        <w:t>« L’usage de l’argent ne doit pas être dominé par la justice distribut</w:t>
      </w:r>
      <w:r w:rsidRPr="00320A86">
        <w:t>i</w:t>
      </w:r>
      <w:r w:rsidRPr="00320A86">
        <w:t>ve (pri</w:t>
      </w:r>
      <w:r w:rsidRPr="00320A86">
        <w:t>n</w:t>
      </w:r>
      <w:r w:rsidRPr="00320A86">
        <w:t>cipe des vases communicants !), mais par l’utilisation de la force vive de l’argent</w:t>
      </w:r>
      <w:r>
        <w:t> </w:t>
      </w:r>
      <w:r w:rsidRPr="00264EEC">
        <w:rPr>
          <w:rStyle w:val="Appelnotedebasdep"/>
          <w:i/>
        </w:rPr>
        <w:footnoteReference w:id="1096"/>
      </w:r>
      <w:r w:rsidRPr="00320A86">
        <w:t>.</w:t>
      </w:r>
    </w:p>
    <w:p w14:paraId="09ECA062" w14:textId="77777777" w:rsidR="00B01930" w:rsidRDefault="00B01930" w:rsidP="00B01930">
      <w:pPr>
        <w:pStyle w:val="citation"/>
      </w:pPr>
      <w:r w:rsidRPr="00320A86">
        <w:t>[…] Une économie de  distribution n’est possible que si elle se déco</w:t>
      </w:r>
      <w:r w:rsidRPr="00320A86">
        <w:t>u</w:t>
      </w:r>
      <w:r w:rsidRPr="00320A86">
        <w:t>vre un But, un Objet, représentant une Conquête, un Intérêt pour l’Homme, même “moyen”</w:t>
      </w:r>
      <w:r>
        <w:t> </w:t>
      </w:r>
      <w:r w:rsidRPr="00264EEC">
        <w:rPr>
          <w:rStyle w:val="Appelnotedebasdep"/>
          <w:i/>
        </w:rPr>
        <w:footnoteReference w:id="1097"/>
      </w:r>
      <w:r w:rsidRPr="00320A86">
        <w:t xml:space="preserve"> ». </w:t>
      </w:r>
    </w:p>
    <w:p w14:paraId="55D17D3B" w14:textId="77777777" w:rsidR="00B01930" w:rsidRPr="00320A86" w:rsidRDefault="00B01930" w:rsidP="00B01930">
      <w:pPr>
        <w:pStyle w:val="citation"/>
      </w:pPr>
    </w:p>
    <w:p w14:paraId="60BE3206" w14:textId="77777777" w:rsidR="00B01930" w:rsidRPr="00320A86" w:rsidRDefault="00B01930" w:rsidP="00B01930">
      <w:pPr>
        <w:spacing w:before="120" w:after="120"/>
        <w:jc w:val="both"/>
      </w:pPr>
      <w:r w:rsidRPr="00320A86">
        <w:t>Or, c’est le manque de cet idéal dont souffre particulièrement le capitalisme et qui conforte Teilhard dans sa critique du libéralisme.</w:t>
      </w:r>
    </w:p>
    <w:p w14:paraId="7B91F81A" w14:textId="77777777" w:rsidR="00B01930" w:rsidRPr="00320A86" w:rsidRDefault="00B01930" w:rsidP="00B01930">
      <w:pPr>
        <w:spacing w:before="120" w:after="120"/>
        <w:jc w:val="both"/>
      </w:pPr>
      <w:r w:rsidRPr="00320A86">
        <w:t>Il ne peut se satisfaire totalement de ce régime décrit comme g</w:t>
      </w:r>
      <w:r w:rsidRPr="00320A86">
        <w:t>a</w:t>
      </w:r>
      <w:r w:rsidRPr="00320A86">
        <w:t>rantissant la liberté individuelle et l’épanouissement des individus, et l’on peut se demander comment il peut appeler de ses vœux une d</w:t>
      </w:r>
      <w:r w:rsidRPr="00320A86">
        <w:t>é</w:t>
      </w:r>
      <w:r w:rsidRPr="00320A86">
        <w:t>mocratisation qui concernerait l’ensemble de la population mondiale sur le fondement de l’idée selon laquelle « </w:t>
      </w:r>
      <w:r w:rsidRPr="00021532">
        <w:rPr>
          <w:i/>
        </w:rPr>
        <w:t>l’“espèce humaine” [est] faite pour s’épanouir et culminer en une pluralité d’éléments atte</w:t>
      </w:r>
      <w:r w:rsidRPr="00021532">
        <w:rPr>
          <w:i/>
        </w:rPr>
        <w:t>i</w:t>
      </w:r>
      <w:r w:rsidRPr="00021532">
        <w:rPr>
          <w:i/>
        </w:rPr>
        <w:t>gnant isolément, chacun pour soi, le maximum de leur développ</w:t>
      </w:r>
      <w:r w:rsidRPr="00021532">
        <w:rPr>
          <w:i/>
        </w:rPr>
        <w:t>e</w:t>
      </w:r>
      <w:r w:rsidRPr="00021532">
        <w:rPr>
          <w:i/>
        </w:rPr>
        <w:t>ment </w:t>
      </w:r>
      <w:r>
        <w:rPr>
          <w:rStyle w:val="Appelnotedebasdep"/>
        </w:rPr>
        <w:footnoteReference w:id="1098"/>
      </w:r>
      <w:r w:rsidRPr="00320A86">
        <w:t> ».</w:t>
      </w:r>
    </w:p>
    <w:p w14:paraId="29E7FB2D" w14:textId="77777777" w:rsidR="00B01930" w:rsidRPr="00320A86" w:rsidRDefault="00B01930" w:rsidP="00B01930">
      <w:pPr>
        <w:spacing w:before="120" w:after="120"/>
        <w:jc w:val="both"/>
      </w:pPr>
      <w:r w:rsidRPr="00320A86">
        <w:t xml:space="preserve">En fait, un tel projet apparaît comme pleinement cohérent dès lors que l’on prend ses distances vis-à-vis de la vision de la démocratie qui prédominait au </w:t>
      </w:r>
      <w:r w:rsidRPr="00320A86">
        <w:rPr>
          <w:smallCaps/>
        </w:rPr>
        <w:t>xviii</w:t>
      </w:r>
      <w:r w:rsidRPr="00320A86">
        <w:rPr>
          <w:vertAlign w:val="superscript"/>
        </w:rPr>
        <w:t>e</w:t>
      </w:r>
      <w:r w:rsidRPr="00320A86">
        <w:t xml:space="preserve"> siècle et qui repose sur l’idée qu’il résume ai</w:t>
      </w:r>
      <w:r w:rsidRPr="00320A86">
        <w:t>n</w:t>
      </w:r>
      <w:r w:rsidRPr="00320A86">
        <w:t>si :</w:t>
      </w:r>
    </w:p>
    <w:p w14:paraId="439BBF65" w14:textId="77777777" w:rsidR="00B01930" w:rsidRDefault="00B01930" w:rsidP="00B01930">
      <w:pPr>
        <w:pStyle w:val="citation"/>
      </w:pPr>
      <w:r w:rsidRPr="00320A86">
        <w:t>« Tout pour l’individu au sein de la Société. »</w:t>
      </w:r>
    </w:p>
    <w:p w14:paraId="490A5B8F" w14:textId="77777777" w:rsidR="00B01930" w:rsidRPr="00320A86" w:rsidRDefault="00B01930" w:rsidP="00B01930">
      <w:pPr>
        <w:pStyle w:val="citation"/>
      </w:pPr>
    </w:p>
    <w:p w14:paraId="2D675CEF" w14:textId="77777777" w:rsidR="00B01930" w:rsidRPr="00320A86" w:rsidRDefault="00B01930" w:rsidP="00B01930">
      <w:pPr>
        <w:spacing w:before="120" w:after="120"/>
        <w:jc w:val="both"/>
      </w:pPr>
      <w:r w:rsidRPr="00320A86">
        <w:t xml:space="preserve">Pour le philosophe, il convient de prendre en compte d’évolution de l’humanité au cours des </w:t>
      </w:r>
      <w:r w:rsidRPr="00320A86">
        <w:rPr>
          <w:smallCaps/>
        </w:rPr>
        <w:t>xix</w:t>
      </w:r>
      <w:r w:rsidRPr="00320A86">
        <w:rPr>
          <w:vertAlign w:val="superscript"/>
        </w:rPr>
        <w:t>e</w:t>
      </w:r>
      <w:r w:rsidRPr="00320A86">
        <w:t xml:space="preserve"> et </w:t>
      </w:r>
      <w:r w:rsidRPr="00320A86">
        <w:rPr>
          <w:smallCaps/>
        </w:rPr>
        <w:t>xx</w:t>
      </w:r>
      <w:r w:rsidRPr="00320A86">
        <w:rPr>
          <w:vertAlign w:val="superscript"/>
        </w:rPr>
        <w:t>e</w:t>
      </w:r>
      <w:r w:rsidRPr="00320A86">
        <w:t xml:space="preserve"> siècles :</w:t>
      </w:r>
    </w:p>
    <w:p w14:paraId="71650A72" w14:textId="77777777" w:rsidR="00B01930" w:rsidRDefault="00B01930" w:rsidP="00B01930">
      <w:pPr>
        <w:pStyle w:val="citation"/>
      </w:pPr>
    </w:p>
    <w:p w14:paraId="4C4EBE82" w14:textId="77777777" w:rsidR="00B01930" w:rsidRDefault="00B01930" w:rsidP="00B01930">
      <w:pPr>
        <w:pStyle w:val="citation"/>
      </w:pPr>
      <w:r w:rsidRPr="00320A86">
        <w:t>« Or, depuis cette époque, par suite de l’importance prise par les ph</w:t>
      </w:r>
      <w:r w:rsidRPr="00320A86">
        <w:t>é</w:t>
      </w:r>
      <w:r w:rsidRPr="00320A86">
        <w:t>nomènes de collectivité dans le monde, les données du problème ont pr</w:t>
      </w:r>
      <w:r w:rsidRPr="00320A86">
        <w:t>o</w:t>
      </w:r>
      <w:r w:rsidRPr="00320A86">
        <w:t>fondément cha</w:t>
      </w:r>
      <w:r w:rsidRPr="00320A86">
        <w:t>n</w:t>
      </w:r>
      <w:r w:rsidRPr="00320A86">
        <w:t>gé. Nous ne pouvons plus en douter désormais. Pour d’innombrables raisons convergentes (a</w:t>
      </w:r>
      <w:r w:rsidRPr="00320A86">
        <w:t>c</w:t>
      </w:r>
      <w:r w:rsidRPr="00320A86">
        <w:t>croissement rapide des liaisons ethniques, économiques, polit</w:t>
      </w:r>
      <w:r w:rsidRPr="00320A86">
        <w:t>i</w:t>
      </w:r>
      <w:r w:rsidRPr="00320A86">
        <w:t>ques et psychiques), l’élément humain se trouve définitivement engagé dans un processus irrésistible te</w:t>
      </w:r>
      <w:r w:rsidRPr="00320A86">
        <w:t>n</w:t>
      </w:r>
      <w:r w:rsidRPr="00320A86">
        <w:t>dant à l’établissement sur terre d’un système organo-psychique s</w:t>
      </w:r>
      <w:r w:rsidRPr="00320A86">
        <w:t>o</w:t>
      </w:r>
      <w:r w:rsidRPr="00320A86">
        <w:t>lidaire. Que nous le voulions ou non, l’humanité se collectivise, elle se totalise sous l’influence de forces physiques et spirituelles d’ordre planétaire. D’où le conflit moderne, au cœur de chaque homme, entre l’élément, to</w:t>
      </w:r>
      <w:r w:rsidRPr="00320A86">
        <w:t>u</w:t>
      </w:r>
      <w:r w:rsidRPr="00320A86">
        <w:t>jours plus conscient de sa valeur individuelle, et des liens sociaux, toujours plus ex</w:t>
      </w:r>
      <w:r w:rsidRPr="00320A86">
        <w:t>i</w:t>
      </w:r>
      <w:r w:rsidRPr="00320A86">
        <w:t>geants. »</w:t>
      </w:r>
    </w:p>
    <w:p w14:paraId="03EF6E40" w14:textId="77777777" w:rsidR="00B01930" w:rsidRPr="00320A86" w:rsidRDefault="00B01930" w:rsidP="00B01930">
      <w:pPr>
        <w:pStyle w:val="citation"/>
      </w:pPr>
    </w:p>
    <w:p w14:paraId="13654BBE" w14:textId="77777777" w:rsidR="00B01930" w:rsidRPr="00320A86" w:rsidRDefault="00B01930" w:rsidP="00B01930">
      <w:pPr>
        <w:spacing w:before="120" w:after="120"/>
        <w:jc w:val="both"/>
      </w:pPr>
      <w:r w:rsidRPr="00320A86">
        <w:t>Teilhard est convaincu que ce n’est qu’en s’associant avec les a</w:t>
      </w:r>
      <w:r w:rsidRPr="00320A86">
        <w:t>u</w:t>
      </w:r>
      <w:r w:rsidRPr="00320A86">
        <w:t>tres que l’individu peut atteindre « </w:t>
      </w:r>
      <w:r w:rsidRPr="00021532">
        <w:rPr>
          <w:i/>
        </w:rPr>
        <w:t>la plénitude de sa personne, plén</w:t>
      </w:r>
      <w:r w:rsidRPr="00021532">
        <w:rPr>
          <w:i/>
        </w:rPr>
        <w:t>i</w:t>
      </w:r>
      <w:r w:rsidRPr="00021532">
        <w:rPr>
          <w:i/>
        </w:rPr>
        <w:t>tude d’énergie et de mouvement et plénitude de conscience, surtout puisque nous ne devenons co</w:t>
      </w:r>
      <w:r w:rsidRPr="00021532">
        <w:rPr>
          <w:i/>
        </w:rPr>
        <w:t>m</w:t>
      </w:r>
      <w:r w:rsidRPr="00021532">
        <w:rPr>
          <w:i/>
        </w:rPr>
        <w:t>plètement “réfléchis” (c’est-à-dire « hommes ») chacun, qu’en nous réfléchi</w:t>
      </w:r>
      <w:r w:rsidRPr="00021532">
        <w:rPr>
          <w:i/>
        </w:rPr>
        <w:t>s</w:t>
      </w:r>
      <w:r w:rsidRPr="00021532">
        <w:rPr>
          <w:i/>
        </w:rPr>
        <w:t>sant mutuellement les uns dans les autres </w:t>
      </w:r>
      <w:r>
        <w:rPr>
          <w:rStyle w:val="Appelnotedebasdep"/>
        </w:rPr>
        <w:footnoteReference w:id="1099"/>
      </w:r>
      <w:r w:rsidRPr="00320A86">
        <w:t>. » Et ceci n’est possible qu’en conciliant collectivis</w:t>
      </w:r>
      <w:r w:rsidRPr="00320A86">
        <w:t>a</w:t>
      </w:r>
      <w:r w:rsidRPr="00320A86">
        <w:t>tion et individualisation, entreprise qui, dès lors que l’on env</w:t>
      </w:r>
      <w:r w:rsidRPr="00320A86">
        <w:t>i</w:t>
      </w:r>
      <w:r w:rsidRPr="00320A86">
        <w:t>sage, non pas l’individu, mais la personne, est parfaitement envisageable, la se</w:t>
      </w:r>
      <w:r w:rsidRPr="00320A86">
        <w:t>u</w:t>
      </w:r>
      <w:r w:rsidRPr="00320A86">
        <w:t>le difficulté étant de réaliser la « totalisation humaine » par « </w:t>
      </w:r>
      <w:r w:rsidRPr="00021532">
        <w:rPr>
          <w:i/>
        </w:rPr>
        <w:t>effet interne d’harmonisation et de sympathie </w:t>
      </w:r>
      <w:r w:rsidRPr="00320A86">
        <w:t>». Mais là encore, il se garde bien d’expliciter son projet et de proposer des mesures concrètes.</w:t>
      </w:r>
    </w:p>
    <w:p w14:paraId="30177E3C" w14:textId="77777777" w:rsidR="00B01930" w:rsidRPr="00320A86" w:rsidRDefault="00B01930" w:rsidP="00B01930">
      <w:pPr>
        <w:spacing w:before="120" w:after="120"/>
        <w:jc w:val="both"/>
      </w:pPr>
      <w:r w:rsidRPr="00320A86">
        <w:t>Dans ce but,  chrétien qu’il resta toujours a appelé de ses vœux une nouvelle définition des droits de l’homme qui auraient comme objectif d’assurer, non plus la plus grande indépendance possible des individus à l’égard de la société, mais le respect de la singularité des personnes au sein de la société. Les droits de l’homme devraient ainsi permettre la réalisation de « </w:t>
      </w:r>
      <w:r w:rsidRPr="00021532">
        <w:rPr>
          <w:i/>
        </w:rPr>
        <w:t>l’inévitable totalisation humaine </w:t>
      </w:r>
      <w:r w:rsidRPr="00320A86">
        <w:t>» en étant, non plus la garantie de l’existence de l’individu dans la s</w:t>
      </w:r>
      <w:r w:rsidRPr="00320A86">
        <w:t>o</w:t>
      </w:r>
      <w:r w:rsidRPr="00320A86">
        <w:t>ciété, mais la condition de sa personnalisation par son intégration dans un gro</w:t>
      </w:r>
      <w:r w:rsidRPr="00320A86">
        <w:t>u</w:t>
      </w:r>
      <w:r w:rsidRPr="00320A86">
        <w:t>pe constituant le point culminant de l’évolution de l’humanité, sur un plan tant organique que psychique.</w:t>
      </w:r>
    </w:p>
    <w:p w14:paraId="10527ED8" w14:textId="77777777" w:rsidR="00B01930" w:rsidRPr="00320A86" w:rsidRDefault="00B01930" w:rsidP="00B01930">
      <w:pPr>
        <w:spacing w:before="120" w:after="120"/>
        <w:jc w:val="both"/>
      </w:pPr>
      <w:r w:rsidRPr="00320A86">
        <w:t>Cette conciliation de la collectivisation et de la personnalisation envisageable que si trois conditions sont réunies.</w:t>
      </w:r>
    </w:p>
    <w:p w14:paraId="47D8DD0A" w14:textId="77777777" w:rsidR="00B01930" w:rsidRPr="00320A86" w:rsidRDefault="00B01930" w:rsidP="00B01930">
      <w:pPr>
        <w:spacing w:before="120" w:after="120"/>
        <w:jc w:val="both"/>
      </w:pPr>
      <w:r w:rsidRPr="00320A86">
        <w:t>Premièrement, l’organisation collective de l’humanité impose à l’individu de chercher à aller au bout de son propre développement ; ce n’est qu’à ce prix que le perfectionnement de tous peut être obtenu, celui-ci dépendant du perfectio</w:t>
      </w:r>
      <w:r w:rsidRPr="00320A86">
        <w:t>n</w:t>
      </w:r>
      <w:r w:rsidRPr="00320A86">
        <w:t>nement de chacun.</w:t>
      </w:r>
    </w:p>
    <w:p w14:paraId="65A4A7CA" w14:textId="77777777" w:rsidR="00B01930" w:rsidRPr="00320A86" w:rsidRDefault="00B01930" w:rsidP="00B01930">
      <w:pPr>
        <w:spacing w:before="120" w:after="120"/>
        <w:jc w:val="both"/>
      </w:pPr>
      <w:r w:rsidRPr="00320A86">
        <w:t>Deuxièmement, la société doit assurer à chacun les moyens d’atteindre son plein développement physique et psychique ; ceci est absolument indispensable pour que la première condition soit réunie, mais Teilhard concède que « </w:t>
      </w:r>
      <w:r w:rsidRPr="00021532">
        <w:rPr>
          <w:i/>
        </w:rPr>
        <w:t>les m</w:t>
      </w:r>
      <w:r w:rsidRPr="00021532">
        <w:rPr>
          <w:i/>
        </w:rPr>
        <w:t>o</w:t>
      </w:r>
      <w:r w:rsidRPr="00021532">
        <w:rPr>
          <w:i/>
        </w:rPr>
        <w:t>dalités concrètes d’application sont impossibles à fixer pour tous les cas, pui</w:t>
      </w:r>
      <w:r w:rsidRPr="00021532">
        <w:rPr>
          <w:i/>
        </w:rPr>
        <w:t>s</w:t>
      </w:r>
      <w:r w:rsidRPr="00021532">
        <w:rPr>
          <w:i/>
        </w:rPr>
        <w:t>qu’elles varient avec le niveau d’éducation et avec la valeur progressive des d</w:t>
      </w:r>
      <w:r w:rsidRPr="00021532">
        <w:rPr>
          <w:i/>
        </w:rPr>
        <w:t>i</w:t>
      </w:r>
      <w:r w:rsidRPr="00021532">
        <w:rPr>
          <w:i/>
        </w:rPr>
        <w:t>vers éléments à organiser </w:t>
      </w:r>
      <w:r>
        <w:rPr>
          <w:rStyle w:val="Appelnotedebasdep"/>
        </w:rPr>
        <w:footnoteReference w:id="1100"/>
      </w:r>
      <w:r w:rsidRPr="00320A86">
        <w:t> ».</w:t>
      </w:r>
    </w:p>
    <w:p w14:paraId="78C5E472" w14:textId="77777777" w:rsidR="00B01930" w:rsidRPr="00320A86" w:rsidRDefault="00B01930" w:rsidP="00B01930">
      <w:pPr>
        <w:spacing w:before="120" w:after="120"/>
        <w:jc w:val="both"/>
      </w:pPr>
      <w:r w:rsidRPr="00320A86">
        <w:t>Troisièmement, la société ne doit pas modeler l’individu, ce qui reviendrait à faire reposer l’édifice tout entier sur une illusion ou un mensonge. Celui-ci ne doit pas voir sa pleine réalisation entravée, même s’il peut être nécessaire d’imposer des limites à l’expression de la liberté individuelle :</w:t>
      </w:r>
    </w:p>
    <w:p w14:paraId="5AD9D11D" w14:textId="77777777" w:rsidR="00B01930" w:rsidRDefault="00B01930" w:rsidP="00B01930">
      <w:pPr>
        <w:pStyle w:val="citation"/>
      </w:pPr>
    </w:p>
    <w:p w14:paraId="71382E5B" w14:textId="77777777" w:rsidR="00B01930" w:rsidRDefault="00B01930" w:rsidP="00B01930">
      <w:pPr>
        <w:pStyle w:val="citation"/>
      </w:pPr>
      <w:r w:rsidRPr="00320A86">
        <w:t>« Pour être légitime, toute limitation aux directions imposée à l’autonomie de l’élément par la force du groupe ne peut s’exercer que conformément à la structure interne et libre de cet élément. Autrement, une dysharmonie fondamentale se trouv</w:t>
      </w:r>
      <w:r w:rsidRPr="00320A86">
        <w:t>e</w:t>
      </w:r>
      <w:r w:rsidRPr="00320A86">
        <w:t>rait introduite au cœur même de l’organisme collectif humain</w:t>
      </w:r>
      <w:r>
        <w:t> </w:t>
      </w:r>
      <w:r w:rsidRPr="00264EEC">
        <w:rPr>
          <w:rStyle w:val="Appelnotedebasdep"/>
          <w:i/>
        </w:rPr>
        <w:footnoteReference w:id="1101"/>
      </w:r>
      <w:r w:rsidRPr="00320A86">
        <w:t>. »</w:t>
      </w:r>
    </w:p>
    <w:p w14:paraId="13575DAF" w14:textId="77777777" w:rsidR="00B01930" w:rsidRPr="00320A86" w:rsidRDefault="00B01930" w:rsidP="00B01930">
      <w:pPr>
        <w:pStyle w:val="citation"/>
      </w:pPr>
    </w:p>
    <w:p w14:paraId="19B1C989" w14:textId="77777777" w:rsidR="00B01930" w:rsidRPr="00320A86" w:rsidRDefault="00B01930" w:rsidP="00B01930">
      <w:pPr>
        <w:spacing w:before="120" w:after="120"/>
        <w:jc w:val="both"/>
      </w:pPr>
      <w:r w:rsidRPr="00320A86">
        <w:t>Ainsi, les droits de l’homme peuvent se résumer en deux principes qu’il convient de combiner : chaque élément a un devoir absolu de travailler à se pe</w:t>
      </w:r>
      <w:r w:rsidRPr="00320A86">
        <w:t>r</w:t>
      </w:r>
      <w:r w:rsidRPr="00320A86">
        <w:t>sonnaliser et, pour cela, a un droit absolu à voir sa personne pleinement respectée. En ce sens, ils ne s’écartent pas sens</w:t>
      </w:r>
      <w:r w:rsidRPr="00320A86">
        <w:t>i</w:t>
      </w:r>
      <w:r w:rsidRPr="00320A86">
        <w:t>blement de la conception générale des droits de l’homme tels qu’ils ont évolué, depuis la Déclaration des droits de l’homme et du citoyen du 26 août 1789, notamment avec préambule de la Con</w:t>
      </w:r>
      <w:r w:rsidRPr="00320A86">
        <w:t>s</w:t>
      </w:r>
      <w:r w:rsidRPr="00320A86">
        <w:t>titution du 27 octobre 1946 : les droits-libertés de 1789 sont réinterprétés et pe</w:t>
      </w:r>
      <w:r w:rsidRPr="00320A86">
        <w:t>r</w:t>
      </w:r>
      <w:r w:rsidRPr="00320A86">
        <w:t>dent en partie leur connotation individualiste, et les droits-créances de 1946 r</w:t>
      </w:r>
      <w:r w:rsidRPr="00320A86">
        <w:t>é</w:t>
      </w:r>
      <w:r w:rsidRPr="00320A86">
        <w:t>pondent finalement à l’obligation pour la société de donner à chacun les moyens d’assurer son plein perfectionnement.</w:t>
      </w:r>
    </w:p>
    <w:p w14:paraId="548D40C5" w14:textId="77777777" w:rsidR="00B01930" w:rsidRPr="00320A86" w:rsidRDefault="00B01930" w:rsidP="00B01930">
      <w:pPr>
        <w:spacing w:before="120" w:after="120"/>
        <w:jc w:val="both"/>
      </w:pPr>
      <w:r w:rsidRPr="00320A86">
        <w:t>C’est à ce prix que la démocratie libérale peut apparaître comme un régime politique acceptable. Pour autant, le succès du processus de convergence de l’humanité ne réside pas seulement dans l’organisation politique que les ho</w:t>
      </w:r>
      <w:r w:rsidRPr="00320A86">
        <w:t>m</w:t>
      </w:r>
      <w:r w:rsidRPr="00320A86">
        <w:t>mes adoptent dans ce que l’on peut considérer comme une période transitoire de progressif acco</w:t>
      </w:r>
      <w:r w:rsidRPr="00320A86">
        <w:t>m</w:t>
      </w:r>
      <w:r w:rsidRPr="00320A86">
        <w:t>plissement de la planétisation. Il faut également qu’ils maîtr</w:t>
      </w:r>
      <w:r w:rsidRPr="00320A86">
        <w:t>i</w:t>
      </w:r>
      <w:r w:rsidRPr="00320A86">
        <w:t>sent leur propre développement.</w:t>
      </w:r>
    </w:p>
    <w:p w14:paraId="49FAA1A7" w14:textId="77777777" w:rsidR="00B01930" w:rsidRPr="00320A86" w:rsidRDefault="00B01930" w:rsidP="00B01930">
      <w:pPr>
        <w:spacing w:before="120" w:after="120"/>
        <w:jc w:val="both"/>
      </w:pPr>
    </w:p>
    <w:p w14:paraId="2F186693" w14:textId="77777777" w:rsidR="00B01930" w:rsidRPr="00320A86" w:rsidRDefault="00B01930" w:rsidP="00B01930">
      <w:pPr>
        <w:pStyle w:val="a"/>
      </w:pPr>
      <w:r w:rsidRPr="00320A86">
        <w:t>La montée des périls</w:t>
      </w:r>
    </w:p>
    <w:p w14:paraId="5623E640" w14:textId="77777777" w:rsidR="00B01930" w:rsidRDefault="00B01930" w:rsidP="00B01930">
      <w:pPr>
        <w:spacing w:before="120" w:after="120"/>
        <w:jc w:val="both"/>
      </w:pPr>
    </w:p>
    <w:p w14:paraId="3A44FEB7" w14:textId="77777777" w:rsidR="00B01930" w:rsidRPr="00320A86" w:rsidRDefault="00B01930" w:rsidP="00B01930">
      <w:pPr>
        <w:spacing w:before="120" w:after="120"/>
        <w:jc w:val="both"/>
      </w:pPr>
      <w:r w:rsidRPr="00320A86">
        <w:t>Teilhard de Chardin a une conception résolument optimiste de l’humanité et de son devenir, envisageant toutefois la poursuite de l’aventure humaine jusqu’à un degré de perfectionnement qui échappe encore à l’entendement humain. Mais cela ne signifie pas que le su</w:t>
      </w:r>
      <w:r w:rsidRPr="00320A86">
        <w:t>c</w:t>
      </w:r>
      <w:r w:rsidRPr="00320A86">
        <w:t>cès de l’entreprise soit garanti. Encore faut-il que les hommes soient capables d’apporter une réponse aux grands enjeux du dév</w:t>
      </w:r>
      <w:r w:rsidRPr="00320A86">
        <w:t>e</w:t>
      </w:r>
      <w:r w:rsidRPr="00320A86">
        <w:t>loppement de leur espèce, c’est-à-dire, en somme, qu’ils sachent maîtriser le pr</w:t>
      </w:r>
      <w:r w:rsidRPr="00320A86">
        <w:t>o</w:t>
      </w:r>
      <w:r w:rsidRPr="00320A86">
        <w:t>grès scientifique et qu’ils le mettent au service de la longue marche vers le « </w:t>
      </w:r>
      <w:r w:rsidRPr="00021532">
        <w:rPr>
          <w:i/>
        </w:rPr>
        <w:t>point Omega </w:t>
      </w:r>
      <w:r w:rsidRPr="00320A86">
        <w:t>». Or, la science donne à l’homme les moyens de choisir collectivement son avenir. Celui-ci peut, en effet, agir d</w:t>
      </w:r>
      <w:r w:rsidRPr="00320A86">
        <w:t>i</w:t>
      </w:r>
      <w:r w:rsidRPr="00320A86">
        <w:t>rectement sur son évolution biologique. Il peut également manipuler la structure de la matière. Dans les deux cas, les risques de dérapage sont considérables et, si l’homme acquiert progre</w:t>
      </w:r>
      <w:r w:rsidRPr="00320A86">
        <w:t>s</w:t>
      </w:r>
      <w:r w:rsidRPr="00320A86">
        <w:t>sivement la maîtrise de la nature, il doit apprendre à se maîtriser lui-même, à ne pas se lai</w:t>
      </w:r>
      <w:r w:rsidRPr="00320A86">
        <w:t>s</w:t>
      </w:r>
      <w:r w:rsidRPr="00320A86">
        <w:t>ser griser par le pouvoir que lui donne le progrès scientifique. Pour se rapprocher de Dieu – ce qui est, rappelons-le, le but ultime de l’évolution de l’humanité –, l’homme doit agir sur la nature, c’est-à-dire sur la Création, sans jamais oublier qu’il n’est qu’homme. Si la question est à la fois religieuse et morale, la réponse est essentiell</w:t>
      </w:r>
      <w:r w:rsidRPr="00320A86">
        <w:t>e</w:t>
      </w:r>
      <w:r w:rsidRPr="00320A86">
        <w:t>ment politique.</w:t>
      </w:r>
    </w:p>
    <w:p w14:paraId="03EC87AE" w14:textId="77777777" w:rsidR="00B01930" w:rsidRPr="00320A86" w:rsidRDefault="00B01930" w:rsidP="00B01930">
      <w:pPr>
        <w:spacing w:before="120" w:after="120"/>
        <w:jc w:val="both"/>
      </w:pPr>
    </w:p>
    <w:p w14:paraId="241DBF7B" w14:textId="77777777" w:rsidR="00B01930" w:rsidRPr="00320A86" w:rsidRDefault="00B01930" w:rsidP="00B01930">
      <w:pPr>
        <w:pStyle w:val="a"/>
      </w:pPr>
      <w:r w:rsidRPr="00320A86">
        <w:t>Maîtrise l’avenir de l’homme</w:t>
      </w:r>
    </w:p>
    <w:p w14:paraId="24479E0A" w14:textId="77777777" w:rsidR="00B01930" w:rsidRDefault="00B01930" w:rsidP="00B01930">
      <w:pPr>
        <w:spacing w:before="120" w:after="120"/>
        <w:jc w:val="both"/>
      </w:pPr>
    </w:p>
    <w:p w14:paraId="6A869CA1" w14:textId="77777777" w:rsidR="00B01930" w:rsidRPr="00320A86" w:rsidRDefault="00B01930" w:rsidP="00B01930">
      <w:pPr>
        <w:spacing w:before="120" w:after="120"/>
        <w:jc w:val="both"/>
      </w:pPr>
      <w:r w:rsidRPr="00320A86">
        <w:t>L’évolution de l’espèce humaine est marquée par deux phénom</w:t>
      </w:r>
      <w:r w:rsidRPr="00320A86">
        <w:t>è</w:t>
      </w:r>
      <w:r w:rsidRPr="00320A86">
        <w:t>nes en partie liés : le recul de la mort et de la maladie et la croissance démographique. Or, si les progrès scientifiques ont permis d’allonger considérablement l’espérance de vie ainsi que les capacités physiques et intellectuelles des hommes par l’amélioration de l’hygiène et des conditions de vie, une dérive eugéniste est possible. La question est d’autant plus importante que la croissance démogr</w:t>
      </w:r>
      <w:r w:rsidRPr="00320A86">
        <w:t>a</w:t>
      </w:r>
      <w:r w:rsidRPr="00320A86">
        <w:t>phique soulève d’importants problèmes de survie de l’espèce humaine sur une terre toujours plus exiguë, et que l’eugénisme peut être considéré comme une réponse possible, politique, scientifique et morale.</w:t>
      </w:r>
    </w:p>
    <w:p w14:paraId="4933B2C4" w14:textId="77777777" w:rsidR="00B01930" w:rsidRPr="00320A86" w:rsidRDefault="00B01930" w:rsidP="00B01930">
      <w:pPr>
        <w:spacing w:before="120" w:after="120"/>
        <w:jc w:val="both"/>
      </w:pPr>
      <w:r w:rsidRPr="00320A86">
        <w:t>S’il est une question sur laquelle politique, science et religion ont vocation à converger – à défaut de proposer la même réponse –, il s’agit bien de la manip</w:t>
      </w:r>
      <w:r w:rsidRPr="00320A86">
        <w:t>u</w:t>
      </w:r>
      <w:r w:rsidRPr="00320A86">
        <w:t>lation scientifique du vivant, quels que soient les objectifs visés. La recherche de nouvelles thérapies, la lutte contre la famine et la malnutrition, le ralentissement de la croissance dém</w:t>
      </w:r>
      <w:r w:rsidRPr="00320A86">
        <w:t>o</w:t>
      </w:r>
      <w:r w:rsidRPr="00320A86">
        <w:t>graphique, etc., sont autant de raisons pouvant conduire les gouve</w:t>
      </w:r>
      <w:r w:rsidRPr="00320A86">
        <w:t>r</w:t>
      </w:r>
      <w:r w:rsidRPr="00320A86">
        <w:t>nements à mettre en œuvre des politiques permettant ou encourageant les scientifiques à toucher au vivant, et de nos jours, les progrès de la génétique ouvrent des perspectives encore insoupçonnées voici que</w:t>
      </w:r>
      <w:r w:rsidRPr="00320A86">
        <w:t>l</w:t>
      </w:r>
      <w:r w:rsidRPr="00320A86">
        <w:t>ques décennies, soul</w:t>
      </w:r>
      <w:r w:rsidRPr="00320A86">
        <w:t>e</w:t>
      </w:r>
      <w:r w:rsidRPr="00320A86">
        <w:t>vant des questions morales d’une importance considérable</w:t>
      </w:r>
      <w:r>
        <w:t> </w:t>
      </w:r>
      <w:r>
        <w:rPr>
          <w:rStyle w:val="Appelnotedebasdep"/>
        </w:rPr>
        <w:footnoteReference w:id="1102"/>
      </w:r>
      <w:r w:rsidRPr="00320A86">
        <w:t>.</w:t>
      </w:r>
    </w:p>
    <w:p w14:paraId="5F5DE0B8" w14:textId="77777777" w:rsidR="00B01930" w:rsidRPr="00320A86" w:rsidRDefault="00B01930" w:rsidP="00B01930">
      <w:pPr>
        <w:spacing w:before="120" w:after="120"/>
        <w:jc w:val="both"/>
      </w:pPr>
      <w:r w:rsidRPr="00320A86">
        <w:t>La possibilité d’influencer l’évolution biologique de l’homme, sur un plan individuel ou collectif, n’a donc pas manqué de susciter l’intérêt des chercheurs, des philosophes ou des théologiens. Aussi n’est-il pas étonnant que Teilhard se soit penché sur la question dans sa recherche du sens de l’évolution de l’humanité vers cette perfection encore difficilement conceptualisable, faisant ainsi un premier pas vers ce que Julian Huxley appelait « </w:t>
      </w:r>
      <w:r w:rsidRPr="00021532">
        <w:rPr>
          <w:i/>
        </w:rPr>
        <w:t>l’éventuelle réconcili</w:t>
      </w:r>
      <w:r w:rsidRPr="00021532">
        <w:rPr>
          <w:i/>
        </w:rPr>
        <w:t>a</w:t>
      </w:r>
      <w:r w:rsidRPr="00021532">
        <w:rPr>
          <w:i/>
        </w:rPr>
        <w:t>tion de la science et de la religion, qui viendra quand les esprits religieux co</w:t>
      </w:r>
      <w:r w:rsidRPr="00021532">
        <w:rPr>
          <w:i/>
        </w:rPr>
        <w:t>m</w:t>
      </w:r>
      <w:r w:rsidRPr="00021532">
        <w:rPr>
          <w:i/>
        </w:rPr>
        <w:t>prendront que la théologie a besoin d’un fondement scientifique et saisiront le fait que la vie religieuse elle-même connaît l’évolution, et quand les esprits scientifiques accepteront le fait tout aussi important que la religion fait partie du processus évolutif et que dans la phase psychosociale de celui-ci elle est un él</w:t>
      </w:r>
      <w:r w:rsidRPr="00021532">
        <w:rPr>
          <w:i/>
        </w:rPr>
        <w:t>é</w:t>
      </w:r>
      <w:r w:rsidRPr="00021532">
        <w:rPr>
          <w:i/>
        </w:rPr>
        <w:t>ment important de l’histoire humaine </w:t>
      </w:r>
      <w:r>
        <w:rPr>
          <w:rStyle w:val="Appelnotedebasdep"/>
        </w:rPr>
        <w:footnoteReference w:id="1103"/>
      </w:r>
      <w:r w:rsidRPr="00320A86">
        <w:t> ».</w:t>
      </w:r>
    </w:p>
    <w:p w14:paraId="2F82D2AE" w14:textId="77777777" w:rsidR="00B01930" w:rsidRPr="00320A86" w:rsidRDefault="00B01930" w:rsidP="00B01930">
      <w:pPr>
        <w:spacing w:before="120" w:after="120"/>
        <w:jc w:val="both"/>
      </w:pPr>
      <w:r w:rsidRPr="00320A86">
        <w:t>Il a envisagé cette question de l’influence de l’homme sur la pou</w:t>
      </w:r>
      <w:r w:rsidRPr="00320A86">
        <w:t>r</w:t>
      </w:r>
      <w:r w:rsidRPr="00320A86">
        <w:t>suite de son évolution biologique en consacrant à l’eugénisme pl</w:t>
      </w:r>
      <w:r w:rsidRPr="00320A86">
        <w:t>u</w:t>
      </w:r>
      <w:r w:rsidRPr="00320A86">
        <w:t>sieurs développements, voyant dans cette possibilité à la fois un bo</w:t>
      </w:r>
      <w:r w:rsidRPr="00320A86">
        <w:t>u</w:t>
      </w:r>
      <w:r w:rsidRPr="00320A86">
        <w:t xml:space="preserve">leversement moral majeur du </w:t>
      </w:r>
      <w:r w:rsidRPr="00320A86">
        <w:rPr>
          <w:smallCaps/>
        </w:rPr>
        <w:t>xx</w:t>
      </w:r>
      <w:r w:rsidRPr="00320A86">
        <w:rPr>
          <w:vertAlign w:val="superscript"/>
        </w:rPr>
        <w:t>e</w:t>
      </w:r>
      <w:r w:rsidRPr="00320A86">
        <w:t xml:space="preserve"> siècle et l’évolution naturelle de la pensée humaine toujours tendue vers la pe</w:t>
      </w:r>
      <w:r w:rsidRPr="00320A86">
        <w:t>r</w:t>
      </w:r>
      <w:r w:rsidRPr="00320A86">
        <w:t>fection de la matière. Loin de s’opposer à la logique de la nature ou à la volonté de Dieu, l’eugénisme est vu comme l’aboutissement logique du progrès de l’humanité qui n’a eu de cesse, depuis des millénaires, de tenter d’écarter la m</w:t>
      </w:r>
      <w:r w:rsidRPr="00320A86">
        <w:t>a</w:t>
      </w:r>
      <w:r w:rsidRPr="00320A86">
        <w:t>ladie et de retarder l’échéance de la mort en s’affranchissant des lois de la nat</w:t>
      </w:r>
      <w:r w:rsidRPr="00320A86">
        <w:t>u</w:t>
      </w:r>
      <w:r w:rsidRPr="00320A86">
        <w:t>re, quitte à devenir l’auteur de son propre destin.</w:t>
      </w:r>
    </w:p>
    <w:p w14:paraId="48D91CE6" w14:textId="77777777" w:rsidR="00B01930" w:rsidRPr="00320A86" w:rsidRDefault="00B01930" w:rsidP="00B01930">
      <w:pPr>
        <w:spacing w:before="120" w:after="120"/>
        <w:jc w:val="both"/>
      </w:pPr>
      <w:r w:rsidRPr="00320A86">
        <w:t>Pour autant, l’eugénisme est vu par Teilhard, non pas seulement, selon la d</w:t>
      </w:r>
      <w:r w:rsidRPr="00320A86">
        <w:t>é</w:t>
      </w:r>
      <w:r w:rsidRPr="00320A86">
        <w:t>finition de Francis Galton, comme « </w:t>
      </w:r>
      <w:r w:rsidRPr="00021532">
        <w:rPr>
          <w:i/>
        </w:rPr>
        <w:t>l’étude des éléments contrôlables socialement qui peuvent améliorer ou détériorer les qu</w:t>
      </w:r>
      <w:r w:rsidRPr="00021532">
        <w:rPr>
          <w:i/>
        </w:rPr>
        <w:t>a</w:t>
      </w:r>
      <w:r w:rsidRPr="00021532">
        <w:rPr>
          <w:i/>
        </w:rPr>
        <w:t>lités raciales des futures générations, physiquement ou mental</w:t>
      </w:r>
      <w:r w:rsidRPr="00021532">
        <w:rPr>
          <w:i/>
        </w:rPr>
        <w:t>e</w:t>
      </w:r>
      <w:r w:rsidRPr="00021532">
        <w:rPr>
          <w:i/>
        </w:rPr>
        <w:t>ment </w:t>
      </w:r>
      <w:r>
        <w:rPr>
          <w:rStyle w:val="Appelnotedebasdep"/>
        </w:rPr>
        <w:footnoteReference w:id="1104"/>
      </w:r>
      <w:r w:rsidRPr="00320A86">
        <w:t> », mais aussi et surtout dans le prolo</w:t>
      </w:r>
      <w:r w:rsidRPr="00320A86">
        <w:t>n</w:t>
      </w:r>
      <w:r w:rsidRPr="00320A86">
        <w:t>gement de la logique de l’évolution des espèces découverte par le cousin de ce dernier, Charles Darwin, à savoir comme la poursuite par d’autres moyens de l’évolution de l’espèce humaine dont les progrès de la pensée, mat</w:t>
      </w:r>
      <w:r w:rsidRPr="00320A86">
        <w:t>é</w:t>
      </w:r>
      <w:r w:rsidRPr="00320A86">
        <w:t>rialisés entre autres par les avancées scientifiques, visent essentiell</w:t>
      </w:r>
      <w:r w:rsidRPr="00320A86">
        <w:t>e</w:t>
      </w:r>
      <w:r w:rsidRPr="00320A86">
        <w:t>ment à parachever un pr</w:t>
      </w:r>
      <w:r w:rsidRPr="00320A86">
        <w:t>o</w:t>
      </w:r>
      <w:r w:rsidRPr="00320A86">
        <w:t>jet divin.</w:t>
      </w:r>
    </w:p>
    <w:p w14:paraId="4C368C87" w14:textId="77777777" w:rsidR="00B01930" w:rsidRPr="00320A86" w:rsidRDefault="00B01930" w:rsidP="00B01930">
      <w:pPr>
        <w:spacing w:before="120" w:after="120"/>
        <w:jc w:val="both"/>
      </w:pPr>
      <w:r w:rsidRPr="00320A86">
        <w:t>Ainsi, l’eugénisme apparaît, aux yeux du scientifique philosohe, certes, comme un danger potentiel pour l’avenir de l’humanité en ra</w:t>
      </w:r>
      <w:r w:rsidRPr="00320A86">
        <w:t>i</w:t>
      </w:r>
      <w:r w:rsidRPr="00320A86">
        <w:t>son des risques de dérives, mais aussi comme un phénomène « naturel » :</w:t>
      </w:r>
    </w:p>
    <w:p w14:paraId="63BA033D" w14:textId="77777777" w:rsidR="00B01930" w:rsidRDefault="00B01930" w:rsidP="00B01930">
      <w:pPr>
        <w:pStyle w:val="citation"/>
      </w:pPr>
    </w:p>
    <w:p w14:paraId="721B2016" w14:textId="77777777" w:rsidR="00B01930" w:rsidRPr="00320A86" w:rsidRDefault="00B01930" w:rsidP="00B01930">
      <w:pPr>
        <w:pStyle w:val="citation"/>
      </w:pPr>
      <w:r w:rsidRPr="00320A86">
        <w:t>« Nous avons certainement laissé pousser jusqu’ici notre race à l’aventure, et insuffisamment réfléchi au problème de savoir par quels fa</w:t>
      </w:r>
      <w:r w:rsidRPr="00320A86">
        <w:t>c</w:t>
      </w:r>
      <w:r w:rsidRPr="00320A86">
        <w:t>teurs médicaux et moraux il est nécessaire, si nous les supprimons, de remplacer les forces brutales de la sélection naturelle. Au cours des si</w:t>
      </w:r>
      <w:r w:rsidRPr="00320A86">
        <w:t>è</w:t>
      </w:r>
      <w:r w:rsidRPr="00320A86">
        <w:t>cles qui viennent, il est indispensable que se découvre et se développe, à la m</w:t>
      </w:r>
      <w:r w:rsidRPr="00320A86">
        <w:t>e</w:t>
      </w:r>
      <w:r w:rsidRPr="00320A86">
        <w:t>sure de nos personnes, une forme d’eugénisme nobl</w:t>
      </w:r>
      <w:r w:rsidRPr="00320A86">
        <w:t>e</w:t>
      </w:r>
      <w:r w:rsidRPr="00320A86">
        <w:t>ment humaine.</w:t>
      </w:r>
    </w:p>
    <w:p w14:paraId="15AADF89" w14:textId="77777777" w:rsidR="00B01930" w:rsidRDefault="00B01930" w:rsidP="00B01930">
      <w:pPr>
        <w:pStyle w:val="citation"/>
      </w:pPr>
      <w:r w:rsidRPr="00320A86">
        <w:t>Eugénisme des individus, – et par suite eugénisme aussi de la s</w:t>
      </w:r>
      <w:r w:rsidRPr="00320A86">
        <w:t>o</w:t>
      </w:r>
      <w:r w:rsidRPr="00320A86">
        <w:t>ciété. De ce grand corps, fait de tous nos corps, nous trouverions plus commode, et nous inclinerions même à estimer plus sûr, de laisser les contours se d</w:t>
      </w:r>
      <w:r w:rsidRPr="00320A86">
        <w:t>é</w:t>
      </w:r>
      <w:r w:rsidRPr="00320A86">
        <w:t>terminer tout seuls, par jeu automatique des fantaisies et des poussées i</w:t>
      </w:r>
      <w:r w:rsidRPr="00320A86">
        <w:t>n</w:t>
      </w:r>
      <w:r w:rsidRPr="00320A86">
        <w:t>dividuelles. Ne pas interférer avec les forces du Monde ! Toujours le m</w:t>
      </w:r>
      <w:r w:rsidRPr="00320A86">
        <w:t>i</w:t>
      </w:r>
      <w:r w:rsidRPr="00320A86">
        <w:t>rage de l’instinct et de la prétendue infaillibilité de la Nature. Mais n’est-ce pas le Monde tout justement qui, aboutissant à la Pensée, attend que nous repensions, pour les perfectionner, les démarches instinctives de la Nature ? À substance réfléchie, arrang</w:t>
      </w:r>
      <w:r w:rsidRPr="00320A86">
        <w:t>e</w:t>
      </w:r>
      <w:r w:rsidRPr="00320A86">
        <w:t>ments réfléchis. S’il y a un avenir à l’Humanité, cet avenir ne peut être imaginé que dans la direction de que</w:t>
      </w:r>
      <w:r w:rsidRPr="00320A86">
        <w:t>l</w:t>
      </w:r>
      <w:r w:rsidRPr="00320A86">
        <w:t>que conciliation harmonieuse du Libre avec le Plané et le Totalisé. Distr</w:t>
      </w:r>
      <w:r w:rsidRPr="00320A86">
        <w:t>i</w:t>
      </w:r>
      <w:r w:rsidRPr="00320A86">
        <w:t>bution des ressources du globe. Régulation de la Poussée vers les espaces libres. Usage optimum des puissances libérées par la Machine. Physiol</w:t>
      </w:r>
      <w:r w:rsidRPr="00320A86">
        <w:t>o</w:t>
      </w:r>
      <w:r w:rsidRPr="00320A86">
        <w:t>gie des nations et des races. Géoéconomie, géopolitique, géod</w:t>
      </w:r>
      <w:r w:rsidRPr="00320A86">
        <w:t>é</w:t>
      </w:r>
      <w:r w:rsidRPr="00320A86">
        <w:t>mographie. L’organisation de la Recherche s’élargissant en une organisation ra</w:t>
      </w:r>
      <w:r w:rsidRPr="00320A86">
        <w:t>i</w:t>
      </w:r>
      <w:r w:rsidRPr="00320A86">
        <w:t>sonnée de la Terre. Que nous le voulions ou non, tous les indices et tous nos b</w:t>
      </w:r>
      <w:r w:rsidRPr="00320A86">
        <w:t>e</w:t>
      </w:r>
      <w:r w:rsidRPr="00320A86">
        <w:t>soins convergent dans le même sens : il nous faut, et nous sommes irrési</w:t>
      </w:r>
      <w:r w:rsidRPr="00320A86">
        <w:t>s</w:t>
      </w:r>
      <w:r w:rsidRPr="00320A86">
        <w:t>tiblement en train d’édifier, au moyen et au-delà de toute Physique, de to</w:t>
      </w:r>
      <w:r w:rsidRPr="00320A86">
        <w:t>u</w:t>
      </w:r>
      <w:r w:rsidRPr="00320A86">
        <w:t>te Biologie, et de toute Psychologie, une Énergétique h</w:t>
      </w:r>
      <w:r w:rsidRPr="00320A86">
        <w:t>u</w:t>
      </w:r>
      <w:r w:rsidRPr="00320A86">
        <w:t>maine</w:t>
      </w:r>
      <w:r>
        <w:t> </w:t>
      </w:r>
      <w:r w:rsidRPr="00264EEC">
        <w:rPr>
          <w:rStyle w:val="Appelnotedebasdep"/>
          <w:i/>
        </w:rPr>
        <w:footnoteReference w:id="1105"/>
      </w:r>
      <w:r w:rsidRPr="00320A86">
        <w:t>. »</w:t>
      </w:r>
    </w:p>
    <w:p w14:paraId="574E41D7" w14:textId="77777777" w:rsidR="00B01930" w:rsidRPr="00320A86" w:rsidRDefault="00B01930" w:rsidP="00B01930">
      <w:pPr>
        <w:pStyle w:val="citation"/>
      </w:pPr>
    </w:p>
    <w:p w14:paraId="7040C259" w14:textId="77777777" w:rsidR="00B01930" w:rsidRPr="00320A86" w:rsidRDefault="00B01930" w:rsidP="00B01930">
      <w:pPr>
        <w:spacing w:before="120" w:after="120"/>
        <w:jc w:val="both"/>
      </w:pPr>
      <w:r w:rsidRPr="00320A86">
        <w:t xml:space="preserve">Teilhard fait remarquer que les hommes n’ont pas attendu le </w:t>
      </w:r>
      <w:r w:rsidRPr="00320A86">
        <w:rPr>
          <w:smallCaps/>
        </w:rPr>
        <w:t>xx</w:t>
      </w:r>
      <w:r w:rsidRPr="00320A86">
        <w:rPr>
          <w:vertAlign w:val="superscript"/>
        </w:rPr>
        <w:t>e</w:t>
      </w:r>
      <w:r w:rsidRPr="00320A86">
        <w:t xml:space="preserve"> siècle et l’accélération du progrès scientifique pour tenter d’allonger l’espérance de vie et d’améliorer les capacités physiques et mentales des individus, c’est-à-dire fin</w:t>
      </w:r>
      <w:r w:rsidRPr="00320A86">
        <w:t>a</w:t>
      </w:r>
      <w:r w:rsidRPr="00320A86">
        <w:t>lement d’œuvrer au perfectionnement de l’espèce humaine en s’opposant aux « </w:t>
      </w:r>
      <w:r w:rsidRPr="00581737">
        <w:rPr>
          <w:i/>
        </w:rPr>
        <w:t>lois de la nature </w:t>
      </w:r>
      <w:r w:rsidRPr="00320A86">
        <w:t>», voire en les détournant en sa faveur. Il en veut pour preuve le droit, la culture et les coutumes qui cherchent à protéger les plus faibles et donc à fausser la sélection naturelle – il cite notamment le soutien aux pe</w:t>
      </w:r>
      <w:r w:rsidRPr="00320A86">
        <w:t>r</w:t>
      </w:r>
      <w:r w:rsidRPr="00320A86">
        <w:t>sonnes et aux familles défavorisées. Dès lors, lorsque les généticiens envisagent d’intervenir sur patrimoine génétique des hommes, ne cherchent-ils pas simpl</w:t>
      </w:r>
      <w:r w:rsidRPr="00320A86">
        <w:t>e</w:t>
      </w:r>
      <w:r w:rsidRPr="00320A86">
        <w:t>ment à éviter d’éventuelles dégradations que celui-ci pourrait subir ou à réparer celles déjà subies, notamment sous l’effet des tentatives de protéger les hommes des lois de la nature. Au fond, la génétique au service de l’eugénique scientifique viendrait co</w:t>
      </w:r>
      <w:r w:rsidRPr="00320A86">
        <w:t>r</w:t>
      </w:r>
      <w:r w:rsidRPr="00320A86">
        <w:t>riger les erreurs des mesures sociales qui, depuis des siècles, œuvrent à un eugénisme social.</w:t>
      </w:r>
    </w:p>
    <w:p w14:paraId="7F6CCA16" w14:textId="77777777" w:rsidR="00B01930" w:rsidRPr="00320A86" w:rsidRDefault="00B01930" w:rsidP="00B01930">
      <w:pPr>
        <w:spacing w:before="120" w:after="120"/>
        <w:jc w:val="both"/>
      </w:pPr>
      <w:r w:rsidRPr="00320A86">
        <w:t>Le politique doit donc assumer une formidable responsabilité m</w:t>
      </w:r>
      <w:r w:rsidRPr="00320A86">
        <w:t>o</w:t>
      </w:r>
      <w:r w:rsidRPr="00320A86">
        <w:t>rale en i</w:t>
      </w:r>
      <w:r w:rsidRPr="00320A86">
        <w:t>n</w:t>
      </w:r>
      <w:r w:rsidRPr="00320A86">
        <w:t>tervenant dans le face-à-face entre la science de plus en plus efficiente et la rel</w:t>
      </w:r>
      <w:r w:rsidRPr="00320A86">
        <w:t>i</w:t>
      </w:r>
      <w:r w:rsidRPr="00320A86">
        <w:t>gion de plus en plus incontournable</w:t>
      </w:r>
      <w:r>
        <w:t> </w:t>
      </w:r>
      <w:r>
        <w:rPr>
          <w:rStyle w:val="Appelnotedebasdep"/>
        </w:rPr>
        <w:footnoteReference w:id="1106"/>
      </w:r>
      <w:r w:rsidRPr="00320A86">
        <w:t>. C’est là que la distinction entre l’eugénique de l’eugénisme prend toute son impo</w:t>
      </w:r>
      <w:r w:rsidRPr="00320A86">
        <w:t>r</w:t>
      </w:r>
      <w:r w:rsidRPr="00320A86">
        <w:t>tance. En effet, l’eugénique repose sur deux idées : d’une part, les g</w:t>
      </w:r>
      <w:r w:rsidRPr="00320A86">
        <w:t>ê</w:t>
      </w:r>
      <w:r w:rsidRPr="00320A86">
        <w:t>nes sont à l’origine des différences de qualités et de caractères entre les individus, sont soumises à l’évolution ; d’autre part, l’espèce h</w:t>
      </w:r>
      <w:r w:rsidRPr="00320A86">
        <w:t>u</w:t>
      </w:r>
      <w:r w:rsidRPr="00320A86">
        <w:t>maine est soumise à la sélection naturelle qu’il est possible et souha</w:t>
      </w:r>
      <w:r w:rsidRPr="00320A86">
        <w:t>i</w:t>
      </w:r>
      <w:r w:rsidRPr="00320A86">
        <w:t>table de suppléer à celle-ci afin de poursuivre le perfectionnement de l’espèce. L’eugénisme, quant à lui, relève d’un projet politique global qui invite les scientifiques à réaliser l’utopie du perfectionnement g</w:t>
      </w:r>
      <w:r w:rsidRPr="00320A86">
        <w:t>é</w:t>
      </w:r>
      <w:r w:rsidRPr="00320A86">
        <w:t>nétique humain en y associant les sciences sociales et humaines afin de contrôler la société, nota</w:t>
      </w:r>
      <w:r w:rsidRPr="00320A86">
        <w:t>m</w:t>
      </w:r>
      <w:r w:rsidRPr="00320A86">
        <w:t>ment sur le plan politique ; nous sommes alors en présence d’un totalitarisme poussé au bout de sa l</w:t>
      </w:r>
      <w:r w:rsidRPr="00320A86">
        <w:t>o</w:t>
      </w:r>
      <w:r w:rsidRPr="00320A86">
        <w:t>gique.</w:t>
      </w:r>
    </w:p>
    <w:p w14:paraId="0B91B4A4" w14:textId="77777777" w:rsidR="00B01930" w:rsidRPr="00320A86" w:rsidRDefault="00B01930" w:rsidP="00B01930">
      <w:pPr>
        <w:spacing w:before="120" w:after="120"/>
        <w:jc w:val="both"/>
      </w:pPr>
      <w:r w:rsidRPr="00320A86">
        <w:t>Teilhard ne parle pas d’intervention sur le génome humain – il est vrai que les recherches scientifiques n’étaient pas suffisamment ava</w:t>
      </w:r>
      <w:r w:rsidRPr="00320A86">
        <w:t>n</w:t>
      </w:r>
      <w:r w:rsidRPr="00320A86">
        <w:t>cées dans ce doma</w:t>
      </w:r>
      <w:r w:rsidRPr="00320A86">
        <w:t>i</w:t>
      </w:r>
      <w:r w:rsidRPr="00320A86">
        <w:t>ne pour envisager des manipulations génétiques – et n’envisage qu’une intervention eugénique de la science visant n</w:t>
      </w:r>
      <w:r w:rsidRPr="00320A86">
        <w:t>o</w:t>
      </w:r>
      <w:r w:rsidRPr="00320A86">
        <w:t>tamment à « </w:t>
      </w:r>
      <w:r w:rsidRPr="00021532">
        <w:rPr>
          <w:i/>
        </w:rPr>
        <w:t>faciliter, voire provoquer la naissance d’individus et de populations qui soient “bons”, c’est-à-dire mei</w:t>
      </w:r>
      <w:r w:rsidRPr="00021532">
        <w:rPr>
          <w:i/>
        </w:rPr>
        <w:t>l</w:t>
      </w:r>
      <w:r w:rsidRPr="00021532">
        <w:rPr>
          <w:i/>
        </w:rPr>
        <w:t>leurs </w:t>
      </w:r>
      <w:r>
        <w:rPr>
          <w:rStyle w:val="Appelnotedebasdep"/>
        </w:rPr>
        <w:footnoteReference w:id="1107"/>
      </w:r>
      <w:r w:rsidRPr="00320A86">
        <w:t> », ce qui n’exclut pas qu’il aurait accueilli favorablement les progrès de la g</w:t>
      </w:r>
      <w:r w:rsidRPr="00320A86">
        <w:t>é</w:t>
      </w:r>
      <w:r w:rsidRPr="00320A86">
        <w:t>nétique et les applications pratiques, notamment dans le domaine m</w:t>
      </w:r>
      <w:r w:rsidRPr="00320A86">
        <w:t>é</w:t>
      </w:r>
      <w:r w:rsidRPr="00320A86">
        <w:t>dical, s’il avait vécu suffisamment longtemps pour connaître les pr</w:t>
      </w:r>
      <w:r w:rsidRPr="00320A86">
        <w:t>o</w:t>
      </w:r>
      <w:r w:rsidRPr="00320A86">
        <w:t>grès de la génét</w:t>
      </w:r>
      <w:r w:rsidRPr="00320A86">
        <w:t>i</w:t>
      </w:r>
      <w:r w:rsidRPr="00320A86">
        <w:t>que.</w:t>
      </w:r>
    </w:p>
    <w:p w14:paraId="6FCBBAC9" w14:textId="77777777" w:rsidR="00B01930" w:rsidRPr="00320A86" w:rsidRDefault="00B01930" w:rsidP="00B01930">
      <w:pPr>
        <w:spacing w:before="120" w:after="120"/>
        <w:jc w:val="both"/>
      </w:pPr>
      <w:r w:rsidRPr="00320A86">
        <w:t>Par ailleurs, il note à juste titre que la sélection naturelle a eu une influence considérable sur l’évolution de l’espèce humaine, lui pe</w:t>
      </w:r>
      <w:r w:rsidRPr="00320A86">
        <w:t>r</w:t>
      </w:r>
      <w:r w:rsidRPr="00320A86">
        <w:t>mettant de se hisser au sommet des espèces vivantes, mais que celle-ci ne s’exerce plus guère de nos jours, notamment en raison de la solid</w:t>
      </w:r>
      <w:r w:rsidRPr="00320A86">
        <w:t>a</w:t>
      </w:r>
      <w:r w:rsidRPr="00320A86">
        <w:t>rité entre les individus qui a permis de protéger les plus défavorisés. Il faut donc que l’homme supplée celle-ci afin de conserver sa place au sommet de la hiérarchie du vivant, qu’il conserve la plus grande « qualité biologique individuelle » possible. L’eugénique ne vise donc pas à contrecarrer la nature, mais au contraire à remettre l’humanité sur la voie qui lui a permis d’atteindre son degré de développement.</w:t>
      </w:r>
    </w:p>
    <w:p w14:paraId="75C9AE99" w14:textId="77777777" w:rsidR="00B01930" w:rsidRPr="00320A86" w:rsidRDefault="00B01930" w:rsidP="00B01930">
      <w:pPr>
        <w:spacing w:before="120" w:after="120"/>
        <w:jc w:val="both"/>
      </w:pPr>
      <w:r w:rsidRPr="00320A86">
        <w:t>En ce sens, la bienveillance de Teilhard à l’égard des pratiques e</w:t>
      </w:r>
      <w:r w:rsidRPr="00320A86">
        <w:t>u</w:t>
      </w:r>
      <w:r w:rsidRPr="00320A86">
        <w:t>géniques peut se comprendre, surtout de la part d’un esprit scientif</w:t>
      </w:r>
      <w:r w:rsidRPr="00320A86">
        <w:t>i</w:t>
      </w:r>
      <w:r w:rsidRPr="00320A86">
        <w:t>que qui voit dans le progrès des connaissances humaines une chance pour l’humanité. Elle ne peut toutefois manquer d’inquiéter. En effet, la frontière entre l’eugénique et l’eugénisme est très ténue, le passage du premier au second ne relevant final</w:t>
      </w:r>
      <w:r w:rsidRPr="00320A86">
        <w:t>e</w:t>
      </w:r>
      <w:r w:rsidRPr="00320A86">
        <w:t>ment que d’un choix politique et scientifique d’intervenir directement sur le p</w:t>
      </w:r>
      <w:r w:rsidRPr="00320A86">
        <w:t>a</w:t>
      </w:r>
      <w:r w:rsidRPr="00320A86">
        <w:t>trimoine génétique des individus dans un but social et politique : contrôler la société par la génétique. Or, si le cadre de l’eugénique peut être relativement a</w:t>
      </w:r>
      <w:r w:rsidRPr="00320A86">
        <w:t>i</w:t>
      </w:r>
      <w:r w:rsidRPr="00320A86">
        <w:t>sément défini, tant dans ses moyens que dans ses buts, il en va diff</w:t>
      </w:r>
      <w:r w:rsidRPr="00320A86">
        <w:t>é</w:t>
      </w:r>
      <w:r w:rsidRPr="00320A86">
        <w:t>remment de l’eugénisme qui, a priori, n’a d’autre limite que celle que l’on veut bien lui donner. Et comme les pratiques en génétique rel</w:t>
      </w:r>
      <w:r w:rsidRPr="00320A86">
        <w:t>è</w:t>
      </w:r>
      <w:r w:rsidRPr="00320A86">
        <w:t>vent d’un choix politique, des dérives ne sont absolument pas à excl</w:t>
      </w:r>
      <w:r w:rsidRPr="00320A86">
        <w:t>u</w:t>
      </w:r>
      <w:r w:rsidRPr="00320A86">
        <w:t>re. D’ailleurs, le philosophe glisse assez rapidement de l’eugénique à l’eugénisme, c’est-à-dire des individus à la société et à l’espèce. Pr</w:t>
      </w:r>
      <w:r w:rsidRPr="00320A86">
        <w:t>é</w:t>
      </w:r>
      <w:r w:rsidRPr="00320A86">
        <w:t>sentant l’eugénisme comme une volonté ou une action de « </w:t>
      </w:r>
      <w:r w:rsidRPr="00581737">
        <w:rPr>
          <w:i/>
        </w:rPr>
        <w:t>perfectionnement dans la prolongation et l’achèvement de l’espèce </w:t>
      </w:r>
      <w:r>
        <w:rPr>
          <w:rStyle w:val="Appelnotedebasdep"/>
        </w:rPr>
        <w:footnoteReference w:id="1108"/>
      </w:r>
      <w:r w:rsidRPr="00320A86">
        <w:t> », il envisage, que l’homme puisse recourir à des prat</w:t>
      </w:r>
      <w:r w:rsidRPr="00320A86">
        <w:t>i</w:t>
      </w:r>
      <w:r w:rsidRPr="00320A86">
        <w:t>ques eugéniques, notamment au contrôle des naissances, non seul</w:t>
      </w:r>
      <w:r w:rsidRPr="00320A86">
        <w:t>e</w:t>
      </w:r>
      <w:r w:rsidRPr="00320A86">
        <w:t>ment pour répondre à l’enjeu de la limitation des ressources nature</w:t>
      </w:r>
      <w:r w:rsidRPr="00320A86">
        <w:t>l</w:t>
      </w:r>
      <w:r w:rsidRPr="00320A86">
        <w:t>les, mais aussi pour améliorer l’espèce humaine, ce qui peut paraître choquant de la part d’un chrétien :</w:t>
      </w:r>
    </w:p>
    <w:p w14:paraId="553C0DE8" w14:textId="77777777" w:rsidR="00B01930" w:rsidRDefault="00B01930" w:rsidP="00B01930">
      <w:pPr>
        <w:pStyle w:val="citation"/>
      </w:pPr>
    </w:p>
    <w:p w14:paraId="7BEE4D87" w14:textId="77777777" w:rsidR="00B01930" w:rsidRDefault="00B01930" w:rsidP="00B01930">
      <w:pPr>
        <w:pStyle w:val="citation"/>
      </w:pPr>
      <w:r w:rsidRPr="00320A86">
        <w:t>« Sur ce terrain, les apôtres du « birth-control » (encore qu’animés trop souvent par le désir étroit de soulager des peines individuelles) nous a</w:t>
      </w:r>
      <w:r w:rsidRPr="00320A86">
        <w:t>u</w:t>
      </w:r>
      <w:r w:rsidRPr="00320A86">
        <w:t>ront rendu un service : celui d’ouvrir nos yeux à l’anomalie d’une s</w:t>
      </w:r>
      <w:r w:rsidRPr="00320A86">
        <w:t>o</w:t>
      </w:r>
      <w:r w:rsidRPr="00320A86">
        <w:t>ciété qui s’occupe de tout sauf d’organiser le recrutement de ses propres él</w:t>
      </w:r>
      <w:r w:rsidRPr="00320A86">
        <w:t>é</w:t>
      </w:r>
      <w:r w:rsidRPr="00320A86">
        <w:t>ments. Or l’eugénisme ne se limite pas à une simple sélection des naissa</w:t>
      </w:r>
      <w:r w:rsidRPr="00320A86">
        <w:t>n</w:t>
      </w:r>
      <w:r w:rsidRPr="00320A86">
        <w:t>ces. Toutes sortes de questions connexes s’y rattachent, à peine soul</w:t>
      </w:r>
      <w:r w:rsidRPr="00320A86">
        <w:t>e</w:t>
      </w:r>
      <w:r w:rsidRPr="00320A86">
        <w:t>vées encore malgré leur urgence. Quelle doit être, par exemple, l’attitude de fond à adopter, vis-à-vis des groupes ethn</w:t>
      </w:r>
      <w:r w:rsidRPr="00320A86">
        <w:t>i</w:t>
      </w:r>
      <w:r w:rsidRPr="00320A86">
        <w:t>ques fixés ou décidément peu progressifs, par l’aile marchante de l’Humanité ? La Terre est une surface fermée et limitée. Dans quelle mesure doit-on y tolérer, racialement ou n</w:t>
      </w:r>
      <w:r w:rsidRPr="00320A86">
        <w:t>a</w:t>
      </w:r>
      <w:r w:rsidRPr="00320A86">
        <w:t>tionalement, des aires de moindre activité ? – Plus généralement enc</w:t>
      </w:r>
      <w:r w:rsidRPr="00320A86">
        <w:t>o</w:t>
      </w:r>
      <w:r w:rsidRPr="00320A86">
        <w:t>re, comment faut-il juger les efforts que nous multiplions pour sauver, dans les hôpitaux de toutes sortes, ce qui n’est so</w:t>
      </w:r>
      <w:r w:rsidRPr="00320A86">
        <w:t>u</w:t>
      </w:r>
      <w:r w:rsidRPr="00320A86">
        <w:t>vent qu’un déchet de vie ? Quelque chose de profondément beau et vrai (je veux dire la foi en la v</w:t>
      </w:r>
      <w:r w:rsidRPr="00320A86">
        <w:t>a</w:t>
      </w:r>
      <w:r w:rsidRPr="00320A86">
        <w:t>leur irremplaçable et aux ressources imprévisibles contenues dans ch</w:t>
      </w:r>
      <w:r w:rsidRPr="00320A86">
        <w:t>a</w:t>
      </w:r>
      <w:r w:rsidRPr="00320A86">
        <w:t>que élément personnel) se cache évidemment sous cette opiniâtreté à tout s</w:t>
      </w:r>
      <w:r w:rsidRPr="00320A86">
        <w:t>a</w:t>
      </w:r>
      <w:r w:rsidRPr="00320A86">
        <w:t>crifier pour sauver une existence humaine. Mais cette sollicitude de l’homme pour son pr</w:t>
      </w:r>
      <w:r w:rsidRPr="00320A86">
        <w:t>o</w:t>
      </w:r>
      <w:r w:rsidRPr="00320A86">
        <w:t>chain individuel ne devrait-elle pas s’équilibrer d’une passion plus haute, naissant de la foi en cette autre personnalité s</w:t>
      </w:r>
      <w:r w:rsidRPr="00320A86">
        <w:t>u</w:t>
      </w:r>
      <w:r w:rsidRPr="00320A86">
        <w:t>périeure qui est attendue, nous le verrons, de la réussite terrestre de notre évolution ? Jusqu’à quel point le développement du fort (si tant est qu’on puisse clairement définir celui-ci) ne devrait-il pas primer la conserv</w:t>
      </w:r>
      <w:r w:rsidRPr="00320A86">
        <w:t>a</w:t>
      </w:r>
      <w:r w:rsidRPr="00320A86">
        <w:t>tion du faible ? Comment concilier, dans un maximum d’efficience, le soin à prodiguer aux blessés avec les nécessités sup</w:t>
      </w:r>
      <w:r w:rsidRPr="00320A86">
        <w:t>é</w:t>
      </w:r>
      <w:r w:rsidRPr="00320A86">
        <w:t>rieures de l’attaque ? En quoi consiste la vraie charité</w:t>
      </w:r>
      <w:r>
        <w:t> </w:t>
      </w:r>
      <w:r w:rsidRPr="00264EEC">
        <w:rPr>
          <w:rStyle w:val="Appelnotedebasdep"/>
          <w:i/>
        </w:rPr>
        <w:footnoteReference w:id="1109"/>
      </w:r>
      <w:r w:rsidRPr="00320A86">
        <w:t> ? »</w:t>
      </w:r>
    </w:p>
    <w:p w14:paraId="0021227E" w14:textId="77777777" w:rsidR="00B01930" w:rsidRPr="00320A86" w:rsidRDefault="00B01930" w:rsidP="00B01930">
      <w:pPr>
        <w:pStyle w:val="citation"/>
      </w:pPr>
    </w:p>
    <w:p w14:paraId="1234E55D" w14:textId="77777777" w:rsidR="00B01930" w:rsidRPr="00320A86" w:rsidRDefault="00B01930" w:rsidP="00B01930">
      <w:pPr>
        <w:spacing w:before="120" w:after="120"/>
        <w:jc w:val="both"/>
      </w:pPr>
      <w:r w:rsidRPr="00320A86">
        <w:t>Teilhard de Chardin se montre finalement favorable à l’eugénisme, sans pour autant prononcer le mot, à la fois pour répondre à des e</w:t>
      </w:r>
      <w:r w:rsidRPr="00320A86">
        <w:t>n</w:t>
      </w:r>
      <w:r w:rsidRPr="00320A86">
        <w:t>jeux liés à la croissance de la population</w:t>
      </w:r>
      <w:r>
        <w:t> </w:t>
      </w:r>
      <w:r>
        <w:rPr>
          <w:rStyle w:val="Appelnotedebasdep"/>
        </w:rPr>
        <w:footnoteReference w:id="1110"/>
      </w:r>
      <w:r w:rsidRPr="00320A86">
        <w:t>, et pour permettre une am</w:t>
      </w:r>
      <w:r w:rsidRPr="00320A86">
        <w:t>é</w:t>
      </w:r>
      <w:r w:rsidRPr="00320A86">
        <w:t>lioration biologique de l’espèce humaine. Dès lors, sont conce</w:t>
      </w:r>
      <w:r w:rsidRPr="00320A86">
        <w:t>r</w:t>
      </w:r>
      <w:r w:rsidRPr="00320A86">
        <w:t>nés, non seulement les individus, mais aussi les nations et les « races ».</w:t>
      </w:r>
    </w:p>
    <w:p w14:paraId="124FCCFF" w14:textId="77777777" w:rsidR="00B01930" w:rsidRPr="00320A86" w:rsidRDefault="00B01930" w:rsidP="00B01930">
      <w:pPr>
        <w:spacing w:before="120" w:after="120"/>
        <w:jc w:val="both"/>
      </w:pPr>
      <w:r w:rsidRPr="00320A86">
        <w:t>Il n’a toutefois jamais défendu les politiques raciales de certains gouvernements étrangers, et a même réfuté catégoriquement le qual</w:t>
      </w:r>
      <w:r w:rsidRPr="00320A86">
        <w:t>i</w:t>
      </w:r>
      <w:r w:rsidRPr="00320A86">
        <w:t>ficatif de raciste, alors même que certains de ses écrits peuvent laisser planer un doute. Ainsi, commentant une déclaration de l’U</w:t>
      </w:r>
      <w:r w:rsidRPr="00320A86">
        <w:rPr>
          <w:smallCaps/>
        </w:rPr>
        <w:t>nesco</w:t>
      </w:r>
      <w:r w:rsidRPr="00320A86">
        <w:t xml:space="preserve"> sur la question raciale, il affirma :</w:t>
      </w:r>
    </w:p>
    <w:p w14:paraId="1A781AED" w14:textId="77777777" w:rsidR="00B01930" w:rsidRDefault="00B01930" w:rsidP="00B01930">
      <w:pPr>
        <w:pStyle w:val="citation"/>
      </w:pPr>
    </w:p>
    <w:p w14:paraId="0CADBC4A" w14:textId="77777777" w:rsidR="00B01930" w:rsidRDefault="00B01930" w:rsidP="00B01930">
      <w:pPr>
        <w:pStyle w:val="citation"/>
      </w:pPr>
      <w:r w:rsidRPr="00320A86">
        <w:t>« Et puis même si certains esprits, insuffisamment “humanisés”, se trouvaient o</w:t>
      </w:r>
      <w:r w:rsidRPr="00320A86">
        <w:t>f</w:t>
      </w:r>
      <w:r w:rsidRPr="00320A86">
        <w:t>fusqués par le fait que, dans l’avance humaine commune, il existe, non seulement des individus, mais des groupes “mieux doués”, des “groupes le</w:t>
      </w:r>
      <w:r w:rsidRPr="00320A86">
        <w:t>a</w:t>
      </w:r>
      <w:r w:rsidRPr="00320A86">
        <w:t>ders”, – qu’y faire</w:t>
      </w:r>
      <w:r>
        <w:t> </w:t>
      </w:r>
      <w:r w:rsidRPr="00264EEC">
        <w:rPr>
          <w:rStyle w:val="Appelnotedebasdep"/>
          <w:i/>
        </w:rPr>
        <w:footnoteReference w:id="1111"/>
      </w:r>
      <w:r>
        <w:t> ? »</w:t>
      </w:r>
    </w:p>
    <w:p w14:paraId="001D25C7" w14:textId="77777777" w:rsidR="00B01930" w:rsidRDefault="00B01930" w:rsidP="00B01930">
      <w:pPr>
        <w:pStyle w:val="citation"/>
      </w:pPr>
    </w:p>
    <w:p w14:paraId="793F067B" w14:textId="77777777" w:rsidR="00B01930" w:rsidRPr="00320A86" w:rsidRDefault="00B01930" w:rsidP="00B01930">
      <w:pPr>
        <w:spacing w:before="120" w:after="120"/>
        <w:jc w:val="both"/>
      </w:pPr>
      <w:r w:rsidRPr="00320A86">
        <w:t xml:space="preserve">Mais il ne faisait que constater ce qu’il considérait comme une évidence : l’inégalité des groupes humains, sans pour autant appeler de ses vœux que celle-ci soit prise en compte par les gouvernants. Au contraire, lors d’un séjour en Afrique du Sud en 1953, il émit de vives critiques contre l’apartheid : </w:t>
      </w:r>
    </w:p>
    <w:p w14:paraId="01E8A21E" w14:textId="77777777" w:rsidR="00B01930" w:rsidRDefault="00B01930" w:rsidP="00B01930">
      <w:pPr>
        <w:pStyle w:val="citation"/>
      </w:pPr>
    </w:p>
    <w:p w14:paraId="54A00F85" w14:textId="77777777" w:rsidR="00B01930" w:rsidRDefault="00B01930" w:rsidP="00B01930">
      <w:pPr>
        <w:pStyle w:val="citation"/>
      </w:pPr>
      <w:r w:rsidRPr="00320A86">
        <w:t>« Ici comme là [à Johannesburg] une seule chose ou impression dés</w:t>
      </w:r>
      <w:r w:rsidRPr="00320A86">
        <w:t>a</w:t>
      </w:r>
      <w:r w:rsidRPr="00320A86">
        <w:t>gréable : l’effort du gouvernement pour maintenir désespérément la s</w:t>
      </w:r>
      <w:r w:rsidRPr="00320A86">
        <w:t>u</w:t>
      </w:r>
      <w:r w:rsidRPr="00320A86">
        <w:t>prématie blanche (on re-forme les écoles pour indigènes sur le principe de l’inégalité des races, à inculquer aux enfants). Les angl</w:t>
      </w:r>
      <w:r w:rsidRPr="00320A86">
        <w:t>i</w:t>
      </w:r>
      <w:r w:rsidRPr="00320A86">
        <w:t>cans réagissent courageusement. Mais on n’entend jamais la voix c</w:t>
      </w:r>
      <w:r w:rsidRPr="00320A86">
        <w:t>a</w:t>
      </w:r>
      <w:r w:rsidRPr="00320A86">
        <w:t>tholique, me semble-t-il</w:t>
      </w:r>
      <w:r>
        <w:t> </w:t>
      </w:r>
      <w:r w:rsidRPr="00264EEC">
        <w:rPr>
          <w:rStyle w:val="Appelnotedebasdep"/>
          <w:i/>
        </w:rPr>
        <w:footnoteReference w:id="1112"/>
      </w:r>
      <w:r w:rsidRPr="00320A86">
        <w:t>. »</w:t>
      </w:r>
    </w:p>
    <w:p w14:paraId="1B804B1F" w14:textId="77777777" w:rsidR="00B01930" w:rsidRDefault="00B01930" w:rsidP="00B01930">
      <w:pPr>
        <w:pStyle w:val="citation"/>
      </w:pPr>
    </w:p>
    <w:p w14:paraId="23CE9AA9" w14:textId="77777777" w:rsidR="00B01930" w:rsidRPr="00320A86" w:rsidRDefault="00B01930" w:rsidP="00B01930">
      <w:pPr>
        <w:spacing w:before="120" w:after="120"/>
        <w:jc w:val="both"/>
      </w:pPr>
      <w:r w:rsidRPr="00320A86">
        <w:t>En fait, pour lui, le maintien de la suprématie blanche en Afrique du sud était moins critiquable pour son fondement raciste que parce qu’il ne s’inscrivait pas dans le projet de perfectionnement de l’espèce humaine. L’apartheid était crit</w:t>
      </w:r>
      <w:r w:rsidRPr="00320A86">
        <w:t>i</w:t>
      </w:r>
      <w:r w:rsidRPr="00320A86">
        <w:t>quable parce que contre nature.</w:t>
      </w:r>
    </w:p>
    <w:p w14:paraId="48101A4A" w14:textId="77777777" w:rsidR="00B01930" w:rsidRPr="00320A86" w:rsidRDefault="00B01930" w:rsidP="00B01930">
      <w:pPr>
        <w:spacing w:before="120" w:after="120"/>
        <w:jc w:val="both"/>
      </w:pPr>
      <w:r w:rsidRPr="00320A86">
        <w:t>Par contre, n’a-t-il pas jugé bon de formuler la moindre critique contre les politiques de stérilisation de certaines populations menées depuis les années vingt par plusieurs gouvernements occidentaux – notamment au Canada, aux États-Unis, en Suède et en Suisse – sans pour autant que l’on puisse interpréter ce silence comme un acquie</w:t>
      </w:r>
      <w:r w:rsidRPr="00320A86">
        <w:t>s</w:t>
      </w:r>
      <w:r w:rsidRPr="00320A86">
        <w:t>cement. Il est vrai que ces programmes pouvaient être considérés comme une réponse crédible au projet global d’amélioration biolog</w:t>
      </w:r>
      <w:r w:rsidRPr="00320A86">
        <w:t>i</w:t>
      </w:r>
      <w:r w:rsidRPr="00320A86">
        <w:t>que de l’espèce humaine en proposant simplement de pallier la « </w:t>
      </w:r>
      <w:r w:rsidRPr="00581737">
        <w:rPr>
          <w:i/>
        </w:rPr>
        <w:t>prétendue infaillibilité de la Nature </w:t>
      </w:r>
      <w:r w:rsidRPr="00320A86">
        <w:t>».</w:t>
      </w:r>
    </w:p>
    <w:p w14:paraId="2CCD5B01" w14:textId="77777777" w:rsidR="00B01930" w:rsidRPr="00320A86" w:rsidRDefault="00B01930" w:rsidP="00B01930">
      <w:pPr>
        <w:spacing w:before="120" w:after="120"/>
        <w:jc w:val="both"/>
      </w:pPr>
      <w:r w:rsidRPr="00320A86">
        <w:t>Enfin, il convient de souligner qu’alors même que Teilhard s’est montré m</w:t>
      </w:r>
      <w:r w:rsidRPr="00320A86">
        <w:t>a</w:t>
      </w:r>
      <w:r w:rsidRPr="00320A86">
        <w:t>nifestement favorable à l’eugénisme, il s’est toujours gardé, non seulement d’exposer un quelconque projet politique, mais égal</w:t>
      </w:r>
      <w:r w:rsidRPr="00320A86">
        <w:t>e</w:t>
      </w:r>
      <w:r w:rsidRPr="00320A86">
        <w:t>ment de se prononcer sur les modalités pratiques de mise en œuvre d’une éventuelle politique eugéniste. Deux explications de cette rel</w:t>
      </w:r>
      <w:r w:rsidRPr="00320A86">
        <w:t>a</w:t>
      </w:r>
      <w:r w:rsidRPr="00320A86">
        <w:t>tive prudence sur cette question peuvent être avancées. D’une part, l’eugénisme qu’il envisage relève moins d’une théorie sociale ou pol</w:t>
      </w:r>
      <w:r w:rsidRPr="00320A86">
        <w:t>i</w:t>
      </w:r>
      <w:r w:rsidRPr="00320A86">
        <w:t>tique que de l’affirmation du rôle de l’homme dans l’achèvement du processus d’évolution de l’espèce humaine, ce qui constitue déjà une position pour le moins hasardeuse de la part d’un jésuite qui remet ainsi en cause la vision déterministe de l’univers et du vivant au so</w:t>
      </w:r>
      <w:r w:rsidRPr="00320A86">
        <w:t>m</w:t>
      </w:r>
      <w:r w:rsidRPr="00320A86">
        <w:t>met desquels se situe l’humanité. D’autre part, il a craint de voir s’accomplir, par l’eugénisme, le p</w:t>
      </w:r>
      <w:r w:rsidRPr="00320A86">
        <w:t>é</w:t>
      </w:r>
      <w:r w:rsidRPr="00320A86">
        <w:t>ché originel, le livre de la Genèse n’étant plus le récit de la naissance de l’humanité, mais celui de la déshumanisation de l’homme.</w:t>
      </w:r>
    </w:p>
    <w:p w14:paraId="5D291233" w14:textId="77777777" w:rsidR="00B01930" w:rsidRPr="00320A86" w:rsidRDefault="00B01930" w:rsidP="00B01930">
      <w:pPr>
        <w:spacing w:before="120" w:after="120"/>
        <w:jc w:val="both"/>
      </w:pPr>
      <w:r w:rsidRPr="00320A86">
        <w:t>Aussi, plutôt que de nier ce qui, à ses yeux, est une évidence, à s</w:t>
      </w:r>
      <w:r w:rsidRPr="00320A86">
        <w:t>a</w:t>
      </w:r>
      <w:r w:rsidRPr="00320A86">
        <w:t>voir que l’homme est désormais capable de mettre la science au serv</w:t>
      </w:r>
      <w:r w:rsidRPr="00320A86">
        <w:t>i</w:t>
      </w:r>
      <w:r w:rsidRPr="00320A86">
        <w:t>ce de l’évolution de son espèce, mieux vaut prendre en compte cette donnée et organiser l’eugénisme de façon à prévenir toute dérive, quitte à ce que la liberté de l’homme se retrouve assujettie à la per</w:t>
      </w:r>
      <w:r w:rsidRPr="00320A86">
        <w:t>s</w:t>
      </w:r>
      <w:r w:rsidRPr="00320A86">
        <w:t>pective de l’eugénisme. Ainsi, à l’instar des théoriciens de l’eugénisme Julian Huxley et Alexis Carrel, Teilhard voit dans l’eugénisme un phénomène inéluctable et directement lié à l’évolution de l’humanité, sans que cela vaille légitimation inconditionnelle à ses yeux.</w:t>
      </w:r>
    </w:p>
    <w:p w14:paraId="0BAC0A65" w14:textId="77777777" w:rsidR="00B01930" w:rsidRPr="00320A86" w:rsidRDefault="00B01930" w:rsidP="00B01930">
      <w:pPr>
        <w:spacing w:before="120" w:after="120"/>
        <w:jc w:val="both"/>
      </w:pPr>
      <w:r w:rsidRPr="00320A86">
        <w:t>En ce sens, on peut se demander ce qu’il aurait pensé de la banal</w:t>
      </w:r>
      <w:r w:rsidRPr="00320A86">
        <w:t>i</w:t>
      </w:r>
      <w:r w:rsidRPr="00320A86">
        <w:t>sation des pratiques eugénistes. On peut penser que le dépistage sy</w:t>
      </w:r>
      <w:r w:rsidRPr="00320A86">
        <w:t>s</w:t>
      </w:r>
      <w:r w:rsidRPr="00320A86">
        <w:t>tématique de la tris</w:t>
      </w:r>
      <w:r w:rsidRPr="00320A86">
        <w:t>o</w:t>
      </w:r>
      <w:r w:rsidRPr="00320A86">
        <w:t>mie et l’élimination de la quasi-totalité des fœtus trisomiques et le diagnostic préimplantatoire pour détecter d’éventuelles imperfections génétiques ou chromosomiques des e</w:t>
      </w:r>
      <w:r w:rsidRPr="00320A86">
        <w:t>m</w:t>
      </w:r>
      <w:r w:rsidRPr="00320A86">
        <w:t xml:space="preserve">bryons conçus </w:t>
      </w:r>
      <w:r w:rsidRPr="00581737">
        <w:rPr>
          <w:i/>
        </w:rPr>
        <w:t>in vitro</w:t>
      </w:r>
      <w:r w:rsidRPr="00320A86">
        <w:t xml:space="preserve"> auraient suscité chez lui de vivres critiques</w:t>
      </w:r>
      <w:r>
        <w:t> </w:t>
      </w:r>
      <w:r>
        <w:rPr>
          <w:rStyle w:val="Appelnotedebasdep"/>
        </w:rPr>
        <w:footnoteReference w:id="1113"/>
      </w:r>
      <w:r w:rsidRPr="00320A86">
        <w:t>, sauf à nier, comme désormais la grande majorité des Occ</w:t>
      </w:r>
      <w:r w:rsidRPr="00320A86">
        <w:t>i</w:t>
      </w:r>
      <w:r w:rsidRPr="00320A86">
        <w:t>dentaux, la nature humaine de l’embryon et du fœtus. Il semble tout aussi certain qu’il n’aurait vu aucun mal dans les développements des programmes de décryptage du génome humain, de dépistage des maladies héréd</w:t>
      </w:r>
      <w:r w:rsidRPr="00320A86">
        <w:t>i</w:t>
      </w:r>
      <w:r w:rsidRPr="00320A86">
        <w:t>taires ou de thérapie gén</w:t>
      </w:r>
      <w:r w:rsidRPr="00320A86">
        <w:t>i</w:t>
      </w:r>
      <w:r w:rsidRPr="00320A86">
        <w:t>que, dès lors que de telles pratiques visent, non pas la destruction de vies humaines, mais la prévention et la gu</w:t>
      </w:r>
      <w:r w:rsidRPr="00320A86">
        <w:t>é</w:t>
      </w:r>
      <w:r w:rsidRPr="00320A86">
        <w:t>rison de certaines maladies tout en partic</w:t>
      </w:r>
      <w:r w:rsidRPr="00320A86">
        <w:t>i</w:t>
      </w:r>
      <w:r w:rsidRPr="00320A86">
        <w:t>pant à l’amélioration de l’espèce humaine, corrigeant ainsi les erreurs de la nat</w:t>
      </w:r>
      <w:r w:rsidRPr="00320A86">
        <w:t>u</w:t>
      </w:r>
      <w:r w:rsidRPr="00320A86">
        <w:t>re.</w:t>
      </w:r>
    </w:p>
    <w:p w14:paraId="62176C54" w14:textId="77777777" w:rsidR="00B01930" w:rsidRPr="00320A86" w:rsidRDefault="00B01930" w:rsidP="00B01930">
      <w:pPr>
        <w:spacing w:before="120" w:after="120"/>
        <w:jc w:val="both"/>
      </w:pPr>
      <w:r w:rsidRPr="00320A86">
        <w:t>Les prises de position du philosophe passionné aussi de biologie en faveur de l’eugénisme présentent donc une certaine ambiguïté dès lors qu’on les replace dans l’ensemble de son œuvre, et aussi dans la log</w:t>
      </w:r>
      <w:r w:rsidRPr="00320A86">
        <w:t>i</w:t>
      </w:r>
      <w:r w:rsidRPr="00320A86">
        <w:t>que de la pensée chrétienne en général. Même si l’on tient compte du fait qu’au début des années cinquante il était encore bien trop tôt pour envisager l’ampleur possible des découvertes scientifiques</w:t>
      </w:r>
      <w:r>
        <w:t> </w:t>
      </w:r>
      <w:r>
        <w:rPr>
          <w:rStyle w:val="Appelnotedebasdep"/>
        </w:rPr>
        <w:footnoteReference w:id="1114"/>
      </w:r>
      <w:r w:rsidRPr="00320A86">
        <w:t>, on po</w:t>
      </w:r>
      <w:r w:rsidRPr="00320A86">
        <w:t>u</w:t>
      </w:r>
      <w:r w:rsidRPr="00320A86">
        <w:t>vait tout de même se douter que les progrès scientifiques condu</w:t>
      </w:r>
      <w:r w:rsidRPr="00320A86">
        <w:t>i</w:t>
      </w:r>
      <w:r w:rsidRPr="00320A86">
        <w:t>raient à la découverte de nouvelles thérapies, au recul de la famine et de la malnutrition et finalement à un allongement de l’espérance de vie, donc à un accroissement de la population mondiale. Or, l’eugénisme peut, a priori, favoriser une telle croissance démograph</w:t>
      </w:r>
      <w:r w:rsidRPr="00320A86">
        <w:t>i</w:t>
      </w:r>
      <w:r w:rsidRPr="00320A86">
        <w:t>que dont s’alarmait Teilhard en raison des conséquences prévisibles :</w:t>
      </w:r>
    </w:p>
    <w:p w14:paraId="37A3AFBA" w14:textId="77777777" w:rsidR="00B01930" w:rsidRDefault="00B01930" w:rsidP="00B01930">
      <w:pPr>
        <w:pStyle w:val="citation"/>
      </w:pPr>
    </w:p>
    <w:p w14:paraId="1D994AEA" w14:textId="77777777" w:rsidR="00B01930" w:rsidRDefault="00B01930" w:rsidP="00B01930">
      <w:pPr>
        <w:pStyle w:val="citation"/>
      </w:pPr>
      <w:r w:rsidRPr="00320A86">
        <w:t>« Après des millénaires et des millénaires de lente expansion, l’espèce humaine, toujours plus nombreuse, vient d’entrer brusquement en phase compressive. Parvenues au contact par tous leurs bords, les diverses pop</w:t>
      </w:r>
      <w:r w:rsidRPr="00320A86">
        <w:t>u</w:t>
      </w:r>
      <w:r w:rsidRPr="00320A86">
        <w:t>lations étalées sur le globe commencent à se trouver de plus en plus étro</w:t>
      </w:r>
      <w:r w:rsidRPr="00320A86">
        <w:t>i</w:t>
      </w:r>
      <w:r w:rsidRPr="00320A86">
        <w:t>tement forcées les unes contre les autres à la surface d’une Terre qui se r</w:t>
      </w:r>
      <w:r w:rsidRPr="00320A86">
        <w:t>é</w:t>
      </w:r>
      <w:r w:rsidRPr="00320A86">
        <w:t>trécit chaque jour dava</w:t>
      </w:r>
      <w:r w:rsidRPr="00320A86">
        <w:t>n</w:t>
      </w:r>
      <w:r w:rsidRPr="00320A86">
        <w:t>tage. Et le résultat le plus immédiatement sensible de ce resserrement semblerait être, hélas, pour notre génér</w:t>
      </w:r>
      <w:r w:rsidRPr="00320A86">
        <w:t>a</w:t>
      </w:r>
      <w:r w:rsidRPr="00320A86">
        <w:t>tion, une peine (pour ne pas dire une détérioration) généralisée</w:t>
      </w:r>
      <w:r>
        <w:t> </w:t>
      </w:r>
      <w:r w:rsidRPr="00264EEC">
        <w:rPr>
          <w:rStyle w:val="Appelnotedebasdep"/>
          <w:i/>
        </w:rPr>
        <w:footnoteReference w:id="1115"/>
      </w:r>
      <w:r w:rsidRPr="00320A86">
        <w:t>. »</w:t>
      </w:r>
    </w:p>
    <w:p w14:paraId="1CDBAC68" w14:textId="77777777" w:rsidR="00B01930" w:rsidRPr="00320A86" w:rsidRDefault="00B01930" w:rsidP="00B01930">
      <w:pPr>
        <w:pStyle w:val="citation"/>
      </w:pPr>
    </w:p>
    <w:p w14:paraId="3271CA81" w14:textId="77777777" w:rsidR="00B01930" w:rsidRPr="00320A86" w:rsidRDefault="00B01930" w:rsidP="00B01930">
      <w:pPr>
        <w:spacing w:before="120" w:after="120"/>
        <w:jc w:val="both"/>
      </w:pPr>
      <w:r w:rsidRPr="00320A86">
        <w:t>Or le philosophe redoute que la « pression démographique » rende la terre inhabitable. Son approche de la question est inévitablement limitée, puisqu’il ne voit pas sa dimension écologique ; la pollution, le réchauffement climatique ou l’extinction des espèces n’apparaissaient pas encore comme faisant partie des priorités. Le plus grave est, à ses yeux, que le processus de sélection naturelle ne s’applique plus à l’homme, ceci entraînant deux conséquences prévisibles : d’une part, la concentration croissante des populations dans un espace toujours plus exigu, d’autre part, l’impossibilité pour les élites d’émerger de la masse, ne pouvant plus jouer leur rôle social, culturel et politique, avec la « </w:t>
      </w:r>
      <w:r w:rsidRPr="00581737">
        <w:rPr>
          <w:i/>
        </w:rPr>
        <w:t>disparition, si anémiante à la fois pour l’esprit et pour le corps, de la solitude et de la Nature, devant les usines et la ville </w:t>
      </w:r>
      <w:r>
        <w:rPr>
          <w:rStyle w:val="Appelnotedebasdep"/>
        </w:rPr>
        <w:footnoteReference w:id="1116"/>
      </w:r>
      <w:r w:rsidRPr="00320A86">
        <w:t> ». Il précise, en outre, les conséquences concrètes pour les hommes : l’antipathie croissante des uns pour les autres, l’asservissement par le travail dans lequel toute recherche d’un épanouissement est vaine, l’insécurité croissante, les troubles névrotiques, l’épuisement des re</w:t>
      </w:r>
      <w:r w:rsidRPr="00320A86">
        <w:t>s</w:t>
      </w:r>
      <w:r w:rsidRPr="00320A86">
        <w:t>sources naturelles et les risques sanitaires, les conflits entre nations ou entre i</w:t>
      </w:r>
      <w:r w:rsidRPr="00320A86">
        <w:t>n</w:t>
      </w:r>
      <w:r w:rsidRPr="00320A86">
        <w:t>dividus qui cherchent à s’isoler pour protéger leurs langues et leurs cultures. Pour autant, il ne se veut pas pessimiste et n’exclut pas des conséquences posit</w:t>
      </w:r>
      <w:r w:rsidRPr="00320A86">
        <w:t>i</w:t>
      </w:r>
      <w:r w:rsidRPr="00320A86">
        <w:t>ves pour l’humanité :</w:t>
      </w:r>
    </w:p>
    <w:p w14:paraId="52727D98" w14:textId="77777777" w:rsidR="00B01930" w:rsidRDefault="00B01930" w:rsidP="00B01930">
      <w:pPr>
        <w:pStyle w:val="citation"/>
      </w:pPr>
    </w:p>
    <w:p w14:paraId="0D491C0B" w14:textId="77777777" w:rsidR="00B01930" w:rsidRDefault="00B01930" w:rsidP="00B01930">
      <w:pPr>
        <w:pStyle w:val="citation"/>
      </w:pPr>
      <w:r w:rsidRPr="00320A86">
        <w:t>« Au lieu de nous irriter contre ces inconvénients dont nous sou</w:t>
      </w:r>
      <w:r w:rsidRPr="00320A86">
        <w:t>f</w:t>
      </w:r>
      <w:r w:rsidRPr="00320A86">
        <w:t>frons tous, ou d’attendre vaguement que les choses se tassent, pourquoi ne pas nous demander plutôt s’il n’y aurait pas, d’un point de vue solidement e</w:t>
      </w:r>
      <w:r w:rsidRPr="00320A86">
        <w:t>x</w:t>
      </w:r>
      <w:r w:rsidRPr="00320A86">
        <w:t>périmental, d’abord une expl</w:t>
      </w:r>
      <w:r w:rsidRPr="00320A86">
        <w:t>i</w:t>
      </w:r>
      <w:r w:rsidRPr="00320A86">
        <w:t>cation rassurante, puis une issue favorable, possible, à ce qui se passe</w:t>
      </w:r>
      <w:r>
        <w:t> </w:t>
      </w:r>
      <w:r w:rsidRPr="00264EEC">
        <w:rPr>
          <w:rStyle w:val="Appelnotedebasdep"/>
          <w:i/>
        </w:rPr>
        <w:footnoteReference w:id="1117"/>
      </w:r>
      <w:r w:rsidRPr="00320A86">
        <w:t> ? »</w:t>
      </w:r>
    </w:p>
    <w:p w14:paraId="48C59415" w14:textId="77777777" w:rsidR="00B01930" w:rsidRDefault="00B01930" w:rsidP="00B01930">
      <w:pPr>
        <w:pStyle w:val="citation"/>
      </w:pPr>
    </w:p>
    <w:p w14:paraId="5ECECB69" w14:textId="77777777" w:rsidR="00B01930" w:rsidRDefault="00B01930" w:rsidP="00B01930">
      <w:pPr>
        <w:spacing w:before="120" w:after="120"/>
        <w:jc w:val="both"/>
      </w:pPr>
      <w:r w:rsidRPr="00320A86">
        <w:t>En tout état de cause, contrairement à ce qu’auraient pu laisser ce</w:t>
      </w:r>
      <w:r w:rsidRPr="00320A86">
        <w:t>r</w:t>
      </w:r>
      <w:r w:rsidRPr="00320A86">
        <w:t>taines de ses prises de position, Teilhard ne pense pas que l’eugénisme soit capable d’apporter une réponse au problème de la croissance e</w:t>
      </w:r>
      <w:r w:rsidRPr="00320A86">
        <w:t>x</w:t>
      </w:r>
      <w:r w:rsidRPr="00320A86">
        <w:t>ponentielle de la popul</w:t>
      </w:r>
      <w:r w:rsidRPr="00320A86">
        <w:t>a</w:t>
      </w:r>
      <w:r w:rsidRPr="00320A86">
        <w:t>tion mondiale.</w:t>
      </w:r>
    </w:p>
    <w:p w14:paraId="3E5E568F" w14:textId="77777777" w:rsidR="00B01930" w:rsidRPr="00320A86" w:rsidRDefault="00B01930" w:rsidP="00B01930">
      <w:pPr>
        <w:spacing w:before="120" w:after="120"/>
        <w:jc w:val="both"/>
      </w:pPr>
    </w:p>
    <w:p w14:paraId="442B7681" w14:textId="77777777" w:rsidR="00B01930" w:rsidRDefault="00B01930" w:rsidP="00B01930">
      <w:pPr>
        <w:pStyle w:val="citation"/>
      </w:pPr>
      <w:r w:rsidRPr="00320A86">
        <w:t>« À mon avis (et pourvu, comme je le pense, que le monde où nous v</w:t>
      </w:r>
      <w:r w:rsidRPr="00320A86">
        <w:t>i</w:t>
      </w:r>
      <w:r w:rsidRPr="00320A86">
        <w:t>vons puisse être regardé comme assez cohérent pour ne pas supprimer a</w:t>
      </w:r>
      <w:r w:rsidRPr="00320A86">
        <w:t>u</w:t>
      </w:r>
      <w:r w:rsidRPr="00320A86">
        <w:t>tomatiqu</w:t>
      </w:r>
      <w:r w:rsidRPr="00320A86">
        <w:t>e</w:t>
      </w:r>
      <w:r w:rsidRPr="00320A86">
        <w:t>ment, en fin de compte, la Vie qu’il engendre) ce n’est ni dans une réduction eugénique, ni dans une expansion extraterrestre de la masse humaine qu’il faut chercher le soulagement d</w:t>
      </w:r>
      <w:r w:rsidRPr="00320A86">
        <w:t>e</w:t>
      </w:r>
      <w:r w:rsidRPr="00320A86">
        <w:t>venu nécessaire à la survie de notre phylum zoolog</w:t>
      </w:r>
      <w:r w:rsidRPr="00320A86">
        <w:t>i</w:t>
      </w:r>
      <w:r w:rsidRPr="00320A86">
        <w:t>que, mais bien dans ce qu’on pourrait appeler « une évasion dans le Temps », par l’avant</w:t>
      </w:r>
      <w:r>
        <w:t> </w:t>
      </w:r>
      <w:r w:rsidRPr="00264EEC">
        <w:rPr>
          <w:rStyle w:val="Appelnotedebasdep"/>
          <w:i/>
        </w:rPr>
        <w:footnoteReference w:id="1118"/>
      </w:r>
      <w:r w:rsidRPr="00320A86">
        <w:t>. »</w:t>
      </w:r>
    </w:p>
    <w:p w14:paraId="526E0270" w14:textId="77777777" w:rsidR="00B01930" w:rsidRPr="00320A86" w:rsidRDefault="00B01930" w:rsidP="00B01930">
      <w:pPr>
        <w:pStyle w:val="citation"/>
      </w:pPr>
    </w:p>
    <w:p w14:paraId="616058C7" w14:textId="77777777" w:rsidR="00B01930" w:rsidRPr="00320A86" w:rsidRDefault="00B01930" w:rsidP="00B01930">
      <w:pPr>
        <w:spacing w:before="120" w:after="120"/>
        <w:jc w:val="both"/>
      </w:pPr>
      <w:r w:rsidRPr="00320A86">
        <w:t>D’une part, l’histoire de l’espèce humaine montre que celle-ci est capable de s’adapter pour faire face aux entraves à son développ</w:t>
      </w:r>
      <w:r w:rsidRPr="00320A86">
        <w:t>e</w:t>
      </w:r>
      <w:r w:rsidRPr="00320A86">
        <w:t>ment, comme si la mult</w:t>
      </w:r>
      <w:r w:rsidRPr="00320A86">
        <w:t>i</w:t>
      </w:r>
      <w:r w:rsidRPr="00320A86">
        <w:t>plication des individus était inéluctable :</w:t>
      </w:r>
    </w:p>
    <w:p w14:paraId="483ABF2E" w14:textId="77777777" w:rsidR="00B01930" w:rsidRDefault="00B01930" w:rsidP="00B01930">
      <w:pPr>
        <w:pStyle w:val="citation"/>
      </w:pPr>
      <w:r w:rsidRPr="00320A86">
        <w:t>« Contrairement à ce qui arrive si souvent dans la nature, la propag</w:t>
      </w:r>
      <w:r w:rsidRPr="00320A86">
        <w:t>a</w:t>
      </w:r>
      <w:r w:rsidRPr="00320A86">
        <w:t>tion de notre espèce ne paraît pas destinée à se régulariser et se limiter a</w:t>
      </w:r>
      <w:r w:rsidRPr="00320A86">
        <w:t>u</w:t>
      </w:r>
      <w:r w:rsidRPr="00320A86">
        <w:t>tomatiquement elle-même. Car, plus les hommes sont no</w:t>
      </w:r>
      <w:r w:rsidRPr="00320A86">
        <w:t>m</w:t>
      </w:r>
      <w:r w:rsidRPr="00320A86">
        <w:t>breux, plus leur ingéniosité les protège et les pousse à se multiplier encore davant</w:t>
      </w:r>
      <w:r w:rsidRPr="00320A86">
        <w:t>a</w:t>
      </w:r>
      <w:r w:rsidRPr="00320A86">
        <w:t>ge. »</w:t>
      </w:r>
    </w:p>
    <w:p w14:paraId="10C52F57" w14:textId="77777777" w:rsidR="00B01930" w:rsidRPr="00320A86" w:rsidRDefault="00B01930" w:rsidP="00B01930">
      <w:pPr>
        <w:spacing w:before="120" w:after="120"/>
        <w:jc w:val="both"/>
      </w:pPr>
      <w:r w:rsidRPr="00320A86">
        <w:t>D’autre part, la fuite vers l’avant lui semblait être illusoire :</w:t>
      </w:r>
    </w:p>
    <w:p w14:paraId="77B5D818" w14:textId="77777777" w:rsidR="00B01930" w:rsidRDefault="00B01930" w:rsidP="00B01930">
      <w:pPr>
        <w:pStyle w:val="citation"/>
      </w:pPr>
      <w:r w:rsidRPr="00320A86">
        <w:t>« Si habilement qu’on les perfectionne, ces méthodes de décompre</w:t>
      </w:r>
      <w:r w:rsidRPr="00320A86">
        <w:t>s</w:t>
      </w:r>
      <w:r w:rsidRPr="00320A86">
        <w:t>sion n’ont-elles pas, de par leur nature même, quelque chose d’imaginaire, de précaire, et de désesp</w:t>
      </w:r>
      <w:r w:rsidRPr="00320A86">
        <w:t>é</w:t>
      </w:r>
      <w:r w:rsidRPr="00320A86">
        <w:t>ré</w:t>
      </w:r>
      <w:r>
        <w:t> </w:t>
      </w:r>
      <w:r w:rsidRPr="00264EEC">
        <w:rPr>
          <w:rStyle w:val="Appelnotedebasdep"/>
          <w:i/>
        </w:rPr>
        <w:footnoteReference w:id="1119"/>
      </w:r>
      <w:r w:rsidRPr="00320A86">
        <w:t> ? »</w:t>
      </w:r>
    </w:p>
    <w:p w14:paraId="16301977" w14:textId="77777777" w:rsidR="00B01930" w:rsidRPr="00320A86" w:rsidRDefault="00B01930" w:rsidP="00B01930">
      <w:pPr>
        <w:pStyle w:val="citation"/>
      </w:pPr>
    </w:p>
    <w:p w14:paraId="4E4DB0BD" w14:textId="77777777" w:rsidR="00B01930" w:rsidRPr="00320A86" w:rsidRDefault="00B01930" w:rsidP="00B01930">
      <w:pPr>
        <w:spacing w:before="120" w:after="120"/>
        <w:jc w:val="both"/>
      </w:pPr>
      <w:r w:rsidRPr="00320A86">
        <w:t>Ainsi, si la croissance démographique risque de rendre la terre i</w:t>
      </w:r>
      <w:r w:rsidRPr="00320A86">
        <w:t>n</w:t>
      </w:r>
      <w:r w:rsidRPr="00320A86">
        <w:t>habitable, elle doit être toutefois comprise comme un phénomène in</w:t>
      </w:r>
      <w:r w:rsidRPr="00320A86">
        <w:t>é</w:t>
      </w:r>
      <w:r w:rsidRPr="00320A86">
        <w:t>vitable relevant de la logique de l’évolution de la Biosphère et de la constitution de la Noosphère. Elle ne doit donc pas être combattue, mais gérée, grâce notamment aux progrès de la science.</w:t>
      </w:r>
    </w:p>
    <w:p w14:paraId="15821994" w14:textId="77777777" w:rsidR="00B01930" w:rsidRDefault="00B01930" w:rsidP="00B01930">
      <w:pPr>
        <w:pStyle w:val="citation"/>
      </w:pPr>
    </w:p>
    <w:p w14:paraId="3B1C1137" w14:textId="77777777" w:rsidR="00B01930" w:rsidRDefault="00B01930" w:rsidP="00B01930">
      <w:pPr>
        <w:pStyle w:val="citation"/>
      </w:pPr>
      <w:r w:rsidRPr="00320A86">
        <w:t>« Sur la Science on a écrit, pour ou contre, une multitude de choses, la cha</w:t>
      </w:r>
      <w:r w:rsidRPr="00320A86">
        <w:t>r</w:t>
      </w:r>
      <w:r w:rsidRPr="00320A86">
        <w:t>geant, suivant les cas, de tous les biens et de tous les maux qui nous arrivent. L’arbre du Bien et du Mal, une fois de plus. Mais, au milieu de ce concert de critiques et d’éloges, comment se fait-il que personne ne songe à dépasser les divers plans de l’utilitarisme, du m</w:t>
      </w:r>
      <w:r w:rsidRPr="00320A86">
        <w:t>o</w:t>
      </w:r>
      <w:r w:rsidRPr="00320A86">
        <w:t>ralisme, ou de la pure spéculation, pour faire observer que, avant d’être bonne ou mauva</w:t>
      </w:r>
      <w:r w:rsidRPr="00320A86">
        <w:t>i</w:t>
      </w:r>
      <w:r w:rsidRPr="00320A86">
        <w:t>se, la conquête du monde par l’intelligence humaine est pr</w:t>
      </w:r>
      <w:r w:rsidRPr="00320A86">
        <w:t>e</w:t>
      </w:r>
      <w:r w:rsidRPr="00320A86">
        <w:t>mièrement, et « basiquement », un phénomène d’« intensification de conscience » étro</w:t>
      </w:r>
      <w:r w:rsidRPr="00320A86">
        <w:t>i</w:t>
      </w:r>
      <w:r w:rsidRPr="00320A86">
        <w:t>tement lié aux progrès histor</w:t>
      </w:r>
      <w:r w:rsidRPr="00320A86">
        <w:t>i</w:t>
      </w:r>
      <w:r w:rsidRPr="00320A86">
        <w:t>ques de la Civilisation</w:t>
      </w:r>
      <w:r>
        <w:t> </w:t>
      </w:r>
      <w:r w:rsidRPr="00264EEC">
        <w:rPr>
          <w:rStyle w:val="Appelnotedebasdep"/>
          <w:i/>
        </w:rPr>
        <w:footnoteReference w:id="1120"/>
      </w:r>
      <w:r w:rsidRPr="00320A86">
        <w:t> ? »</w:t>
      </w:r>
    </w:p>
    <w:p w14:paraId="3ECD4BA3" w14:textId="77777777" w:rsidR="00B01930" w:rsidRPr="00320A86" w:rsidRDefault="00B01930" w:rsidP="00B01930">
      <w:pPr>
        <w:pStyle w:val="citation"/>
      </w:pPr>
    </w:p>
    <w:p w14:paraId="64DB9231" w14:textId="77777777" w:rsidR="00B01930" w:rsidRPr="00320A86" w:rsidRDefault="00B01930" w:rsidP="00B01930">
      <w:pPr>
        <w:spacing w:before="120" w:after="120"/>
        <w:jc w:val="both"/>
      </w:pPr>
      <w:r w:rsidRPr="00320A86">
        <w:t>L’humanité doit s’organiser pour faire de la croissance démogr</w:t>
      </w:r>
      <w:r w:rsidRPr="00320A86">
        <w:t>a</w:t>
      </w:r>
      <w:r w:rsidRPr="00320A86">
        <w:t xml:space="preserve">phique le moteur de son évolution : </w:t>
      </w:r>
    </w:p>
    <w:p w14:paraId="568443CE" w14:textId="77777777" w:rsidR="00B01930" w:rsidRDefault="00B01930" w:rsidP="00B01930">
      <w:pPr>
        <w:pStyle w:val="citation"/>
      </w:pPr>
    </w:p>
    <w:p w14:paraId="2B2A2628" w14:textId="77777777" w:rsidR="00B01930" w:rsidRDefault="00B01930" w:rsidP="00B01930">
      <w:pPr>
        <w:pStyle w:val="citation"/>
      </w:pPr>
      <w:r w:rsidRPr="00320A86">
        <w:t>« Ne serait-ce pas que dans ce cas, parfaitement clair, d’une Human</w:t>
      </w:r>
      <w:r w:rsidRPr="00320A86">
        <w:t>i</w:t>
      </w:r>
      <w:r w:rsidRPr="00320A86">
        <w:t>té qui s’ultra-humanise mentalement en se resserrant sur soi, le même f</w:t>
      </w:r>
      <w:r w:rsidRPr="00320A86">
        <w:t>a</w:t>
      </w:r>
      <w:r w:rsidRPr="00320A86">
        <w:t>meux couple « compression – conscience » se trouve réapparaître, lequel (par suite des arrangements que le serrage suscite i</w:t>
      </w:r>
      <w:r w:rsidRPr="00320A86">
        <w:t>m</w:t>
      </w:r>
      <w:r w:rsidRPr="00320A86">
        <w:t>manquablement en milieu organisé) commande, depuis l’origine, to</w:t>
      </w:r>
      <w:r w:rsidRPr="00320A86">
        <w:t>u</w:t>
      </w:r>
      <w:r w:rsidRPr="00320A86">
        <w:t>tes les avances de l’Évolution</w:t>
      </w:r>
      <w:r>
        <w:t> </w:t>
      </w:r>
      <w:r w:rsidRPr="00264EEC">
        <w:rPr>
          <w:rStyle w:val="Appelnotedebasdep"/>
          <w:i/>
        </w:rPr>
        <w:footnoteReference w:id="1121"/>
      </w:r>
      <w:r w:rsidRPr="00320A86">
        <w:t> ? »</w:t>
      </w:r>
    </w:p>
    <w:p w14:paraId="0B068ABA" w14:textId="77777777" w:rsidR="00B01930" w:rsidRPr="00320A86" w:rsidRDefault="00B01930" w:rsidP="00B01930">
      <w:pPr>
        <w:pStyle w:val="citation"/>
      </w:pPr>
    </w:p>
    <w:p w14:paraId="1504ABE8" w14:textId="77777777" w:rsidR="00B01930" w:rsidRPr="00320A86" w:rsidRDefault="00B01930" w:rsidP="00B01930">
      <w:pPr>
        <w:spacing w:before="120" w:after="120"/>
        <w:jc w:val="both"/>
      </w:pPr>
      <w:r w:rsidRPr="00320A86">
        <w:t>L’enjeu du développement physique de l’humanité – biosphère – trouve ainsi sa solution dans son développement intellectuel et ps</w:t>
      </w:r>
      <w:r w:rsidRPr="00320A86">
        <w:t>y</w:t>
      </w:r>
      <w:r w:rsidRPr="00320A86">
        <w:t>chologique – noosphère.</w:t>
      </w:r>
    </w:p>
    <w:p w14:paraId="6F43AECE" w14:textId="77777777" w:rsidR="00B01930" w:rsidRPr="00320A86" w:rsidRDefault="00B01930" w:rsidP="00B01930">
      <w:pPr>
        <w:spacing w:before="120" w:after="120"/>
        <w:jc w:val="both"/>
      </w:pPr>
      <w:r w:rsidRPr="00320A86">
        <w:t>L’analyse de l’avenir de l’humanité confrontée à l’eugénisme et à la croissance démographique semble dénoter chez Teilhard de Cha</w:t>
      </w:r>
      <w:r w:rsidRPr="00320A86">
        <w:t>r</w:t>
      </w:r>
      <w:r w:rsidRPr="00320A86">
        <w:t>din un certain optimisme quant à la capacité de l’humanité de maîtr</w:t>
      </w:r>
      <w:r w:rsidRPr="00320A86">
        <w:t>i</w:t>
      </w:r>
      <w:r w:rsidRPr="00320A86">
        <w:t>ser son développement tant scientifique et intellectuel que démogr</w:t>
      </w:r>
      <w:r w:rsidRPr="00320A86">
        <w:t>a</w:t>
      </w:r>
      <w:r w:rsidRPr="00320A86">
        <w:t>phique. L’homme toujours plus puissant et plus nombreux à la surface d’une terre toujours plus exiguë ne semble pas être, pour lui, l’annonciation d’une catastrophe majeure, mais constituer au contraire la chance pour l’humanité de passer à une nouvelle étape de son év</w:t>
      </w:r>
      <w:r w:rsidRPr="00320A86">
        <w:t>o</w:t>
      </w:r>
      <w:r w:rsidRPr="00320A86">
        <w:t>lution vers la perfection vers laquelle elle tend et pour laquelle elle existe. Il se garde toutefois d’affirmer que le salut de l’homme est chose acquise. Il dépend avant tout de sa capacité à maîtriser le pr</w:t>
      </w:r>
      <w:r w:rsidRPr="00320A86">
        <w:t>o</w:t>
      </w:r>
      <w:r w:rsidRPr="00320A86">
        <w:t>grès scientifique. C’est d’ailleurs le même enjeu que soulèvent la d</w:t>
      </w:r>
      <w:r w:rsidRPr="00320A86">
        <w:t>o</w:t>
      </w:r>
      <w:r w:rsidRPr="00320A86">
        <w:t>mestication de l’énergie nucléaire et son usage militaire.</w:t>
      </w:r>
    </w:p>
    <w:p w14:paraId="129618A3" w14:textId="77777777" w:rsidR="00B01930" w:rsidRPr="00320A86" w:rsidRDefault="00B01930" w:rsidP="00B01930">
      <w:pPr>
        <w:spacing w:before="120" w:after="120"/>
        <w:jc w:val="both"/>
      </w:pPr>
      <w:r>
        <w:br w:type="page"/>
      </w:r>
    </w:p>
    <w:p w14:paraId="233BEC2D" w14:textId="77777777" w:rsidR="00B01930" w:rsidRPr="00320A86" w:rsidRDefault="00B01930" w:rsidP="00B01930">
      <w:pPr>
        <w:pStyle w:val="a"/>
      </w:pPr>
      <w:r w:rsidRPr="00320A86">
        <w:t>Le péril nucléaire</w:t>
      </w:r>
    </w:p>
    <w:p w14:paraId="4CE02E59" w14:textId="77777777" w:rsidR="00B01930" w:rsidRDefault="00B01930" w:rsidP="00B01930">
      <w:pPr>
        <w:spacing w:before="120" w:after="120"/>
        <w:jc w:val="both"/>
      </w:pPr>
    </w:p>
    <w:p w14:paraId="4F5EE86B" w14:textId="77777777" w:rsidR="00B01930" w:rsidRPr="00320A86" w:rsidRDefault="00B01930" w:rsidP="00B01930">
      <w:pPr>
        <w:spacing w:before="120" w:after="120"/>
        <w:jc w:val="both"/>
      </w:pPr>
      <w:r w:rsidRPr="00320A86">
        <w:t>Teilhard n’a jamais cessé d’avoir en tête le risque de voir l’homme respons</w:t>
      </w:r>
      <w:r w:rsidRPr="00320A86">
        <w:t>a</w:t>
      </w:r>
      <w:r w:rsidRPr="00320A86">
        <w:t>ble de sa propre disparition. Convaincu que l’évolution de l’humanité allait n</w:t>
      </w:r>
      <w:r w:rsidRPr="00320A86">
        <w:t>é</w:t>
      </w:r>
      <w:r w:rsidRPr="00320A86">
        <w:t>cessairement dans le sens de l’unanimisation, il est tout aussi conscient que l’objectif qu’elle doit nécessairement attei</w:t>
      </w:r>
      <w:r w:rsidRPr="00320A86">
        <w:t>n</w:t>
      </w:r>
      <w:r w:rsidRPr="00320A86">
        <w:t>dre pour réaliser pleinement sa nat</w:t>
      </w:r>
      <w:r w:rsidRPr="00320A86">
        <w:t>u</w:t>
      </w:r>
      <w:r w:rsidRPr="00320A86">
        <w:t>re pouvait fort bien ne jamais l’être et que l’histoire de l’humanité pouvait cesser du jour au lend</w:t>
      </w:r>
      <w:r w:rsidRPr="00320A86">
        <w:t>e</w:t>
      </w:r>
      <w:r w:rsidRPr="00320A86">
        <w:t>main par le déchaînement de la folie meurtrière qui parsème son hi</w:t>
      </w:r>
      <w:r w:rsidRPr="00320A86">
        <w:t>s</w:t>
      </w:r>
      <w:r w:rsidRPr="00320A86">
        <w:t>toire. Ayant connu les tranchées de la Première Guerre mondiale</w:t>
      </w:r>
      <w:r>
        <w:t> </w:t>
      </w:r>
      <w:r>
        <w:rPr>
          <w:rStyle w:val="Appelnotedebasdep"/>
        </w:rPr>
        <w:footnoteReference w:id="1122"/>
      </w:r>
      <w:r w:rsidRPr="00320A86">
        <w:t>, et ayant compris que la guerre est intrinsèquement liée à la nature h</w:t>
      </w:r>
      <w:r w:rsidRPr="00320A86">
        <w:t>u</w:t>
      </w:r>
      <w:r w:rsidRPr="00320A86">
        <w:t>maine au point de pouvoir être considérée comme un mal nécessaire pour que se réalise enfin la Noosphère – le déclenchement d’une no</w:t>
      </w:r>
      <w:r w:rsidRPr="00320A86">
        <w:t>u</w:t>
      </w:r>
      <w:r w:rsidRPr="00320A86">
        <w:t>velle guerre mondiale après à peine vingt et un ans de paix ne faisant que confirmer qu’un nouveau conflit majeur est toujours possible, quelles qu’en soient les conséquences prévisibles –, il se doit d’inclure l’arme nucléaire parmi les paramètres d’analyse des modalités et de la probabilité de la réalisation de la Noosphère.</w:t>
      </w:r>
    </w:p>
    <w:p w14:paraId="070733C8" w14:textId="77777777" w:rsidR="00B01930" w:rsidRPr="00320A86" w:rsidRDefault="00B01930" w:rsidP="00B01930">
      <w:pPr>
        <w:spacing w:before="120" w:after="120"/>
        <w:jc w:val="both"/>
      </w:pPr>
      <w:r w:rsidRPr="00320A86">
        <w:t>Sa position à l’égard de la bombe atomique est assez ambivalente. En tant que chrétien, il ne peut que condamner sans appel ce type d’armement. Mais, en tant que scientifique, il condamne moins la d</w:t>
      </w:r>
      <w:r w:rsidRPr="00320A86">
        <w:t>é</w:t>
      </w:r>
      <w:r w:rsidRPr="00320A86">
        <w:t>couverte de l’énergie nucléaire et la mise au point de l’arme nucléaire que l’emploi éventuel de cet outil de de</w:t>
      </w:r>
      <w:r w:rsidRPr="00320A86">
        <w:t>s</w:t>
      </w:r>
      <w:r w:rsidRPr="00320A86">
        <w:t>truction. En ce sens, il porte un jugement nuancé sur la bombe atomique, sans occulter sa dime</w:t>
      </w:r>
      <w:r w:rsidRPr="00320A86">
        <w:t>n</w:t>
      </w:r>
      <w:r w:rsidRPr="00320A86">
        <w:t>sion morale :</w:t>
      </w:r>
    </w:p>
    <w:p w14:paraId="3A5A2A24" w14:textId="77777777" w:rsidR="00B01930" w:rsidRDefault="00B01930" w:rsidP="00B01930">
      <w:pPr>
        <w:pStyle w:val="citation"/>
      </w:pPr>
    </w:p>
    <w:p w14:paraId="300F808B" w14:textId="77777777" w:rsidR="00B01930" w:rsidRDefault="00B01930" w:rsidP="00B01930">
      <w:pPr>
        <w:pStyle w:val="citation"/>
      </w:pPr>
      <w:r w:rsidRPr="00320A86">
        <w:t>« […] le geste une fois accompli, son rêve une fois réalisé de créer une fo</w:t>
      </w:r>
      <w:r w:rsidRPr="00320A86">
        <w:t>u</w:t>
      </w:r>
      <w:r w:rsidRPr="00320A86">
        <w:t>dre nouvelle, l’homme, étourdi par son succès, s’est bientôt retourné sur soi ; et, à la l</w:t>
      </w:r>
      <w:r w:rsidRPr="00320A86">
        <w:t>u</w:t>
      </w:r>
      <w:r w:rsidRPr="00320A86">
        <w:t>mière de l’éclair qu’il venait de faire jaillir de sa main, il a cherché à co</w:t>
      </w:r>
      <w:r w:rsidRPr="00320A86">
        <w:t>m</w:t>
      </w:r>
      <w:r w:rsidRPr="00320A86">
        <w:t>prendre ce que son œuvre avait fait de lui-même. Son corps était sauf. Mais, à son âme, que v</w:t>
      </w:r>
      <w:r w:rsidRPr="00320A86">
        <w:t>e</w:t>
      </w:r>
      <w:r w:rsidRPr="00320A86">
        <w:t>nait-il d’arriver</w:t>
      </w:r>
      <w:r>
        <w:t> </w:t>
      </w:r>
      <w:r w:rsidRPr="00264EEC">
        <w:rPr>
          <w:rStyle w:val="Appelnotedebasdep"/>
          <w:i/>
        </w:rPr>
        <w:footnoteReference w:id="1123"/>
      </w:r>
      <w:r w:rsidRPr="00320A86">
        <w:t> ? »</w:t>
      </w:r>
    </w:p>
    <w:p w14:paraId="5DC329B0" w14:textId="77777777" w:rsidR="00B01930" w:rsidRPr="00320A86" w:rsidRDefault="00B01930" w:rsidP="00B01930">
      <w:pPr>
        <w:pStyle w:val="citation"/>
      </w:pPr>
    </w:p>
    <w:p w14:paraId="232332EF" w14:textId="77777777" w:rsidR="00B01930" w:rsidRPr="00320A86" w:rsidRDefault="00B01930" w:rsidP="00B01930">
      <w:pPr>
        <w:spacing w:before="120" w:after="120"/>
        <w:jc w:val="both"/>
      </w:pPr>
      <w:r w:rsidRPr="00320A86">
        <w:t>La mise au point de l’arme nucléaire lui semble conforme à la n</w:t>
      </w:r>
      <w:r w:rsidRPr="00320A86">
        <w:t>a</w:t>
      </w:r>
      <w:r w:rsidRPr="00320A86">
        <w:t>ture de l’homme dans la pleine réalisation de sa force de création :</w:t>
      </w:r>
    </w:p>
    <w:p w14:paraId="1865C72E" w14:textId="77777777" w:rsidR="00B01930" w:rsidRDefault="00B01930" w:rsidP="00B01930">
      <w:pPr>
        <w:pStyle w:val="citation"/>
      </w:pPr>
    </w:p>
    <w:p w14:paraId="1396E6B6" w14:textId="77777777" w:rsidR="00B01930" w:rsidRDefault="00B01930" w:rsidP="00B01930">
      <w:pPr>
        <w:pStyle w:val="citation"/>
      </w:pPr>
      <w:r w:rsidRPr="00320A86">
        <w:t>« Au lendemain de l’expérience faite en Arizona, on a bien osé sout</w:t>
      </w:r>
      <w:r w:rsidRPr="00320A86">
        <w:t>e</w:t>
      </w:r>
      <w:r w:rsidRPr="00320A86">
        <w:t>nir que les physiciens auraient dû, parvenus au terme de leurs recherches, étouffer et détruire le fruit dangereux né de leur esprit d’invention. Co</w:t>
      </w:r>
      <w:r w:rsidRPr="00320A86">
        <w:t>m</w:t>
      </w:r>
      <w:r w:rsidRPr="00320A86">
        <w:t>me si le devoir de tout homme ne consistait pas en définitive à pousser jusqu’au bout toutes les puissances créatives de la connaissance et de l’action ! Comme si, du reste, a</w:t>
      </w:r>
      <w:r w:rsidRPr="00320A86">
        <w:t>u</w:t>
      </w:r>
      <w:r w:rsidRPr="00320A86">
        <w:t>cune force au monde n’était capable d’arrêter la pensée humaine dans aucune ligne sur laquelle elle s’est une fois engagée</w:t>
      </w:r>
      <w:r>
        <w:t> </w:t>
      </w:r>
      <w:r w:rsidRPr="00264EEC">
        <w:rPr>
          <w:rStyle w:val="Appelnotedebasdep"/>
          <w:i/>
        </w:rPr>
        <w:footnoteReference w:id="1124"/>
      </w:r>
      <w:r w:rsidRPr="00320A86">
        <w:t> ! »</w:t>
      </w:r>
    </w:p>
    <w:p w14:paraId="1F1D9409" w14:textId="77777777" w:rsidR="00B01930" w:rsidRPr="00320A86" w:rsidRDefault="00B01930" w:rsidP="00B01930">
      <w:pPr>
        <w:pStyle w:val="citation"/>
      </w:pPr>
    </w:p>
    <w:p w14:paraId="4CC4CE6C" w14:textId="77777777" w:rsidR="00B01930" w:rsidRPr="00320A86" w:rsidRDefault="00B01930" w:rsidP="00B01930">
      <w:pPr>
        <w:spacing w:before="120" w:after="120"/>
        <w:jc w:val="both"/>
      </w:pPr>
      <w:r w:rsidRPr="00320A86">
        <w:t>La vocation de l’homme est de progresser intellectuellement et de pousser le plus loin possible la connaissance humaine, et le progrès scientifique et la cap</w:t>
      </w:r>
      <w:r w:rsidRPr="00320A86">
        <w:t>a</w:t>
      </w:r>
      <w:r w:rsidRPr="00320A86">
        <w:t>cité de l’homme à définir l’avenir de sa propre espèce opèrent chez Teilhard une véritable fascination. Ces quelques lignes, écrites au lendemain de l’explosion de la première bombe at</w:t>
      </w:r>
      <w:r w:rsidRPr="00320A86">
        <w:t>o</w:t>
      </w:r>
      <w:r w:rsidRPr="00320A86">
        <w:t>mique dans le désert du Nevada, sont éloquentes :</w:t>
      </w:r>
    </w:p>
    <w:p w14:paraId="352FE512" w14:textId="77777777" w:rsidR="00B01930" w:rsidRDefault="00B01930" w:rsidP="00B01930">
      <w:pPr>
        <w:pStyle w:val="citation"/>
      </w:pPr>
    </w:p>
    <w:p w14:paraId="0973A33B" w14:textId="77777777" w:rsidR="00B01930" w:rsidRDefault="00B01930" w:rsidP="00B01930">
      <w:pPr>
        <w:pStyle w:val="citation"/>
      </w:pPr>
      <w:r w:rsidRPr="00320A86">
        <w:t>« Et dès lors, si bouleversante et grisante fut-elle, la libération, e</w:t>
      </w:r>
      <w:r w:rsidRPr="00320A86">
        <w:t>n</w:t>
      </w:r>
      <w:r w:rsidRPr="00320A86">
        <w:t>fin réalisée, de l’énergie nucléaire n’apparaissait déjà plus si énorme. N’était-elle pas simplement le premier acte, ou même un simple pr</w:t>
      </w:r>
      <w:r w:rsidRPr="00320A86">
        <w:t>é</w:t>
      </w:r>
      <w:r w:rsidRPr="00320A86">
        <w:t>lude, dans une série d’événements fantastiques qui, après nous avoir donné a</w:t>
      </w:r>
      <w:r w:rsidRPr="00320A86">
        <w:t>c</w:t>
      </w:r>
      <w:r w:rsidRPr="00320A86">
        <w:t>cès au cœur de l’atome, nous conduiraient à forcer, une à une, tant d’autres citadelles déjà plus ou moins encerclées par notre science ? Vitalisation de la mati</w:t>
      </w:r>
      <w:r w:rsidRPr="00320A86">
        <w:t>è</w:t>
      </w:r>
      <w:r w:rsidRPr="00320A86">
        <w:t>re, par édific</w:t>
      </w:r>
      <w:r w:rsidRPr="00320A86">
        <w:t>a</w:t>
      </w:r>
      <w:r w:rsidRPr="00320A86">
        <w:t>tion de super-molécules. Modelage de l’organisme humain, au moyen des horm</w:t>
      </w:r>
      <w:r w:rsidRPr="00320A86">
        <w:t>o</w:t>
      </w:r>
      <w:r w:rsidRPr="00320A86">
        <w:t>nes. Contrôle de l’hérédité et des sexes, par le jeu des gènes et des chromosomes. Réajustement et lib</w:t>
      </w:r>
      <w:r w:rsidRPr="00320A86">
        <w:t>é</w:t>
      </w:r>
      <w:r w:rsidRPr="00320A86">
        <w:t>ration internes de notre propre âme par action directe des ressorts peu à peu mis à nu par la ps</w:t>
      </w:r>
      <w:r w:rsidRPr="00320A86">
        <w:t>y</w:t>
      </w:r>
      <w:r w:rsidRPr="00320A86">
        <w:t>chanalyse. Éveil et capture des insondables puissances intellectuelles et a</w:t>
      </w:r>
      <w:r w:rsidRPr="00320A86">
        <w:t>f</w:t>
      </w:r>
      <w:r w:rsidRPr="00320A86">
        <w:t>fectives encore dormantes dans la masse h</w:t>
      </w:r>
      <w:r w:rsidRPr="00320A86">
        <w:t>u</w:t>
      </w:r>
      <w:r w:rsidRPr="00320A86">
        <w:t>maine… Toute espèce d’effets ne peut-elle pas être provoquée par un arrangement convenable de mati</w:t>
      </w:r>
      <w:r w:rsidRPr="00320A86">
        <w:t>è</w:t>
      </w:r>
      <w:r w:rsidRPr="00320A86">
        <w:t>re ? Et, à partir des résultats obtenus dans le domaine nucléaire, ne so</w:t>
      </w:r>
      <w:r w:rsidRPr="00320A86">
        <w:t>m</w:t>
      </w:r>
      <w:r w:rsidRPr="00320A86">
        <w:t>mes-nous pas en droit d’espérer pouvoir arranger, tôt ou tard, to</w:t>
      </w:r>
      <w:r w:rsidRPr="00320A86">
        <w:t>u</w:t>
      </w:r>
      <w:r w:rsidRPr="00320A86">
        <w:t>te espèce de matière</w:t>
      </w:r>
      <w:r>
        <w:t> </w:t>
      </w:r>
      <w:r w:rsidRPr="00264EEC">
        <w:rPr>
          <w:rStyle w:val="Appelnotedebasdep"/>
          <w:i/>
        </w:rPr>
        <w:footnoteReference w:id="1125"/>
      </w:r>
      <w:r w:rsidRPr="00320A86">
        <w:t> ? »</w:t>
      </w:r>
    </w:p>
    <w:p w14:paraId="3449D10C" w14:textId="77777777" w:rsidR="00B01930" w:rsidRPr="00320A86" w:rsidRDefault="00B01930" w:rsidP="00B01930">
      <w:pPr>
        <w:pStyle w:val="citation"/>
      </w:pPr>
    </w:p>
    <w:p w14:paraId="0EE57F32" w14:textId="77777777" w:rsidR="00B01930" w:rsidRPr="00320A86" w:rsidRDefault="00B01930" w:rsidP="00B01930">
      <w:pPr>
        <w:spacing w:before="120" w:after="120"/>
        <w:jc w:val="both"/>
      </w:pPr>
      <w:r w:rsidRPr="00320A86">
        <w:t>Le progrès scientifique est ainsi vu comme relevant de la logique naturelle de l’évolution des espèces au sommet desquelles se situe l’espèce humaine. Mais en même temps, la capacité d’autodestruction poussée à l’extrême induit un changement de la nature humaine :</w:t>
      </w:r>
    </w:p>
    <w:p w14:paraId="154D5FBB" w14:textId="77777777" w:rsidR="00B01930" w:rsidRDefault="00B01930" w:rsidP="00B01930">
      <w:pPr>
        <w:pStyle w:val="citation"/>
      </w:pPr>
    </w:p>
    <w:p w14:paraId="545E561C" w14:textId="77777777" w:rsidR="00B01930" w:rsidRDefault="00B01930" w:rsidP="00B01930">
      <w:pPr>
        <w:pStyle w:val="citation"/>
      </w:pPr>
      <w:r w:rsidRPr="00320A86">
        <w:t>« En libérant de façon massive […] 1’énergie des atomes, l’homme n’a pas seulement changé la face de la terre. Inévitablement, au cœur m</w:t>
      </w:r>
      <w:r w:rsidRPr="00320A86">
        <w:t>ê</w:t>
      </w:r>
      <w:r w:rsidRPr="00320A86">
        <w:t>me de son être, il se trouve avoir amorcé, ipso facto, une longue chaîne de réactions qui, dans le bref i</w:t>
      </w:r>
      <w:r w:rsidRPr="00320A86">
        <w:t>n</w:t>
      </w:r>
      <w:r w:rsidRPr="00320A86">
        <w:t>tervalle d’une explosion matérielle, ont fait de lui, au moins virtuell</w:t>
      </w:r>
      <w:r w:rsidRPr="00320A86">
        <w:t>e</w:t>
      </w:r>
      <w:r w:rsidRPr="00320A86">
        <w:t>ment, un être nouveau, qui ne se connaissait pas</w:t>
      </w:r>
      <w:r>
        <w:t> </w:t>
      </w:r>
      <w:r>
        <w:rPr>
          <w:rStyle w:val="Appelnotedebasdep"/>
        </w:rPr>
        <w:footnoteReference w:id="1126"/>
      </w:r>
      <w:r w:rsidRPr="00320A86">
        <w:t> ».</w:t>
      </w:r>
    </w:p>
    <w:p w14:paraId="421A4D75" w14:textId="77777777" w:rsidR="00B01930" w:rsidRPr="00320A86" w:rsidRDefault="00B01930" w:rsidP="00B01930">
      <w:pPr>
        <w:pStyle w:val="citation"/>
      </w:pPr>
    </w:p>
    <w:p w14:paraId="061A60D1" w14:textId="77777777" w:rsidR="00B01930" w:rsidRPr="00320A86" w:rsidRDefault="00B01930" w:rsidP="00B01930">
      <w:pPr>
        <w:spacing w:before="120" w:after="120"/>
        <w:jc w:val="both"/>
      </w:pPr>
      <w:r w:rsidRPr="00320A86">
        <w:t>Trois conséquences peuvent être relevées.</w:t>
      </w:r>
    </w:p>
    <w:p w14:paraId="3D00E733" w14:textId="77777777" w:rsidR="00B01930" w:rsidRPr="00320A86" w:rsidRDefault="00B01930" w:rsidP="00B01930">
      <w:pPr>
        <w:spacing w:before="120" w:after="120"/>
        <w:jc w:val="both"/>
      </w:pPr>
      <w:r w:rsidRPr="00320A86">
        <w:t>Premièrement, l’homme a, pour la première fois de son histoire, la possibilité de mettre un terme définitif au processus d’humanisation et à la constitution de la Noosphère. Cela n’est pas sans risques. L’homme peut être pris de vertige devant tant de puissance et ne pas être capable de maîtriser son nouveau pouvoir sur la matière :</w:t>
      </w:r>
    </w:p>
    <w:p w14:paraId="66B26EFC" w14:textId="77777777" w:rsidR="00B01930" w:rsidRDefault="00B01930" w:rsidP="00B01930">
      <w:pPr>
        <w:pStyle w:val="citation"/>
      </w:pPr>
    </w:p>
    <w:p w14:paraId="6658A31E" w14:textId="77777777" w:rsidR="00B01930" w:rsidRDefault="00B01930" w:rsidP="00B01930">
      <w:pPr>
        <w:pStyle w:val="citation"/>
      </w:pPr>
      <w:r w:rsidRPr="00320A86">
        <w:t>« Comment, en face de ce succès, ne se sentirait-il pas exalté, comme jamais d</w:t>
      </w:r>
      <w:r w:rsidRPr="00320A86">
        <w:t>e</w:t>
      </w:r>
      <w:r w:rsidRPr="00320A86">
        <w:t>puis sa naissance ? Quand surtout cet événement prodigieux se présente, non pas comme le produit accidentel d’une chance sans lend</w:t>
      </w:r>
      <w:r w:rsidRPr="00320A86">
        <w:t>e</w:t>
      </w:r>
      <w:r w:rsidRPr="00320A86">
        <w:t>main, mais comme le résultat longuement préparé d’un effort savamment concerté ? »</w:t>
      </w:r>
    </w:p>
    <w:p w14:paraId="7176B37A" w14:textId="77777777" w:rsidR="00B01930" w:rsidRPr="00320A86" w:rsidRDefault="00B01930" w:rsidP="00B01930">
      <w:pPr>
        <w:pStyle w:val="citation"/>
      </w:pPr>
    </w:p>
    <w:p w14:paraId="71D039A4" w14:textId="77777777" w:rsidR="00B01930" w:rsidRPr="00320A86" w:rsidRDefault="00B01930" w:rsidP="00B01930">
      <w:pPr>
        <w:spacing w:before="120" w:after="120"/>
        <w:jc w:val="both"/>
      </w:pPr>
      <w:r w:rsidRPr="00320A86">
        <w:t>L’enjeu véritable n’est pas la maîtrise de la matière, c’est la maîtr</w:t>
      </w:r>
      <w:r w:rsidRPr="00320A86">
        <w:t>i</w:t>
      </w:r>
      <w:r w:rsidRPr="00320A86">
        <w:t>se de l’homme lui-même qui peut poser problème et hypothéquer l’avenir de l’humanité. La question est finalement de savoir si l’homme sera capable d’éviter la destruction de la terre.</w:t>
      </w:r>
    </w:p>
    <w:p w14:paraId="5C403F30" w14:textId="77777777" w:rsidR="00B01930" w:rsidRPr="00320A86" w:rsidRDefault="00B01930" w:rsidP="00B01930">
      <w:pPr>
        <w:spacing w:before="120" w:after="120"/>
        <w:jc w:val="both"/>
      </w:pPr>
      <w:r w:rsidRPr="00320A86">
        <w:t>Deuxièmement, l’explosion de la première bombe atomique a fait naître le « </w:t>
      </w:r>
      <w:r w:rsidRPr="00581737">
        <w:rPr>
          <w:i/>
        </w:rPr>
        <w:t>sentiment d’une puissance indéfiniment développable </w:t>
      </w:r>
      <w:r w:rsidRPr="00320A86">
        <w:t>». Le succès de l’entreprise, qui était l’aboutissement de recherches conjoi</w:t>
      </w:r>
      <w:r w:rsidRPr="00320A86">
        <w:t>n</w:t>
      </w:r>
      <w:r w:rsidRPr="00320A86">
        <w:t>tes d’un grand no</w:t>
      </w:r>
      <w:r w:rsidRPr="00320A86">
        <w:t>m</w:t>
      </w:r>
      <w:r w:rsidRPr="00320A86">
        <w:t>bre de chercheurs et de laboratoires, annonçait d’autres succès. Tout devenait possible, grâce à la convergence des intelligences et des travaux, préfigurant ce que serait une humanité parvenue à la convergence ultime des personnes dans l’unanimisation.</w:t>
      </w:r>
    </w:p>
    <w:p w14:paraId="27C502F5" w14:textId="77777777" w:rsidR="00B01930" w:rsidRDefault="00B01930" w:rsidP="00B01930">
      <w:pPr>
        <w:pStyle w:val="citation"/>
      </w:pPr>
    </w:p>
    <w:p w14:paraId="4C0F47C5" w14:textId="77777777" w:rsidR="00B01930" w:rsidRDefault="00B01930" w:rsidP="00B01930">
      <w:pPr>
        <w:pStyle w:val="citation"/>
      </w:pPr>
      <w:r w:rsidRPr="00320A86">
        <w:t>« [L’homme] découvrait, dans l’unanimité irréfléchie du geste a</w:t>
      </w:r>
      <w:r w:rsidRPr="00320A86">
        <w:t>u</w:t>
      </w:r>
      <w:r w:rsidRPr="00320A86">
        <w:t>quel l’avaient forcé les circonstances, un nouveau secret pour parvenir à la to</w:t>
      </w:r>
      <w:r w:rsidRPr="00320A86">
        <w:t>u</w:t>
      </w:r>
      <w:r w:rsidRPr="00320A86">
        <w:t>te-puissance. Pour la première fois dans l’histoire, par suite de la conjon</w:t>
      </w:r>
      <w:r w:rsidRPr="00320A86">
        <w:t>c</w:t>
      </w:r>
      <w:r w:rsidRPr="00320A86">
        <w:t>tion non fortuite entre une crise d’ampleur mondiale et un progrès inouï des moyens de communication, un effort scientifique « planifié » e</w:t>
      </w:r>
      <w:r w:rsidRPr="00320A86">
        <w:t>m</w:t>
      </w:r>
      <w:r w:rsidRPr="00320A86">
        <w:t>ployant comme unité la centaine, ou même le millier d’hommes, venait de se réaliser. Et le résultat ne s’était pas fait attendre. En trois ans, une tec</w:t>
      </w:r>
      <w:r w:rsidRPr="00320A86">
        <w:t>h</w:t>
      </w:r>
      <w:r w:rsidRPr="00320A86">
        <w:t>nique avait été mise au point que n’eût peut-être pas trouvé un siècle d’efforts isolés. La plus grande découverte jamais faite par l’homme était justement celle où le plus grand nombre d’intelligences n’eussent jamais eu la possibilité de s’associer en un seul organisme, à la fois plus compl</w:t>
      </w:r>
      <w:r w:rsidRPr="00320A86">
        <w:t>i</w:t>
      </w:r>
      <w:r w:rsidRPr="00320A86">
        <w:t>qué et plus centré, pour la reche</w:t>
      </w:r>
      <w:r w:rsidRPr="00320A86">
        <w:t>r</w:t>
      </w:r>
      <w:r w:rsidRPr="00320A86">
        <w:t>che. Simple coïncidence ? Ou plutôt, là comme dans d’autres doma</w:t>
      </w:r>
      <w:r w:rsidRPr="00320A86">
        <w:t>i</w:t>
      </w:r>
      <w:r w:rsidRPr="00320A86">
        <w:t>nes, ne s’avérait-il pas que rien ne résiste dans l’univers à l’ardeur convergente d’un nombre suffisamment grand d’esprits suffisamment groupés et organisés ? »</w:t>
      </w:r>
    </w:p>
    <w:p w14:paraId="01413772" w14:textId="77777777" w:rsidR="00B01930" w:rsidRPr="00320A86" w:rsidRDefault="00B01930" w:rsidP="00B01930">
      <w:pPr>
        <w:pStyle w:val="citation"/>
      </w:pPr>
    </w:p>
    <w:p w14:paraId="3DF8D2F3" w14:textId="77777777" w:rsidR="00B01930" w:rsidRPr="00320A86" w:rsidRDefault="00B01930" w:rsidP="00B01930">
      <w:pPr>
        <w:spacing w:before="120" w:after="120"/>
        <w:jc w:val="both"/>
      </w:pPr>
      <w:r w:rsidRPr="00320A86">
        <w:t>Troisièmement, la réalisation de la bombe atomique semble confirmer que la convergence des intelligences doit permettre un pr</w:t>
      </w:r>
      <w:r w:rsidRPr="00320A86">
        <w:t>o</w:t>
      </w:r>
      <w:r w:rsidRPr="00320A86">
        <w:t>grès quasi illimité, scientifique et intellectuel, lui-même capable n</w:t>
      </w:r>
      <w:r w:rsidRPr="00320A86">
        <w:t>o</w:t>
      </w:r>
      <w:r w:rsidRPr="00320A86">
        <w:t>tamment d’apporter une réponse aux enjeux de la survie de l’espèce humaine sur terre. Or, les conséquences de la suppression des limites théoriques de la connaissance et du progrès scientifique et technique sont considérables : l’homme est désormais responsable et maître de sa propre survie. En cela, l’activité humaine a radicalement changé de nat</w:t>
      </w:r>
      <w:r w:rsidRPr="00320A86">
        <w:t>u</w:t>
      </w:r>
      <w:r w:rsidRPr="00320A86">
        <w:t>re :</w:t>
      </w:r>
    </w:p>
    <w:p w14:paraId="0DC19983" w14:textId="77777777" w:rsidR="00B01930" w:rsidRDefault="00B01930" w:rsidP="00B01930">
      <w:pPr>
        <w:pStyle w:val="citation"/>
      </w:pPr>
      <w:r w:rsidRPr="00320A86">
        <w:t>« Depuis des millions d’années, un flot de connaissance n’a pas cessé de monter obstinément vers lui à travers l’étoffe cosmique ; et en lui ce qu’il appe</w:t>
      </w:r>
      <w:r w:rsidRPr="00320A86">
        <w:t>l</w:t>
      </w:r>
      <w:r w:rsidRPr="00320A86">
        <w:t>le son « moi » n’est rien autre que cette marée se réfléchissant atomiquement sur elle-même. Cela, il le savait ; mais sans pouvoir bien apprécier encore dans quelle mesure, au mouvement de la vie qui le tr</w:t>
      </w:r>
      <w:r w:rsidRPr="00320A86">
        <w:t>a</w:t>
      </w:r>
      <w:r w:rsidRPr="00320A86">
        <w:t>versait, il était à même d’apporter une aide efficace. Or mai</w:t>
      </w:r>
      <w:r w:rsidRPr="00320A86">
        <w:t>n</w:t>
      </w:r>
      <w:r w:rsidRPr="00320A86">
        <w:t>tenant (c’est-à-dire depuis le fameux lever de soleil sur l’Arizona), le doute ne lui est plus permis. De toute nécessité organ</w:t>
      </w:r>
      <w:r w:rsidRPr="00320A86">
        <w:t>i</w:t>
      </w:r>
      <w:r w:rsidRPr="00320A86">
        <w:t>que, non seulement il peut, mais il doit, à l’avenir, collaborer à sa propre gen</w:t>
      </w:r>
      <w:r w:rsidRPr="00320A86">
        <w:t>è</w:t>
      </w:r>
      <w:r w:rsidRPr="00320A86">
        <w:t>se. Au cours d’une première phase, formation de l’intelligence par le travail obscur, instinctif, des fo</w:t>
      </w:r>
      <w:r w:rsidRPr="00320A86">
        <w:t>r</w:t>
      </w:r>
      <w:r w:rsidRPr="00320A86">
        <w:t>ces vitales ; puis, dans un deuxième cas, rebondissement et accélération du mouvement ascensionnel par le jeu réfléchi de cette intelligence même, seul pri</w:t>
      </w:r>
      <w:r w:rsidRPr="00320A86">
        <w:t>n</w:t>
      </w:r>
      <w:r w:rsidRPr="00320A86">
        <w:t>cipe au monde capable de combiner et d’utiliser pour la vie, à une échelle planétaire, les énergies encore disséminées ou assoupies de la m</w:t>
      </w:r>
      <w:r w:rsidRPr="00320A86">
        <w:t>a</w:t>
      </w:r>
      <w:r w:rsidRPr="00320A86">
        <w:t>tière et de la pensée : tel se dessine désormais à nos yeux, dans ses l</w:t>
      </w:r>
      <w:r w:rsidRPr="00320A86">
        <w:t>i</w:t>
      </w:r>
      <w:r w:rsidRPr="00320A86">
        <w:t>gnes majeures, le grand schème dans lequel, par l’existence, nous nous tro</w:t>
      </w:r>
      <w:r w:rsidRPr="00320A86">
        <w:t>u</w:t>
      </w:r>
      <w:r w:rsidRPr="00320A86">
        <w:t>vons e</w:t>
      </w:r>
      <w:r w:rsidRPr="00320A86">
        <w:t>n</w:t>
      </w:r>
      <w:r w:rsidRPr="00320A86">
        <w:t>gagés</w:t>
      </w:r>
      <w:r>
        <w:t> </w:t>
      </w:r>
      <w:r>
        <w:rPr>
          <w:rStyle w:val="Appelnotedebasdep"/>
        </w:rPr>
        <w:footnoteReference w:id="1127"/>
      </w:r>
      <w:r w:rsidRPr="00320A86">
        <w:t>. »</w:t>
      </w:r>
    </w:p>
    <w:p w14:paraId="572ADE60" w14:textId="77777777" w:rsidR="00B01930" w:rsidRPr="00320A86" w:rsidRDefault="00B01930" w:rsidP="00B01930">
      <w:pPr>
        <w:pStyle w:val="citation"/>
      </w:pPr>
    </w:p>
    <w:p w14:paraId="22A1F406" w14:textId="77777777" w:rsidR="00B01930" w:rsidRPr="00320A86" w:rsidRDefault="00B01930" w:rsidP="00B01930">
      <w:pPr>
        <w:spacing w:before="120" w:after="120"/>
        <w:jc w:val="both"/>
      </w:pPr>
      <w:r w:rsidRPr="00320A86">
        <w:t>Nous voici donc en présence d’un « </w:t>
      </w:r>
      <w:r w:rsidRPr="00581737">
        <w:rPr>
          <w:i/>
        </w:rPr>
        <w:t>autre homme, jusqu’au tr</w:t>
      </w:r>
      <w:r w:rsidRPr="00581737">
        <w:rPr>
          <w:i/>
        </w:rPr>
        <w:t>é</w:t>
      </w:r>
      <w:r w:rsidRPr="00581737">
        <w:rPr>
          <w:i/>
        </w:rPr>
        <w:t>fonds de lui-même </w:t>
      </w:r>
      <w:r w:rsidRPr="00320A86">
        <w:t>», qui doit repenser son rapport au monde et à la vie. L’homme retrouve une raison de vivre qu’il avait perdue avec les progrès de la technique. Le dév</w:t>
      </w:r>
      <w:r w:rsidRPr="00320A86">
        <w:t>e</w:t>
      </w:r>
      <w:r w:rsidRPr="00320A86">
        <w:t>loppement de la mécanisation n’a pas seulement permis d’alléger la charge de travail pesant sur chacun, il présente un réel danger pour le progrès de l’humanité, la plongeant progressivement dans l’ennui : « </w:t>
      </w:r>
      <w:r w:rsidRPr="00581737">
        <w:rPr>
          <w:i/>
        </w:rPr>
        <w:t>la quantité d’énergie humaine v</w:t>
      </w:r>
      <w:r w:rsidRPr="00581737">
        <w:rPr>
          <w:i/>
        </w:rPr>
        <w:t>a</w:t>
      </w:r>
      <w:r w:rsidRPr="00581737">
        <w:rPr>
          <w:i/>
        </w:rPr>
        <w:t>cante monte en nous et autour de nous</w:t>
      </w:r>
      <w:r w:rsidRPr="00320A86">
        <w:t>. » Teilhard y voit « </w:t>
      </w:r>
      <w:r w:rsidRPr="00581737">
        <w:rPr>
          <w:i/>
        </w:rPr>
        <w:t>la source s</w:t>
      </w:r>
      <w:r w:rsidRPr="00581737">
        <w:rPr>
          <w:i/>
        </w:rPr>
        <w:t>e</w:t>
      </w:r>
      <w:r w:rsidRPr="00581737">
        <w:rPr>
          <w:i/>
        </w:rPr>
        <w:t>crète de tous nos maux. Nous ne savons plus que faire. De là, par le monde, cette agitation désordonnée des individus à la poursuite de fins disparates ou égoïstes ; et de là, entre nations, ce prurit des luttes armées où se décharge de</w:t>
      </w:r>
      <w:r w:rsidRPr="00581737">
        <w:rPr>
          <w:i/>
        </w:rPr>
        <w:t>s</w:t>
      </w:r>
      <w:r w:rsidRPr="00581737">
        <w:rPr>
          <w:i/>
        </w:rPr>
        <w:t>tructivement, faute de mieux, l’excès des puissances accumulées</w:t>
      </w:r>
      <w:r w:rsidRPr="00320A86">
        <w:t>. » C’est en cela que la bombe atomique repr</w:t>
      </w:r>
      <w:r w:rsidRPr="00320A86">
        <w:t>é</w:t>
      </w:r>
      <w:r w:rsidRPr="00320A86">
        <w:t>sente paradoxalement une chance pour l’humanité. En mordant « au fruit de la grande création », l’homme a redécouvert une raison de v</w:t>
      </w:r>
      <w:r w:rsidRPr="00320A86">
        <w:t>i</w:t>
      </w:r>
      <w:r w:rsidRPr="00320A86">
        <w:t>vre : le progrès à marche forcée.</w:t>
      </w:r>
    </w:p>
    <w:p w14:paraId="3A1B5A47" w14:textId="77777777" w:rsidR="00B01930" w:rsidRPr="00320A86" w:rsidRDefault="00B01930" w:rsidP="00B01930">
      <w:pPr>
        <w:spacing w:before="120" w:after="120"/>
        <w:jc w:val="both"/>
      </w:pPr>
      <w:r w:rsidRPr="00320A86">
        <w:t>Un tel cap dans l’histoire de l’humanité a nécessairement des conséquences politiques considérables que l’on peut résumer autour de deux idées.</w:t>
      </w:r>
    </w:p>
    <w:p w14:paraId="4663364D" w14:textId="77777777" w:rsidR="00B01930" w:rsidRDefault="00B01930" w:rsidP="00B01930">
      <w:pPr>
        <w:spacing w:before="120" w:after="120"/>
        <w:jc w:val="both"/>
      </w:pPr>
      <w:r w:rsidRPr="00320A86">
        <w:t>D’une part, l’énergie nucléaire doit être maîtrisée. Sinon, l’humanité court à sa perte à brève échéance. Il faut en « </w:t>
      </w:r>
      <w:r w:rsidRPr="00581737">
        <w:rPr>
          <w:i/>
        </w:rPr>
        <w:t>contrôler et organiser l’usage </w:t>
      </w:r>
      <w:r w:rsidRPr="00320A86">
        <w:t>». Il semble donc que Teilhard de Chardin envisage, non seulement le nucléaire militaire, mais aussi le nucléaire civil, vo</w:t>
      </w:r>
      <w:r w:rsidRPr="00320A86">
        <w:t>i</w:t>
      </w:r>
      <w:r w:rsidRPr="00320A86">
        <w:t>re éventuellement l’utilisation civile de la bo</w:t>
      </w:r>
      <w:r w:rsidRPr="00320A86">
        <w:t>m</w:t>
      </w:r>
      <w:r w:rsidRPr="00320A86">
        <w:t>be atomique, l’hypothèse n’étant pas exclue dans l’immédiat après-guerre. Un tel contrôle de l’énergie nucléaire ne peut reposer sur les seules épaules des États, et la question doit être posée à l’échelle internationale. Se gardant de proposer une réponse politique concrète – « </w:t>
      </w:r>
      <w:r w:rsidRPr="00581737">
        <w:rPr>
          <w:i/>
        </w:rPr>
        <w:t>Aux techn</w:t>
      </w:r>
      <w:r w:rsidRPr="00581737">
        <w:rPr>
          <w:i/>
        </w:rPr>
        <w:t>i</w:t>
      </w:r>
      <w:r w:rsidRPr="00581737">
        <w:rPr>
          <w:i/>
        </w:rPr>
        <w:t>ciens de la terre le soin de répondre </w:t>
      </w:r>
      <w:r w:rsidRPr="00320A86">
        <w:t>» –, il se contente de citer un art</w:t>
      </w:r>
      <w:r w:rsidRPr="00320A86">
        <w:t>i</w:t>
      </w:r>
      <w:r w:rsidRPr="00320A86">
        <w:t>cle paru le 18 août 1945 dans The New Yorker :</w:t>
      </w:r>
    </w:p>
    <w:p w14:paraId="67270003" w14:textId="77777777" w:rsidR="00B01930" w:rsidRPr="00320A86" w:rsidRDefault="00B01930" w:rsidP="00B01930">
      <w:pPr>
        <w:spacing w:before="120" w:after="120"/>
        <w:jc w:val="both"/>
      </w:pPr>
    </w:p>
    <w:p w14:paraId="5E385D56" w14:textId="77777777" w:rsidR="00B01930" w:rsidRPr="00320A86" w:rsidRDefault="00B01930" w:rsidP="00B01930">
      <w:pPr>
        <w:spacing w:before="120" w:after="120"/>
        <w:jc w:val="both"/>
      </w:pPr>
      <w:r w:rsidRPr="00320A86">
        <w:t>« Seule une énergie politique dirigée vers la réalisation d’une structure universelle est capable d’équilibrer l’apparition dans le mo</w:t>
      </w:r>
      <w:r w:rsidRPr="00320A86">
        <w:t>n</w:t>
      </w:r>
      <w:r w:rsidRPr="00320A86">
        <w:t>de des forces atom</w:t>
      </w:r>
      <w:r w:rsidRPr="00320A86">
        <w:t>i</w:t>
      </w:r>
      <w:r w:rsidRPr="00320A86">
        <w:t>ques. »</w:t>
      </w:r>
    </w:p>
    <w:p w14:paraId="33619BD0" w14:textId="77777777" w:rsidR="00B01930" w:rsidRPr="00320A86" w:rsidRDefault="00B01930" w:rsidP="00B01930">
      <w:pPr>
        <w:spacing w:before="120" w:after="120"/>
        <w:jc w:val="both"/>
      </w:pPr>
      <w:r w:rsidRPr="00320A86">
        <w:t>Mais il s’agit moins de confier à une organisation internationale le soin de gérer l’énergie nucléaire que d’en prévenir l’usage militaire en recherchant au niveau international les conditions du maintien de la paix et les moyens de r</w:t>
      </w:r>
      <w:r w:rsidRPr="00320A86">
        <w:t>é</w:t>
      </w:r>
      <w:r w:rsidRPr="00320A86">
        <w:t>soudre pacifiquement les conflits.</w:t>
      </w:r>
    </w:p>
    <w:p w14:paraId="42A33FCC" w14:textId="77777777" w:rsidR="00B01930" w:rsidRPr="00320A86" w:rsidRDefault="00B01930" w:rsidP="00B01930">
      <w:pPr>
        <w:spacing w:before="120" w:after="120"/>
        <w:jc w:val="both"/>
      </w:pPr>
      <w:r w:rsidRPr="00320A86">
        <w:t>D’autre part, selon le philosophe, pris entre le christianisme et la science, le danger de destruction de l’humanité par l’emploi de l’arme nucléaire et les hor</w:t>
      </w:r>
      <w:r w:rsidRPr="00320A86">
        <w:t>i</w:t>
      </w:r>
      <w:r w:rsidRPr="00320A86">
        <w:t>zons nouveaux de son évolution offerts par la perspective d’un progrès scientif</w:t>
      </w:r>
      <w:r w:rsidRPr="00320A86">
        <w:t>i</w:t>
      </w:r>
      <w:r w:rsidRPr="00320A86">
        <w:t>que qui ne connaît plus de limites annoncent l’avènement d’un monde sans guerre : non seulement les moyens de destruction deviennent excessifs, donc inutilisables, re</w:t>
      </w:r>
      <w:r w:rsidRPr="00320A86">
        <w:t>n</w:t>
      </w:r>
      <w:r w:rsidRPr="00320A86">
        <w:t>dant tout conflit impossible – l’histoire de l’humanité depuis la S</w:t>
      </w:r>
      <w:r w:rsidRPr="00320A86">
        <w:t>e</w:t>
      </w:r>
      <w:r w:rsidRPr="00320A86">
        <w:t>conde Guerre mondiale lui a malheureusement donné tort –, mais la guerre elle-même devient sans intérêt, l’homme n’ayant plus besoin d’être pour donner un sens à son existence :</w:t>
      </w:r>
    </w:p>
    <w:p w14:paraId="0BD348A8" w14:textId="77777777" w:rsidR="00B01930" w:rsidRDefault="00B01930" w:rsidP="00B01930">
      <w:pPr>
        <w:pStyle w:val="citation"/>
      </w:pPr>
    </w:p>
    <w:p w14:paraId="43971CD0" w14:textId="77777777" w:rsidR="00B01930" w:rsidRDefault="00B01930" w:rsidP="00B01930">
      <w:pPr>
        <w:pStyle w:val="citation"/>
      </w:pPr>
      <w:r w:rsidRPr="00320A86">
        <w:t>« On nous dit que, enivrés par sa force, l’humanité court à sa perte – qu’elle va se brûler au feu imprudemment allumé par elle. Il me semble au contraire que, par la bombe atomique, c’est la guerre qui peut se trouver à la veille d’être doublement et définitivement tuée. Tuée d’abord (cela, chacun d’entre nous l’entrevoit et l’espère) dans son exercice par l’excès même des forces de de</w:t>
      </w:r>
      <w:r w:rsidRPr="00320A86">
        <w:t>s</w:t>
      </w:r>
      <w:r w:rsidRPr="00320A86">
        <w:t>truction mises entre nos mains, et qui vont rendre toute lutte impossible. Mais tuée surtout (à cela nous pensons moins) à sa racine dans nos cœurs, parce que, en comparaison des possibilités de conquête que la science nous découvre, b</w:t>
      </w:r>
      <w:r w:rsidRPr="00320A86">
        <w:t>a</w:t>
      </w:r>
      <w:r w:rsidRPr="00320A86">
        <w:t>tailles et héroïsmes guerriers ne devraient bientôt plus nous sembler que choses fastidieuses et périmées […]. L’ère atomique : ère non pas de destruction, mais de l’union dans la recherche. Malgré leur appareil militaire, les récentes explosions de Bik</w:t>
      </w:r>
      <w:r w:rsidRPr="00320A86">
        <w:t>i</w:t>
      </w:r>
      <w:r w:rsidRPr="00320A86">
        <w:t>ni signaleraient ainsi la venue au monde d’une humanité intérie</w:t>
      </w:r>
      <w:r w:rsidRPr="00320A86">
        <w:t>u</w:t>
      </w:r>
      <w:r w:rsidRPr="00320A86">
        <w:t>rement et extérieurement pacifiée</w:t>
      </w:r>
      <w:r>
        <w:t> </w:t>
      </w:r>
      <w:r w:rsidRPr="00264EEC">
        <w:rPr>
          <w:rStyle w:val="Appelnotedebasdep"/>
          <w:i/>
        </w:rPr>
        <w:footnoteReference w:id="1128"/>
      </w:r>
      <w:r w:rsidRPr="00320A86">
        <w:t>. »</w:t>
      </w:r>
    </w:p>
    <w:p w14:paraId="173931DB" w14:textId="77777777" w:rsidR="00B01930" w:rsidRPr="00320A86" w:rsidRDefault="00B01930" w:rsidP="00B01930">
      <w:pPr>
        <w:pStyle w:val="citation"/>
      </w:pPr>
    </w:p>
    <w:p w14:paraId="083A4D51" w14:textId="77777777" w:rsidR="00B01930" w:rsidRPr="00320A86" w:rsidRDefault="00B01930" w:rsidP="00B01930">
      <w:pPr>
        <w:spacing w:before="120" w:after="120"/>
        <w:jc w:val="both"/>
      </w:pPr>
      <w:r w:rsidRPr="00320A86">
        <w:t>Cet optimisme teilhardien est pour le moins ambigu. La pacific</w:t>
      </w:r>
      <w:r w:rsidRPr="00320A86">
        <w:t>a</w:t>
      </w:r>
      <w:r w:rsidRPr="00320A86">
        <w:t>tion de l’humanité n’est possible que si celle-ci se donne un idéal p</w:t>
      </w:r>
      <w:r w:rsidRPr="00320A86">
        <w:t>o</w:t>
      </w:r>
      <w:r w:rsidRPr="00320A86">
        <w:t>sitif et viser l’« </w:t>
      </w:r>
      <w:r w:rsidRPr="00581737">
        <w:rPr>
          <w:i/>
        </w:rPr>
        <w:t>Esprit de la Terre </w:t>
      </w:r>
      <w:r w:rsidRPr="00320A86">
        <w:t xml:space="preserve">». Mais outre le fait que l’histoire du </w:t>
      </w:r>
      <w:r w:rsidRPr="00320A86">
        <w:rPr>
          <w:smallCaps/>
        </w:rPr>
        <w:t>xx</w:t>
      </w:r>
      <w:r w:rsidRPr="00320A86">
        <w:rPr>
          <w:vertAlign w:val="superscript"/>
        </w:rPr>
        <w:t>e</w:t>
      </w:r>
      <w:r w:rsidRPr="00320A86">
        <w:t xml:space="preserve"> siècle incite à douter qu’elle en soit capable, la survie de l’homme à l’âge nucléaire dépend d’une alternative fondamentale : soit celui-ci demeure attiré par « </w:t>
      </w:r>
      <w:r w:rsidRPr="00581737">
        <w:rPr>
          <w:i/>
        </w:rPr>
        <w:t>un foyer s</w:t>
      </w:r>
      <w:r w:rsidRPr="00581737">
        <w:rPr>
          <w:i/>
        </w:rPr>
        <w:t>u</w:t>
      </w:r>
      <w:r w:rsidRPr="00581737">
        <w:rPr>
          <w:i/>
        </w:rPr>
        <w:t>prême de conscience </w:t>
      </w:r>
      <w:r w:rsidRPr="00320A86">
        <w:t>» qu’il tente de rejoindre, soit il se laisse séduire par « l’esprit prom</w:t>
      </w:r>
      <w:r w:rsidRPr="00320A86">
        <w:t>é</w:t>
      </w:r>
      <w:r w:rsidRPr="00320A86">
        <w:t>théen » et ne parvient pas à maîtriser son progrès, se laissant gr</w:t>
      </w:r>
      <w:r w:rsidRPr="00320A86">
        <w:t>i</w:t>
      </w:r>
      <w:r w:rsidRPr="00320A86">
        <w:t>ser par la recherche du pouvoir sur la matière et sur les autres, ce qui hyp</w:t>
      </w:r>
      <w:r w:rsidRPr="00320A86">
        <w:t>o</w:t>
      </w:r>
      <w:r w:rsidRPr="00320A86">
        <w:t>thèque grav</w:t>
      </w:r>
      <w:r w:rsidRPr="00320A86">
        <w:t>e</w:t>
      </w:r>
      <w:r w:rsidRPr="00320A86">
        <w:t>ment la poursuite de l’aventure humaine :</w:t>
      </w:r>
    </w:p>
    <w:p w14:paraId="3FB4DD17" w14:textId="77777777" w:rsidR="00B01930" w:rsidRDefault="00B01930" w:rsidP="00B01930">
      <w:pPr>
        <w:pStyle w:val="citation"/>
      </w:pPr>
      <w:r w:rsidRPr="00320A86">
        <w:t>« L’humanité ne saurait aller beaucoup plus loin sur la route où elle se trouve e</w:t>
      </w:r>
      <w:r w:rsidRPr="00320A86">
        <w:t>n</w:t>
      </w:r>
      <w:r w:rsidRPr="00320A86">
        <w:t>gagée par ses dernières conquêtes sans avoir à se décider – ou à se diviser intellectuellement – sur le choix du sommet qu’il lui faut attei</w:t>
      </w:r>
      <w:r w:rsidRPr="00320A86">
        <w:t>n</w:t>
      </w:r>
      <w:r w:rsidRPr="00320A86">
        <w:t>dre ».</w:t>
      </w:r>
    </w:p>
    <w:p w14:paraId="18928BD5" w14:textId="77777777" w:rsidR="00B01930" w:rsidRPr="00320A86" w:rsidRDefault="00B01930" w:rsidP="00B01930">
      <w:pPr>
        <w:pStyle w:val="citation"/>
      </w:pPr>
    </w:p>
    <w:p w14:paraId="490B2100" w14:textId="77777777" w:rsidR="00B01930" w:rsidRPr="00320A86" w:rsidRDefault="00B01930" w:rsidP="00B01930">
      <w:pPr>
        <w:spacing w:before="120" w:after="120"/>
        <w:jc w:val="both"/>
      </w:pPr>
      <w:r w:rsidRPr="00320A86">
        <w:t>Il s’agit là d’un choix politique fondamental, mais aussi d’un choix moral et religieux :</w:t>
      </w:r>
    </w:p>
    <w:p w14:paraId="4AFDE6CC" w14:textId="77777777" w:rsidR="00B01930" w:rsidRDefault="00B01930" w:rsidP="00B01930">
      <w:pPr>
        <w:pStyle w:val="citation"/>
      </w:pPr>
    </w:p>
    <w:p w14:paraId="098C0C3C" w14:textId="77777777" w:rsidR="00B01930" w:rsidRDefault="00B01930" w:rsidP="00B01930">
      <w:pPr>
        <w:pStyle w:val="citation"/>
      </w:pPr>
      <w:r w:rsidRPr="00320A86">
        <w:t>« En fin de compte le dernier effet de la lumière projetée par le feu atomique dans les profondeurs psychiques de la terre est d’y faire surgir, ultime et culm</w:t>
      </w:r>
      <w:r w:rsidRPr="00320A86">
        <w:t>i</w:t>
      </w:r>
      <w:r w:rsidRPr="00320A86">
        <w:t>nante, la question d’un terme à l’évolution, c’est-à-dire le problème de Dieu</w:t>
      </w:r>
      <w:r>
        <w:t> </w:t>
      </w:r>
      <w:r w:rsidRPr="00264EEC">
        <w:rPr>
          <w:rStyle w:val="Appelnotedebasdep"/>
          <w:i/>
        </w:rPr>
        <w:footnoteReference w:id="1129"/>
      </w:r>
      <w:r w:rsidRPr="00320A86">
        <w:t>. »</w:t>
      </w:r>
    </w:p>
    <w:p w14:paraId="5CBE1164" w14:textId="77777777" w:rsidR="00B01930" w:rsidRPr="00320A86" w:rsidRDefault="00B01930" w:rsidP="00B01930">
      <w:pPr>
        <w:pStyle w:val="citation"/>
      </w:pPr>
    </w:p>
    <w:p w14:paraId="02AE20FE" w14:textId="77777777" w:rsidR="00B01930" w:rsidRPr="00320A86" w:rsidRDefault="00B01930" w:rsidP="00B01930">
      <w:pPr>
        <w:spacing w:before="120" w:after="120"/>
        <w:jc w:val="both"/>
      </w:pPr>
      <w:r w:rsidRPr="00320A86">
        <w:t>En attendant, le péril nucléaire ne peut être combattu, mais tout au plus ma</w:t>
      </w:r>
      <w:r w:rsidRPr="00320A86">
        <w:t>î</w:t>
      </w:r>
      <w:r w:rsidRPr="00320A86">
        <w:t>trisé. La guerre est un phénomène inévitable, lié à l’histoire de l’humanité, car elle « </w:t>
      </w:r>
      <w:r w:rsidRPr="00581737">
        <w:rPr>
          <w:i/>
        </w:rPr>
        <w:t>ne représente pas un accident résiduel, dest</w:t>
      </w:r>
      <w:r w:rsidRPr="00581737">
        <w:rPr>
          <w:i/>
        </w:rPr>
        <w:t>i</w:t>
      </w:r>
      <w:r w:rsidRPr="00581737">
        <w:rPr>
          <w:i/>
        </w:rPr>
        <w:t>né à décroître avec le temps, mais elle est l’agent premier et l’expression même de l’évolution </w:t>
      </w:r>
      <w:r>
        <w:rPr>
          <w:rStyle w:val="Appelnotedebasdep"/>
        </w:rPr>
        <w:footnoteReference w:id="1130"/>
      </w:r>
      <w:r w:rsidRPr="00320A86">
        <w:t> ». Rien ne permet d’espérer qu’à court terme l’homme se laisserait gagner par l’esprit de paix :</w:t>
      </w:r>
    </w:p>
    <w:p w14:paraId="6D3466D2" w14:textId="77777777" w:rsidR="00B01930" w:rsidRDefault="00B01930" w:rsidP="00B01930">
      <w:pPr>
        <w:pStyle w:val="citation"/>
      </w:pPr>
    </w:p>
    <w:p w14:paraId="0E596920" w14:textId="77777777" w:rsidR="00B01930" w:rsidRDefault="00B01930" w:rsidP="00B01930">
      <w:pPr>
        <w:pStyle w:val="citation"/>
      </w:pPr>
      <w:r w:rsidRPr="00320A86">
        <w:t>« Il n’y aura de vraie paix que lorsque tous les hommes se seront e</w:t>
      </w:r>
      <w:r w:rsidRPr="00320A86">
        <w:t>n</w:t>
      </w:r>
      <w:r w:rsidRPr="00320A86">
        <w:t>tendus, au moins en première approximation, sur ce que nous devons a</w:t>
      </w:r>
      <w:r w:rsidRPr="00320A86">
        <w:t>t</w:t>
      </w:r>
      <w:r w:rsidRPr="00320A86">
        <w:t>tendre et espérer d’un avenir sur la Terre</w:t>
      </w:r>
      <w:r>
        <w:t> </w:t>
      </w:r>
      <w:r w:rsidRPr="00264EEC">
        <w:rPr>
          <w:rStyle w:val="Appelnotedebasdep"/>
          <w:i/>
        </w:rPr>
        <w:footnoteReference w:id="1131"/>
      </w:r>
      <w:r w:rsidRPr="00320A86">
        <w:t>. »</w:t>
      </w:r>
    </w:p>
    <w:p w14:paraId="1722AB26" w14:textId="77777777" w:rsidR="00B01930" w:rsidRPr="00320A86" w:rsidRDefault="00B01930" w:rsidP="00B01930">
      <w:pPr>
        <w:pStyle w:val="citation"/>
      </w:pPr>
    </w:p>
    <w:p w14:paraId="280C7EF6" w14:textId="77777777" w:rsidR="00B01930" w:rsidRPr="00320A86" w:rsidRDefault="00B01930" w:rsidP="00B01930">
      <w:pPr>
        <w:spacing w:before="120" w:after="120"/>
        <w:jc w:val="both"/>
      </w:pPr>
      <w:r w:rsidRPr="00320A86">
        <w:t>Il faut, pour cela, tendre vers un accord unanime sur un projet h</w:t>
      </w:r>
      <w:r w:rsidRPr="00320A86">
        <w:t>u</w:t>
      </w:r>
      <w:r w:rsidRPr="00320A86">
        <w:t>main grâce auquel la guerre deviendra inutile :</w:t>
      </w:r>
    </w:p>
    <w:p w14:paraId="026F7904" w14:textId="77777777" w:rsidR="00B01930" w:rsidRDefault="00B01930" w:rsidP="00B01930">
      <w:pPr>
        <w:pStyle w:val="citation"/>
      </w:pPr>
    </w:p>
    <w:p w14:paraId="0982332C" w14:textId="77777777" w:rsidR="00B01930" w:rsidRDefault="00B01930" w:rsidP="00B01930">
      <w:pPr>
        <w:pStyle w:val="citation"/>
      </w:pPr>
      <w:r w:rsidRPr="00320A86">
        <w:t>« On ne fait en tout cas la paix qu’au moyen d’un véritable idéal con</w:t>
      </w:r>
      <w:r w:rsidRPr="00320A86">
        <w:t>s</w:t>
      </w:r>
      <w:r w:rsidRPr="00320A86">
        <w:t>tru</w:t>
      </w:r>
      <w:r w:rsidRPr="00320A86">
        <w:t>c</w:t>
      </w:r>
      <w:r w:rsidRPr="00320A86">
        <w:t>teur : il n’y a aucun principe constructeur dans la doctrine de la “non-violence” – aucune foi, et donc aucun dynamisme. La non-violence est simplement la face négative de l’unanimité. Et l’unanimité ne peut r</w:t>
      </w:r>
      <w:r w:rsidRPr="00320A86">
        <w:t>é</w:t>
      </w:r>
      <w:r w:rsidRPr="00320A86">
        <w:t>sulter que de la passion commune pour quelque réalité ou réalisation supr</w:t>
      </w:r>
      <w:r w:rsidRPr="00320A86">
        <w:t>ê</w:t>
      </w:r>
      <w:r w:rsidRPr="00320A86">
        <w:t>mes</w:t>
      </w:r>
      <w:r>
        <w:t> </w:t>
      </w:r>
      <w:r w:rsidRPr="00264EEC">
        <w:rPr>
          <w:rStyle w:val="Appelnotedebasdep"/>
          <w:i/>
        </w:rPr>
        <w:footnoteReference w:id="1132"/>
      </w:r>
      <w:r w:rsidRPr="00320A86">
        <w:t>. »</w:t>
      </w:r>
    </w:p>
    <w:p w14:paraId="62F1D29C" w14:textId="77777777" w:rsidR="00B01930" w:rsidRPr="00320A86" w:rsidRDefault="00B01930" w:rsidP="00B01930">
      <w:pPr>
        <w:pStyle w:val="citation"/>
      </w:pPr>
    </w:p>
    <w:p w14:paraId="7229A145" w14:textId="77777777" w:rsidR="00B01930" w:rsidRPr="00320A86" w:rsidRDefault="00B01930" w:rsidP="00B01930">
      <w:pPr>
        <w:spacing w:before="120" w:after="120"/>
        <w:jc w:val="both"/>
      </w:pPr>
      <w:r w:rsidRPr="00320A86">
        <w:t>En attendant, l’homme doit apprendre à vivre avec le péril nucléa</w:t>
      </w:r>
      <w:r w:rsidRPr="00320A86">
        <w:t>i</w:t>
      </w:r>
      <w:r w:rsidRPr="00320A86">
        <w:t>re, ce moyen ultime pour l’humanité de choisir, non pas quel sera son avenir, mais si l’aventure humaine doit se poursuivre.</w:t>
      </w:r>
    </w:p>
    <w:p w14:paraId="421CD997" w14:textId="77777777" w:rsidR="00B01930" w:rsidRPr="00320A86" w:rsidRDefault="00B01930" w:rsidP="00B01930">
      <w:pPr>
        <w:spacing w:before="120" w:after="120"/>
        <w:jc w:val="both"/>
      </w:pPr>
      <w:r w:rsidRPr="00320A86">
        <w:t>Toute sa vie, Teilhard de Chardin fut incompris, tant du milieu universitaire que de l’Église à laquelle il demeura fidèle. Ses œuvres ne furent publiées qu’après sa mort, bien que quelques écrits circ</w:t>
      </w:r>
      <w:r w:rsidRPr="00320A86">
        <w:t>u</w:t>
      </w:r>
      <w:r w:rsidRPr="00320A86">
        <w:t>laient déjà clandestinement au début des années cinquante, nous l’avons précisé. Mais il avait la conviction d’avoir atteint la vérité, et que celle-ci serait un jour comprise. Il écrivait ainsi, le 15 mars 1955, moins d’un mois avant sa mort :</w:t>
      </w:r>
    </w:p>
    <w:p w14:paraId="67D443B4" w14:textId="77777777" w:rsidR="00B01930" w:rsidRDefault="00B01930" w:rsidP="00B01930">
      <w:pPr>
        <w:pStyle w:val="citation"/>
      </w:pPr>
    </w:p>
    <w:p w14:paraId="55364607" w14:textId="77777777" w:rsidR="00B01930" w:rsidRDefault="00B01930" w:rsidP="00B01930">
      <w:pPr>
        <w:pStyle w:val="citation"/>
      </w:pPr>
      <w:r w:rsidRPr="00320A86">
        <w:t>« Il suffit, pour la Vérité, d’apparaître une seule fois, dans un seul e</w:t>
      </w:r>
      <w:r w:rsidRPr="00320A86">
        <w:t>s</w:t>
      </w:r>
      <w:r w:rsidRPr="00320A86">
        <w:t>prit, pour que rien ne puisse jamais l’empêcher de tout envahir et de tout enfla</w:t>
      </w:r>
      <w:r w:rsidRPr="00320A86">
        <w:t>m</w:t>
      </w:r>
      <w:r>
        <w:t>mer </w:t>
      </w:r>
      <w:r w:rsidRPr="00264EEC">
        <w:rPr>
          <w:rStyle w:val="Appelnotedebasdep"/>
          <w:i/>
        </w:rPr>
        <w:footnoteReference w:id="1133"/>
      </w:r>
      <w:r w:rsidRPr="00320A86">
        <w:t>. »</w:t>
      </w:r>
    </w:p>
    <w:p w14:paraId="1E295B21" w14:textId="77777777" w:rsidR="00B01930" w:rsidRPr="00320A86" w:rsidRDefault="00B01930" w:rsidP="00B01930">
      <w:pPr>
        <w:pStyle w:val="citation"/>
      </w:pPr>
    </w:p>
    <w:p w14:paraId="3399B9A3" w14:textId="77777777" w:rsidR="00B01930" w:rsidRPr="00320A86" w:rsidRDefault="00B01930" w:rsidP="00B01930">
      <w:pPr>
        <w:spacing w:before="120" w:after="120"/>
        <w:jc w:val="both"/>
      </w:pPr>
      <w:r w:rsidRPr="00320A86">
        <w:t>Soixante ans après sa disparition, sa pensée demeure toujours d’une étonna</w:t>
      </w:r>
      <w:r w:rsidRPr="00320A86">
        <w:t>n</w:t>
      </w:r>
      <w:r w:rsidRPr="00320A86">
        <w:t>te actualité</w:t>
      </w:r>
      <w:r>
        <w:t> </w:t>
      </w:r>
      <w:r>
        <w:rPr>
          <w:rStyle w:val="Appelnotedebasdep"/>
        </w:rPr>
        <w:footnoteReference w:id="1134"/>
      </w:r>
      <w:r w:rsidRPr="00320A86">
        <w:t>. L’accélération du progrès scientifique et technologique confirme la pertinence de ses analyses. Internet et la mondialisation annoncent la progress</w:t>
      </w:r>
      <w:r w:rsidRPr="00320A86">
        <w:t>i</w:t>
      </w:r>
      <w:r w:rsidRPr="00320A86">
        <w:t>ve planétisation. La croissance démographique, dont rien ne permet d’affirmer qu’elle sera un jour maîtrisée, hypothèque la survie de l’humanité, notamment par ses i</w:t>
      </w:r>
      <w:r w:rsidRPr="00320A86">
        <w:t>m</w:t>
      </w:r>
      <w:r w:rsidRPr="00320A86">
        <w:t>plications économiques et écologiques. Les pratiques eugénistes se banalisent et les manipulations du génome humain ne relèvent plus de simples théories scientifiques. L’énergie nucléaire, bien que domest</w:t>
      </w:r>
      <w:r w:rsidRPr="00320A86">
        <w:t>i</w:t>
      </w:r>
      <w:r w:rsidRPr="00320A86">
        <w:t>quée, soulève d’importantes questions de sécurité dans un monde pol</w:t>
      </w:r>
      <w:r w:rsidRPr="00320A86">
        <w:t>i</w:t>
      </w:r>
      <w:r w:rsidRPr="00320A86">
        <w:t>tiquement instable. L’homme semble pris de vertige face aux progrès scientifiques qu’il ne paraît pas savoir toujours maîtriser</w:t>
      </w:r>
      <w:r>
        <w:t> </w:t>
      </w:r>
      <w:r>
        <w:rPr>
          <w:rStyle w:val="Appelnotedebasdep"/>
        </w:rPr>
        <w:footnoteReference w:id="1135"/>
      </w:r>
      <w:r w:rsidRPr="00320A86">
        <w:t>.</w:t>
      </w:r>
    </w:p>
    <w:p w14:paraId="2B7361FB" w14:textId="77777777" w:rsidR="00B01930" w:rsidRPr="00320A86" w:rsidRDefault="00B01930" w:rsidP="00B01930">
      <w:pPr>
        <w:spacing w:before="120" w:after="120"/>
        <w:jc w:val="both"/>
      </w:pPr>
      <w:r w:rsidRPr="00320A86">
        <w:t>Plus que jamais, l’avenir de l’humanité se pose en termes polit</w:t>
      </w:r>
      <w:r w:rsidRPr="00320A86">
        <w:t>i</w:t>
      </w:r>
      <w:r w:rsidRPr="00320A86">
        <w:t>ques, pui</w:t>
      </w:r>
      <w:r w:rsidRPr="00320A86">
        <w:t>s</w:t>
      </w:r>
      <w:r w:rsidRPr="00320A86">
        <w:t>qu’il lui revient de faire des choix déterminants pour la poursuite de ce long chemin vers « </w:t>
      </w:r>
      <w:r w:rsidRPr="00581737">
        <w:rPr>
          <w:i/>
        </w:rPr>
        <w:t>le point Omega </w:t>
      </w:r>
      <w:r w:rsidRPr="00320A86">
        <w:t>». Cela suppose qu’elle apprenne à distinguer ce que la morale autorise ce que la tec</w:t>
      </w:r>
      <w:r w:rsidRPr="00320A86">
        <w:t>h</w:t>
      </w:r>
      <w:r w:rsidRPr="00320A86">
        <w:t xml:space="preserve">nique permet. Voilà l’enjeu majeur du </w:t>
      </w:r>
      <w:r w:rsidRPr="00320A86">
        <w:rPr>
          <w:smallCaps/>
        </w:rPr>
        <w:t>xxi</w:t>
      </w:r>
      <w:r w:rsidRPr="00320A86">
        <w:rPr>
          <w:vertAlign w:val="superscript"/>
        </w:rPr>
        <w:t>e</w:t>
      </w:r>
      <w:r w:rsidRPr="00320A86">
        <w:t xml:space="preserve"> siècle, aux implications politiques considérables. Teilhard de Chardin l’avait parfaitement compris, et l’on ne peut que regretter que sa pensée n’inspire pas d</w:t>
      </w:r>
      <w:r w:rsidRPr="00320A86">
        <w:t>a</w:t>
      </w:r>
      <w:r w:rsidRPr="00320A86">
        <w:t>vantage les gouvernants. Si tel était le cas, Le Meilleur des mo</w:t>
      </w:r>
      <w:r w:rsidRPr="00320A86">
        <w:t>n</w:t>
      </w:r>
      <w:r w:rsidRPr="00320A86">
        <w:t>des</w:t>
      </w:r>
      <w:r>
        <w:t> </w:t>
      </w:r>
      <w:r>
        <w:rPr>
          <w:rStyle w:val="Appelnotedebasdep"/>
        </w:rPr>
        <w:footnoteReference w:id="1136"/>
      </w:r>
      <w:r w:rsidRPr="00320A86">
        <w:t xml:space="preserve"> serait encore une œuvre de fiction</w:t>
      </w:r>
      <w:r>
        <w:t> </w:t>
      </w:r>
      <w:r>
        <w:rPr>
          <w:rStyle w:val="Appelnotedebasdep"/>
        </w:rPr>
        <w:footnoteReference w:id="1137"/>
      </w:r>
      <w:r w:rsidRPr="00320A86">
        <w:t>.</w:t>
      </w:r>
    </w:p>
    <w:p w14:paraId="0482A3C4" w14:textId="77777777" w:rsidR="00B01930" w:rsidRDefault="00B01930" w:rsidP="00B01930">
      <w:pPr>
        <w:jc w:val="both"/>
      </w:pPr>
    </w:p>
    <w:p w14:paraId="22D157EB" w14:textId="77777777" w:rsidR="00B01930" w:rsidRDefault="00B01930" w:rsidP="00B01930">
      <w:pPr>
        <w:jc w:val="both"/>
      </w:pPr>
      <w:r>
        <w:br w:type="page"/>
      </w:r>
    </w:p>
    <w:p w14:paraId="5426914F" w14:textId="77777777" w:rsidR="00B01930" w:rsidRDefault="00B01930" w:rsidP="00B01930">
      <w:pPr>
        <w:jc w:val="both"/>
      </w:pPr>
    </w:p>
    <w:p w14:paraId="66A173B7" w14:textId="77777777" w:rsidR="00B01930" w:rsidRDefault="00B01930" w:rsidP="00B01930">
      <w:pPr>
        <w:jc w:val="both"/>
      </w:pPr>
    </w:p>
    <w:p w14:paraId="5AE12286" w14:textId="77777777" w:rsidR="00B01930" w:rsidRPr="009D4882" w:rsidRDefault="00B01930" w:rsidP="00B01930">
      <w:pPr>
        <w:spacing w:after="120"/>
        <w:ind w:firstLine="0"/>
        <w:jc w:val="center"/>
        <w:rPr>
          <w:b/>
          <w:color w:val="000080"/>
        </w:rPr>
      </w:pPr>
      <w:bookmarkStart w:id="213" w:name="Analyser_idees_pol_pt_3_texte_09"/>
      <w:r>
        <w:rPr>
          <w:b/>
          <w:color w:val="000080"/>
        </w:rPr>
        <w:t>Troisième</w:t>
      </w:r>
      <w:r w:rsidRPr="009D4882">
        <w:rPr>
          <w:b/>
          <w:color w:val="000080"/>
        </w:rPr>
        <w:t xml:space="preserve"> partie</w:t>
      </w:r>
      <w:r w:rsidRPr="009D4882">
        <w:rPr>
          <w:b/>
          <w:color w:val="000080"/>
        </w:rPr>
        <w:br/>
      </w:r>
      <w:r>
        <w:rPr>
          <w:i/>
          <w:color w:val="000080"/>
        </w:rPr>
        <w:t>De quelques idées politiques «modernes»</w:t>
      </w:r>
    </w:p>
    <w:p w14:paraId="09F64FDE" w14:textId="77777777" w:rsidR="00B01930" w:rsidRDefault="00B01930" w:rsidP="00B01930">
      <w:pPr>
        <w:pStyle w:val="Titreniveau1"/>
        <w:rPr>
          <w:szCs w:val="36"/>
        </w:rPr>
      </w:pPr>
      <w:r>
        <w:rPr>
          <w:szCs w:val="36"/>
        </w:rPr>
        <w:t>9B</w:t>
      </w:r>
    </w:p>
    <w:p w14:paraId="49629B50" w14:textId="77777777" w:rsidR="00B01930" w:rsidRDefault="00B01930" w:rsidP="00B01930">
      <w:pPr>
        <w:jc w:val="both"/>
        <w:rPr>
          <w:szCs w:val="36"/>
        </w:rPr>
      </w:pPr>
    </w:p>
    <w:p w14:paraId="66ED3795" w14:textId="77777777" w:rsidR="00B01930" w:rsidRPr="00843F3E" w:rsidRDefault="00B01930" w:rsidP="00B01930">
      <w:pPr>
        <w:pStyle w:val="Titreniveau2"/>
      </w:pPr>
      <w:r>
        <w:t>“Ébauche d’une lecture martrienne</w:t>
      </w:r>
      <w:r>
        <w:br/>
        <w:t>de la pensée politique</w:t>
      </w:r>
      <w:r>
        <w:br/>
        <w:t>de Teilhard de Chardin</w:t>
      </w:r>
      <w:r>
        <w:br/>
        <w:t>selon Arnaud Martin.”</w:t>
      </w:r>
    </w:p>
    <w:bookmarkEnd w:id="213"/>
    <w:p w14:paraId="357A4212" w14:textId="77777777" w:rsidR="00B01930" w:rsidRDefault="00B01930" w:rsidP="00B01930">
      <w:pPr>
        <w:jc w:val="both"/>
        <w:rPr>
          <w:szCs w:val="36"/>
        </w:rPr>
      </w:pPr>
    </w:p>
    <w:p w14:paraId="2E457871" w14:textId="77777777" w:rsidR="00B01930" w:rsidRDefault="00B01930" w:rsidP="00B01930">
      <w:pPr>
        <w:pStyle w:val="suite"/>
      </w:pPr>
      <w:r>
        <w:t>Daniel LAGRAULA</w:t>
      </w:r>
    </w:p>
    <w:p w14:paraId="3A2A60F7" w14:textId="77777777" w:rsidR="00B01930" w:rsidRDefault="00B01930" w:rsidP="00B01930">
      <w:pPr>
        <w:jc w:val="both"/>
      </w:pPr>
    </w:p>
    <w:p w14:paraId="06D6BC60" w14:textId="77777777" w:rsidR="00B01930" w:rsidRDefault="00B01930" w:rsidP="00B01930">
      <w:pPr>
        <w:jc w:val="both"/>
      </w:pPr>
    </w:p>
    <w:p w14:paraId="77055DC7"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23EB9042" w14:textId="77777777" w:rsidR="00B01930" w:rsidRPr="00320A86" w:rsidRDefault="00B01930" w:rsidP="00B01930">
      <w:pPr>
        <w:spacing w:before="120" w:after="120"/>
        <w:jc w:val="both"/>
      </w:pPr>
      <w:r w:rsidRPr="00320A86">
        <w:t>L’étude d’Arnaud Martin sur la pensée politique de Teilhard de Chardin</w:t>
      </w:r>
      <w:r>
        <w:t> </w:t>
      </w:r>
      <w:r>
        <w:rPr>
          <w:rStyle w:val="Appelnotedebasdep"/>
        </w:rPr>
        <w:footnoteReference w:id="1138"/>
      </w:r>
      <w:r w:rsidRPr="00320A86">
        <w:t xml:space="preserve"> nous fournit un matériau tout à fait propice à un bref exerc</w:t>
      </w:r>
      <w:r w:rsidRPr="00320A86">
        <w:t>i</w:t>
      </w:r>
      <w:r w:rsidRPr="00320A86">
        <w:t>ce d’analyse martrienne</w:t>
      </w:r>
      <w:r>
        <w:t> </w:t>
      </w:r>
      <w:r>
        <w:rPr>
          <w:rStyle w:val="Appelnotedebasdep"/>
        </w:rPr>
        <w:footnoteReference w:id="1139"/>
      </w:r>
      <w:r w:rsidRPr="00320A86">
        <w:t>. En effet comment expliquer qu’un théol</w:t>
      </w:r>
      <w:r w:rsidRPr="00320A86">
        <w:t>o</w:t>
      </w:r>
      <w:r w:rsidRPr="00320A86">
        <w:t>gien jésuite puisse proposer une pratique  « eugénique » dont la diff</w:t>
      </w:r>
      <w:r w:rsidRPr="00320A86">
        <w:t>é</w:t>
      </w:r>
      <w:r w:rsidRPr="00320A86">
        <w:t>rence avec l’eugénisme est rien moins que ténue</w:t>
      </w:r>
      <w:r>
        <w:t> </w:t>
      </w:r>
      <w:r>
        <w:rPr>
          <w:rStyle w:val="Appelnotedebasdep"/>
        </w:rPr>
        <w:footnoteReference w:id="1140"/>
      </w:r>
      <w:r w:rsidRPr="00320A86">
        <w:t>. Ou encore co</w:t>
      </w:r>
      <w:r w:rsidRPr="00320A86">
        <w:t>m</w:t>
      </w:r>
      <w:r w:rsidRPr="00320A86">
        <w:t>ment comprendre son intérêt ambigu pour le fascisme et le comm</w:t>
      </w:r>
      <w:r w:rsidRPr="00320A86">
        <w:t>u</w:t>
      </w:r>
      <w:r w:rsidRPr="00320A86">
        <w:t>nisme alors qu’il prône l’élévation de la conscience de l’Homme (vers Dieu) ? Que dire aussi de ses propos sur l’évolution de l’Univers qui s’appuient sur sa formation scientifique</w:t>
      </w:r>
      <w:r>
        <w:t> </w:t>
      </w:r>
      <w:r>
        <w:rPr>
          <w:rStyle w:val="Appelnotedebasdep"/>
        </w:rPr>
        <w:footnoteReference w:id="1141"/>
      </w:r>
      <w:r w:rsidRPr="00320A86">
        <w:t xml:space="preserve"> mais ressemblent « furieusement » au Sens de l’Histoire marxiste. Par ailleurs, et plus globalement, peut-on vraiment être étonné que ce « théologien-scientifique » développe une pensée politique qui entre, étrangement, en résonnance avec Marx ou Platon ? Ou bien y a-t-il à l’œuvre, comme le suggère Jean-Louis Martres, une logique structurale, déte</w:t>
      </w:r>
      <w:r w:rsidRPr="00320A86">
        <w:t>r</w:t>
      </w:r>
      <w:r w:rsidRPr="00320A86">
        <w:t>minée par le code de valeurs initial (I.) – dont on a vu</w:t>
      </w:r>
      <w:r>
        <w:t> </w:t>
      </w:r>
      <w:r>
        <w:rPr>
          <w:rStyle w:val="Appelnotedebasdep"/>
        </w:rPr>
        <w:footnoteReference w:id="1142"/>
      </w:r>
      <w:r w:rsidRPr="00320A86">
        <w:t xml:space="preserve"> qu’il déterm</w:t>
      </w:r>
      <w:r w:rsidRPr="00320A86">
        <w:t>i</w:t>
      </w:r>
      <w:r w:rsidRPr="00320A86">
        <w:t>ne toutes une série de conséquences logiques et nécessaires (II.) – qui explique pourquoi Teilhard de Chardin ne pouvaient pas aboutir à des propositions politiques a</w:t>
      </w:r>
      <w:r w:rsidRPr="00320A86">
        <w:t>u</w:t>
      </w:r>
      <w:r w:rsidRPr="00320A86">
        <w:t xml:space="preserve">tres que celles qu’il a faites ; mais aussi pourquoi celles-ci sont si proches d’autres pensées aux prémisses pourtant radicalement différentes. </w:t>
      </w:r>
    </w:p>
    <w:p w14:paraId="1F09FC49" w14:textId="77777777" w:rsidR="00B01930" w:rsidRPr="00320A86" w:rsidRDefault="00B01930" w:rsidP="00B01930">
      <w:pPr>
        <w:spacing w:before="120" w:after="120"/>
        <w:jc w:val="both"/>
      </w:pPr>
    </w:p>
    <w:p w14:paraId="5D203ADC" w14:textId="77777777" w:rsidR="00B01930" w:rsidRPr="00320A86" w:rsidRDefault="00B01930" w:rsidP="00B01930">
      <w:pPr>
        <w:pStyle w:val="planche"/>
      </w:pPr>
      <w:bookmarkStart w:id="214" w:name="Analyser_idees_pol_pt_3_texte_09_I"/>
      <w:r>
        <w:t>I. Le Code de valeurs</w:t>
      </w:r>
    </w:p>
    <w:bookmarkEnd w:id="214"/>
    <w:p w14:paraId="387EE88F" w14:textId="77777777" w:rsidR="00B01930" w:rsidRDefault="00B01930" w:rsidP="00B01930">
      <w:pPr>
        <w:spacing w:before="120" w:after="120"/>
        <w:jc w:val="both"/>
      </w:pPr>
    </w:p>
    <w:p w14:paraId="77AC793B"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2EB3D0FC" w14:textId="77777777" w:rsidR="00B01930" w:rsidRPr="00320A86" w:rsidRDefault="00B01930" w:rsidP="00B01930">
      <w:pPr>
        <w:spacing w:before="120" w:after="120"/>
        <w:jc w:val="both"/>
      </w:pPr>
      <w:r w:rsidRPr="00320A86">
        <w:t>La détermination du code (code n° 1 ou n° 2) est fonction du ra</w:t>
      </w:r>
      <w:r w:rsidRPr="00320A86">
        <w:t>p</w:t>
      </w:r>
      <w:r w:rsidRPr="00320A86">
        <w:t>port au Bien et au Mal : leur existence, leur séparabilité, la supériorité du Bien comme cond</w:t>
      </w:r>
      <w:r w:rsidRPr="00320A86">
        <w:t>i</w:t>
      </w:r>
      <w:r w:rsidRPr="00320A86">
        <w:t>tion de l’avenir de l’Homme, et la possibilité individuelle ou sociale de conna</w:t>
      </w:r>
      <w:r w:rsidRPr="00320A86">
        <w:t>î</w:t>
      </w:r>
      <w:r w:rsidRPr="00320A86">
        <w:t>tre l’application concrète des deux principes, ainsi que la possibilité transce</w:t>
      </w:r>
      <w:r w:rsidRPr="00320A86">
        <w:t>n</w:t>
      </w:r>
      <w:r w:rsidRPr="00320A86">
        <w:t>dante offerte à l’Homme de réaliser Le Bien par la destruction du Mal. D’où un optimisme fond</w:t>
      </w:r>
      <w:r w:rsidRPr="00320A86">
        <w:t>a</w:t>
      </w:r>
      <w:r w:rsidRPr="00320A86">
        <w:t>mental qui justifie l’idée de Progrès et la capacité de l’Homme en tant qu’individu ou espèce de réaliser ce destin par la victoire du Bien sur Le Mal (code n° 1). Ou bien au contraire bien et mal sont fonction des époques, des circonstances, des individus, et à tout le moins sont ins</w:t>
      </w:r>
      <w:r w:rsidRPr="00320A86">
        <w:t>é</w:t>
      </w:r>
      <w:r w:rsidRPr="00320A86">
        <w:t>parables et constants, et dont la définition valable en tous temps et en tous lieux est hasardeuse, à vrai dire impossible. Ce qui a pour cons</w:t>
      </w:r>
      <w:r w:rsidRPr="00320A86">
        <w:t>é</w:t>
      </w:r>
      <w:r w:rsidRPr="00320A86">
        <w:t>quence une conception relativiste des ch</w:t>
      </w:r>
      <w:r w:rsidRPr="00320A86">
        <w:t>o</w:t>
      </w:r>
      <w:r w:rsidRPr="00320A86">
        <w:t>ses (code n° 2)</w:t>
      </w:r>
      <w:r>
        <w:t> </w:t>
      </w:r>
      <w:r>
        <w:rPr>
          <w:rStyle w:val="Appelnotedebasdep"/>
        </w:rPr>
        <w:footnoteReference w:id="1143"/>
      </w:r>
      <w:r w:rsidRPr="00320A86">
        <w:t>.</w:t>
      </w:r>
    </w:p>
    <w:p w14:paraId="43651376" w14:textId="77777777" w:rsidR="00B01930" w:rsidRPr="00320A86" w:rsidRDefault="00B01930" w:rsidP="00B01930">
      <w:pPr>
        <w:spacing w:before="120" w:after="120"/>
        <w:jc w:val="both"/>
      </w:pPr>
    </w:p>
    <w:p w14:paraId="17A86D63" w14:textId="77777777" w:rsidR="00B01930" w:rsidRPr="00320A86" w:rsidRDefault="00B01930" w:rsidP="00B01930">
      <w:pPr>
        <w:pStyle w:val="a"/>
      </w:pPr>
      <w:r w:rsidRPr="00320A86">
        <w:t>Qu’en est-il pour Teilhard de Chardin ?</w:t>
      </w:r>
    </w:p>
    <w:p w14:paraId="33792870" w14:textId="77777777" w:rsidR="00B01930" w:rsidRDefault="00B01930" w:rsidP="00B01930">
      <w:pPr>
        <w:spacing w:before="120" w:after="120"/>
        <w:jc w:val="both"/>
      </w:pPr>
    </w:p>
    <w:p w14:paraId="4A111060" w14:textId="77777777" w:rsidR="00B01930" w:rsidRPr="00320A86" w:rsidRDefault="00B01930" w:rsidP="00B01930">
      <w:pPr>
        <w:spacing w:before="120" w:after="120"/>
        <w:jc w:val="both"/>
      </w:pPr>
      <w:r w:rsidRPr="00320A86">
        <w:t>Tout d’abord, même si ce n’est pas formulé ainsi, le relativisme est banni.  Sa  pensée refuse l’absurde. Il est inconcevable que l’Homme, supérieur aux autres espèces par son intelligence, vît son œuvre disp</w:t>
      </w:r>
      <w:r w:rsidRPr="00320A86">
        <w:t>a</w:t>
      </w:r>
      <w:r w:rsidRPr="00320A86">
        <w:t>raître dans la mort « sans que rien ne subsistât de son existence ». Le monde porte en soi le succès final. À n’en point douter nous sommes en présence d’une pensée qui répond aux crit</w:t>
      </w:r>
      <w:r w:rsidRPr="00320A86">
        <w:t>è</w:t>
      </w:r>
      <w:r w:rsidRPr="00320A86">
        <w:t>res du code n° 1. Ce constat se trouve conforté par des assertions typiques de ce code.</w:t>
      </w:r>
    </w:p>
    <w:p w14:paraId="0BAE1BDA" w14:textId="77777777" w:rsidR="00B01930" w:rsidRPr="00320A86" w:rsidRDefault="00B01930" w:rsidP="00B01930">
      <w:pPr>
        <w:spacing w:before="120" w:after="120"/>
        <w:jc w:val="both"/>
      </w:pPr>
      <w:r w:rsidRPr="00320A86">
        <w:t>Teilhard de Chardin diagnostique que les maux de la société</w:t>
      </w:r>
      <w:r>
        <w:t> </w:t>
      </w:r>
      <w:r>
        <w:rPr>
          <w:rStyle w:val="Appelnotedebasdep"/>
        </w:rPr>
        <w:footnoteReference w:id="1144"/>
      </w:r>
      <w:r w:rsidRPr="00320A86">
        <w:t xml:space="preserve"> r</w:t>
      </w:r>
      <w:r w:rsidRPr="00320A86">
        <w:t>é</w:t>
      </w:r>
      <w:r w:rsidRPr="00320A86">
        <w:t>sultent d’une insuffisance de « planétisation » et de « socialisation » vers lesquelles tend toute l’Evolution, qui a pour finalité le « point Oméga » – c’est-à-dire Dieu – point ultime de la Création. Le Mal c’est l’individualisme qui doit être condamné car il s’oppose à la « socialisation », laquelle est la condition de la « planétisation ». Ce</w:t>
      </w:r>
      <w:r w:rsidRPr="00320A86">
        <w:t>l</w:t>
      </w:r>
      <w:r w:rsidRPr="00320A86">
        <w:t>le-ci est le « vecteur » d’une « noosphère » – réseau de toutes les consciences interconnectées qui formeront une enveloppe pensante autour de la terre – qui favorisera la convergence vers le point « Oméga ». Le Bien  c’est l’émergence et l’épanouissement de la Conscience qui s’accomplit dans le point « Oméga », Dieu.</w:t>
      </w:r>
    </w:p>
    <w:p w14:paraId="316F4008" w14:textId="77777777" w:rsidR="00B01930" w:rsidRPr="00320A86" w:rsidRDefault="00B01930" w:rsidP="00B01930">
      <w:pPr>
        <w:spacing w:before="120" w:after="120"/>
        <w:jc w:val="both"/>
      </w:pPr>
      <w:r w:rsidRPr="00320A86">
        <w:t>La « planétisation » passe par un rapprochement des hommes, géograph</w:t>
      </w:r>
      <w:r w:rsidRPr="00320A86">
        <w:t>i</w:t>
      </w:r>
      <w:r w:rsidRPr="00320A86">
        <w:t>quement et politiquement. Dès lors les « vieilles structures politiques sont am</w:t>
      </w:r>
      <w:r w:rsidRPr="00320A86">
        <w:t>e</w:t>
      </w:r>
      <w:r w:rsidRPr="00320A86">
        <w:t>nées à disparaître » car inadaptées.  C’est un point central de toute pensée rel</w:t>
      </w:r>
      <w:r w:rsidRPr="00320A86">
        <w:t>e</w:t>
      </w:r>
      <w:r w:rsidRPr="00320A86">
        <w:t>vant du code n° 1. On connaît le Bien. Il n’est pas réalisable si on ne change pas les organisations politiques existantes qui ont fait la preuve de leur inefficacité puisque le Bien ne règne pas. C’est donc en pure logique que Teilhard de Cha</w:t>
      </w:r>
      <w:r w:rsidRPr="00320A86">
        <w:t>r</w:t>
      </w:r>
      <w:r w:rsidRPr="00320A86">
        <w:t>din sera amené à proposer la forme politique la mieux à même d’instaurer Le Bien</w:t>
      </w:r>
      <w:r>
        <w:t> </w:t>
      </w:r>
      <w:r>
        <w:rPr>
          <w:rStyle w:val="Appelnotedebasdep"/>
        </w:rPr>
        <w:footnoteReference w:id="1145"/>
      </w:r>
      <w:r w:rsidRPr="00320A86">
        <w:t>.</w:t>
      </w:r>
    </w:p>
    <w:p w14:paraId="13F83179" w14:textId="77777777" w:rsidR="00B01930" w:rsidRPr="00320A86" w:rsidRDefault="00B01930" w:rsidP="00B01930">
      <w:pPr>
        <w:spacing w:before="120" w:after="120"/>
        <w:jc w:val="both"/>
      </w:pPr>
      <w:r w:rsidRPr="00320A86">
        <w:t>Mais la « planétisation » – qui conduit à la « noosphère » – co</w:t>
      </w:r>
      <w:r w:rsidRPr="00320A86">
        <w:t>m</w:t>
      </w:r>
      <w:r w:rsidRPr="00320A86">
        <w:t>porte le risque de devenir un système clos, donc totalitaire. Pour y p</w:t>
      </w:r>
      <w:r w:rsidRPr="00320A86">
        <w:t>a</w:t>
      </w:r>
      <w:r w:rsidRPr="00320A86">
        <w:t>rer il suffira de conquérir de nouveaux espaces psychiques</w:t>
      </w:r>
      <w:r>
        <w:t> </w:t>
      </w:r>
      <w:r>
        <w:rPr>
          <w:rStyle w:val="Appelnotedebasdep"/>
        </w:rPr>
        <w:footnoteReference w:id="1146"/>
      </w:r>
      <w:r w:rsidRPr="00320A86">
        <w:t xml:space="preserve"> pour r</w:t>
      </w:r>
      <w:r w:rsidRPr="00320A86">
        <w:t>é</w:t>
      </w:r>
      <w:r w:rsidRPr="00320A86">
        <w:t>aliser « la paix dans la conquête, le travail dans la joie ». Il n’y a pas lieu de s’inquiéter. Selon l’optimisme inhérent au code n° 1 Teilhard de Chardin (comme tous les pe</w:t>
      </w:r>
      <w:r w:rsidRPr="00320A86">
        <w:t>n</w:t>
      </w:r>
      <w:r w:rsidRPr="00320A86">
        <w:t>seurs partageant ce code de valeurs) dit qu’il suffit de savoir (c’est-à-dire connaître ces lois de l’évolution, le Bien) et d’accepter, alors cela devient un levier « pour construire un édifice de joie et de libération</w:t>
      </w:r>
      <w:r>
        <w:t> </w:t>
      </w:r>
      <w:r>
        <w:rPr>
          <w:rStyle w:val="Appelnotedebasdep"/>
        </w:rPr>
        <w:footnoteReference w:id="1147"/>
      </w:r>
      <w:r w:rsidRPr="00320A86">
        <w:t xml:space="preserve"> ». </w:t>
      </w:r>
    </w:p>
    <w:p w14:paraId="338EBC22" w14:textId="77777777" w:rsidR="00B01930" w:rsidRPr="00320A86" w:rsidRDefault="00B01930" w:rsidP="00B01930">
      <w:pPr>
        <w:spacing w:before="120" w:after="120"/>
        <w:jc w:val="both"/>
      </w:pPr>
      <w:r w:rsidRPr="00320A86">
        <w:t>Aux sceptiques qui observent la réalité. Teilhard de Chardin obje</w:t>
      </w:r>
      <w:r w:rsidRPr="00320A86">
        <w:t>c</w:t>
      </w:r>
      <w:r w:rsidRPr="00320A86">
        <w:t>te qu’il ne faut pas s’arrêter à une vision superficielle</w:t>
      </w:r>
      <w:r>
        <w:t> </w:t>
      </w:r>
      <w:r>
        <w:rPr>
          <w:rStyle w:val="Appelnotedebasdep"/>
        </w:rPr>
        <w:footnoteReference w:id="1148"/>
      </w:r>
      <w:r w:rsidRPr="00320A86">
        <w:t>. En effet d</w:t>
      </w:r>
      <w:r w:rsidRPr="00320A86">
        <w:t>e</w:t>
      </w:r>
      <w:r w:rsidRPr="00320A86">
        <w:t>puis deux siècles il y a l’apparition [d’hommes] qui « possèdent le Démon (ou l’Ange) de la recherche [savants, penseurs, aviateurs etc.]</w:t>
      </w:r>
      <w:r>
        <w:t> </w:t>
      </w:r>
      <w:r>
        <w:rPr>
          <w:rStyle w:val="Appelnotedebasdep"/>
        </w:rPr>
        <w:footnoteReference w:id="1149"/>
      </w:r>
      <w:r w:rsidRPr="00320A86">
        <w:t> », il y a un « nouveau type humain […] particuli</w:t>
      </w:r>
      <w:r w:rsidRPr="00320A86">
        <w:t>è</w:t>
      </w:r>
      <w:r w:rsidRPr="00320A86">
        <w:t>rement à l’intérieur de la race blanche et au voisinage des classes sociales inf</w:t>
      </w:r>
      <w:r w:rsidRPr="00320A86">
        <w:t>é</w:t>
      </w:r>
      <w:r w:rsidRPr="00320A86">
        <w:t>rieures</w:t>
      </w:r>
      <w:r>
        <w:t> </w:t>
      </w:r>
      <w:r>
        <w:rPr>
          <w:rStyle w:val="Appelnotedebasdep"/>
        </w:rPr>
        <w:footnoteReference w:id="1150"/>
      </w:r>
      <w:r w:rsidRPr="00320A86">
        <w:t> » ; c’est une caste intellectuellement supérieure qui est douée du « Sens de l’Avenir ».</w:t>
      </w:r>
    </w:p>
    <w:p w14:paraId="05D441A4" w14:textId="77777777" w:rsidR="00B01930" w:rsidRPr="00320A86" w:rsidRDefault="00B01930" w:rsidP="00B01930">
      <w:pPr>
        <w:spacing w:before="120" w:after="120"/>
        <w:jc w:val="both"/>
      </w:pPr>
      <w:r w:rsidRPr="00320A86">
        <w:t>Nous avons là encore une conséquence strictement logique du code n° 1. Il y a toujours, quelle que soit la forme, les modalités décrites par l’auteur, des d</w:t>
      </w:r>
      <w:r w:rsidRPr="00320A86">
        <w:t>é</w:t>
      </w:r>
      <w:r w:rsidRPr="00320A86">
        <w:t>tenteurs de la Vérité. Ils  connaissent « le Sens de l’Histoire ». Teilhard de Chardin n’échappe pas à la règle.</w:t>
      </w:r>
    </w:p>
    <w:p w14:paraId="3AE6E986" w14:textId="77777777" w:rsidR="00B01930" w:rsidRPr="00320A86" w:rsidRDefault="00B01930" w:rsidP="00B01930">
      <w:pPr>
        <w:spacing w:before="120" w:after="120"/>
        <w:jc w:val="both"/>
      </w:pPr>
      <w:r w:rsidRPr="00320A86">
        <w:t>Ainsi toute sa pensée ne peut qu’aboutir, peu ou prou, à un projet politique pour permettre aux processus de « planétisation » et de « socialisation » de s’accomplir afin que l’Homme atteigne le « point Oméga » (Dieu) but ultime de toute Création.</w:t>
      </w:r>
    </w:p>
    <w:p w14:paraId="47999551" w14:textId="77777777" w:rsidR="00B01930" w:rsidRPr="00320A86" w:rsidRDefault="00B01930" w:rsidP="00B01930">
      <w:pPr>
        <w:spacing w:before="120" w:after="120"/>
        <w:jc w:val="both"/>
      </w:pPr>
      <w:r>
        <w:br w:type="page"/>
      </w:r>
    </w:p>
    <w:p w14:paraId="6A0223E2" w14:textId="77777777" w:rsidR="00B01930" w:rsidRPr="00320A86" w:rsidRDefault="00B01930" w:rsidP="00B01930">
      <w:pPr>
        <w:pStyle w:val="planche"/>
      </w:pPr>
      <w:bookmarkStart w:id="215" w:name="Analyser_idees_pol_pt_3_texte_09_II"/>
      <w:r w:rsidRPr="00320A86">
        <w:t>II. Les conséquences structurales</w:t>
      </w:r>
      <w:r>
        <w:br/>
      </w:r>
      <w:r w:rsidRPr="00320A86">
        <w:t>du code de valeurs</w:t>
      </w:r>
    </w:p>
    <w:bookmarkEnd w:id="215"/>
    <w:p w14:paraId="6F277EAC" w14:textId="77777777" w:rsidR="00B01930" w:rsidRPr="00320A86" w:rsidRDefault="00B01930" w:rsidP="00B01930">
      <w:pPr>
        <w:spacing w:before="120" w:after="120"/>
        <w:jc w:val="both"/>
        <w:rPr>
          <w:b/>
        </w:rPr>
      </w:pPr>
    </w:p>
    <w:p w14:paraId="59338A10" w14:textId="77777777" w:rsidR="00B01930" w:rsidRPr="00320A86" w:rsidRDefault="00B01930" w:rsidP="00B01930">
      <w:pPr>
        <w:pStyle w:val="a"/>
      </w:pPr>
      <w:r w:rsidRPr="00320A86">
        <w:t>Le temps</w:t>
      </w:r>
    </w:p>
    <w:p w14:paraId="29447223" w14:textId="77777777" w:rsidR="00B01930" w:rsidRDefault="00B01930" w:rsidP="00B01930">
      <w:pPr>
        <w:spacing w:before="120" w:after="120"/>
        <w:jc w:val="both"/>
      </w:pPr>
    </w:p>
    <w:p w14:paraId="41DB78E3"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1BB983F1" w14:textId="77777777" w:rsidR="00B01930" w:rsidRPr="00320A86" w:rsidRDefault="00B01930" w:rsidP="00B01930">
      <w:pPr>
        <w:spacing w:before="120" w:after="120"/>
        <w:jc w:val="both"/>
      </w:pPr>
      <w:r w:rsidRPr="00320A86">
        <w:t>Dans la plus pure logique martrienne du code n° 1 on trouve chez Teilhard de Chardin un « Sens de l’Histoire ». Il développe  une hi</w:t>
      </w:r>
      <w:r w:rsidRPr="00320A86">
        <w:t>s</w:t>
      </w:r>
      <w:r w:rsidRPr="00320A86">
        <w:t>toire de l’Univers à pa</w:t>
      </w:r>
      <w:r w:rsidRPr="00320A86">
        <w:t>r</w:t>
      </w:r>
      <w:r w:rsidRPr="00320A86">
        <w:t>tir d’une théorie articulée sur le thème de l’Evolution tirée de sa formation scie</w:t>
      </w:r>
      <w:r w:rsidRPr="00320A86">
        <w:t>n</w:t>
      </w:r>
      <w:r w:rsidRPr="00320A86">
        <w:t>tifique. L’Évolution a un Sens : le point « Oméga », qui explique le sens général de l’évolution. Il y a une logique et une direction.</w:t>
      </w:r>
    </w:p>
    <w:p w14:paraId="37078879" w14:textId="77777777" w:rsidR="00B01930" w:rsidRPr="00320A86" w:rsidRDefault="00B01930" w:rsidP="00B01930">
      <w:pPr>
        <w:spacing w:before="120" w:after="120"/>
        <w:jc w:val="both"/>
      </w:pPr>
      <w:r w:rsidRPr="00320A86">
        <w:t>« La planétisation » et « la socialisation » vers l’unification des hommes en vue de l’épanouissement de la conscience qui rendra po</w:t>
      </w:r>
      <w:r w:rsidRPr="00320A86">
        <w:t>s</w:t>
      </w:r>
      <w:r w:rsidRPr="00320A86">
        <w:t>sible le Bien sur terre et l’atteinte de Dieu sont inéluctables. Même les conflits participent du processus et accélèrent celui-ci</w:t>
      </w:r>
      <w:r>
        <w:t> </w:t>
      </w:r>
      <w:r>
        <w:rPr>
          <w:rStyle w:val="Appelnotedebasdep"/>
        </w:rPr>
        <w:footnoteReference w:id="1151"/>
      </w:r>
      <w:r w:rsidRPr="00320A86">
        <w:t>.</w:t>
      </w:r>
    </w:p>
    <w:p w14:paraId="370B4E38" w14:textId="77777777" w:rsidR="00B01930" w:rsidRPr="00320A86" w:rsidRDefault="00B01930" w:rsidP="00B01930">
      <w:pPr>
        <w:spacing w:before="120" w:after="120"/>
        <w:jc w:val="both"/>
      </w:pPr>
      <w:r w:rsidRPr="00320A86">
        <w:t>L’individualisme est fermement condamné</w:t>
      </w:r>
      <w:r>
        <w:t> </w:t>
      </w:r>
      <w:r>
        <w:rPr>
          <w:rStyle w:val="Appelnotedebasdep"/>
        </w:rPr>
        <w:footnoteReference w:id="1152"/>
      </w:r>
      <w:r w:rsidRPr="00320A86">
        <w:t xml:space="preserve"> car c’est un obst</w:t>
      </w:r>
      <w:r w:rsidRPr="00320A86">
        <w:t>a</w:t>
      </w:r>
      <w:r w:rsidRPr="00320A86">
        <w:t>cle à « socialisation » qui est «le Sens de l’Histoire » contre lequel nul ne peut aller.</w:t>
      </w:r>
    </w:p>
    <w:p w14:paraId="47C48007" w14:textId="77777777" w:rsidR="00B01930" w:rsidRPr="00320A86" w:rsidRDefault="00B01930" w:rsidP="00B01930">
      <w:pPr>
        <w:spacing w:before="120" w:after="120"/>
        <w:jc w:val="both"/>
      </w:pPr>
      <w:r w:rsidRPr="00320A86">
        <w:t>On a donc chez Teilhard de Chardin théologien catholique « en creux » un Sens de l’Histoire propre au christianisme, mais il est r</w:t>
      </w:r>
      <w:r w:rsidRPr="00320A86">
        <w:t>e</w:t>
      </w:r>
      <w:r w:rsidRPr="00320A86">
        <w:t>doublé, on peut dire « habillé », par un discours explicite faisant a</w:t>
      </w:r>
      <w:r w:rsidRPr="00320A86">
        <w:t>p</w:t>
      </w:r>
      <w:r w:rsidRPr="00320A86">
        <w:t>pel, en dépit de la finalité rel</w:t>
      </w:r>
      <w:r w:rsidRPr="00320A86">
        <w:t>i</w:t>
      </w:r>
      <w:r w:rsidRPr="00320A86">
        <w:t>gieuse,  à des recherches scientifiques destinées à légitimer une théorie de l’évolution de l’Univers et de l’Humanité toute aussi directionnelle et inéluct</w:t>
      </w:r>
      <w:r w:rsidRPr="00320A86">
        <w:t>a</w:t>
      </w:r>
      <w:r w:rsidRPr="00320A86">
        <w:t>ble.</w:t>
      </w:r>
    </w:p>
    <w:p w14:paraId="58706389" w14:textId="77777777" w:rsidR="00B01930" w:rsidRPr="00320A86" w:rsidRDefault="00B01930" w:rsidP="00B01930">
      <w:pPr>
        <w:spacing w:before="120" w:after="120"/>
        <w:jc w:val="both"/>
      </w:pPr>
      <w:r>
        <w:br w:type="page"/>
      </w:r>
    </w:p>
    <w:p w14:paraId="6AA7542F" w14:textId="77777777" w:rsidR="00B01930" w:rsidRPr="00320A86" w:rsidRDefault="00B01930" w:rsidP="00B01930">
      <w:pPr>
        <w:pStyle w:val="a"/>
      </w:pPr>
      <w:r w:rsidRPr="00320A86">
        <w:t>Le régime politique</w:t>
      </w:r>
    </w:p>
    <w:p w14:paraId="305591FA" w14:textId="77777777" w:rsidR="00B01930" w:rsidRDefault="00B01930" w:rsidP="00B01930">
      <w:pPr>
        <w:spacing w:before="120" w:after="120"/>
        <w:jc w:val="both"/>
      </w:pPr>
    </w:p>
    <w:p w14:paraId="5DCDE3CF" w14:textId="77777777" w:rsidR="00B01930" w:rsidRPr="00320A86" w:rsidRDefault="00B01930" w:rsidP="00B01930">
      <w:pPr>
        <w:spacing w:before="120" w:after="120"/>
        <w:jc w:val="both"/>
      </w:pPr>
      <w:r w:rsidRPr="00320A86">
        <w:t>À partir du moment où Teilhard de Chardin a identifié la Vérité, le Bien, et  le Mal et ainsi dévoilé le Sens de l’Histoire la logique stru</w:t>
      </w:r>
      <w:r w:rsidRPr="00320A86">
        <w:t>c</w:t>
      </w:r>
      <w:r w:rsidRPr="00320A86">
        <w:t>turale du code n°1 oblige à se poser la question du régime politique le plus approprié pour conduire les hommes vers le Bien. Il faut favor</w:t>
      </w:r>
      <w:r w:rsidRPr="00320A86">
        <w:t>i</w:t>
      </w:r>
      <w:r w:rsidRPr="00320A86">
        <w:t>ser la convergence humaine. Comment, en effet,  poursuivre la « planétisation » – nécessaire – sans une organisation politique favor</w:t>
      </w:r>
      <w:r w:rsidRPr="00320A86">
        <w:t>i</w:t>
      </w:r>
      <w:r w:rsidRPr="00320A86">
        <w:t>sant cette évolution ?</w:t>
      </w:r>
    </w:p>
    <w:p w14:paraId="3EA95AAF" w14:textId="77777777" w:rsidR="00B01930" w:rsidRPr="00320A86" w:rsidRDefault="00B01930" w:rsidP="00B01930">
      <w:pPr>
        <w:spacing w:before="120" w:after="120"/>
        <w:jc w:val="both"/>
      </w:pPr>
      <w:r w:rsidRPr="00320A86">
        <w:t>Remarquons qu’en dépit de l’affirmation du caractère inéluctable de la « marche » de l’Histoire vers le Bien, qui implique que même sans agir celui-ci finira par triompher, contradictoirement il pause qu’il faut mettre en œuvre les mécanisme politiques destinés à acco</w:t>
      </w:r>
      <w:r w:rsidRPr="00320A86">
        <w:t>m</w:t>
      </w:r>
      <w:r w:rsidRPr="00320A86">
        <w:t>plir le Bien.</w:t>
      </w:r>
    </w:p>
    <w:p w14:paraId="0208C74A" w14:textId="77777777" w:rsidR="00B01930" w:rsidRPr="00320A86" w:rsidRDefault="00B01930" w:rsidP="00B01930">
      <w:pPr>
        <w:spacing w:before="120" w:after="120"/>
        <w:jc w:val="both"/>
      </w:pPr>
      <w:r w:rsidRPr="00320A86">
        <w:t>C’est une constante de ce type de discours. L’inéluctabilité de la réalisation du Bien est toujours contrebalancée par la définition du régime politique idéal qu’il faut instaurer si on veut atteindre le but. Pour la simple raison que l’optimisme fondamental (consubstantiel à la conception du temps) est démenti dans les faits. Le Bien, si évident, si inéluctable, « n’est pas au rendez vous ». Dès lors, paradoxalement, cela induit un pessimisme quant à la capacité des hommes à vouloir connaître la Vérité et, s’ils la connaissent, à vouloir l’accomplir. Car  il y a la Liberté qui fait dévier les hommes vers le Mal, qui freinent alors le processus. Il faut donc y remédier par un régime politique fort qui donne le pouvoir à celui, ceux qui connaissent la Vérité</w:t>
      </w:r>
      <w:r>
        <w:t> </w:t>
      </w:r>
      <w:r>
        <w:rPr>
          <w:rStyle w:val="Appelnotedebasdep"/>
        </w:rPr>
        <w:footnoteReference w:id="1153"/>
      </w:r>
      <w:r w:rsidRPr="00320A86">
        <w:t>.</w:t>
      </w:r>
    </w:p>
    <w:p w14:paraId="25D221F3" w14:textId="77777777" w:rsidR="00B01930" w:rsidRPr="00320A86" w:rsidRDefault="00B01930" w:rsidP="00B01930">
      <w:pPr>
        <w:spacing w:before="120" w:after="120"/>
        <w:jc w:val="both"/>
      </w:pPr>
      <w:r w:rsidRPr="00320A86">
        <w:t>L’imaginaire de la Cité idéale se heurte à la réalité politique du moment pour trouver, dans les formes existantes, celle qui conviendra le mieux à la transition vers le Bien. En l’occurrence Teilhard de Chardin a connu la démocratie libér</w:t>
      </w:r>
      <w:r w:rsidRPr="00320A86">
        <w:t>a</w:t>
      </w:r>
      <w:r w:rsidRPr="00320A86">
        <w:t>le, le fascisme, le communisme. Par rapport à ces formes le critère de choix est : quel est celui de ces régimes qui permet la « socialisation » et la « planétisation » tout en évitant le totalitarisme ? Une fois l’idéal trouvé reste à trouver l’organisation humaine adéquate. Mais il ne faut pas se tromper car pour Teilhard de Chardin il n’y a pas de retour en arrière. Toute erreur sera sanctio</w:t>
      </w:r>
      <w:r w:rsidRPr="00320A86">
        <w:t>n</w:t>
      </w:r>
      <w:r w:rsidRPr="00320A86">
        <w:t>née impitoyablement, ce sera le terme de l’Histoire de l’Humanité.</w:t>
      </w:r>
    </w:p>
    <w:p w14:paraId="096D265F" w14:textId="77777777" w:rsidR="00B01930" w:rsidRPr="00320A86" w:rsidRDefault="00B01930" w:rsidP="00B01930">
      <w:pPr>
        <w:spacing w:before="120" w:after="120"/>
        <w:jc w:val="both"/>
      </w:pPr>
      <w:r w:rsidRPr="00320A86">
        <w:t>Pour ce qui concerne le fascisme hésitation et indulgence semble caractériser son attitude. « […] Ce n’est pas le principe même de la totalisation qui est en faute, mais seulement la façon maladroite et i</w:t>
      </w:r>
      <w:r w:rsidRPr="00320A86">
        <w:t>n</w:t>
      </w:r>
      <w:r w:rsidRPr="00320A86">
        <w:t>complète dont il est appliqué</w:t>
      </w:r>
      <w:r>
        <w:t> </w:t>
      </w:r>
      <w:r>
        <w:rPr>
          <w:rStyle w:val="Appelnotedebasdep"/>
        </w:rPr>
        <w:footnoteReference w:id="1154"/>
      </w:r>
      <w:r w:rsidRPr="00320A86">
        <w:t> ». C’est peut être une étape nécessa</w:t>
      </w:r>
      <w:r w:rsidRPr="00320A86">
        <w:t>i</w:t>
      </w:r>
      <w:r w:rsidRPr="00320A86">
        <w:t>re vers Le Bien. Cette position n’est pas un accident. Toute pensée rel</w:t>
      </w:r>
      <w:r w:rsidRPr="00320A86">
        <w:t>e</w:t>
      </w:r>
      <w:r w:rsidRPr="00320A86">
        <w:t>vant du code n° 1 préfère les régimes autoritaires, voire dictat</w:t>
      </w:r>
      <w:r w:rsidRPr="00320A86">
        <w:t>o</w:t>
      </w:r>
      <w:r w:rsidRPr="00320A86">
        <w:t>riaux, puisque le code a pour conséquence structurale la tyrannie</w:t>
      </w:r>
      <w:r>
        <w:t> </w:t>
      </w:r>
      <w:r>
        <w:rPr>
          <w:rStyle w:val="Appelnotedebasdep"/>
        </w:rPr>
        <w:footnoteReference w:id="1155"/>
      </w:r>
      <w:r w:rsidRPr="00320A86">
        <w:t>. La mut</w:t>
      </w:r>
      <w:r w:rsidRPr="00320A86">
        <w:t>a</w:t>
      </w:r>
      <w:r w:rsidRPr="00320A86">
        <w:t>tion vers le Bien sera d’autant plus aisée que le régime exi</w:t>
      </w:r>
      <w:r w:rsidRPr="00320A86">
        <w:t>s</w:t>
      </w:r>
      <w:r w:rsidRPr="00320A86">
        <w:t xml:space="preserve">tant sera despotique, la conversion du tyran au Bien garanti une « libération » plus rapide du peuple. </w:t>
      </w:r>
    </w:p>
    <w:p w14:paraId="3B65D2BE" w14:textId="77777777" w:rsidR="00B01930" w:rsidRPr="00320A86" w:rsidRDefault="00B01930" w:rsidP="00B01930">
      <w:pPr>
        <w:spacing w:before="120" w:after="120"/>
        <w:jc w:val="both"/>
      </w:pPr>
      <w:r w:rsidRPr="00320A86">
        <w:t>Après la seconde guerre mondiale Teilhard de Chardin constate qu’il ne re</w:t>
      </w:r>
      <w:r w:rsidRPr="00320A86">
        <w:t>s</w:t>
      </w:r>
      <w:r w:rsidRPr="00320A86">
        <w:t>terait que la solution marxiste ou la solution chrétienne. Il pose cette dernière comme la seule possible.</w:t>
      </w:r>
    </w:p>
    <w:p w14:paraId="4C52A0C2" w14:textId="77777777" w:rsidR="00B01930" w:rsidRPr="00320A86" w:rsidRDefault="00B01930" w:rsidP="00B01930">
      <w:pPr>
        <w:spacing w:before="120" w:after="120"/>
        <w:jc w:val="both"/>
      </w:pPr>
      <w:r w:rsidRPr="00320A86">
        <w:t>Dans un premier temps il a trouvé dans le communisme la foi en un organi</w:t>
      </w:r>
      <w:r w:rsidRPr="00320A86">
        <w:t>s</w:t>
      </w:r>
      <w:r w:rsidRPr="00320A86">
        <w:t>me humain universel et considéré, au demeurant, que Marx n’était pas un enn</w:t>
      </w:r>
      <w:r w:rsidRPr="00320A86">
        <w:t>e</w:t>
      </w:r>
      <w:r w:rsidRPr="00320A86">
        <w:t>mi idéologique. Il y a une différence de degré plus que de nature entre Marx et Teilhard de Chardin</w:t>
      </w:r>
      <w:r>
        <w:t> </w:t>
      </w:r>
      <w:r>
        <w:rPr>
          <w:rStyle w:val="Appelnotedebasdep"/>
        </w:rPr>
        <w:footnoteReference w:id="1156"/>
      </w:r>
      <w:r w:rsidRPr="00320A86">
        <w:t>, lequel n’excluait pas une convergence entre christianisme et communisme</w:t>
      </w:r>
      <w:r>
        <w:t> </w:t>
      </w:r>
      <w:r>
        <w:rPr>
          <w:rStyle w:val="Appelnotedebasdep"/>
        </w:rPr>
        <w:footnoteReference w:id="1157"/>
      </w:r>
      <w:r w:rsidRPr="00320A86">
        <w:t>. Cepe</w:t>
      </w:r>
      <w:r w:rsidRPr="00320A86">
        <w:t>n</w:t>
      </w:r>
      <w:r w:rsidRPr="00320A86">
        <w:t>dant, dans un second temps, il rejette le régime co</w:t>
      </w:r>
      <w:r w:rsidRPr="00320A86">
        <w:t>m</w:t>
      </w:r>
      <w:r w:rsidRPr="00320A86">
        <w:t>muniste. En effet celui-ci, dans la réalité, a nié toute dimension spirituelle de l’Evolution de l’Univers, « la matière a voilé l’Esprit ». Il n’y a pas de dévelo</w:t>
      </w:r>
      <w:r w:rsidRPr="00320A86">
        <w:t>p</w:t>
      </w:r>
      <w:r w:rsidRPr="00320A86">
        <w:t>pement de la pensée. Le communisme enfin de compte  est porteur d’universalité mais pas d’universalisme. Il faut noter que ce n’est pas le desp</w:t>
      </w:r>
      <w:r w:rsidRPr="00320A86">
        <w:t>o</w:t>
      </w:r>
      <w:r w:rsidRPr="00320A86">
        <w:t xml:space="preserve">tisme en soit qui motive, au plus profond, le rejet ; c’est la primauté donnée au matérialisme sur le spiritualisme. Or le spirituel est au cœur de la pensée de Teilhard de Chardin, il définit le Bien. </w:t>
      </w:r>
    </w:p>
    <w:p w14:paraId="18EE153C" w14:textId="77777777" w:rsidR="00B01930" w:rsidRPr="00320A86" w:rsidRDefault="00B01930" w:rsidP="00B01930">
      <w:pPr>
        <w:spacing w:before="120" w:after="120"/>
        <w:jc w:val="both"/>
      </w:pPr>
      <w:r w:rsidRPr="00320A86">
        <w:t>Reste alors la démocratie. S’il y a un emballement moderne  pour l’idéal d</w:t>
      </w:r>
      <w:r w:rsidRPr="00320A86">
        <w:t>é</w:t>
      </w:r>
      <w:r w:rsidRPr="00320A86">
        <w:t>mocratique, c’est parce qu’il va dans le sens de l’évolution de l’espèce</w:t>
      </w:r>
      <w:r>
        <w:t> </w:t>
      </w:r>
      <w:r>
        <w:rPr>
          <w:rStyle w:val="Appelnotedebasdep"/>
        </w:rPr>
        <w:footnoteReference w:id="1158"/>
      </w:r>
      <w:r w:rsidRPr="00320A86">
        <w:t>, il satisfait une nécessité biologique</w:t>
      </w:r>
      <w:r>
        <w:t> </w:t>
      </w:r>
      <w:r>
        <w:rPr>
          <w:rStyle w:val="Appelnotedebasdep"/>
        </w:rPr>
        <w:footnoteReference w:id="1159"/>
      </w:r>
      <w:r w:rsidRPr="00320A86">
        <w:t>. L’idée de Pr</w:t>
      </w:r>
      <w:r w:rsidRPr="00320A86">
        <w:t>o</w:t>
      </w:r>
      <w:r w:rsidRPr="00320A86">
        <w:t>grès qui y est associée porte l’espoir d’un perfectionnement illimité. La démocratie, pour lui, concilie le re</w:t>
      </w:r>
      <w:r w:rsidRPr="00320A86">
        <w:t>s</w:t>
      </w:r>
      <w:r w:rsidRPr="00320A86">
        <w:t>pect de la personne et l’unanimisation de l’Humanité. Mais la généralisation de la démocr</w:t>
      </w:r>
      <w:r w:rsidRPr="00320A86">
        <w:t>a</w:t>
      </w:r>
      <w:r w:rsidRPr="00320A86">
        <w:t>tie dépend de la conscience humaine du « Sens de l’Espèce ». La vraie démocratie a pour condition que l’individu cherche à aller au bout de son propre développement. Le perfectionnement de tous en dépend. Pour ce faire la société doit assurer à chacun les moyens d’atteindre son plein développement physique et psychique. Pour autant la société ne doit pas modeler l’individu, ce qui n’exclut pas, néanmoins,  la n</w:t>
      </w:r>
      <w:r w:rsidRPr="00320A86">
        <w:t>é</w:t>
      </w:r>
      <w:r w:rsidRPr="00320A86">
        <w:t xml:space="preserve">cessité d’imposer des limites à l’expression de la liberté individuelle. Si la démocratie a émancipé les hommes elle ne les a pas libéré. </w:t>
      </w:r>
    </w:p>
    <w:p w14:paraId="00B161B6" w14:textId="77777777" w:rsidR="00B01930" w:rsidRPr="00320A86" w:rsidRDefault="00B01930" w:rsidP="00B01930">
      <w:pPr>
        <w:spacing w:before="120" w:after="120"/>
        <w:jc w:val="both"/>
      </w:pPr>
      <w:r w:rsidRPr="00320A86">
        <w:t>La démocratie ne respecte pas le principe de totalité qui ne se réal</w:t>
      </w:r>
      <w:r w:rsidRPr="00320A86">
        <w:t>i</w:t>
      </w:r>
      <w:r w:rsidRPr="00320A86">
        <w:t>se que par l’organisation et la hiérarchisation gage d’un universalisme authentique</w:t>
      </w:r>
      <w:r>
        <w:t> </w:t>
      </w:r>
      <w:r>
        <w:rPr>
          <w:rStyle w:val="Appelnotedebasdep"/>
        </w:rPr>
        <w:footnoteReference w:id="1160"/>
      </w:r>
      <w:r w:rsidRPr="00320A86">
        <w:t>.</w:t>
      </w:r>
    </w:p>
    <w:p w14:paraId="2FFE3E76" w14:textId="77777777" w:rsidR="00B01930" w:rsidRPr="00320A86" w:rsidRDefault="00B01930" w:rsidP="00B01930">
      <w:pPr>
        <w:spacing w:before="120" w:after="120"/>
        <w:jc w:val="both"/>
      </w:pPr>
      <w:r w:rsidRPr="00320A86">
        <w:t>Autrement dit la démocratie doit être corrigées de ce que Teilhard de Chardin considères comme des dérives. Soucieux, a priori,  de l’individu et de sa liberté, souhaitant son plein épanouissement, il n’en envisage pas moins aussitôt  d’apporter des restrictions à cette liberté. C’est une constante  dans toute pensée relevant du code n° 1 : pour « libérer » les hommes il faut cantonner, si ce n’est supprimer, la l</w:t>
      </w:r>
      <w:r w:rsidRPr="00320A86">
        <w:t>i</w:t>
      </w:r>
      <w:r w:rsidRPr="00320A86">
        <w:t>berté ; organiser la société</w:t>
      </w:r>
      <w:r>
        <w:t> </w:t>
      </w:r>
      <w:r>
        <w:rPr>
          <w:rStyle w:val="Appelnotedebasdep"/>
        </w:rPr>
        <w:footnoteReference w:id="1161"/>
      </w:r>
      <w:r w:rsidRPr="00320A86">
        <w:t xml:space="preserve">  et, surtout,  établir une hiérarchis</w:t>
      </w:r>
      <w:r w:rsidRPr="00320A86">
        <w:t>a</w:t>
      </w:r>
      <w:r w:rsidRPr="00320A86">
        <w:t>tion</w:t>
      </w:r>
      <w:r>
        <w:t> </w:t>
      </w:r>
      <w:r>
        <w:rPr>
          <w:rStyle w:val="Appelnotedebasdep"/>
        </w:rPr>
        <w:footnoteReference w:id="1162"/>
      </w:r>
      <w:r w:rsidRPr="00320A86">
        <w:t>. « La véritable démocratie » est une combinaison judicieus</w:t>
      </w:r>
      <w:r w:rsidRPr="00320A86">
        <w:t>e</w:t>
      </w:r>
      <w:r w:rsidRPr="00320A86">
        <w:t>ment agencée de l’individualisme et du totalitarisme</w:t>
      </w:r>
      <w:r>
        <w:t> </w:t>
      </w:r>
      <w:r>
        <w:rPr>
          <w:rStyle w:val="Appelnotedebasdep"/>
        </w:rPr>
        <w:footnoteReference w:id="1163"/>
      </w:r>
      <w:r w:rsidRPr="00320A86">
        <w:t>.</w:t>
      </w:r>
    </w:p>
    <w:p w14:paraId="47AF0950" w14:textId="77777777" w:rsidR="00B01930" w:rsidRPr="00320A86" w:rsidRDefault="00B01930" w:rsidP="00B01930">
      <w:pPr>
        <w:spacing w:before="120" w:after="120"/>
        <w:jc w:val="both"/>
      </w:pPr>
      <w:r w:rsidRPr="00320A86">
        <w:t>La démocratie comme régime pouvant amener au Bien est un choix par d</w:t>
      </w:r>
      <w:r w:rsidRPr="00320A86">
        <w:t>é</w:t>
      </w:r>
      <w:r w:rsidRPr="00320A86">
        <w:t>faut</w:t>
      </w:r>
      <w:r>
        <w:t> </w:t>
      </w:r>
      <w:r>
        <w:rPr>
          <w:rStyle w:val="Appelnotedebasdep"/>
        </w:rPr>
        <w:footnoteReference w:id="1164"/>
      </w:r>
      <w:r w:rsidRPr="00320A86">
        <w:t>. Mais si on apporte les rectifications nécessaires c’est le meilleur des r</w:t>
      </w:r>
      <w:r w:rsidRPr="00320A86">
        <w:t>é</w:t>
      </w:r>
      <w:r w:rsidRPr="00320A86">
        <w:t>gimes</w:t>
      </w:r>
      <w:r>
        <w:t> </w:t>
      </w:r>
      <w:r>
        <w:rPr>
          <w:rStyle w:val="Appelnotedebasdep"/>
        </w:rPr>
        <w:footnoteReference w:id="1165"/>
      </w:r>
      <w:r w:rsidRPr="00320A86">
        <w:t>.</w:t>
      </w:r>
    </w:p>
    <w:p w14:paraId="21051C3E" w14:textId="77777777" w:rsidR="00B01930" w:rsidRPr="00320A86" w:rsidRDefault="00B01930" w:rsidP="00B01930">
      <w:pPr>
        <w:spacing w:before="120" w:after="120"/>
        <w:jc w:val="both"/>
      </w:pPr>
      <w:r w:rsidRPr="00320A86">
        <w:t>Mais le succès de toute l’entreprise n’est pas garanti. Les hommes doivent maîtriser le progrès scientifique et s’en servir pour aller vars le « point Oméga ». Teilhard de Chardin va ici retrouver la question de la hiérarchisation de la soci</w:t>
      </w:r>
      <w:r w:rsidRPr="00320A86">
        <w:t>é</w:t>
      </w:r>
      <w:r w:rsidRPr="00320A86">
        <w:t>té qui permet « aux meilleurs » de s’élever et ainsi d’appartenir à la caste sup</w:t>
      </w:r>
      <w:r w:rsidRPr="00320A86">
        <w:t>é</w:t>
      </w:r>
      <w:r w:rsidRPr="00320A86">
        <w:t>rieure</w:t>
      </w:r>
      <w:r>
        <w:t> </w:t>
      </w:r>
      <w:r>
        <w:rPr>
          <w:rStyle w:val="Appelnotedebasdep"/>
        </w:rPr>
        <w:footnoteReference w:id="1166"/>
      </w:r>
      <w:r w:rsidRPr="00320A86">
        <w:t xml:space="preserve"> qui connaît le Sens de l’Histoire. L’Homme doit se maîtriser lui même pour se ra</w:t>
      </w:r>
      <w:r w:rsidRPr="00320A86">
        <w:t>p</w:t>
      </w:r>
      <w:r w:rsidRPr="00320A86">
        <w:t>procher de Dieu,  il faut agir sur la Création. Et, en toute logique, il préconise l’eugénisme qu’il appelle « eugénique »</w:t>
      </w:r>
      <w:r>
        <w:t> </w:t>
      </w:r>
      <w:r>
        <w:rPr>
          <w:rStyle w:val="Appelnotedebasdep"/>
        </w:rPr>
        <w:footnoteReference w:id="1167"/>
      </w:r>
      <w:r w:rsidRPr="00320A86">
        <w:t>. Elle a pour objet  de « faciliter », provoquer, la naissance d’individus, de popul</w:t>
      </w:r>
      <w:r w:rsidRPr="00320A86">
        <w:t>a</w:t>
      </w:r>
      <w:r w:rsidRPr="00320A86">
        <w:t>tions qui soient « bons » c’est-à-dire meilleurs</w:t>
      </w:r>
      <w:r>
        <w:t> </w:t>
      </w:r>
      <w:r>
        <w:rPr>
          <w:rStyle w:val="Appelnotedebasdep"/>
        </w:rPr>
        <w:footnoteReference w:id="1168"/>
      </w:r>
      <w:r w:rsidRPr="00320A86">
        <w:t>. Il faut remettre l’humanité sur la voie de développement et garder à l’Homme sa « qualité biol</w:t>
      </w:r>
      <w:r w:rsidRPr="00320A86">
        <w:t>o</w:t>
      </w:r>
      <w:r w:rsidRPr="00320A86">
        <w:t>gique individuelle ».</w:t>
      </w:r>
    </w:p>
    <w:p w14:paraId="5C192DF8" w14:textId="77777777" w:rsidR="00B01930" w:rsidRPr="00320A86" w:rsidRDefault="00B01930" w:rsidP="00B01930">
      <w:pPr>
        <w:spacing w:before="120" w:after="120"/>
        <w:jc w:val="both"/>
      </w:pPr>
      <w:r w:rsidRPr="00320A86">
        <w:t>Jésuite, donc catholique, pour qui la vie, selon le dogme, même à l’état le plus embryonnaire qui soit, est sacrée ; scientifique humani</w:t>
      </w:r>
      <w:r w:rsidRPr="00320A86">
        <w:t>s</w:t>
      </w:r>
      <w:r w:rsidRPr="00320A86">
        <w:t>te, Teilhard de Chardin, par une logique structurale implacable en a</w:t>
      </w:r>
      <w:r w:rsidRPr="00320A86">
        <w:t>r</w:t>
      </w:r>
      <w:r w:rsidRPr="00320A86">
        <w:t xml:space="preserve">rive à écrire : </w:t>
      </w:r>
    </w:p>
    <w:p w14:paraId="4D056CD1" w14:textId="77777777" w:rsidR="00B01930" w:rsidRDefault="00B01930" w:rsidP="00B01930">
      <w:pPr>
        <w:pStyle w:val="citation"/>
      </w:pPr>
    </w:p>
    <w:p w14:paraId="642C7314" w14:textId="77777777" w:rsidR="00B01930" w:rsidRDefault="00B01930" w:rsidP="00B01930">
      <w:pPr>
        <w:pStyle w:val="citation"/>
      </w:pPr>
      <w:r w:rsidRPr="00320A86">
        <w:t>« Sur ce terrain, les apôtres du « birth-control » (encore qu’animés trop souvent par le désir étroit de soulager des peines individuelles) nous a</w:t>
      </w:r>
      <w:r w:rsidRPr="00320A86">
        <w:t>u</w:t>
      </w:r>
      <w:r w:rsidRPr="00320A86">
        <w:t>ront rendu un service : celui d’ouvrir nos yeux à l’anomalie d’une s</w:t>
      </w:r>
      <w:r w:rsidRPr="00320A86">
        <w:t>o</w:t>
      </w:r>
      <w:r w:rsidRPr="00320A86">
        <w:t>ciété qui s’occupe de tout sauf d’organiser le recrutement de ses propres él</w:t>
      </w:r>
      <w:r w:rsidRPr="00320A86">
        <w:t>é</w:t>
      </w:r>
      <w:r w:rsidRPr="00320A86">
        <w:t>ments. Or l’eugénisme ne se limite pas à une simple sélection des naissa</w:t>
      </w:r>
      <w:r w:rsidRPr="00320A86">
        <w:t>n</w:t>
      </w:r>
      <w:r w:rsidRPr="00320A86">
        <w:t>ces. Toutes sortes de questions connexes s’y rattachent, à peine soul</w:t>
      </w:r>
      <w:r w:rsidRPr="00320A86">
        <w:t>e</w:t>
      </w:r>
      <w:r w:rsidRPr="00320A86">
        <w:t>vées encore malgré leur urgence. Quelle doit être, par exemple, l’attitude de fond à adopter, vis-à-vis des groupes ethn</w:t>
      </w:r>
      <w:r w:rsidRPr="00320A86">
        <w:t>i</w:t>
      </w:r>
      <w:r w:rsidRPr="00320A86">
        <w:t>ques fixés ou décidément peu progressifs, par l’aile marchante de l’Humanité ? La Terre est une surface fermée et limitée. Dans quelle mesure doit-on y tolérer, racialement ou n</w:t>
      </w:r>
      <w:r w:rsidRPr="00320A86">
        <w:t>a</w:t>
      </w:r>
      <w:r w:rsidRPr="00320A86">
        <w:t>tionalement, des aires de moindre activité ? Plus généralement encore, comment faut-il juger les efforts que nous multiplions pour sauver, dans les hôpitaux de to</w:t>
      </w:r>
      <w:r w:rsidRPr="00320A86">
        <w:t>u</w:t>
      </w:r>
      <w:r w:rsidRPr="00320A86">
        <w:t>tes sortes, ce qui n’est souvent qu’un déchet de vie ? Quelque chose de profondément beau et vrai (je veux dire la foi en la v</w:t>
      </w:r>
      <w:r w:rsidRPr="00320A86">
        <w:t>a</w:t>
      </w:r>
      <w:r w:rsidRPr="00320A86">
        <w:t>leur irre</w:t>
      </w:r>
      <w:r w:rsidRPr="00320A86">
        <w:t>m</w:t>
      </w:r>
      <w:r w:rsidRPr="00320A86">
        <w:t>plaçable et aux ressources imprévisibles contenues dans chaque élément personnel) se cache évidemment sous cette opiniâtreté à tout s</w:t>
      </w:r>
      <w:r w:rsidRPr="00320A86">
        <w:t>a</w:t>
      </w:r>
      <w:r w:rsidRPr="00320A86">
        <w:t>crifier pour sauver une existe</w:t>
      </w:r>
      <w:r w:rsidRPr="00320A86">
        <w:t>n</w:t>
      </w:r>
      <w:r w:rsidRPr="00320A86">
        <w:t>ce humaine. Mais cette sollicitude de l’homme pour son prochain individuel ne devrait-elle pas s’équilibrer d’une passion plus haute, naissant de la foi en cette autre personnalité s</w:t>
      </w:r>
      <w:r w:rsidRPr="00320A86">
        <w:t>u</w:t>
      </w:r>
      <w:r w:rsidRPr="00320A86">
        <w:t>périeure qui est attendue, nous le verrons, de la réussite te</w:t>
      </w:r>
      <w:r w:rsidRPr="00320A86">
        <w:t>r</w:t>
      </w:r>
      <w:r w:rsidRPr="00320A86">
        <w:t>restre de notre évolution ? Jusqu’à quel point le développement du fort (si tant est qu’on puisse clairement définir celui-ci) ne devrait-il pas primer la conserv</w:t>
      </w:r>
      <w:r w:rsidRPr="00320A86">
        <w:t>a</w:t>
      </w:r>
      <w:r w:rsidRPr="00320A86">
        <w:t>tion du faible ? Comment concilier, dans un maximum d’efficience, le soin à prodiguer aux blessés avec les nécessités supérieures de l’attaque ? En quoi consiste la vraie char</w:t>
      </w:r>
      <w:r w:rsidRPr="00320A86">
        <w:t>i</w:t>
      </w:r>
      <w:r w:rsidRPr="00320A86">
        <w:t>té</w:t>
      </w:r>
      <w:r>
        <w:t> </w:t>
      </w:r>
      <w:r w:rsidRPr="003F485F">
        <w:rPr>
          <w:rStyle w:val="Appelnotedebasdep"/>
          <w:i/>
        </w:rPr>
        <w:footnoteReference w:id="1169"/>
      </w:r>
      <w:r w:rsidRPr="00320A86">
        <w:t> ? »</w:t>
      </w:r>
    </w:p>
    <w:p w14:paraId="1847A859" w14:textId="77777777" w:rsidR="00B01930" w:rsidRPr="00320A86" w:rsidRDefault="00B01930" w:rsidP="00B01930">
      <w:pPr>
        <w:pStyle w:val="citation"/>
      </w:pPr>
    </w:p>
    <w:p w14:paraId="10122F42" w14:textId="77777777" w:rsidR="00B01930" w:rsidRPr="00320A86" w:rsidRDefault="00B01930" w:rsidP="00B01930">
      <w:pPr>
        <w:spacing w:before="120" w:after="120"/>
        <w:jc w:val="both"/>
      </w:pPr>
      <w:r w:rsidRPr="00320A86">
        <w:t xml:space="preserve"> Et Arnaud Martin d’ajouter :</w:t>
      </w:r>
    </w:p>
    <w:p w14:paraId="24ABB10C" w14:textId="77777777" w:rsidR="00B01930" w:rsidRDefault="00B01930" w:rsidP="00B01930">
      <w:pPr>
        <w:pStyle w:val="citation"/>
      </w:pPr>
    </w:p>
    <w:p w14:paraId="69B3EA6E" w14:textId="77777777" w:rsidR="00B01930" w:rsidRPr="00320A86" w:rsidRDefault="00B01930" w:rsidP="00B01930">
      <w:pPr>
        <w:pStyle w:val="citation"/>
      </w:pPr>
      <w:r w:rsidRPr="00320A86">
        <w:t>« Le plus grave est, à ses yeux, que le processus de sélection nat</w:t>
      </w:r>
      <w:r w:rsidRPr="00320A86">
        <w:t>u</w:t>
      </w:r>
      <w:r w:rsidRPr="00320A86">
        <w:t>relle ne s’applique plus à l’homme, ceci entraînant deux conséquences prévis</w:t>
      </w:r>
      <w:r w:rsidRPr="00320A86">
        <w:t>i</w:t>
      </w:r>
      <w:r w:rsidRPr="00320A86">
        <w:t>bles : d’une part, la concentration croissante des populations dans un esp</w:t>
      </w:r>
      <w:r w:rsidRPr="00320A86">
        <w:t>a</w:t>
      </w:r>
      <w:r w:rsidRPr="00320A86">
        <w:t>ce toujours plus exigu, d’autre part, l’impossibilité pour les élites d’émerger de la masse, ne pouvant plus jouer leur rôle social, culturel et politique, avec la « disparition, si anémiante à la fois pour l’esprit et pour le corps, de la solitude et de la Nature, devant les usines et la vi</w:t>
      </w:r>
      <w:r w:rsidRPr="00320A86">
        <w:t>l</w:t>
      </w:r>
      <w:r w:rsidRPr="00320A86">
        <w:t>le</w:t>
      </w:r>
      <w:r>
        <w:t> </w:t>
      </w:r>
      <w:r w:rsidRPr="003F485F">
        <w:rPr>
          <w:rStyle w:val="Appelnotedebasdep"/>
          <w:i/>
        </w:rPr>
        <w:footnoteReference w:id="1170"/>
      </w:r>
      <w:r w:rsidRPr="00320A86">
        <w:t>. »</w:t>
      </w:r>
    </w:p>
    <w:p w14:paraId="36356C55" w14:textId="77777777" w:rsidR="00B01930" w:rsidRPr="00320A86" w:rsidRDefault="00B01930" w:rsidP="00B01930">
      <w:pPr>
        <w:spacing w:before="120" w:after="120"/>
        <w:jc w:val="both"/>
      </w:pPr>
      <w:r>
        <w:br w:type="page"/>
      </w:r>
    </w:p>
    <w:p w14:paraId="3A89C1B6" w14:textId="77777777" w:rsidR="00B01930" w:rsidRPr="00320A86" w:rsidRDefault="00B01930" w:rsidP="00B01930">
      <w:pPr>
        <w:pStyle w:val="planche"/>
      </w:pPr>
      <w:bookmarkStart w:id="216" w:name="Analyser_idees_pol_pt_3_texte_09_concl"/>
      <w:r w:rsidRPr="00320A86">
        <w:t>Conclusion</w:t>
      </w:r>
    </w:p>
    <w:bookmarkEnd w:id="216"/>
    <w:p w14:paraId="51D92BDF" w14:textId="77777777" w:rsidR="00B01930" w:rsidRPr="00320A86" w:rsidRDefault="00B01930" w:rsidP="00B01930">
      <w:pPr>
        <w:spacing w:before="120" w:after="120"/>
        <w:jc w:val="both"/>
        <w:rPr>
          <w:b/>
        </w:rPr>
      </w:pPr>
    </w:p>
    <w:p w14:paraId="1374F22A"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087AFB2B" w14:textId="77777777" w:rsidR="00B01930" w:rsidRPr="00320A86" w:rsidRDefault="00B01930" w:rsidP="00B01930">
      <w:pPr>
        <w:spacing w:before="120" w:after="120"/>
        <w:jc w:val="both"/>
      </w:pPr>
      <w:r w:rsidRPr="00320A86">
        <w:t>Bien qu’ayant une formation scientifique, Teilhard de Chardin était « aussi – et peut être surtout – un religieux qui s’appuya sur ses connaissances scientif</w:t>
      </w:r>
      <w:r w:rsidRPr="00320A86">
        <w:t>i</w:t>
      </w:r>
      <w:r w:rsidRPr="00320A86">
        <w:t>ques pour élaborer une œuvre théologique mais hors du carcan intellectuel i</w:t>
      </w:r>
      <w:r w:rsidRPr="00320A86">
        <w:t>m</w:t>
      </w:r>
      <w:r w:rsidRPr="00320A86">
        <w:t>posé par l’Église catholique</w:t>
      </w:r>
      <w:r>
        <w:t> </w:t>
      </w:r>
      <w:r>
        <w:rPr>
          <w:rStyle w:val="Appelnotedebasdep"/>
        </w:rPr>
        <w:footnoteReference w:id="1171"/>
      </w:r>
      <w:r w:rsidRPr="00320A86">
        <w:t>.</w:t>
      </w:r>
    </w:p>
    <w:p w14:paraId="71026627" w14:textId="77777777" w:rsidR="00B01930" w:rsidRPr="00320A86" w:rsidRDefault="00B01930" w:rsidP="00B01930">
      <w:pPr>
        <w:spacing w:before="120" w:after="120"/>
        <w:jc w:val="both"/>
      </w:pPr>
      <w:r w:rsidRPr="00320A86">
        <w:t>De l’affirmation d’un Sens de l’Histoire vers un point « Oméga », à la prop</w:t>
      </w:r>
      <w:r w:rsidRPr="00320A86">
        <w:t>o</w:t>
      </w:r>
      <w:r w:rsidRPr="00320A86">
        <w:t>sition d’une « vraie démocratie », loin de sa forme libérale, en passant, pour ce faire, par un eugénisme (qui ne s’assume pas comme tel) pour sélectionner les détenteurs du Bien, toute la pensée n’est que l’expression du code n° 1. Le ratt</w:t>
      </w:r>
      <w:r w:rsidRPr="00320A86">
        <w:t>a</w:t>
      </w:r>
      <w:r w:rsidRPr="00320A86">
        <w:t>chement à ce code trouve sa validation dans ce propos</w:t>
      </w:r>
      <w:r>
        <w:t> </w:t>
      </w:r>
      <w:r>
        <w:rPr>
          <w:rStyle w:val="Appelnotedebasdep"/>
        </w:rPr>
        <w:footnoteReference w:id="1172"/>
      </w:r>
      <w:r w:rsidRPr="00320A86">
        <w:t> :</w:t>
      </w:r>
    </w:p>
    <w:p w14:paraId="0415D597" w14:textId="77777777" w:rsidR="00B01930" w:rsidRDefault="00B01930" w:rsidP="00B01930">
      <w:pPr>
        <w:pStyle w:val="citation"/>
      </w:pPr>
    </w:p>
    <w:p w14:paraId="54AFB93A" w14:textId="77777777" w:rsidR="00B01930" w:rsidRPr="003F485F" w:rsidRDefault="00B01930" w:rsidP="00B01930">
      <w:pPr>
        <w:pStyle w:val="citation"/>
      </w:pPr>
      <w:r w:rsidRPr="00320A86">
        <w:t>« Il avait la conviction d’avoir atteint la vérité, et que celle-ci serait un jour co</w:t>
      </w:r>
      <w:r w:rsidRPr="00320A86">
        <w:t>m</w:t>
      </w:r>
      <w:r w:rsidRPr="00320A86">
        <w:t xml:space="preserve">prise. Il écrivait ainsi, le 15 mars 1955, moins d’un mois avant sa mort : </w:t>
      </w:r>
      <w:r w:rsidRPr="003F485F">
        <w:t>« Il suffit, pour la Vérité, d’apparaître une seule fois, dans un seul esprit, pour que rien ne pui</w:t>
      </w:r>
      <w:r w:rsidRPr="003F485F">
        <w:t>s</w:t>
      </w:r>
      <w:r w:rsidRPr="003F485F">
        <w:t>se jamais l’empêcher de tout envahir et de tout enflammer. »</w:t>
      </w:r>
    </w:p>
    <w:p w14:paraId="7461C8D3" w14:textId="77777777" w:rsidR="00B01930" w:rsidRPr="00320A86" w:rsidRDefault="00B01930" w:rsidP="00B01930">
      <w:pPr>
        <w:pStyle w:val="citation"/>
      </w:pPr>
    </w:p>
    <w:p w14:paraId="66622FED" w14:textId="77777777" w:rsidR="00B01930" w:rsidRPr="00320A86" w:rsidRDefault="00B01930" w:rsidP="00B01930">
      <w:pPr>
        <w:spacing w:before="120" w:after="120"/>
        <w:jc w:val="both"/>
        <w:rPr>
          <w:color w:val="343434"/>
        </w:rPr>
      </w:pPr>
      <w:r w:rsidRPr="00320A86">
        <w:rPr>
          <w:color w:val="343434"/>
        </w:rPr>
        <w:t>Au même titre que Marx ou Platon, pour ne prendre que les plus emblémat</w:t>
      </w:r>
      <w:r w:rsidRPr="00320A86">
        <w:rPr>
          <w:color w:val="343434"/>
        </w:rPr>
        <w:t>i</w:t>
      </w:r>
      <w:r w:rsidRPr="00320A86">
        <w:rPr>
          <w:color w:val="343434"/>
        </w:rPr>
        <w:t>ques, il ne parle pas en son nom. Conformément au mode de construction du discours selon le code n° 1 il parle au nom de la Science qui vient légitimer sa théorie de l’évolution de l’Univers et de l’inéluctabilité de son aboutissement au point « Oméga », Dieu.</w:t>
      </w:r>
    </w:p>
    <w:p w14:paraId="5FD578E1" w14:textId="77777777" w:rsidR="00B01930" w:rsidRPr="00320A86" w:rsidRDefault="00B01930" w:rsidP="00B01930">
      <w:pPr>
        <w:spacing w:before="120" w:after="120"/>
        <w:jc w:val="both"/>
        <w:rPr>
          <w:color w:val="343434"/>
        </w:rPr>
      </w:pPr>
      <w:r w:rsidRPr="00320A86">
        <w:rPr>
          <w:color w:val="343434"/>
        </w:rPr>
        <w:t>C’est une tentative de réactualisation de la doctrine catholique pour y intégrer la démarche scientifique  (telle qu’elle se présentait en son temps)  et mieux « capturer » la légitimité démocratique qui s’ancrait dans la réalité, tout en bannissant « la démocratie socialiste » (co</w:t>
      </w:r>
      <w:r w:rsidRPr="00320A86">
        <w:rPr>
          <w:color w:val="343434"/>
        </w:rPr>
        <w:t>m</w:t>
      </w:r>
      <w:r w:rsidRPr="00320A86">
        <w:rPr>
          <w:color w:val="343434"/>
        </w:rPr>
        <w:t>muniste), pur produit de l’ennemi mortel de l’Église, le marxi</w:t>
      </w:r>
      <w:r w:rsidRPr="00320A86">
        <w:rPr>
          <w:color w:val="343434"/>
        </w:rPr>
        <w:t>s</w:t>
      </w:r>
      <w:r w:rsidRPr="00320A86">
        <w:rPr>
          <w:color w:val="343434"/>
        </w:rPr>
        <w:t>me</w:t>
      </w:r>
      <w:r>
        <w:rPr>
          <w:color w:val="343434"/>
        </w:rPr>
        <w:t> </w:t>
      </w:r>
      <w:r>
        <w:rPr>
          <w:rStyle w:val="Appelnotedebasdep"/>
        </w:rPr>
        <w:footnoteReference w:id="1173"/>
      </w:r>
      <w:r w:rsidRPr="00320A86">
        <w:rPr>
          <w:color w:val="343434"/>
        </w:rPr>
        <w:t>.</w:t>
      </w:r>
    </w:p>
    <w:p w14:paraId="1B8B2B27" w14:textId="77777777" w:rsidR="00B01930" w:rsidRPr="00320A86" w:rsidRDefault="00B01930" w:rsidP="00B01930">
      <w:pPr>
        <w:spacing w:before="120" w:after="120"/>
        <w:jc w:val="both"/>
        <w:rPr>
          <w:color w:val="343434"/>
        </w:rPr>
      </w:pPr>
      <w:r w:rsidRPr="00320A86">
        <w:rPr>
          <w:color w:val="343434"/>
        </w:rPr>
        <w:t>Mais les contours de sa pensée – écartelée entre théologie et scie</w:t>
      </w:r>
      <w:r w:rsidRPr="00320A86">
        <w:rPr>
          <w:color w:val="343434"/>
        </w:rPr>
        <w:t>n</w:t>
      </w:r>
      <w:r w:rsidRPr="00320A86">
        <w:rPr>
          <w:color w:val="343434"/>
        </w:rPr>
        <w:t>ce –, la rendaient difficile à suivre.  D’autant plus que les concepts étaient trop abstraits, sinon ésotériques,  pour les non initiés, elle ne  pouvait séduire les masses. Ass</w:t>
      </w:r>
      <w:r w:rsidRPr="00320A86">
        <w:rPr>
          <w:color w:val="343434"/>
        </w:rPr>
        <w:t>u</w:t>
      </w:r>
      <w:r w:rsidRPr="00320A86">
        <w:rPr>
          <w:color w:val="343434"/>
        </w:rPr>
        <w:t>rément il visait les « élites » , mais si une minorité – pétrie de religiosité – pouvait en faire son miel, la m</w:t>
      </w:r>
      <w:r w:rsidRPr="00320A86">
        <w:rPr>
          <w:color w:val="343434"/>
        </w:rPr>
        <w:t>a</w:t>
      </w:r>
      <w:r w:rsidRPr="00320A86">
        <w:rPr>
          <w:color w:val="343434"/>
        </w:rPr>
        <w:t>jorité, rationaliste, ne pouvait qu’être indifférente car sa pensée, alors, était trop « métaphysique ».</w:t>
      </w:r>
    </w:p>
    <w:p w14:paraId="450341B9" w14:textId="77777777" w:rsidR="00B01930" w:rsidRPr="00320A86" w:rsidRDefault="00B01930" w:rsidP="00B01930">
      <w:pPr>
        <w:spacing w:before="120" w:after="120"/>
        <w:jc w:val="both"/>
        <w:rPr>
          <w:color w:val="343434"/>
        </w:rPr>
      </w:pPr>
      <w:r w:rsidRPr="00320A86">
        <w:rPr>
          <w:color w:val="343434"/>
        </w:rPr>
        <w:t>Ne répondant pas à une interrogation globale sur le devenir ou l’idéal d’une société et exprimer les besoins de la population, expl</w:t>
      </w:r>
      <w:r w:rsidRPr="00320A86">
        <w:rPr>
          <w:color w:val="343434"/>
        </w:rPr>
        <w:t>i</w:t>
      </w:r>
      <w:r w:rsidRPr="00320A86">
        <w:rPr>
          <w:color w:val="343434"/>
        </w:rPr>
        <w:t>quer l’origine des maux et les solutions, permettre la conquête du pouvoir</w:t>
      </w:r>
      <w:r>
        <w:rPr>
          <w:color w:val="343434"/>
        </w:rPr>
        <w:t> </w:t>
      </w:r>
      <w:r>
        <w:rPr>
          <w:rStyle w:val="Appelnotedebasdep"/>
        </w:rPr>
        <w:footnoteReference w:id="1174"/>
      </w:r>
      <w:r w:rsidRPr="00320A86">
        <w:rPr>
          <w:color w:val="343434"/>
        </w:rPr>
        <w:t>, elle ne pouvait se transformer en une doctrine fondatrice d’un nouvel ordre, mais elle ne pût non plus être une adjonction sign</w:t>
      </w:r>
      <w:r w:rsidRPr="00320A86">
        <w:rPr>
          <w:color w:val="343434"/>
        </w:rPr>
        <w:t>i</w:t>
      </w:r>
      <w:r w:rsidRPr="00320A86">
        <w:rPr>
          <w:color w:val="343434"/>
        </w:rPr>
        <w:t>ficative à la pensée-« mère » (le catholicisme) susceptible de faire v</w:t>
      </w:r>
      <w:r w:rsidRPr="00320A86">
        <w:rPr>
          <w:color w:val="343434"/>
        </w:rPr>
        <w:t>a</w:t>
      </w:r>
      <w:r w:rsidRPr="00320A86">
        <w:rPr>
          <w:color w:val="343434"/>
        </w:rPr>
        <w:t>rier le code.</w:t>
      </w:r>
    </w:p>
    <w:p w14:paraId="28FD25C8" w14:textId="77777777" w:rsidR="00B01930" w:rsidRPr="00320A86" w:rsidRDefault="00B01930" w:rsidP="00B01930">
      <w:pPr>
        <w:spacing w:before="120" w:after="120"/>
        <w:jc w:val="both"/>
        <w:rPr>
          <w:color w:val="343434"/>
        </w:rPr>
      </w:pPr>
      <w:r w:rsidRPr="00320A86">
        <w:rPr>
          <w:color w:val="343434"/>
        </w:rPr>
        <w:t>La condamnation de Teilhard de Chardin au silence par l’Église catholique à l’époque était logique. Trop orienté vers des concepts issus de la science sa pe</w:t>
      </w:r>
      <w:r w:rsidRPr="00320A86">
        <w:rPr>
          <w:color w:val="343434"/>
        </w:rPr>
        <w:t>n</w:t>
      </w:r>
      <w:r w:rsidRPr="00320A86">
        <w:rPr>
          <w:color w:val="343434"/>
        </w:rPr>
        <w:t>sée touchait le dogme de la Genèse. Une telle approche pouvait séduire une élite déjà bien trop rationaliste pour un croyant de stricte observance et pour une Eglise qui contrôlait encore de très près ce que le peuple pouvait lire ou non par la mise à l’Index, afin que celui-ci ne fût pas contaminé par des idées « malsaines ».</w:t>
      </w:r>
    </w:p>
    <w:p w14:paraId="129F3FC1" w14:textId="77777777" w:rsidR="00B01930" w:rsidRPr="00320A86" w:rsidRDefault="00B01930" w:rsidP="00B01930">
      <w:pPr>
        <w:spacing w:before="120" w:after="120"/>
        <w:jc w:val="both"/>
        <w:rPr>
          <w:color w:val="343434"/>
        </w:rPr>
      </w:pPr>
      <w:r w:rsidRPr="00320A86">
        <w:rPr>
          <w:color w:val="343434"/>
        </w:rPr>
        <w:t>Mais peut-être  que cette pensée toute entière façonnée par le code n° 1 portait, nichée au plus profond et intrinsèquement liée à la scie</w:t>
      </w:r>
      <w:r w:rsidRPr="00320A86">
        <w:rPr>
          <w:color w:val="343434"/>
        </w:rPr>
        <w:t>n</w:t>
      </w:r>
      <w:r w:rsidRPr="00320A86">
        <w:rPr>
          <w:color w:val="343434"/>
        </w:rPr>
        <w:t>ce,  une idée qui pouvait devenir dangereuse : la vérité est une quête non une certitude. Si Tei</w:t>
      </w:r>
      <w:r w:rsidRPr="00320A86">
        <w:rPr>
          <w:color w:val="343434"/>
        </w:rPr>
        <w:t>l</w:t>
      </w:r>
      <w:r w:rsidRPr="00320A86">
        <w:rPr>
          <w:color w:val="343434"/>
        </w:rPr>
        <w:t>hard de Chardin n’a pas vu qu’il déposait au cœur de sa Cité idéale ce qui po</w:t>
      </w:r>
      <w:r w:rsidRPr="00320A86">
        <w:rPr>
          <w:color w:val="343434"/>
        </w:rPr>
        <w:t>u</w:t>
      </w:r>
      <w:r w:rsidRPr="00320A86">
        <w:rPr>
          <w:color w:val="343434"/>
        </w:rPr>
        <w:t>vait la lézarder, l’Église, elle, ne s’y est pas trompée, fort de sa longue bataille contre la Raison et la Scie</w:t>
      </w:r>
      <w:r w:rsidRPr="00320A86">
        <w:rPr>
          <w:color w:val="343434"/>
        </w:rPr>
        <w:t>n</w:t>
      </w:r>
      <w:r w:rsidRPr="00320A86">
        <w:rPr>
          <w:color w:val="343434"/>
        </w:rPr>
        <w:t>ce.</w:t>
      </w:r>
    </w:p>
    <w:p w14:paraId="025D7747" w14:textId="77777777" w:rsidR="00B01930" w:rsidRPr="00320A86" w:rsidRDefault="00B01930" w:rsidP="00B01930">
      <w:pPr>
        <w:spacing w:before="120" w:after="120"/>
        <w:jc w:val="both"/>
        <w:rPr>
          <w:color w:val="343434"/>
        </w:rPr>
      </w:pPr>
      <w:r w:rsidRPr="00320A86">
        <w:rPr>
          <w:color w:val="343434"/>
        </w:rPr>
        <w:t>In fine la pensée politique de Teilhard de Chardin est venue co</w:t>
      </w:r>
      <w:r w:rsidRPr="00320A86">
        <w:rPr>
          <w:color w:val="343434"/>
        </w:rPr>
        <w:t>m</w:t>
      </w:r>
      <w:r w:rsidRPr="00320A86">
        <w:rPr>
          <w:color w:val="343434"/>
        </w:rPr>
        <w:t>pléter le grand herbier des idées politiques sans autre destinée.</w:t>
      </w:r>
    </w:p>
    <w:p w14:paraId="56B5A00E" w14:textId="77777777" w:rsidR="00B01930" w:rsidRDefault="00B01930" w:rsidP="00B01930">
      <w:pPr>
        <w:jc w:val="both"/>
      </w:pPr>
    </w:p>
    <w:p w14:paraId="10CA1AF3" w14:textId="77777777" w:rsidR="00B01930" w:rsidRDefault="00B01930" w:rsidP="00B01930">
      <w:pPr>
        <w:jc w:val="both"/>
      </w:pPr>
    </w:p>
    <w:p w14:paraId="347888F0" w14:textId="77777777" w:rsidR="00B01930" w:rsidRDefault="00B01930" w:rsidP="00B01930">
      <w:pPr>
        <w:jc w:val="both"/>
      </w:pPr>
      <w:r>
        <w:br w:type="page"/>
      </w:r>
    </w:p>
    <w:p w14:paraId="0F2A1C8F" w14:textId="77777777" w:rsidR="00B01930" w:rsidRDefault="00B01930" w:rsidP="00B01930">
      <w:pPr>
        <w:jc w:val="both"/>
      </w:pPr>
    </w:p>
    <w:p w14:paraId="5D96445B" w14:textId="77777777" w:rsidR="00B01930" w:rsidRDefault="00B01930" w:rsidP="00B01930">
      <w:pPr>
        <w:jc w:val="both"/>
      </w:pPr>
    </w:p>
    <w:p w14:paraId="68C94FEA" w14:textId="77777777" w:rsidR="00B01930" w:rsidRPr="009D4882" w:rsidRDefault="00B01930" w:rsidP="00B01930">
      <w:pPr>
        <w:spacing w:after="120"/>
        <w:ind w:firstLine="0"/>
        <w:jc w:val="center"/>
        <w:rPr>
          <w:b/>
          <w:color w:val="000080"/>
        </w:rPr>
      </w:pPr>
      <w:bookmarkStart w:id="217" w:name="Analyser_idees_pol_pt_3_texte_10"/>
      <w:r>
        <w:rPr>
          <w:b/>
          <w:color w:val="000080"/>
        </w:rPr>
        <w:t>Troisième</w:t>
      </w:r>
      <w:r w:rsidRPr="009D4882">
        <w:rPr>
          <w:b/>
          <w:color w:val="000080"/>
        </w:rPr>
        <w:t xml:space="preserve"> partie</w:t>
      </w:r>
      <w:r w:rsidRPr="009D4882">
        <w:rPr>
          <w:b/>
          <w:color w:val="000080"/>
        </w:rPr>
        <w:br/>
      </w:r>
      <w:r>
        <w:rPr>
          <w:i/>
          <w:color w:val="000080"/>
        </w:rPr>
        <w:t>De quelques idées politiques «modernes»</w:t>
      </w:r>
    </w:p>
    <w:p w14:paraId="0E0BC3B0" w14:textId="77777777" w:rsidR="00B01930" w:rsidRDefault="00B01930" w:rsidP="00B01930">
      <w:pPr>
        <w:pStyle w:val="Titreniveau1"/>
        <w:rPr>
          <w:szCs w:val="36"/>
        </w:rPr>
      </w:pPr>
      <w:r>
        <w:rPr>
          <w:szCs w:val="36"/>
        </w:rPr>
        <w:t>10</w:t>
      </w:r>
    </w:p>
    <w:p w14:paraId="745EFE31" w14:textId="77777777" w:rsidR="00B01930" w:rsidRDefault="00B01930" w:rsidP="00B01930">
      <w:pPr>
        <w:jc w:val="both"/>
        <w:rPr>
          <w:szCs w:val="36"/>
        </w:rPr>
      </w:pPr>
    </w:p>
    <w:p w14:paraId="7B4A9409" w14:textId="77777777" w:rsidR="00B01930" w:rsidRPr="00843F3E" w:rsidRDefault="00B01930" w:rsidP="00B01930">
      <w:pPr>
        <w:pStyle w:val="Titreniveau2"/>
      </w:pPr>
      <w:r>
        <w:t>“</w:t>
      </w:r>
      <w:r w:rsidRPr="00A01FC9">
        <w:t>Analyse critique de l’intégrisme</w:t>
      </w:r>
      <w:r>
        <w:br/>
      </w:r>
      <w:r w:rsidRPr="00A01FC9">
        <w:t>polit</w:t>
      </w:r>
      <w:r w:rsidRPr="00A01FC9">
        <w:t>i</w:t>
      </w:r>
      <w:r w:rsidRPr="00A01FC9">
        <w:t>co-religieux catholique</w:t>
      </w:r>
      <w:r>
        <w:t>.”</w:t>
      </w:r>
    </w:p>
    <w:bookmarkEnd w:id="217"/>
    <w:p w14:paraId="771E0F62" w14:textId="77777777" w:rsidR="00B01930" w:rsidRDefault="00B01930" w:rsidP="00B01930">
      <w:pPr>
        <w:jc w:val="both"/>
        <w:rPr>
          <w:szCs w:val="36"/>
        </w:rPr>
      </w:pPr>
    </w:p>
    <w:p w14:paraId="57411504" w14:textId="77777777" w:rsidR="00B01930" w:rsidRDefault="00B01930" w:rsidP="00B01930">
      <w:pPr>
        <w:pStyle w:val="suite"/>
      </w:pPr>
      <w:r w:rsidRPr="00A01FC9">
        <w:t>Dominique D’ANTIN DE VAILLAC</w:t>
      </w:r>
    </w:p>
    <w:p w14:paraId="76D02260" w14:textId="77777777" w:rsidR="00B01930" w:rsidRDefault="00B01930" w:rsidP="00B01930">
      <w:pPr>
        <w:jc w:val="both"/>
      </w:pPr>
    </w:p>
    <w:p w14:paraId="29C3BA9B" w14:textId="77777777" w:rsidR="00B01930" w:rsidRDefault="00B01930" w:rsidP="00B01930">
      <w:pPr>
        <w:jc w:val="both"/>
      </w:pPr>
    </w:p>
    <w:p w14:paraId="54DA9E5B" w14:textId="77777777" w:rsidR="00B01930" w:rsidRDefault="00B01930" w:rsidP="00B01930">
      <w:pPr>
        <w:jc w:val="both"/>
      </w:pPr>
    </w:p>
    <w:p w14:paraId="61F9DEED"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49EA0A15" w14:textId="77777777" w:rsidR="00B01930" w:rsidRPr="00320A86" w:rsidRDefault="00B01930" w:rsidP="00B01930">
      <w:pPr>
        <w:spacing w:before="120" w:after="120"/>
        <w:jc w:val="both"/>
        <w:rPr>
          <w:rFonts w:eastAsia="Calibri"/>
          <w:color w:val="000000"/>
          <w:szCs w:val="28"/>
        </w:rPr>
      </w:pPr>
      <w:r w:rsidRPr="00320A86">
        <w:rPr>
          <w:rFonts w:eastAsia="Calibri"/>
          <w:color w:val="000000"/>
          <w:szCs w:val="28"/>
        </w:rPr>
        <w:t>L</w:t>
      </w:r>
      <w:r w:rsidRPr="00320A86">
        <w:rPr>
          <w:color w:val="000000"/>
          <w:szCs w:val="28"/>
        </w:rPr>
        <w:t>’</w:t>
      </w:r>
      <w:r w:rsidRPr="00320A86">
        <w:rPr>
          <w:rFonts w:eastAsia="Calibri"/>
          <w:color w:val="000000"/>
          <w:szCs w:val="28"/>
        </w:rPr>
        <w:t>Église</w:t>
      </w:r>
      <w:r w:rsidRPr="00320A86">
        <w:rPr>
          <w:color w:val="000000"/>
          <w:szCs w:val="28"/>
        </w:rPr>
        <w:t xml:space="preserve"> </w:t>
      </w:r>
      <w:r w:rsidRPr="00320A86">
        <w:rPr>
          <w:rFonts w:eastAsia="Calibri"/>
          <w:color w:val="000000"/>
          <w:szCs w:val="28"/>
        </w:rPr>
        <w:t>catholique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France</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déchirée</w:t>
      </w:r>
      <w:r w:rsidRPr="00320A86">
        <w:rPr>
          <w:color w:val="000000"/>
          <w:szCs w:val="28"/>
        </w:rPr>
        <w:t xml:space="preserve"> </w:t>
      </w:r>
      <w:r w:rsidRPr="00320A86">
        <w:rPr>
          <w:rFonts w:eastAsia="Calibri"/>
          <w:color w:val="000000"/>
          <w:szCs w:val="28"/>
        </w:rPr>
        <w:t>depuis</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Concile</w:t>
      </w:r>
      <w:r w:rsidRPr="00320A86">
        <w:rPr>
          <w:color w:val="000000"/>
          <w:szCs w:val="28"/>
        </w:rPr>
        <w:t xml:space="preserve"> </w:t>
      </w:r>
      <w:r>
        <w:rPr>
          <w:rFonts w:eastAsia="Calibri"/>
          <w:color w:val="000000"/>
          <w:szCs w:val="28"/>
        </w:rPr>
        <w:t>Vat</w:t>
      </w:r>
      <w:r>
        <w:rPr>
          <w:rFonts w:eastAsia="Calibri"/>
          <w:color w:val="000000"/>
          <w:szCs w:val="28"/>
        </w:rPr>
        <w:t>i</w:t>
      </w:r>
      <w:r>
        <w:rPr>
          <w:rFonts w:eastAsia="Calibri"/>
          <w:color w:val="000000"/>
          <w:szCs w:val="28"/>
        </w:rPr>
        <w:t>can II</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deux</w:t>
      </w:r>
      <w:r w:rsidRPr="00320A86">
        <w:rPr>
          <w:color w:val="000000"/>
          <w:szCs w:val="28"/>
        </w:rPr>
        <w:t xml:space="preserve"> </w:t>
      </w:r>
      <w:r w:rsidRPr="00320A86">
        <w:rPr>
          <w:rFonts w:eastAsia="Calibri"/>
          <w:color w:val="000000"/>
          <w:szCs w:val="28"/>
        </w:rPr>
        <w:t>tendances</w:t>
      </w:r>
      <w:r w:rsidRPr="00320A86">
        <w:rPr>
          <w:color w:val="000000"/>
          <w:szCs w:val="28"/>
        </w:rPr>
        <w:t xml:space="preserve"> </w:t>
      </w:r>
      <w:r w:rsidRPr="00320A86">
        <w:rPr>
          <w:rFonts w:eastAsia="Calibri"/>
          <w:color w:val="000000"/>
          <w:szCs w:val="28"/>
        </w:rPr>
        <w:t>fermement</w:t>
      </w:r>
      <w:r w:rsidRPr="00320A86">
        <w:rPr>
          <w:color w:val="000000"/>
          <w:szCs w:val="28"/>
        </w:rPr>
        <w:t xml:space="preserve"> </w:t>
      </w:r>
      <w:r w:rsidRPr="00320A86">
        <w:rPr>
          <w:rFonts w:eastAsia="Calibri"/>
          <w:color w:val="000000"/>
          <w:szCs w:val="28"/>
        </w:rPr>
        <w:t>opposées</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on</w:t>
      </w:r>
      <w:r w:rsidRPr="00320A86">
        <w:rPr>
          <w:color w:val="000000"/>
          <w:szCs w:val="28"/>
        </w:rPr>
        <w:t xml:space="preserve"> </w:t>
      </w:r>
      <w:r w:rsidRPr="00320A86">
        <w:rPr>
          <w:rFonts w:eastAsia="Calibri"/>
          <w:color w:val="000000"/>
          <w:szCs w:val="28"/>
        </w:rPr>
        <w:t>peut</w:t>
      </w:r>
      <w:r w:rsidRPr="00320A86">
        <w:rPr>
          <w:color w:val="000000"/>
          <w:szCs w:val="28"/>
        </w:rPr>
        <w:t xml:space="preserve"> </w:t>
      </w:r>
      <w:r w:rsidRPr="00320A86">
        <w:rPr>
          <w:rFonts w:eastAsia="Calibri"/>
          <w:color w:val="000000"/>
          <w:szCs w:val="28"/>
        </w:rPr>
        <w:t>qualifier</w:t>
      </w:r>
      <w:r w:rsidRPr="00320A86">
        <w:rPr>
          <w:color w:val="000000"/>
          <w:szCs w:val="28"/>
        </w:rPr>
        <w:t xml:space="preserve"> – </w:t>
      </w:r>
      <w:r w:rsidRPr="00320A86">
        <w:rPr>
          <w:rFonts w:eastAsia="Calibri"/>
          <w:color w:val="000000"/>
          <w:szCs w:val="28"/>
        </w:rPr>
        <w:t>non</w:t>
      </w:r>
      <w:r w:rsidRPr="00320A86">
        <w:rPr>
          <w:color w:val="000000"/>
          <w:szCs w:val="28"/>
        </w:rPr>
        <w:t xml:space="preserve"> </w:t>
      </w:r>
      <w:r w:rsidRPr="00320A86">
        <w:rPr>
          <w:rFonts w:eastAsia="Calibri"/>
          <w:color w:val="000000"/>
          <w:szCs w:val="28"/>
        </w:rPr>
        <w:t>sans</w:t>
      </w:r>
      <w:r w:rsidRPr="00320A86">
        <w:rPr>
          <w:color w:val="000000"/>
          <w:szCs w:val="28"/>
        </w:rPr>
        <w:t xml:space="preserve"> </w:t>
      </w:r>
      <w:r w:rsidRPr="00320A86">
        <w:rPr>
          <w:rFonts w:eastAsia="Calibri"/>
          <w:color w:val="000000"/>
          <w:szCs w:val="28"/>
        </w:rPr>
        <w:t>approx</w:t>
      </w:r>
      <w:r w:rsidRPr="00320A86">
        <w:rPr>
          <w:rFonts w:eastAsia="Calibri"/>
          <w:color w:val="000000"/>
          <w:szCs w:val="28"/>
        </w:rPr>
        <w:t>i</w:t>
      </w:r>
      <w:r w:rsidRPr="00320A86">
        <w:rPr>
          <w:rFonts w:eastAsia="Calibri"/>
          <w:color w:val="000000"/>
          <w:szCs w:val="28"/>
        </w:rPr>
        <w:t>mation –</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progressisme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traditionalisme.</w:t>
      </w:r>
      <w:r w:rsidRPr="00320A86">
        <w:rPr>
          <w:color w:val="000000"/>
          <w:szCs w:val="28"/>
        </w:rPr>
        <w:t xml:space="preserve"> </w:t>
      </w:r>
      <w:r w:rsidRPr="00320A86">
        <w:rPr>
          <w:rFonts w:eastAsia="Calibri"/>
          <w:color w:val="000000"/>
          <w:szCs w:val="28"/>
        </w:rPr>
        <w:t>Cette</w:t>
      </w:r>
      <w:r w:rsidRPr="00320A86">
        <w:rPr>
          <w:color w:val="000000"/>
          <w:szCs w:val="28"/>
        </w:rPr>
        <w:t xml:space="preserve"> </w:t>
      </w:r>
      <w:r w:rsidRPr="00320A86">
        <w:rPr>
          <w:rFonts w:eastAsia="Calibri"/>
          <w:color w:val="000000"/>
          <w:szCs w:val="28"/>
        </w:rPr>
        <w:t>fracture,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n</w:t>
      </w:r>
      <w:r w:rsidRPr="00320A86">
        <w:rPr>
          <w:color w:val="000000"/>
          <w:szCs w:val="28"/>
        </w:rPr>
        <w:t>’</w:t>
      </w:r>
      <w:r w:rsidRPr="00320A86">
        <w:rPr>
          <w:rFonts w:eastAsia="Calibri"/>
          <w:color w:val="000000"/>
          <w:szCs w:val="28"/>
        </w:rPr>
        <w:t>est</w:t>
      </w:r>
      <w:r w:rsidRPr="00320A86">
        <w:rPr>
          <w:color w:val="000000"/>
          <w:szCs w:val="28"/>
        </w:rPr>
        <w:t xml:space="preserve"> </w:t>
      </w:r>
      <w:r w:rsidRPr="00320A86">
        <w:rPr>
          <w:rFonts w:eastAsia="Calibri"/>
          <w:color w:val="000000"/>
          <w:szCs w:val="28"/>
        </w:rPr>
        <w:t>pas</w:t>
      </w:r>
      <w:r w:rsidRPr="00320A86">
        <w:rPr>
          <w:color w:val="000000"/>
          <w:szCs w:val="28"/>
        </w:rPr>
        <w:t xml:space="preserve"> </w:t>
      </w:r>
      <w:r w:rsidRPr="00320A86">
        <w:rPr>
          <w:rFonts w:eastAsia="Calibri"/>
          <w:color w:val="000000"/>
          <w:szCs w:val="28"/>
        </w:rPr>
        <w:t>nouvelle,</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double</w:t>
      </w:r>
      <w:r w:rsidRPr="00320A86">
        <w:rPr>
          <w:color w:val="000000"/>
          <w:szCs w:val="28"/>
        </w:rPr>
        <w:t xml:space="preserve"> </w:t>
      </w:r>
      <w:r w:rsidRPr="00320A86">
        <w:rPr>
          <w:rFonts w:eastAsia="Calibri"/>
          <w:color w:val="000000"/>
          <w:szCs w:val="28"/>
        </w:rPr>
        <w:t>continuation.</w:t>
      </w:r>
      <w:r w:rsidRPr="00320A86">
        <w:rPr>
          <w:color w:val="000000"/>
          <w:szCs w:val="28"/>
        </w:rPr>
        <w:t xml:space="preserve"> </w:t>
      </w:r>
    </w:p>
    <w:p w14:paraId="32919541" w14:textId="77777777" w:rsidR="00B01930" w:rsidRPr="00320A86" w:rsidRDefault="00B01930" w:rsidP="00B01930">
      <w:pPr>
        <w:spacing w:before="120" w:after="120"/>
        <w:jc w:val="both"/>
        <w:rPr>
          <w:rFonts w:eastAsia="Calibri"/>
          <w:color w:val="000000"/>
          <w:szCs w:val="28"/>
        </w:rPr>
      </w:pPr>
      <w:r w:rsidRPr="00320A86">
        <w:rPr>
          <w:rFonts w:eastAsia="Calibri"/>
          <w:color w:val="000000"/>
          <w:szCs w:val="28"/>
        </w:rPr>
        <w:t>Sur</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plan</w:t>
      </w:r>
      <w:r w:rsidRPr="00320A86">
        <w:rPr>
          <w:color w:val="000000"/>
          <w:szCs w:val="28"/>
        </w:rPr>
        <w:t xml:space="preserve"> </w:t>
      </w:r>
      <w:r w:rsidRPr="00320A86">
        <w:rPr>
          <w:rFonts w:eastAsia="Calibri"/>
          <w:color w:val="000000"/>
          <w:szCs w:val="28"/>
        </w:rPr>
        <w:t>religieux,</w:t>
      </w:r>
      <w:r w:rsidRPr="00320A86">
        <w:rPr>
          <w:color w:val="000000"/>
          <w:szCs w:val="28"/>
        </w:rPr>
        <w:t xml:space="preserve"> </w:t>
      </w:r>
      <w:r w:rsidRPr="00320A86">
        <w:rPr>
          <w:rFonts w:eastAsia="Calibri"/>
          <w:color w:val="000000"/>
          <w:szCs w:val="28"/>
        </w:rPr>
        <w:t>elle</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réclame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réaction</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Magistère</w:t>
      </w:r>
      <w:r w:rsidRPr="00320A86">
        <w:rPr>
          <w:color w:val="000000"/>
          <w:szCs w:val="28"/>
        </w:rPr>
        <w:t xml:space="preserve"> </w:t>
      </w:r>
      <w:r w:rsidRPr="00320A86">
        <w:rPr>
          <w:rFonts w:eastAsia="Calibri"/>
          <w:color w:val="000000"/>
          <w:szCs w:val="28"/>
        </w:rPr>
        <w:t>romain</w:t>
      </w:r>
      <w:r w:rsidRPr="00320A86">
        <w:rPr>
          <w:color w:val="000000"/>
          <w:szCs w:val="28"/>
        </w:rPr>
        <w:t xml:space="preserve"> </w:t>
      </w:r>
      <w:r w:rsidRPr="00320A86">
        <w:rPr>
          <w:rFonts w:eastAsia="Calibri"/>
          <w:color w:val="000000"/>
          <w:szCs w:val="28"/>
        </w:rPr>
        <w:t>contre</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w:t>
      </w:r>
      <w:r w:rsidRPr="00320A86">
        <w:rPr>
          <w:color w:val="000000"/>
          <w:szCs w:val="28"/>
        </w:rPr>
        <w:t xml:space="preserve"> modernisme » </w:t>
      </w:r>
      <w:r w:rsidRPr="00320A86">
        <w:rPr>
          <w:rFonts w:eastAsia="Calibri"/>
          <w:color w:val="000000"/>
          <w:szCs w:val="28"/>
        </w:rPr>
        <w:t>manifestée</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plusieurs</w:t>
      </w:r>
      <w:r w:rsidRPr="00320A86">
        <w:rPr>
          <w:color w:val="000000"/>
          <w:szCs w:val="28"/>
        </w:rPr>
        <w:t xml:space="preserve"> </w:t>
      </w:r>
      <w:r w:rsidRPr="00320A86">
        <w:rPr>
          <w:rFonts w:eastAsia="Calibri"/>
          <w:color w:val="000000"/>
          <w:szCs w:val="28"/>
        </w:rPr>
        <w:t>textes</w:t>
      </w:r>
      <w:r w:rsidRPr="00320A86">
        <w:rPr>
          <w:color w:val="000000"/>
          <w:szCs w:val="28"/>
        </w:rPr>
        <w:t xml:space="preserve"> </w:t>
      </w:r>
      <w:r w:rsidRPr="00320A86">
        <w:rPr>
          <w:rFonts w:eastAsia="Calibri"/>
          <w:color w:val="000000"/>
          <w:szCs w:val="28"/>
        </w:rPr>
        <w:t>rad</w:t>
      </w:r>
      <w:r w:rsidRPr="00320A86">
        <w:rPr>
          <w:rFonts w:eastAsia="Calibri"/>
          <w:color w:val="000000"/>
          <w:szCs w:val="28"/>
        </w:rPr>
        <w:t>i</w:t>
      </w:r>
      <w:r w:rsidRPr="00320A86">
        <w:rPr>
          <w:rFonts w:eastAsia="Calibri"/>
          <w:color w:val="000000"/>
          <w:szCs w:val="28"/>
        </w:rPr>
        <w:t>caux,</w:t>
      </w:r>
      <w:r w:rsidRPr="00320A86">
        <w:rPr>
          <w:color w:val="000000"/>
          <w:szCs w:val="28"/>
        </w:rPr>
        <w:t xml:space="preserve"> </w:t>
      </w:r>
      <w:r w:rsidRPr="00320A86">
        <w:rPr>
          <w:rFonts w:eastAsia="Calibri"/>
          <w:color w:val="000000"/>
          <w:szCs w:val="28"/>
        </w:rPr>
        <w:t>«</w:t>
      </w:r>
      <w:r w:rsidRPr="00320A86">
        <w:rPr>
          <w:color w:val="000000"/>
          <w:szCs w:val="28"/>
        </w:rPr>
        <w:t xml:space="preserve"> Quanta </w:t>
      </w:r>
      <w:r w:rsidRPr="00320A86">
        <w:rPr>
          <w:rFonts w:eastAsia="Calibri"/>
          <w:color w:val="000000"/>
          <w:szCs w:val="28"/>
        </w:rPr>
        <w:t>Cura</w:t>
      </w:r>
      <w:r w:rsidRPr="00320A86">
        <w:rPr>
          <w:color w:val="000000"/>
          <w:szCs w:val="28"/>
        </w:rPr>
        <w:t xml:space="preserve"> » </w:t>
      </w:r>
      <w:r w:rsidRPr="00320A86">
        <w:rPr>
          <w:rFonts w:eastAsia="Calibri"/>
          <w:color w:val="000000"/>
          <w:szCs w:val="28"/>
        </w:rPr>
        <w:t>et</w:t>
      </w:r>
      <w:r w:rsidRPr="00320A86">
        <w:rPr>
          <w:color w:val="000000"/>
          <w:szCs w:val="28"/>
        </w:rPr>
        <w:t xml:space="preserve"> </w:t>
      </w:r>
      <w:r w:rsidRPr="00320A86">
        <w:rPr>
          <w:rFonts w:eastAsia="Calibri"/>
          <w:color w:val="000000"/>
          <w:szCs w:val="28"/>
        </w:rPr>
        <w:t>«</w:t>
      </w:r>
      <w:r w:rsidRPr="00320A86">
        <w:rPr>
          <w:color w:val="000000"/>
          <w:szCs w:val="28"/>
        </w:rPr>
        <w:t xml:space="preserve"> Syllabus » </w:t>
      </w:r>
      <w:r w:rsidRPr="00320A86">
        <w:rPr>
          <w:rFonts w:eastAsia="Calibri"/>
          <w:color w:val="000000"/>
          <w:szCs w:val="28"/>
        </w:rPr>
        <w:t>(1864),</w:t>
      </w:r>
      <w:r w:rsidRPr="00320A86">
        <w:rPr>
          <w:color w:val="000000"/>
          <w:szCs w:val="28"/>
        </w:rPr>
        <w:t xml:space="preserve"> </w:t>
      </w:r>
      <w:r w:rsidRPr="00320A86">
        <w:rPr>
          <w:rFonts w:eastAsia="Calibri"/>
          <w:color w:val="000000"/>
          <w:szCs w:val="28"/>
        </w:rPr>
        <w:t>sous</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pontificat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Pr>
          <w:rFonts w:eastAsia="Calibri"/>
          <w:color w:val="000000"/>
          <w:szCs w:val="28"/>
        </w:rPr>
        <w:t>Pie </w:t>
      </w:r>
      <w:r w:rsidRPr="00320A86">
        <w:rPr>
          <w:rFonts w:eastAsia="Calibri"/>
          <w:color w:val="000000"/>
          <w:szCs w:val="28"/>
        </w:rPr>
        <w:t>IX,</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surtout</w:t>
      </w:r>
      <w:r w:rsidRPr="00320A86">
        <w:rPr>
          <w:color w:val="000000"/>
          <w:szCs w:val="28"/>
        </w:rPr>
        <w:t xml:space="preserve"> </w:t>
      </w:r>
      <w:r w:rsidRPr="00320A86">
        <w:rPr>
          <w:rFonts w:eastAsia="Calibri"/>
          <w:color w:val="000000"/>
          <w:szCs w:val="28"/>
        </w:rPr>
        <w:t>«</w:t>
      </w:r>
      <w:r w:rsidRPr="00320A86">
        <w:rPr>
          <w:color w:val="000000"/>
          <w:szCs w:val="28"/>
        </w:rPr>
        <w:t xml:space="preserve"> Pascendi » </w:t>
      </w:r>
      <w:r w:rsidRPr="00320A86">
        <w:rPr>
          <w:rFonts w:eastAsia="Calibri"/>
          <w:color w:val="000000"/>
          <w:szCs w:val="28"/>
        </w:rPr>
        <w:t>(1907),</w:t>
      </w:r>
      <w:r w:rsidRPr="00320A86">
        <w:rPr>
          <w:color w:val="000000"/>
          <w:szCs w:val="28"/>
        </w:rPr>
        <w:t xml:space="preserve"> </w:t>
      </w:r>
      <w:r w:rsidRPr="00320A86">
        <w:rPr>
          <w:rFonts w:eastAsia="Calibri"/>
          <w:color w:val="000000"/>
          <w:szCs w:val="28"/>
        </w:rPr>
        <w:t>accompagnée</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w:t>
      </w:r>
      <w:r w:rsidRPr="00320A86">
        <w:rPr>
          <w:color w:val="000000"/>
          <w:szCs w:val="28"/>
        </w:rPr>
        <w:t xml:space="preserve"> serment </w:t>
      </w:r>
      <w:r w:rsidRPr="00320A86">
        <w:rPr>
          <w:rFonts w:eastAsia="Calibri"/>
          <w:color w:val="000000"/>
          <w:szCs w:val="28"/>
        </w:rPr>
        <w:t>anti</w:t>
      </w:r>
      <w:r w:rsidRPr="00320A86">
        <w:rPr>
          <w:color w:val="000000"/>
          <w:szCs w:val="28"/>
        </w:rPr>
        <w:t xml:space="preserve"> </w:t>
      </w:r>
      <w:r w:rsidRPr="00320A86">
        <w:rPr>
          <w:rFonts w:eastAsia="Calibri"/>
          <w:color w:val="000000"/>
          <w:szCs w:val="28"/>
        </w:rPr>
        <w:t>moderniste</w:t>
      </w:r>
      <w:r w:rsidRPr="00320A86">
        <w:rPr>
          <w:color w:val="000000"/>
          <w:szCs w:val="28"/>
        </w:rPr>
        <w:t xml:space="preserve"> » 1910) </w:t>
      </w:r>
      <w:r w:rsidRPr="00320A86">
        <w:rPr>
          <w:rFonts w:eastAsia="Calibri"/>
          <w:color w:val="000000"/>
          <w:szCs w:val="28"/>
        </w:rPr>
        <w:t>imposé</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clergé</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saint</w:t>
      </w:r>
      <w:r w:rsidRPr="00320A86">
        <w:rPr>
          <w:color w:val="000000"/>
          <w:szCs w:val="28"/>
        </w:rPr>
        <w:t xml:space="preserve"> </w:t>
      </w:r>
      <w:r>
        <w:rPr>
          <w:rFonts w:eastAsia="Calibri"/>
          <w:color w:val="000000"/>
          <w:szCs w:val="28"/>
        </w:rPr>
        <w:t>Pie </w:t>
      </w:r>
      <w:r w:rsidRPr="00320A86">
        <w:rPr>
          <w:rFonts w:eastAsia="Calibri"/>
          <w:color w:val="000000"/>
          <w:szCs w:val="28"/>
        </w:rPr>
        <w:t>X.</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concile</w:t>
      </w:r>
      <w:r w:rsidRPr="00320A86">
        <w:rPr>
          <w:color w:val="000000"/>
          <w:szCs w:val="28"/>
        </w:rPr>
        <w:t xml:space="preserve"> </w:t>
      </w:r>
      <w:r>
        <w:rPr>
          <w:rFonts w:eastAsia="Calibri"/>
          <w:color w:val="000000"/>
          <w:szCs w:val="28"/>
        </w:rPr>
        <w:t>Vat</w:t>
      </w:r>
      <w:r>
        <w:rPr>
          <w:rFonts w:eastAsia="Calibri"/>
          <w:color w:val="000000"/>
          <w:szCs w:val="28"/>
        </w:rPr>
        <w:t>i</w:t>
      </w:r>
      <w:r>
        <w:rPr>
          <w:rFonts w:eastAsia="Calibri"/>
          <w:color w:val="000000"/>
          <w:szCs w:val="28"/>
        </w:rPr>
        <w:t>can II</w:t>
      </w:r>
      <w:r w:rsidRPr="00320A86">
        <w:rPr>
          <w:color w:val="000000"/>
          <w:szCs w:val="28"/>
        </w:rPr>
        <w:t xml:space="preserve"> </w:t>
      </w:r>
      <w:r w:rsidRPr="00320A86">
        <w:rPr>
          <w:rFonts w:eastAsia="Calibri"/>
          <w:color w:val="000000"/>
          <w:szCs w:val="28"/>
        </w:rPr>
        <w:t>restera</w:t>
      </w:r>
      <w:r w:rsidRPr="00320A86">
        <w:rPr>
          <w:color w:val="000000"/>
          <w:szCs w:val="28"/>
        </w:rPr>
        <w:t xml:space="preserve"> </w:t>
      </w:r>
      <w:r w:rsidRPr="00320A86">
        <w:rPr>
          <w:rFonts w:eastAsia="Calibri"/>
          <w:color w:val="000000"/>
          <w:szCs w:val="28"/>
        </w:rPr>
        <w:t>marqué</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deux</w:t>
      </w:r>
      <w:r w:rsidRPr="00320A86">
        <w:rPr>
          <w:color w:val="000000"/>
          <w:szCs w:val="28"/>
        </w:rPr>
        <w:t xml:space="preserve"> </w:t>
      </w:r>
      <w:r w:rsidRPr="00320A86">
        <w:rPr>
          <w:rFonts w:eastAsia="Calibri"/>
          <w:color w:val="000000"/>
          <w:szCs w:val="28"/>
        </w:rPr>
        <w:t>tenda</w:t>
      </w:r>
      <w:r w:rsidRPr="00320A86">
        <w:rPr>
          <w:rFonts w:eastAsia="Calibri"/>
          <w:color w:val="000000"/>
          <w:szCs w:val="28"/>
        </w:rPr>
        <w:t>n</w:t>
      </w:r>
      <w:r w:rsidRPr="00320A86">
        <w:rPr>
          <w:rFonts w:eastAsia="Calibri"/>
          <w:color w:val="000000"/>
          <w:szCs w:val="28"/>
        </w:rPr>
        <w:t>ces</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perdurent</w:t>
      </w:r>
      <w:r w:rsidRPr="00320A86">
        <w:rPr>
          <w:color w:val="000000"/>
          <w:szCs w:val="28"/>
        </w:rPr>
        <w:t xml:space="preserve"> </w:t>
      </w:r>
      <w:r w:rsidRPr="00320A86">
        <w:rPr>
          <w:rFonts w:eastAsia="Calibri"/>
          <w:color w:val="000000"/>
          <w:szCs w:val="28"/>
        </w:rPr>
        <w:t>encore :</w:t>
      </w:r>
      <w:r w:rsidRPr="00320A86">
        <w:rPr>
          <w:color w:val="000000"/>
          <w:szCs w:val="28"/>
        </w:rPr>
        <w:t xml:space="preserve"> </w:t>
      </w:r>
      <w:r w:rsidRPr="00320A86">
        <w:rPr>
          <w:rFonts w:eastAsia="Calibri"/>
          <w:color w:val="000000"/>
          <w:szCs w:val="28"/>
        </w:rPr>
        <w:t>celle</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traditionalistes,</w:t>
      </w:r>
      <w:r w:rsidRPr="00320A86">
        <w:rPr>
          <w:color w:val="000000"/>
          <w:szCs w:val="28"/>
        </w:rPr>
        <w:t xml:space="preserve"> </w:t>
      </w:r>
      <w:r w:rsidRPr="00320A86">
        <w:rPr>
          <w:rFonts w:eastAsia="Calibri"/>
          <w:color w:val="000000"/>
          <w:szCs w:val="28"/>
        </w:rPr>
        <w:t>héritiers</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anti-modernistes,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celle</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w:t>
      </w:r>
      <w:r w:rsidRPr="00320A86">
        <w:rPr>
          <w:color w:val="000000"/>
          <w:szCs w:val="28"/>
        </w:rPr>
        <w:t xml:space="preserve"> progressistes », </w:t>
      </w:r>
      <w:r w:rsidRPr="00320A86">
        <w:rPr>
          <w:rFonts w:eastAsia="Calibri"/>
          <w:color w:val="000000"/>
          <w:szCs w:val="28"/>
        </w:rPr>
        <w:t>majoritaires</w:t>
      </w:r>
      <w:r w:rsidRPr="00320A86">
        <w:rPr>
          <w:color w:val="000000"/>
          <w:szCs w:val="28"/>
        </w:rPr>
        <w:t xml:space="preserve"> </w:t>
      </w:r>
      <w:r w:rsidRPr="00320A86">
        <w:rPr>
          <w:rFonts w:eastAsia="Calibri"/>
          <w:color w:val="000000"/>
          <w:szCs w:val="28"/>
        </w:rPr>
        <w:t>lors</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concile</w:t>
      </w:r>
      <w:r w:rsidRPr="00320A86">
        <w:rPr>
          <w:color w:val="000000"/>
          <w:szCs w:val="28"/>
        </w:rPr>
        <w:t xml:space="preserve"> </w:t>
      </w:r>
      <w:r w:rsidRPr="00320A86">
        <w:rPr>
          <w:rFonts w:eastAsia="Calibri"/>
          <w:color w:val="000000"/>
          <w:szCs w:val="28"/>
        </w:rPr>
        <w:t>dont</w:t>
      </w:r>
      <w:r w:rsidRPr="00320A86">
        <w:rPr>
          <w:color w:val="000000"/>
          <w:szCs w:val="28"/>
        </w:rPr>
        <w:t xml:space="preserve"> </w:t>
      </w:r>
      <w:r w:rsidRPr="00320A86">
        <w:rPr>
          <w:rFonts w:eastAsia="Calibri"/>
          <w:color w:val="000000"/>
          <w:szCs w:val="28"/>
        </w:rPr>
        <w:t>pl</w:t>
      </w:r>
      <w:r w:rsidRPr="00320A86">
        <w:rPr>
          <w:rFonts w:eastAsia="Calibri"/>
          <w:color w:val="000000"/>
          <w:szCs w:val="28"/>
        </w:rPr>
        <w:t>u</w:t>
      </w:r>
      <w:r w:rsidRPr="00320A86">
        <w:rPr>
          <w:rFonts w:eastAsia="Calibri"/>
          <w:color w:val="000000"/>
          <w:szCs w:val="28"/>
        </w:rPr>
        <w:t>sieurs</w:t>
      </w:r>
      <w:r w:rsidRPr="00320A86">
        <w:rPr>
          <w:color w:val="000000"/>
          <w:szCs w:val="28"/>
        </w:rPr>
        <w:t xml:space="preserve"> </w:t>
      </w:r>
      <w:r w:rsidRPr="00320A86">
        <w:rPr>
          <w:rFonts w:eastAsia="Calibri"/>
          <w:color w:val="000000"/>
          <w:szCs w:val="28"/>
        </w:rPr>
        <w:t>textes</w:t>
      </w:r>
      <w:r w:rsidRPr="00320A86">
        <w:rPr>
          <w:color w:val="000000"/>
          <w:szCs w:val="28"/>
        </w:rPr>
        <w:t xml:space="preserve"> </w:t>
      </w:r>
      <w:r w:rsidRPr="00320A86">
        <w:rPr>
          <w:rFonts w:eastAsia="Calibri"/>
          <w:color w:val="000000"/>
          <w:szCs w:val="28"/>
        </w:rPr>
        <w:t>découlent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leur</w:t>
      </w:r>
      <w:r w:rsidRPr="00320A86">
        <w:rPr>
          <w:color w:val="000000"/>
          <w:szCs w:val="28"/>
        </w:rPr>
        <w:t xml:space="preserve"> </w:t>
      </w:r>
      <w:r w:rsidRPr="00320A86">
        <w:rPr>
          <w:rFonts w:eastAsia="Calibri"/>
          <w:color w:val="000000"/>
          <w:szCs w:val="28"/>
        </w:rPr>
        <w:t>influence</w:t>
      </w:r>
      <w:r w:rsidRPr="00320A86">
        <w:rPr>
          <w:color w:val="000000"/>
          <w:szCs w:val="28"/>
        </w:rPr>
        <w:t xml:space="preserve"> </w:t>
      </w:r>
      <w:r w:rsidRPr="00320A86">
        <w:rPr>
          <w:rFonts w:eastAsia="Calibri"/>
          <w:color w:val="000000"/>
          <w:szCs w:val="28"/>
        </w:rPr>
        <w:t>prépondérante.</w:t>
      </w:r>
    </w:p>
    <w:p w14:paraId="1617BF59" w14:textId="77777777" w:rsidR="00B01930" w:rsidRPr="00320A86" w:rsidRDefault="00B01930" w:rsidP="00B01930">
      <w:pPr>
        <w:spacing w:before="120" w:after="120"/>
        <w:jc w:val="both"/>
        <w:rPr>
          <w:color w:val="000000"/>
          <w:szCs w:val="28"/>
        </w:rPr>
      </w:pPr>
      <w:r w:rsidRPr="00320A86">
        <w:rPr>
          <w:rFonts w:eastAsia="Calibri"/>
          <w:color w:val="000000"/>
          <w:szCs w:val="28"/>
        </w:rPr>
        <w:t>Sur</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plan</w:t>
      </w:r>
      <w:r w:rsidRPr="00320A86">
        <w:rPr>
          <w:color w:val="000000"/>
          <w:szCs w:val="28"/>
        </w:rPr>
        <w:t xml:space="preserve"> </w:t>
      </w:r>
      <w:r w:rsidRPr="00320A86">
        <w:rPr>
          <w:rFonts w:eastAsia="Calibri"/>
          <w:color w:val="000000"/>
          <w:szCs w:val="28"/>
        </w:rPr>
        <w:t>politique,</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filiations</w:t>
      </w:r>
      <w:r w:rsidRPr="00320A86">
        <w:rPr>
          <w:color w:val="000000"/>
          <w:szCs w:val="28"/>
        </w:rPr>
        <w:t xml:space="preserve"> </w:t>
      </w:r>
      <w:r w:rsidRPr="00320A86">
        <w:rPr>
          <w:rFonts w:eastAsia="Calibri"/>
          <w:color w:val="000000"/>
          <w:szCs w:val="28"/>
        </w:rPr>
        <w:t>ne</w:t>
      </w:r>
      <w:r w:rsidRPr="00320A86">
        <w:rPr>
          <w:color w:val="000000"/>
          <w:szCs w:val="28"/>
        </w:rPr>
        <w:t xml:space="preserve"> </w:t>
      </w:r>
      <w:r w:rsidRPr="00320A86">
        <w:rPr>
          <w:rFonts w:eastAsia="Calibri"/>
          <w:color w:val="000000"/>
          <w:szCs w:val="28"/>
        </w:rPr>
        <w:t>sont</w:t>
      </w:r>
      <w:r w:rsidRPr="00320A86">
        <w:rPr>
          <w:color w:val="000000"/>
          <w:szCs w:val="28"/>
        </w:rPr>
        <w:t xml:space="preserve"> </w:t>
      </w:r>
      <w:r w:rsidRPr="00320A86">
        <w:rPr>
          <w:rFonts w:eastAsia="Calibri"/>
          <w:color w:val="000000"/>
          <w:szCs w:val="28"/>
        </w:rPr>
        <w:t>pas</w:t>
      </w:r>
      <w:r w:rsidRPr="00320A86">
        <w:rPr>
          <w:color w:val="000000"/>
          <w:szCs w:val="28"/>
        </w:rPr>
        <w:t xml:space="preserve"> </w:t>
      </w:r>
      <w:r w:rsidRPr="00320A86">
        <w:rPr>
          <w:rFonts w:eastAsia="Calibri"/>
          <w:color w:val="000000"/>
          <w:szCs w:val="28"/>
        </w:rPr>
        <w:t>moins</w:t>
      </w:r>
      <w:r w:rsidRPr="00320A86">
        <w:rPr>
          <w:color w:val="000000"/>
          <w:szCs w:val="28"/>
        </w:rPr>
        <w:t xml:space="preserve"> </w:t>
      </w:r>
      <w:r w:rsidRPr="00320A86">
        <w:rPr>
          <w:rFonts w:eastAsia="Calibri"/>
          <w:color w:val="000000"/>
          <w:szCs w:val="28"/>
        </w:rPr>
        <w:t>décisives</w:t>
      </w:r>
      <w:r w:rsidRPr="00320A86">
        <w:rPr>
          <w:color w:val="000000"/>
          <w:szCs w:val="28"/>
        </w:rPr>
        <w:t xml:space="preserve"> : </w:t>
      </w:r>
      <w:r w:rsidRPr="00320A86">
        <w:rPr>
          <w:rFonts w:eastAsia="Calibri"/>
          <w:color w:val="000000"/>
          <w:szCs w:val="28"/>
        </w:rPr>
        <w:t>jusqu</w:t>
      </w:r>
      <w:r w:rsidRPr="00320A86">
        <w:rPr>
          <w:color w:val="000000"/>
          <w:szCs w:val="28"/>
        </w:rPr>
        <w:t>’</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fin</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XIX</w:t>
      </w:r>
      <w:r w:rsidRPr="00320A86">
        <w:rPr>
          <w:rFonts w:eastAsia="Calibri"/>
          <w:color w:val="000000"/>
          <w:szCs w:val="28"/>
          <w:vertAlign w:val="superscript"/>
        </w:rPr>
        <w:t>e</w:t>
      </w:r>
      <w:r w:rsidRPr="00320A86">
        <w:rPr>
          <w:color w:val="000000"/>
          <w:szCs w:val="28"/>
        </w:rPr>
        <w:t xml:space="preserve"> </w:t>
      </w:r>
      <w:r w:rsidRPr="00320A86">
        <w:rPr>
          <w:rFonts w:eastAsia="Calibri"/>
          <w:color w:val="000000"/>
          <w:szCs w:val="28"/>
        </w:rPr>
        <w:t>siècle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fameux</w:t>
      </w:r>
      <w:r w:rsidRPr="00320A86">
        <w:rPr>
          <w:color w:val="000000"/>
          <w:szCs w:val="28"/>
        </w:rPr>
        <w:t xml:space="preserve"> </w:t>
      </w:r>
      <w:r w:rsidRPr="00320A86">
        <w:rPr>
          <w:rFonts w:eastAsia="Calibri"/>
          <w:color w:val="000000"/>
          <w:szCs w:val="28"/>
        </w:rPr>
        <w:t>«</w:t>
      </w:r>
      <w:r w:rsidRPr="00320A86">
        <w:rPr>
          <w:color w:val="000000"/>
          <w:szCs w:val="28"/>
        </w:rPr>
        <w:t xml:space="preserve"> ralliement » </w:t>
      </w:r>
      <w:r w:rsidRPr="00320A86">
        <w:rPr>
          <w:rFonts w:eastAsia="Calibri"/>
          <w:color w:val="000000"/>
          <w:szCs w:val="28"/>
        </w:rPr>
        <w:t>exprimé</w:t>
      </w:r>
      <w:r w:rsidRPr="00320A86">
        <w:rPr>
          <w:color w:val="000000"/>
          <w:szCs w:val="28"/>
        </w:rPr>
        <w:t xml:space="preserve"> </w:t>
      </w:r>
      <w:r w:rsidRPr="00320A86">
        <w:rPr>
          <w:rFonts w:eastAsia="Calibri"/>
          <w:color w:val="000000"/>
          <w:szCs w:val="28"/>
        </w:rPr>
        <w:t>lors</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w:t>
      </w:r>
      <w:r w:rsidRPr="00320A86">
        <w:rPr>
          <w:color w:val="000000"/>
          <w:szCs w:val="28"/>
        </w:rPr>
        <w:t xml:space="preserve"> toast </w:t>
      </w:r>
      <w:r w:rsidRPr="00320A86">
        <w:rPr>
          <w:rFonts w:eastAsia="Calibri"/>
          <w:color w:val="000000"/>
          <w:szCs w:val="28"/>
        </w:rPr>
        <w:t>d</w:t>
      </w:r>
      <w:r w:rsidRPr="00320A86">
        <w:rPr>
          <w:color w:val="000000"/>
          <w:szCs w:val="28"/>
        </w:rPr>
        <w:t>’</w:t>
      </w:r>
      <w:r w:rsidRPr="00320A86">
        <w:rPr>
          <w:rFonts w:eastAsia="Calibri"/>
          <w:color w:val="000000"/>
          <w:szCs w:val="28"/>
        </w:rPr>
        <w:t>Alger</w:t>
      </w:r>
      <w:r w:rsidRPr="00320A86">
        <w:rPr>
          <w:color w:val="000000"/>
          <w:szCs w:val="28"/>
        </w:rPr>
        <w:t xml:space="preserve"> »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cardinal</w:t>
      </w:r>
      <w:r w:rsidRPr="00320A86">
        <w:rPr>
          <w:color w:val="000000"/>
          <w:szCs w:val="28"/>
        </w:rPr>
        <w:t xml:space="preserve"> </w:t>
      </w:r>
      <w:r w:rsidRPr="00320A86">
        <w:rPr>
          <w:rFonts w:eastAsia="Calibri"/>
          <w:color w:val="000000"/>
          <w:szCs w:val="28"/>
        </w:rPr>
        <w:t>Lavigerie</w:t>
      </w:r>
      <w:r w:rsidRPr="00320A86">
        <w:rPr>
          <w:color w:val="000000"/>
          <w:szCs w:val="28"/>
        </w:rPr>
        <w:t xml:space="preserve"> </w:t>
      </w:r>
      <w:r w:rsidRPr="00320A86">
        <w:rPr>
          <w:rFonts w:eastAsia="Calibri"/>
          <w:color w:val="000000"/>
          <w:szCs w:val="28"/>
        </w:rPr>
        <w:t>(1890)</w:t>
      </w:r>
      <w:r>
        <w:rPr>
          <w:rFonts w:eastAsia="Calibri"/>
          <w:color w:val="000000"/>
          <w:szCs w:val="28"/>
        </w:rPr>
        <w:t> </w:t>
      </w:r>
      <w:r>
        <w:rPr>
          <w:rStyle w:val="Appelnotedebasdep"/>
          <w:rFonts w:eastAsia="Calibri"/>
          <w:szCs w:val="28"/>
        </w:rPr>
        <w:footnoteReference w:id="1175"/>
      </w:r>
      <w:r w:rsidRPr="00320A86">
        <w:rPr>
          <w:rFonts w:eastAsia="Calibri"/>
          <w:color w:val="000000"/>
          <w:szCs w:val="28"/>
        </w:rPr>
        <w:t>,</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Église</w:t>
      </w:r>
      <w:r w:rsidRPr="00320A86">
        <w:rPr>
          <w:color w:val="000000"/>
          <w:szCs w:val="28"/>
        </w:rPr>
        <w:t xml:space="preserve"> </w:t>
      </w:r>
      <w:r w:rsidRPr="00320A86">
        <w:rPr>
          <w:rFonts w:eastAsia="Calibri"/>
          <w:color w:val="000000"/>
          <w:szCs w:val="28"/>
        </w:rPr>
        <w:t>off</w:t>
      </w:r>
      <w:r w:rsidRPr="00320A86">
        <w:rPr>
          <w:rFonts w:eastAsia="Calibri"/>
          <w:color w:val="000000"/>
          <w:szCs w:val="28"/>
        </w:rPr>
        <w:t>i</w:t>
      </w:r>
      <w:r w:rsidRPr="00320A86">
        <w:rPr>
          <w:rFonts w:eastAsia="Calibri"/>
          <w:color w:val="000000"/>
          <w:szCs w:val="28"/>
        </w:rPr>
        <w:t>cielle</w:t>
      </w:r>
      <w:r w:rsidRPr="00320A86">
        <w:rPr>
          <w:color w:val="000000"/>
          <w:szCs w:val="28"/>
        </w:rPr>
        <w:t xml:space="preserve"> </w:t>
      </w:r>
      <w:r w:rsidRPr="00320A86">
        <w:rPr>
          <w:rFonts w:eastAsia="Calibri"/>
          <w:color w:val="000000"/>
          <w:szCs w:val="28"/>
        </w:rPr>
        <w:t>ne</w:t>
      </w:r>
      <w:r w:rsidRPr="00320A86">
        <w:rPr>
          <w:color w:val="000000"/>
          <w:szCs w:val="28"/>
        </w:rPr>
        <w:t xml:space="preserve"> </w:t>
      </w:r>
      <w:r w:rsidRPr="00320A86">
        <w:rPr>
          <w:rFonts w:eastAsia="Calibri"/>
          <w:color w:val="000000"/>
          <w:szCs w:val="28"/>
        </w:rPr>
        <w:t>cesse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condamner</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héritage</w:t>
      </w:r>
      <w:r w:rsidRPr="00320A86">
        <w:rPr>
          <w:color w:val="000000"/>
          <w:szCs w:val="28"/>
        </w:rPr>
        <w:t xml:space="preserve"> </w:t>
      </w:r>
      <w:r w:rsidRPr="00320A86">
        <w:rPr>
          <w:rFonts w:eastAsia="Calibri"/>
          <w:color w:val="000000"/>
          <w:szCs w:val="28"/>
        </w:rPr>
        <w:t>révolutionnaire</w:t>
      </w:r>
      <w:r w:rsidRPr="00320A86">
        <w:rPr>
          <w:color w:val="000000"/>
          <w:szCs w:val="28"/>
        </w:rPr>
        <w:t xml:space="preserve"> </w:t>
      </w:r>
      <w:r w:rsidRPr="00320A86">
        <w:rPr>
          <w:rFonts w:eastAsia="Calibri"/>
          <w:color w:val="000000"/>
          <w:szCs w:val="28"/>
        </w:rPr>
        <w:t>français,</w:t>
      </w:r>
      <w:r w:rsidRPr="00320A86">
        <w:rPr>
          <w:color w:val="000000"/>
          <w:szCs w:val="28"/>
        </w:rPr>
        <w:t xml:space="preserve"> </w:t>
      </w:r>
      <w:r w:rsidRPr="00320A86">
        <w:rPr>
          <w:rFonts w:eastAsia="Calibri"/>
          <w:color w:val="000000"/>
          <w:szCs w:val="28"/>
        </w:rPr>
        <w:t>a</w:t>
      </w:r>
      <w:r w:rsidRPr="00320A86">
        <w:rPr>
          <w:rFonts w:eastAsia="Calibri"/>
          <w:color w:val="000000"/>
          <w:szCs w:val="28"/>
        </w:rPr>
        <w:t>u</w:t>
      </w:r>
      <w:r w:rsidRPr="00320A86">
        <w:rPr>
          <w:rFonts w:eastAsia="Calibri"/>
          <w:color w:val="000000"/>
          <w:szCs w:val="28"/>
        </w:rPr>
        <w:t>tant</w:t>
      </w:r>
      <w:r w:rsidRPr="00320A86">
        <w:rPr>
          <w:color w:val="000000"/>
          <w:szCs w:val="28"/>
        </w:rPr>
        <w:t xml:space="preserve"> </w:t>
      </w:r>
      <w:r w:rsidRPr="00320A86">
        <w:rPr>
          <w:rFonts w:eastAsia="Calibri"/>
          <w:color w:val="000000"/>
          <w:szCs w:val="28"/>
        </w:rPr>
        <w:t>pour</w:t>
      </w:r>
      <w:r w:rsidRPr="00320A86">
        <w:rPr>
          <w:color w:val="000000"/>
          <w:szCs w:val="28"/>
        </w:rPr>
        <w:t xml:space="preserve"> </w:t>
      </w:r>
      <w:r w:rsidRPr="00320A86">
        <w:rPr>
          <w:rFonts w:eastAsia="Calibri"/>
          <w:color w:val="000000"/>
          <w:szCs w:val="28"/>
        </w:rPr>
        <w:t>ses</w:t>
      </w:r>
      <w:r w:rsidRPr="00320A86">
        <w:rPr>
          <w:color w:val="000000"/>
          <w:szCs w:val="28"/>
        </w:rPr>
        <w:t xml:space="preserve"> </w:t>
      </w:r>
      <w:r w:rsidRPr="00320A86">
        <w:rPr>
          <w:rFonts w:eastAsia="Calibri"/>
          <w:color w:val="000000"/>
          <w:szCs w:val="28"/>
        </w:rPr>
        <w:t>acquis</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droits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Homme</w:t>
      </w:r>
      <w:r w:rsidRPr="00320A86">
        <w:rPr>
          <w:color w:val="000000"/>
          <w:szCs w:val="28"/>
        </w:rPr>
        <w:t xml:space="preserve"> </w:t>
      </w:r>
      <w:r w:rsidRPr="00320A86">
        <w:rPr>
          <w:rFonts w:eastAsia="Calibri"/>
          <w:color w:val="000000"/>
          <w:szCs w:val="28"/>
        </w:rPr>
        <w:t>opposés</w:t>
      </w:r>
      <w:r w:rsidRPr="00320A86">
        <w:rPr>
          <w:color w:val="000000"/>
          <w:szCs w:val="28"/>
        </w:rPr>
        <w:t xml:space="preserve"> </w:t>
      </w:r>
      <w:r w:rsidRPr="00320A86">
        <w:rPr>
          <w:rFonts w:eastAsia="Calibri"/>
          <w:color w:val="000000"/>
          <w:szCs w:val="28"/>
        </w:rPr>
        <w:t>aux</w:t>
      </w:r>
      <w:r w:rsidRPr="00320A86">
        <w:rPr>
          <w:color w:val="000000"/>
          <w:szCs w:val="28"/>
        </w:rPr>
        <w:t xml:space="preserve"> </w:t>
      </w:r>
      <w:r w:rsidRPr="00320A86">
        <w:rPr>
          <w:rFonts w:eastAsia="Calibri"/>
          <w:color w:val="000000"/>
          <w:szCs w:val="28"/>
        </w:rPr>
        <w:t>droits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Dieu),</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pour</w:t>
      </w:r>
      <w:r w:rsidRPr="00320A86">
        <w:rPr>
          <w:color w:val="000000"/>
          <w:szCs w:val="28"/>
        </w:rPr>
        <w:t xml:space="preserve"> </w:t>
      </w:r>
      <w:r w:rsidRPr="00320A86">
        <w:rPr>
          <w:rFonts w:eastAsia="Calibri"/>
          <w:color w:val="000000"/>
          <w:szCs w:val="28"/>
        </w:rPr>
        <w:t>ses</w:t>
      </w:r>
      <w:r w:rsidRPr="00320A86">
        <w:rPr>
          <w:color w:val="000000"/>
          <w:szCs w:val="28"/>
        </w:rPr>
        <w:t xml:space="preserve"> </w:t>
      </w:r>
      <w:r w:rsidRPr="00320A86">
        <w:rPr>
          <w:rFonts w:eastAsia="Calibri"/>
          <w:color w:val="000000"/>
          <w:szCs w:val="28"/>
        </w:rPr>
        <w:t>fondements</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esprit</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Lumières</w:t>
      </w:r>
      <w:r w:rsidRPr="00320A86">
        <w:rPr>
          <w:color w:val="000000"/>
          <w:szCs w:val="28"/>
        </w:rPr>
        <w:t xml:space="preserve"> </w:t>
      </w:r>
      <w:r w:rsidRPr="00320A86">
        <w:rPr>
          <w:rFonts w:eastAsia="Calibri"/>
          <w:color w:val="000000"/>
          <w:szCs w:val="28"/>
        </w:rPr>
        <w:t>agnostique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anticlérical).</w:t>
      </w:r>
      <w:r w:rsidRPr="00320A86">
        <w:rPr>
          <w:color w:val="000000"/>
          <w:szCs w:val="28"/>
        </w:rPr>
        <w:t xml:space="preserve"> </w:t>
      </w:r>
      <w:r w:rsidRPr="00320A86">
        <w:rPr>
          <w:rFonts w:eastAsia="Calibri"/>
          <w:color w:val="000000"/>
          <w:szCs w:val="28"/>
        </w:rPr>
        <w:t>Déconcertés</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ce</w:t>
      </w:r>
      <w:r w:rsidRPr="00320A86">
        <w:rPr>
          <w:color w:val="000000"/>
          <w:szCs w:val="28"/>
        </w:rPr>
        <w:t xml:space="preserve"> </w:t>
      </w:r>
      <w:r w:rsidRPr="00320A86">
        <w:rPr>
          <w:rFonts w:eastAsia="Calibri"/>
          <w:color w:val="000000"/>
          <w:szCs w:val="28"/>
        </w:rPr>
        <w:t>revirement</w:t>
      </w:r>
      <w:r w:rsidRPr="00320A86">
        <w:rPr>
          <w:color w:val="000000"/>
          <w:szCs w:val="28"/>
        </w:rPr>
        <w:t xml:space="preserve"> </w:t>
      </w:r>
      <w:r w:rsidRPr="00320A86">
        <w:rPr>
          <w:rFonts w:eastAsia="Calibri"/>
          <w:color w:val="000000"/>
          <w:szCs w:val="28"/>
        </w:rPr>
        <w:t>tardif,</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monarchistes</w:t>
      </w:r>
      <w:r w:rsidRPr="00320A86">
        <w:rPr>
          <w:color w:val="000000"/>
          <w:szCs w:val="28"/>
        </w:rPr>
        <w:t xml:space="preserve"> </w:t>
      </w:r>
      <w:r w:rsidRPr="00320A86">
        <w:rPr>
          <w:rFonts w:eastAsia="Calibri"/>
          <w:color w:val="000000"/>
          <w:szCs w:val="28"/>
        </w:rPr>
        <w:t>français,</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grande</w:t>
      </w:r>
      <w:r w:rsidRPr="00320A86">
        <w:rPr>
          <w:color w:val="000000"/>
          <w:szCs w:val="28"/>
        </w:rPr>
        <w:t xml:space="preserve"> </w:t>
      </w:r>
      <w:r w:rsidRPr="00320A86">
        <w:rPr>
          <w:rFonts w:eastAsia="Calibri"/>
          <w:color w:val="000000"/>
          <w:szCs w:val="28"/>
        </w:rPr>
        <w:t>majorité</w:t>
      </w:r>
      <w:r w:rsidRPr="00320A86">
        <w:rPr>
          <w:color w:val="000000"/>
          <w:szCs w:val="28"/>
        </w:rPr>
        <w:t xml:space="preserve"> </w:t>
      </w:r>
      <w:r w:rsidRPr="00320A86">
        <w:rPr>
          <w:rFonts w:eastAsia="Calibri"/>
          <w:color w:val="000000"/>
          <w:szCs w:val="28"/>
        </w:rPr>
        <w:t>catholiques,</w:t>
      </w:r>
      <w:r w:rsidRPr="00320A86">
        <w:rPr>
          <w:color w:val="000000"/>
          <w:szCs w:val="28"/>
        </w:rPr>
        <w:t xml:space="preserve"> </w:t>
      </w:r>
      <w:r w:rsidRPr="00320A86">
        <w:rPr>
          <w:rFonts w:eastAsia="Calibri"/>
          <w:color w:val="000000"/>
          <w:szCs w:val="28"/>
        </w:rPr>
        <w:t>rejoindront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masse</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rangs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w:t>
      </w:r>
      <w:r w:rsidRPr="00320A86">
        <w:rPr>
          <w:color w:val="000000"/>
          <w:szCs w:val="28"/>
        </w:rPr>
        <w:t>’</w:t>
      </w:r>
      <w:r w:rsidRPr="00E11556">
        <w:rPr>
          <w:rFonts w:eastAsia="Calibri"/>
          <w:i/>
          <w:color w:val="000000"/>
          <w:szCs w:val="28"/>
        </w:rPr>
        <w:t>Action</w:t>
      </w:r>
      <w:r w:rsidRPr="00E11556">
        <w:rPr>
          <w:i/>
          <w:color w:val="000000"/>
          <w:szCs w:val="28"/>
        </w:rPr>
        <w:t xml:space="preserve"> </w:t>
      </w:r>
      <w:r w:rsidRPr="00E11556">
        <w:rPr>
          <w:rFonts w:eastAsia="Calibri"/>
          <w:i/>
          <w:color w:val="000000"/>
          <w:szCs w:val="28"/>
        </w:rPr>
        <w:t>française</w:t>
      </w:r>
      <w:r w:rsidRPr="00E11556">
        <w:rPr>
          <w:i/>
          <w:color w:val="000000"/>
          <w:szCs w:val="28"/>
        </w:rPr>
        <w:t xml:space="preserve"> </w:t>
      </w:r>
      <w:r w:rsidRPr="00320A86">
        <w:rPr>
          <w:rFonts w:eastAsia="Calibri"/>
          <w:color w:val="000000"/>
          <w:szCs w:val="28"/>
        </w:rPr>
        <w:t>où</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idéologie</w:t>
      </w:r>
      <w:r w:rsidRPr="00320A86">
        <w:rPr>
          <w:color w:val="000000"/>
          <w:szCs w:val="28"/>
        </w:rPr>
        <w:t xml:space="preserve"> </w:t>
      </w:r>
      <w:r w:rsidRPr="00320A86">
        <w:rPr>
          <w:rFonts w:eastAsia="Calibri"/>
          <w:color w:val="000000"/>
          <w:szCs w:val="28"/>
        </w:rPr>
        <w:t>répandue</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Charles</w:t>
      </w:r>
      <w:r w:rsidRPr="00320A86">
        <w:rPr>
          <w:color w:val="000000"/>
          <w:szCs w:val="28"/>
        </w:rPr>
        <w:t xml:space="preserve"> </w:t>
      </w:r>
      <w:r w:rsidRPr="00320A86">
        <w:rPr>
          <w:rFonts w:eastAsia="Calibri"/>
          <w:color w:val="000000"/>
          <w:szCs w:val="28"/>
        </w:rPr>
        <w:t>Maurras</w:t>
      </w:r>
      <w:r w:rsidRPr="00320A86">
        <w:rPr>
          <w:color w:val="000000"/>
          <w:szCs w:val="28"/>
        </w:rPr>
        <w:t xml:space="preserve"> </w:t>
      </w:r>
      <w:r w:rsidRPr="00320A86">
        <w:rPr>
          <w:rFonts w:eastAsia="Calibri"/>
          <w:color w:val="000000"/>
          <w:szCs w:val="28"/>
        </w:rPr>
        <w:t>servira</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ralliement</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tous</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anti-républicains.</w:t>
      </w:r>
      <w:r w:rsidRPr="00320A86">
        <w:rPr>
          <w:color w:val="000000"/>
          <w:szCs w:val="28"/>
        </w:rPr>
        <w:t xml:space="preserve"> </w:t>
      </w:r>
      <w:r w:rsidRPr="00320A86">
        <w:rPr>
          <w:rFonts w:eastAsia="Calibri"/>
          <w:color w:val="000000"/>
          <w:szCs w:val="28"/>
        </w:rPr>
        <w:t>Ils</w:t>
      </w:r>
      <w:r w:rsidRPr="00320A86">
        <w:rPr>
          <w:color w:val="000000"/>
          <w:szCs w:val="28"/>
        </w:rPr>
        <w:t xml:space="preserve"> </w:t>
      </w:r>
      <w:r w:rsidRPr="00320A86">
        <w:rPr>
          <w:rFonts w:eastAsia="Calibri"/>
          <w:color w:val="000000"/>
          <w:szCs w:val="28"/>
        </w:rPr>
        <w:t>y</w:t>
      </w:r>
      <w:r w:rsidRPr="00320A86">
        <w:rPr>
          <w:color w:val="000000"/>
          <w:szCs w:val="28"/>
        </w:rPr>
        <w:t xml:space="preserve"> </w:t>
      </w:r>
      <w:r w:rsidRPr="00320A86">
        <w:rPr>
          <w:rFonts w:eastAsia="Calibri"/>
          <w:color w:val="000000"/>
          <w:szCs w:val="28"/>
        </w:rPr>
        <w:t>retrouveront</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thèmes</w:t>
      </w:r>
      <w:r w:rsidRPr="00320A86">
        <w:rPr>
          <w:color w:val="000000"/>
          <w:szCs w:val="28"/>
        </w:rPr>
        <w:t xml:space="preserve"> </w:t>
      </w:r>
      <w:r w:rsidRPr="00320A86">
        <w:rPr>
          <w:rFonts w:eastAsia="Calibri"/>
          <w:color w:val="000000"/>
          <w:szCs w:val="28"/>
        </w:rPr>
        <w:t>déjà</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vogue</w:t>
      </w:r>
      <w:r w:rsidRPr="00320A86">
        <w:rPr>
          <w:color w:val="000000"/>
          <w:szCs w:val="28"/>
        </w:rPr>
        <w:t xml:space="preserve"> </w:t>
      </w:r>
      <w:r w:rsidRPr="00320A86">
        <w:rPr>
          <w:rFonts w:eastAsia="Calibri"/>
          <w:color w:val="000000"/>
          <w:szCs w:val="28"/>
        </w:rPr>
        <w:t>lors</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réactions</w:t>
      </w:r>
      <w:r w:rsidRPr="00320A86">
        <w:rPr>
          <w:color w:val="000000"/>
          <w:szCs w:val="28"/>
        </w:rPr>
        <w:t xml:space="preserve"> </w:t>
      </w:r>
      <w:r w:rsidRPr="00320A86">
        <w:rPr>
          <w:rFonts w:eastAsia="Calibri"/>
          <w:color w:val="000000"/>
          <w:szCs w:val="28"/>
        </w:rPr>
        <w:t>anti-révolutionnaires,</w:t>
      </w:r>
      <w:r w:rsidRPr="00320A86">
        <w:rPr>
          <w:color w:val="000000"/>
          <w:szCs w:val="28"/>
        </w:rPr>
        <w:t xml:space="preserve"> </w:t>
      </w:r>
      <w:r w:rsidRPr="00320A86">
        <w:rPr>
          <w:rFonts w:eastAsia="Calibri"/>
          <w:color w:val="000000"/>
          <w:szCs w:val="28"/>
        </w:rPr>
        <w:t>tels</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anti-libéralisme,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anti-capitalisme,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320A86">
        <w:rPr>
          <w:rFonts w:eastAsia="Calibri"/>
          <w:color w:val="000000"/>
          <w:szCs w:val="28"/>
        </w:rPr>
        <w:t>nationalisme</w:t>
      </w:r>
      <w:r w:rsidRPr="00320A86">
        <w:rPr>
          <w:color w:val="000000"/>
          <w:szCs w:val="28"/>
        </w:rPr>
        <w:t xml:space="preserve"> </w:t>
      </w:r>
      <w:r w:rsidRPr="00320A86">
        <w:rPr>
          <w:rFonts w:eastAsia="Calibri"/>
          <w:color w:val="000000"/>
          <w:szCs w:val="28"/>
        </w:rPr>
        <w:t>revisité,</w:t>
      </w:r>
      <w:r w:rsidRPr="00320A86">
        <w:rPr>
          <w:color w:val="000000"/>
          <w:szCs w:val="28"/>
        </w:rPr>
        <w:t xml:space="preserve"> </w:t>
      </w:r>
      <w:r w:rsidRPr="00320A86">
        <w:rPr>
          <w:rFonts w:eastAsia="Calibri"/>
          <w:color w:val="000000"/>
          <w:szCs w:val="28"/>
        </w:rPr>
        <w:t>tro</w:t>
      </w:r>
      <w:r w:rsidRPr="00320A86">
        <w:rPr>
          <w:rFonts w:eastAsia="Calibri"/>
          <w:color w:val="000000"/>
          <w:szCs w:val="28"/>
        </w:rPr>
        <w:t>u</w:t>
      </w:r>
      <w:r w:rsidRPr="00320A86">
        <w:rPr>
          <w:rFonts w:eastAsia="Calibri"/>
          <w:color w:val="000000"/>
          <w:szCs w:val="28"/>
        </w:rPr>
        <w:t>vant</w:t>
      </w:r>
      <w:r w:rsidRPr="00320A86">
        <w:rPr>
          <w:color w:val="000000"/>
          <w:szCs w:val="28"/>
        </w:rPr>
        <w:t xml:space="preserve"> </w:t>
      </w:r>
      <w:r w:rsidRPr="00320A86">
        <w:rPr>
          <w:rFonts w:eastAsia="Calibri"/>
          <w:color w:val="000000"/>
          <w:szCs w:val="28"/>
        </w:rPr>
        <w:t>sa</w:t>
      </w:r>
      <w:r w:rsidRPr="00320A86">
        <w:rPr>
          <w:color w:val="000000"/>
          <w:szCs w:val="28"/>
        </w:rPr>
        <w:t xml:space="preserve"> </w:t>
      </w:r>
      <w:r w:rsidRPr="00320A86">
        <w:rPr>
          <w:rFonts w:eastAsia="Calibri"/>
          <w:color w:val="000000"/>
          <w:szCs w:val="28"/>
        </w:rPr>
        <w:t>légitimité</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ordre</w:t>
      </w:r>
      <w:r w:rsidRPr="00320A86">
        <w:rPr>
          <w:color w:val="000000"/>
          <w:szCs w:val="28"/>
        </w:rPr>
        <w:t xml:space="preserve"> </w:t>
      </w:r>
      <w:r w:rsidRPr="00320A86">
        <w:rPr>
          <w:rFonts w:eastAsia="Calibri"/>
          <w:color w:val="000000"/>
          <w:szCs w:val="28"/>
        </w:rPr>
        <w:t>nat</w:t>
      </w:r>
      <w:r w:rsidRPr="00320A86">
        <w:rPr>
          <w:rFonts w:eastAsia="Calibri"/>
          <w:color w:val="000000"/>
          <w:szCs w:val="28"/>
        </w:rPr>
        <w:t>u</w:t>
      </w:r>
      <w:r w:rsidRPr="00320A86">
        <w:rPr>
          <w:rFonts w:eastAsia="Calibri"/>
          <w:color w:val="000000"/>
          <w:szCs w:val="28"/>
        </w:rPr>
        <w:t>rel,</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non</w:t>
      </w:r>
      <w:r w:rsidRPr="00320A86">
        <w:rPr>
          <w:color w:val="000000"/>
          <w:szCs w:val="28"/>
        </w:rPr>
        <w:t xml:space="preserve"> </w:t>
      </w:r>
      <w:r w:rsidRPr="00320A86">
        <w:rPr>
          <w:rFonts w:eastAsia="Calibri"/>
          <w:color w:val="000000"/>
          <w:szCs w:val="28"/>
        </w:rPr>
        <w:t>dans</w:t>
      </w:r>
      <w:r w:rsidRPr="00320A86">
        <w:rPr>
          <w:color w:val="000000"/>
          <w:szCs w:val="28"/>
        </w:rPr>
        <w:t xml:space="preserve"> les </w:t>
      </w:r>
      <w:r w:rsidRPr="00320A86">
        <w:rPr>
          <w:rFonts w:eastAsia="Calibri"/>
          <w:color w:val="000000"/>
          <w:szCs w:val="28"/>
        </w:rPr>
        <w:t>constructions</w:t>
      </w:r>
      <w:r w:rsidRPr="00320A86">
        <w:rPr>
          <w:color w:val="000000"/>
          <w:szCs w:val="28"/>
        </w:rPr>
        <w:t xml:space="preserve"> </w:t>
      </w:r>
      <w:r w:rsidRPr="00320A86">
        <w:rPr>
          <w:rFonts w:eastAsia="Calibri"/>
          <w:color w:val="000000"/>
          <w:szCs w:val="28"/>
        </w:rPr>
        <w:t>révolutionnaires.</w:t>
      </w:r>
      <w:r w:rsidRPr="00320A86">
        <w:rPr>
          <w:color w:val="000000"/>
          <w:szCs w:val="28"/>
        </w:rPr>
        <w:t xml:space="preserve"> </w:t>
      </w:r>
      <w:r w:rsidRPr="00320A86">
        <w:rPr>
          <w:rFonts w:eastAsia="Calibri"/>
          <w:color w:val="000000"/>
          <w:szCs w:val="28"/>
        </w:rPr>
        <w:t>Mais</w:t>
      </w:r>
      <w:r w:rsidRPr="00320A86">
        <w:rPr>
          <w:color w:val="000000"/>
          <w:szCs w:val="28"/>
        </w:rPr>
        <w:t xml:space="preserve"> </w:t>
      </w:r>
      <w:r w:rsidRPr="00320A86">
        <w:rPr>
          <w:rFonts w:eastAsia="Calibri"/>
          <w:color w:val="000000"/>
          <w:szCs w:val="28"/>
        </w:rPr>
        <w:t>Charles</w:t>
      </w:r>
      <w:r w:rsidRPr="00320A86">
        <w:rPr>
          <w:color w:val="000000"/>
          <w:szCs w:val="28"/>
        </w:rPr>
        <w:t xml:space="preserve"> </w:t>
      </w:r>
      <w:r w:rsidRPr="00320A86">
        <w:rPr>
          <w:rFonts w:eastAsia="Calibri"/>
          <w:color w:val="000000"/>
          <w:szCs w:val="28"/>
        </w:rPr>
        <w:t>Maurras</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athée,</w:t>
      </w:r>
      <w:r w:rsidRPr="00320A86">
        <w:rPr>
          <w:color w:val="000000"/>
          <w:szCs w:val="28"/>
        </w:rPr>
        <w:t xml:space="preserve"> </w:t>
      </w:r>
      <w:r w:rsidRPr="00320A86">
        <w:rPr>
          <w:rFonts w:eastAsia="Calibri"/>
          <w:color w:val="000000"/>
          <w:szCs w:val="28"/>
        </w:rPr>
        <w:t>il</w:t>
      </w:r>
      <w:r w:rsidRPr="00320A86">
        <w:rPr>
          <w:color w:val="000000"/>
          <w:szCs w:val="28"/>
        </w:rPr>
        <w:t xml:space="preserve"> </w:t>
      </w:r>
      <w:r w:rsidRPr="00320A86">
        <w:rPr>
          <w:rFonts w:eastAsia="Calibri"/>
          <w:color w:val="000000"/>
          <w:szCs w:val="28"/>
        </w:rPr>
        <w:t>défend</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cathol</w:t>
      </w:r>
      <w:r w:rsidRPr="00320A86">
        <w:rPr>
          <w:rFonts w:eastAsia="Calibri"/>
          <w:color w:val="000000"/>
          <w:szCs w:val="28"/>
        </w:rPr>
        <w:t>i</w:t>
      </w:r>
      <w:r w:rsidRPr="00320A86">
        <w:rPr>
          <w:rFonts w:eastAsia="Calibri"/>
          <w:color w:val="000000"/>
          <w:szCs w:val="28"/>
        </w:rPr>
        <w:t>cisme</w:t>
      </w:r>
      <w:r w:rsidRPr="00320A86">
        <w:rPr>
          <w:color w:val="000000"/>
          <w:szCs w:val="28"/>
        </w:rPr>
        <w:t xml:space="preserve"> </w:t>
      </w:r>
      <w:r w:rsidRPr="00320A86">
        <w:rPr>
          <w:rFonts w:eastAsia="Calibri"/>
          <w:color w:val="000000"/>
          <w:szCs w:val="28"/>
        </w:rPr>
        <w:t>tout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déchristianisant.</w:t>
      </w:r>
      <w:r w:rsidRPr="00320A86">
        <w:rPr>
          <w:color w:val="000000"/>
          <w:szCs w:val="28"/>
        </w:rPr>
        <w:t xml:space="preserve"> </w:t>
      </w:r>
      <w:r w:rsidRPr="00320A86">
        <w:rPr>
          <w:rFonts w:eastAsia="Calibri"/>
          <w:color w:val="000000"/>
          <w:szCs w:val="28"/>
        </w:rPr>
        <w:t>Fin</w:t>
      </w:r>
      <w:r w:rsidRPr="00320A86">
        <w:rPr>
          <w:color w:val="000000"/>
          <w:szCs w:val="28"/>
        </w:rPr>
        <w:t xml:space="preserve"> </w:t>
      </w:r>
      <w:r w:rsidRPr="00320A86">
        <w:rPr>
          <w:rFonts w:eastAsia="Calibri"/>
          <w:color w:val="000000"/>
          <w:szCs w:val="28"/>
        </w:rPr>
        <w:t>1929,</w:t>
      </w:r>
      <w:r w:rsidRPr="00320A86">
        <w:rPr>
          <w:color w:val="000000"/>
          <w:szCs w:val="28"/>
        </w:rPr>
        <w:t xml:space="preserve"> </w:t>
      </w:r>
      <w:r w:rsidRPr="00320A86">
        <w:rPr>
          <w:rFonts w:eastAsia="Calibri"/>
          <w:color w:val="000000"/>
          <w:szCs w:val="28"/>
        </w:rPr>
        <w:t>deux</w:t>
      </w:r>
      <w:r w:rsidRPr="00320A86">
        <w:rPr>
          <w:color w:val="000000"/>
          <w:szCs w:val="28"/>
        </w:rPr>
        <w:t xml:space="preserve"> </w:t>
      </w:r>
      <w:r w:rsidRPr="00320A86">
        <w:rPr>
          <w:rFonts w:eastAsia="Calibri"/>
          <w:color w:val="000000"/>
          <w:szCs w:val="28"/>
        </w:rPr>
        <w:t>condamnations</w:t>
      </w:r>
      <w:r w:rsidRPr="00320A86">
        <w:rPr>
          <w:color w:val="000000"/>
          <w:szCs w:val="28"/>
        </w:rPr>
        <w:t xml:space="preserve"> </w:t>
      </w:r>
      <w:r w:rsidRPr="00320A86">
        <w:rPr>
          <w:rFonts w:eastAsia="Calibri"/>
          <w:color w:val="000000"/>
          <w:szCs w:val="28"/>
        </w:rPr>
        <w:t>po</w:t>
      </w:r>
      <w:r w:rsidRPr="00320A86">
        <w:rPr>
          <w:rFonts w:eastAsia="Calibri"/>
          <w:color w:val="000000"/>
          <w:szCs w:val="28"/>
        </w:rPr>
        <w:t>n</w:t>
      </w:r>
      <w:r w:rsidRPr="00320A86">
        <w:rPr>
          <w:rFonts w:eastAsia="Calibri"/>
          <w:color w:val="000000"/>
          <w:szCs w:val="28"/>
        </w:rPr>
        <w:t>tificales</w:t>
      </w:r>
      <w:r w:rsidRPr="00320A86">
        <w:rPr>
          <w:color w:val="000000"/>
          <w:szCs w:val="28"/>
        </w:rPr>
        <w:t xml:space="preserve"> </w:t>
      </w:r>
      <w:r w:rsidRPr="00320A86">
        <w:rPr>
          <w:rFonts w:eastAsia="Calibri"/>
          <w:color w:val="000000"/>
          <w:szCs w:val="28"/>
        </w:rPr>
        <w:t>rendent</w:t>
      </w:r>
      <w:r w:rsidRPr="00320A86">
        <w:rPr>
          <w:color w:val="000000"/>
          <w:szCs w:val="28"/>
        </w:rPr>
        <w:t xml:space="preserve"> </w:t>
      </w:r>
      <w:r w:rsidRPr="00320A86">
        <w:rPr>
          <w:rFonts w:eastAsia="Calibri"/>
          <w:color w:val="000000"/>
          <w:szCs w:val="28"/>
        </w:rPr>
        <w:t>incompatibles</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engagement</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l</w:t>
      </w:r>
      <w:r w:rsidRPr="00320A86">
        <w:rPr>
          <w:color w:val="000000"/>
          <w:szCs w:val="28"/>
        </w:rPr>
        <w:t>’</w:t>
      </w:r>
      <w:r w:rsidRPr="00E11556">
        <w:rPr>
          <w:rFonts w:eastAsia="Calibri"/>
          <w:i/>
          <w:color w:val="000000"/>
          <w:szCs w:val="28"/>
        </w:rPr>
        <w:t>Action</w:t>
      </w:r>
      <w:r w:rsidRPr="00E11556">
        <w:rPr>
          <w:i/>
          <w:color w:val="000000"/>
          <w:szCs w:val="28"/>
        </w:rPr>
        <w:t xml:space="preserve"> </w:t>
      </w:r>
      <w:r w:rsidRPr="00E11556">
        <w:rPr>
          <w:rFonts w:eastAsia="Calibri"/>
          <w:i/>
          <w:color w:val="000000"/>
          <w:szCs w:val="28"/>
        </w:rPr>
        <w:t>française</w:t>
      </w:r>
      <w:r w:rsidRPr="00E11556">
        <w:rPr>
          <w:i/>
          <w:color w:val="000000"/>
          <w:szCs w:val="28"/>
        </w:rPr>
        <w:t xml:space="preserve"> </w:t>
      </w:r>
      <w:r w:rsidRPr="00320A86">
        <w:rPr>
          <w:color w:val="000000"/>
          <w:szCs w:val="28"/>
        </w:rPr>
        <w:t xml:space="preserve">royaliste </w:t>
      </w:r>
      <w:r w:rsidRPr="00320A86">
        <w:rPr>
          <w:rFonts w:eastAsia="Calibri"/>
          <w:color w:val="000000"/>
          <w:szCs w:val="28"/>
        </w:rPr>
        <w:t>et</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exercice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religion</w:t>
      </w:r>
      <w:r w:rsidRPr="00320A86">
        <w:rPr>
          <w:color w:val="000000"/>
          <w:szCs w:val="28"/>
        </w:rPr>
        <w:t xml:space="preserve"> </w:t>
      </w:r>
      <w:r w:rsidRPr="00320A86">
        <w:rPr>
          <w:rFonts w:eastAsia="Calibri"/>
          <w:color w:val="000000"/>
          <w:szCs w:val="28"/>
        </w:rPr>
        <w:t>catholique.</w:t>
      </w:r>
      <w:r w:rsidRPr="00320A86">
        <w:rPr>
          <w:color w:val="000000"/>
          <w:szCs w:val="28"/>
        </w:rPr>
        <w:t xml:space="preserve"> </w:t>
      </w:r>
      <w:r w:rsidRPr="00320A86">
        <w:rPr>
          <w:rFonts w:eastAsia="Calibri"/>
          <w:color w:val="000000"/>
          <w:szCs w:val="28"/>
        </w:rPr>
        <w:t>Pour</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deuxième</w:t>
      </w:r>
      <w:r w:rsidRPr="00320A86">
        <w:rPr>
          <w:color w:val="000000"/>
          <w:szCs w:val="28"/>
        </w:rPr>
        <w:t xml:space="preserve"> </w:t>
      </w:r>
      <w:r w:rsidRPr="00320A86">
        <w:rPr>
          <w:rFonts w:eastAsia="Calibri"/>
          <w:color w:val="000000"/>
          <w:szCs w:val="28"/>
        </w:rPr>
        <w:t>fois,</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amalgame</w:t>
      </w:r>
      <w:r w:rsidRPr="00320A86">
        <w:rPr>
          <w:color w:val="000000"/>
          <w:szCs w:val="28"/>
        </w:rPr>
        <w:t xml:space="preserve"> </w:t>
      </w:r>
      <w:r w:rsidRPr="00320A86">
        <w:rPr>
          <w:rFonts w:eastAsia="Calibri"/>
          <w:color w:val="000000"/>
          <w:szCs w:val="28"/>
        </w:rPr>
        <w:t>politico-religieux</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mis</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mal,</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cette</w:t>
      </w:r>
      <w:r w:rsidRPr="00320A86">
        <w:rPr>
          <w:color w:val="000000"/>
          <w:szCs w:val="28"/>
        </w:rPr>
        <w:t xml:space="preserve"> </w:t>
      </w:r>
      <w:r w:rsidRPr="00320A86">
        <w:rPr>
          <w:rFonts w:eastAsia="Calibri"/>
          <w:color w:val="000000"/>
          <w:szCs w:val="28"/>
        </w:rPr>
        <w:t>fois,</w:t>
      </w:r>
      <w:r w:rsidRPr="00320A86">
        <w:rPr>
          <w:color w:val="000000"/>
          <w:szCs w:val="28"/>
        </w:rPr>
        <w:t xml:space="preserve"> </w:t>
      </w:r>
      <w:r w:rsidRPr="00320A86">
        <w:rPr>
          <w:rFonts w:eastAsia="Calibri"/>
          <w:color w:val="000000"/>
          <w:szCs w:val="28"/>
        </w:rPr>
        <w:t>pour</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motifs</w:t>
      </w:r>
      <w:r w:rsidRPr="00320A86">
        <w:rPr>
          <w:color w:val="000000"/>
          <w:szCs w:val="28"/>
        </w:rPr>
        <w:t xml:space="preserve"> </w:t>
      </w:r>
      <w:r w:rsidRPr="00320A86">
        <w:rPr>
          <w:rFonts w:eastAsia="Calibri"/>
          <w:color w:val="000000"/>
          <w:szCs w:val="28"/>
        </w:rPr>
        <w:t>rel</w:t>
      </w:r>
      <w:r w:rsidRPr="00320A86">
        <w:rPr>
          <w:rFonts w:eastAsia="Calibri"/>
          <w:color w:val="000000"/>
          <w:szCs w:val="28"/>
        </w:rPr>
        <w:t>i</w:t>
      </w:r>
      <w:r w:rsidRPr="00320A86">
        <w:rPr>
          <w:rFonts w:eastAsia="Calibri"/>
          <w:color w:val="000000"/>
          <w:szCs w:val="28"/>
        </w:rPr>
        <w:t>gieux.</w:t>
      </w:r>
      <w:r w:rsidRPr="00320A86">
        <w:rPr>
          <w:color w:val="000000"/>
          <w:szCs w:val="28"/>
        </w:rPr>
        <w:t xml:space="preserve"> </w:t>
      </w:r>
      <w:r w:rsidRPr="00320A86">
        <w:rPr>
          <w:rFonts w:eastAsia="Calibri"/>
          <w:color w:val="000000"/>
          <w:szCs w:val="28"/>
        </w:rPr>
        <w:t>Celui</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on</w:t>
      </w:r>
      <w:r w:rsidRPr="00320A86">
        <w:rPr>
          <w:color w:val="000000"/>
          <w:szCs w:val="28"/>
        </w:rPr>
        <w:t xml:space="preserve"> </w:t>
      </w:r>
      <w:r w:rsidRPr="00320A86">
        <w:rPr>
          <w:rFonts w:eastAsia="Calibri"/>
          <w:color w:val="000000"/>
          <w:szCs w:val="28"/>
        </w:rPr>
        <w:t>attendrait</w:t>
      </w:r>
      <w:r w:rsidRPr="00320A86">
        <w:rPr>
          <w:color w:val="000000"/>
          <w:szCs w:val="28"/>
        </w:rPr>
        <w:t xml:space="preserve"> </w:t>
      </w:r>
      <w:r w:rsidRPr="00320A86">
        <w:rPr>
          <w:rFonts w:eastAsia="Calibri"/>
          <w:color w:val="000000"/>
          <w:szCs w:val="28"/>
        </w:rPr>
        <w:t>lors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épisode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Vichy</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beaucoup</w:t>
      </w:r>
      <w:r w:rsidRPr="00320A86">
        <w:rPr>
          <w:color w:val="000000"/>
          <w:szCs w:val="28"/>
        </w:rPr>
        <w:t xml:space="preserve">  </w:t>
      </w:r>
      <w:r w:rsidRPr="00320A86">
        <w:rPr>
          <w:rFonts w:eastAsia="Calibri"/>
          <w:color w:val="000000"/>
          <w:szCs w:val="28"/>
        </w:rPr>
        <w:t>moins</w:t>
      </w:r>
      <w:r w:rsidRPr="00320A86">
        <w:rPr>
          <w:color w:val="000000"/>
          <w:szCs w:val="28"/>
        </w:rPr>
        <w:t xml:space="preserve"> </w:t>
      </w:r>
      <w:r w:rsidRPr="00320A86">
        <w:rPr>
          <w:rFonts w:eastAsia="Calibri"/>
          <w:color w:val="000000"/>
          <w:szCs w:val="28"/>
        </w:rPr>
        <w:t>homogène</w:t>
      </w:r>
      <w:r w:rsidRPr="00320A86">
        <w:rPr>
          <w:color w:val="000000"/>
          <w:szCs w:val="28"/>
        </w:rPr>
        <w:t xml:space="preserve"> : </w:t>
      </w:r>
      <w:r w:rsidRPr="00320A86">
        <w:rPr>
          <w:rFonts w:eastAsia="Calibri"/>
          <w:color w:val="000000"/>
          <w:szCs w:val="28"/>
        </w:rPr>
        <w:t>les</w:t>
      </w:r>
      <w:r w:rsidRPr="00320A86">
        <w:rPr>
          <w:color w:val="000000"/>
          <w:szCs w:val="28"/>
        </w:rPr>
        <w:t xml:space="preserve"> </w:t>
      </w:r>
      <w:r w:rsidRPr="00320A86">
        <w:rPr>
          <w:rFonts w:eastAsia="Calibri"/>
          <w:color w:val="000000"/>
          <w:szCs w:val="28"/>
        </w:rPr>
        <w:t>catholiques</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partagent</w:t>
      </w:r>
      <w:r w:rsidRPr="00320A86">
        <w:rPr>
          <w:color w:val="000000"/>
          <w:szCs w:val="28"/>
        </w:rPr>
        <w:t xml:space="preserve"> </w:t>
      </w:r>
      <w:r w:rsidRPr="00320A86">
        <w:rPr>
          <w:rFonts w:eastAsia="Calibri"/>
          <w:color w:val="000000"/>
          <w:szCs w:val="28"/>
        </w:rPr>
        <w:t>entre</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soutien</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Maréchal</w:t>
      </w:r>
      <w:r w:rsidRPr="00320A86">
        <w:rPr>
          <w:color w:val="000000"/>
          <w:szCs w:val="28"/>
        </w:rPr>
        <w:t xml:space="preserve"> </w:t>
      </w:r>
      <w:r w:rsidRPr="00320A86">
        <w:rPr>
          <w:rFonts w:eastAsia="Calibri"/>
          <w:color w:val="000000"/>
          <w:szCs w:val="28"/>
        </w:rPr>
        <w:t>Pétain</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engagement</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 xml:space="preserve">Résistance (par exemple à travers le mouvement autour des </w:t>
      </w:r>
      <w:r w:rsidRPr="00E11556">
        <w:rPr>
          <w:rFonts w:eastAsia="Calibri"/>
          <w:i/>
          <w:color w:val="000000"/>
          <w:szCs w:val="28"/>
        </w:rPr>
        <w:t>Cahiers du Témoignage chrétien</w:t>
      </w:r>
      <w:r w:rsidRPr="00320A86">
        <w:rPr>
          <w:rFonts w:eastAsia="Calibri"/>
          <w:color w:val="000000"/>
          <w:szCs w:val="28"/>
        </w:rPr>
        <w:t xml:space="preserve"> du Révérend-Père Pierre Chaillet, membre du </w:t>
      </w:r>
      <w:r w:rsidRPr="00320A86">
        <w:rPr>
          <w:rFonts w:eastAsia="Calibri"/>
          <w:smallCaps/>
          <w:color w:val="000000"/>
          <w:szCs w:val="28"/>
        </w:rPr>
        <w:t>Sr</w:t>
      </w:r>
      <w:r w:rsidRPr="00320A86">
        <w:rPr>
          <w:rFonts w:eastAsia="Calibri"/>
          <w:color w:val="000000"/>
          <w:szCs w:val="28"/>
        </w:rPr>
        <w:t xml:space="preserve"> français en Autriche et en Hongrie avant la guerre, qui participa aussi à l’aide aux Juifs persécutés).</w:t>
      </w:r>
    </w:p>
    <w:p w14:paraId="28147FEB" w14:textId="77777777" w:rsidR="00B01930" w:rsidRPr="00320A86" w:rsidRDefault="00B01930" w:rsidP="00B01930">
      <w:pPr>
        <w:spacing w:before="120" w:after="120"/>
        <w:jc w:val="both"/>
        <w:rPr>
          <w:rFonts w:eastAsia="Calibri"/>
          <w:color w:val="000000"/>
          <w:szCs w:val="28"/>
        </w:rPr>
      </w:pPr>
      <w:r w:rsidRPr="00320A86">
        <w:rPr>
          <w:rFonts w:eastAsia="Calibri"/>
          <w:color w:val="000000"/>
          <w:szCs w:val="28"/>
        </w:rPr>
        <w:t>Dans</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immédiat</w:t>
      </w:r>
      <w:r w:rsidRPr="00320A86">
        <w:rPr>
          <w:color w:val="000000"/>
          <w:szCs w:val="28"/>
        </w:rPr>
        <w:t xml:space="preserve"> </w:t>
      </w:r>
      <w:r w:rsidRPr="00320A86">
        <w:rPr>
          <w:rFonts w:eastAsia="Calibri"/>
          <w:color w:val="000000"/>
          <w:szCs w:val="28"/>
        </w:rPr>
        <w:t>après-guerre,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essor</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E11556">
        <w:rPr>
          <w:rFonts w:eastAsia="Calibri"/>
          <w:i/>
          <w:color w:val="000000"/>
          <w:szCs w:val="28"/>
        </w:rPr>
        <w:t>Démocratie</w:t>
      </w:r>
      <w:r w:rsidRPr="00E11556">
        <w:rPr>
          <w:i/>
          <w:color w:val="000000"/>
          <w:szCs w:val="28"/>
        </w:rPr>
        <w:t xml:space="preserve"> </w:t>
      </w:r>
      <w:r w:rsidRPr="00E11556">
        <w:rPr>
          <w:rFonts w:eastAsia="Calibri"/>
          <w:i/>
          <w:color w:val="000000"/>
          <w:szCs w:val="28"/>
        </w:rPr>
        <w:t>Chrétienne</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pl</w:t>
      </w:r>
      <w:r w:rsidRPr="00320A86">
        <w:rPr>
          <w:rFonts w:eastAsia="Calibri"/>
          <w:color w:val="000000"/>
          <w:szCs w:val="28"/>
        </w:rPr>
        <w:t>u</w:t>
      </w:r>
      <w:r w:rsidRPr="00320A86">
        <w:rPr>
          <w:rFonts w:eastAsia="Calibri"/>
          <w:color w:val="000000"/>
          <w:szCs w:val="28"/>
        </w:rPr>
        <w:t>sieurs</w:t>
      </w:r>
      <w:r w:rsidRPr="00320A86">
        <w:rPr>
          <w:color w:val="000000"/>
          <w:szCs w:val="28"/>
        </w:rPr>
        <w:t xml:space="preserve"> </w:t>
      </w:r>
      <w:r w:rsidRPr="00320A86">
        <w:rPr>
          <w:rFonts w:eastAsia="Calibri"/>
          <w:color w:val="000000"/>
          <w:szCs w:val="28"/>
        </w:rPr>
        <w:t>États</w:t>
      </w:r>
      <w:r w:rsidRPr="00320A86">
        <w:rPr>
          <w:color w:val="000000"/>
          <w:szCs w:val="28"/>
        </w:rPr>
        <w:t xml:space="preserve"> </w:t>
      </w:r>
      <w:r w:rsidRPr="00320A86">
        <w:rPr>
          <w:rFonts w:eastAsia="Calibri"/>
          <w:color w:val="000000"/>
          <w:szCs w:val="28"/>
        </w:rPr>
        <w:t>européens</w:t>
      </w:r>
      <w:r w:rsidRPr="00320A86">
        <w:rPr>
          <w:color w:val="000000"/>
          <w:szCs w:val="28"/>
        </w:rPr>
        <w:t xml:space="preserve"> </w:t>
      </w:r>
      <w:r w:rsidRPr="00320A86">
        <w:rPr>
          <w:rFonts w:eastAsia="Calibri"/>
          <w:color w:val="000000"/>
          <w:szCs w:val="28"/>
        </w:rPr>
        <w:t>a</w:t>
      </w:r>
      <w:r w:rsidRPr="00320A86">
        <w:rPr>
          <w:color w:val="000000"/>
          <w:szCs w:val="28"/>
        </w:rPr>
        <w:t xml:space="preserve"> </w:t>
      </w:r>
      <w:r w:rsidRPr="00320A86">
        <w:rPr>
          <w:rFonts w:eastAsia="Calibri"/>
          <w:color w:val="000000"/>
          <w:szCs w:val="28"/>
        </w:rPr>
        <w:t>pu</w:t>
      </w:r>
      <w:r w:rsidRPr="00320A86">
        <w:rPr>
          <w:color w:val="000000"/>
          <w:szCs w:val="28"/>
        </w:rPr>
        <w:t xml:space="preserve"> </w:t>
      </w:r>
      <w:r w:rsidRPr="00320A86">
        <w:rPr>
          <w:rFonts w:eastAsia="Calibri"/>
          <w:color w:val="000000"/>
          <w:szCs w:val="28"/>
        </w:rPr>
        <w:t>offrir</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voie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conciliation</w:t>
      </w:r>
      <w:r w:rsidRPr="00320A86">
        <w:rPr>
          <w:color w:val="000000"/>
          <w:szCs w:val="28"/>
        </w:rPr>
        <w:t xml:space="preserve"> </w:t>
      </w:r>
      <w:r w:rsidRPr="00320A86">
        <w:rPr>
          <w:rFonts w:eastAsia="Calibri"/>
          <w:color w:val="000000"/>
          <w:szCs w:val="28"/>
        </w:rPr>
        <w:t>possible</w:t>
      </w:r>
      <w:r w:rsidRPr="00320A86">
        <w:rPr>
          <w:color w:val="000000"/>
          <w:szCs w:val="28"/>
        </w:rPr>
        <w:t xml:space="preserve"> </w:t>
      </w:r>
      <w:r w:rsidRPr="00320A86">
        <w:rPr>
          <w:rFonts w:eastAsia="Calibri"/>
          <w:color w:val="000000"/>
          <w:szCs w:val="28"/>
        </w:rPr>
        <w:t>entre</w:t>
      </w:r>
      <w:r w:rsidRPr="00320A86">
        <w:rPr>
          <w:color w:val="000000"/>
          <w:szCs w:val="28"/>
        </w:rPr>
        <w:t xml:space="preserve"> </w:t>
      </w:r>
      <w:r w:rsidRPr="00320A86">
        <w:rPr>
          <w:rFonts w:eastAsia="Calibri"/>
          <w:color w:val="000000"/>
          <w:szCs w:val="28"/>
        </w:rPr>
        <w:t>appa</w:t>
      </w:r>
      <w:r w:rsidRPr="00320A86">
        <w:rPr>
          <w:rFonts w:eastAsia="Calibri"/>
          <w:color w:val="000000"/>
          <w:szCs w:val="28"/>
        </w:rPr>
        <w:t>r</w:t>
      </w:r>
      <w:r w:rsidRPr="00320A86">
        <w:rPr>
          <w:rFonts w:eastAsia="Calibri"/>
          <w:color w:val="000000"/>
          <w:szCs w:val="28"/>
        </w:rPr>
        <w:t>tenance</w:t>
      </w:r>
      <w:r w:rsidRPr="00320A86">
        <w:rPr>
          <w:color w:val="000000"/>
          <w:szCs w:val="28"/>
        </w:rPr>
        <w:t xml:space="preserve"> </w:t>
      </w:r>
      <w:r w:rsidRPr="00320A86">
        <w:rPr>
          <w:rFonts w:eastAsia="Calibri"/>
          <w:color w:val="000000"/>
          <w:szCs w:val="28"/>
        </w:rPr>
        <w:t>religieuse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engagement</w:t>
      </w:r>
      <w:r w:rsidRPr="00320A86">
        <w:rPr>
          <w:color w:val="000000"/>
          <w:szCs w:val="28"/>
        </w:rPr>
        <w:t xml:space="preserve"> </w:t>
      </w:r>
      <w:r w:rsidRPr="00320A86">
        <w:rPr>
          <w:rFonts w:eastAsia="Calibri"/>
          <w:color w:val="000000"/>
          <w:szCs w:val="28"/>
        </w:rPr>
        <w:t>politique,</w:t>
      </w:r>
      <w:r w:rsidRPr="00320A86">
        <w:rPr>
          <w:color w:val="000000"/>
          <w:szCs w:val="28"/>
        </w:rPr>
        <w:t xml:space="preserve"> </w:t>
      </w:r>
      <w:r w:rsidRPr="00320A86">
        <w:rPr>
          <w:rFonts w:eastAsia="Calibri"/>
          <w:color w:val="000000"/>
          <w:szCs w:val="28"/>
        </w:rPr>
        <w:t>sans</w:t>
      </w:r>
      <w:r w:rsidRPr="00320A86">
        <w:rPr>
          <w:color w:val="000000"/>
          <w:szCs w:val="28"/>
        </w:rPr>
        <w:t xml:space="preserve"> </w:t>
      </w:r>
      <w:r w:rsidRPr="00320A86">
        <w:rPr>
          <w:rFonts w:eastAsia="Calibri"/>
          <w:color w:val="000000"/>
          <w:szCs w:val="28"/>
        </w:rPr>
        <w:t>pour</w:t>
      </w:r>
      <w:r w:rsidRPr="00320A86">
        <w:rPr>
          <w:color w:val="000000"/>
          <w:szCs w:val="28"/>
        </w:rPr>
        <w:t xml:space="preserve"> </w:t>
      </w:r>
      <w:r w:rsidRPr="00320A86">
        <w:rPr>
          <w:rFonts w:eastAsia="Calibri"/>
          <w:color w:val="000000"/>
          <w:szCs w:val="28"/>
        </w:rPr>
        <w:t>autant</w:t>
      </w:r>
      <w:r w:rsidRPr="00320A86">
        <w:rPr>
          <w:color w:val="000000"/>
          <w:szCs w:val="28"/>
        </w:rPr>
        <w:t xml:space="preserve"> </w:t>
      </w:r>
      <w:r w:rsidRPr="00320A86">
        <w:rPr>
          <w:rFonts w:eastAsia="Calibri"/>
          <w:color w:val="000000"/>
          <w:szCs w:val="28"/>
        </w:rPr>
        <w:t>rallier</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elle</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t</w:t>
      </w:r>
      <w:r w:rsidRPr="00320A86">
        <w:rPr>
          <w:rFonts w:eastAsia="Calibri"/>
          <w:color w:val="000000"/>
          <w:szCs w:val="28"/>
        </w:rPr>
        <w:t>e</w:t>
      </w:r>
      <w:r w:rsidRPr="00320A86">
        <w:rPr>
          <w:rFonts w:eastAsia="Calibri"/>
          <w:color w:val="000000"/>
          <w:szCs w:val="28"/>
        </w:rPr>
        <w:t>nants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vieille</w:t>
      </w:r>
      <w:r w:rsidRPr="00320A86">
        <w:rPr>
          <w:color w:val="000000"/>
          <w:szCs w:val="28"/>
        </w:rPr>
        <w:t xml:space="preserve"> </w:t>
      </w:r>
      <w:r w:rsidRPr="00320A86">
        <w:rPr>
          <w:rFonts w:eastAsia="Calibri"/>
          <w:color w:val="000000"/>
          <w:szCs w:val="28"/>
        </w:rPr>
        <w:t>droite</w:t>
      </w:r>
      <w:r w:rsidRPr="00320A86">
        <w:rPr>
          <w:color w:val="000000"/>
          <w:szCs w:val="28"/>
        </w:rPr>
        <w:t xml:space="preserve"> </w:t>
      </w:r>
      <w:r w:rsidRPr="00320A86">
        <w:rPr>
          <w:rFonts w:eastAsia="Calibri"/>
          <w:color w:val="000000"/>
          <w:szCs w:val="28"/>
        </w:rPr>
        <w:t>catholique,</w:t>
      </w:r>
      <w:r w:rsidRPr="00320A86">
        <w:rPr>
          <w:color w:val="000000"/>
          <w:szCs w:val="28"/>
        </w:rPr>
        <w:t xml:space="preserve"> </w:t>
      </w:r>
      <w:r w:rsidRPr="00320A86">
        <w:rPr>
          <w:rFonts w:eastAsia="Calibri"/>
          <w:color w:val="000000"/>
          <w:szCs w:val="28"/>
        </w:rPr>
        <w:t>anti-républicaine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anti-démocratique.</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évolutions</w:t>
      </w:r>
      <w:r w:rsidRPr="00320A86">
        <w:rPr>
          <w:color w:val="000000"/>
          <w:szCs w:val="28"/>
        </w:rPr>
        <w:t xml:space="preserve"> </w:t>
      </w:r>
      <w:r w:rsidRPr="00320A86">
        <w:rPr>
          <w:rFonts w:eastAsia="Calibri"/>
          <w:color w:val="000000"/>
          <w:szCs w:val="28"/>
        </w:rPr>
        <w:t>conciliaires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post-conciliaires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Église,</w:t>
      </w:r>
      <w:r w:rsidRPr="00320A86">
        <w:rPr>
          <w:color w:val="000000"/>
          <w:szCs w:val="28"/>
        </w:rPr>
        <w:t xml:space="preserve"> </w:t>
      </w:r>
      <w:r w:rsidRPr="00320A86">
        <w:rPr>
          <w:rFonts w:eastAsia="Calibri"/>
          <w:color w:val="000000"/>
          <w:szCs w:val="28"/>
        </w:rPr>
        <w:t>marquées</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E11556">
        <w:rPr>
          <w:rFonts w:eastAsia="Calibri"/>
          <w:i/>
          <w:color w:val="000000"/>
          <w:szCs w:val="28"/>
        </w:rPr>
        <w:t>l</w:t>
      </w:r>
      <w:r w:rsidRPr="00E11556">
        <w:rPr>
          <w:i/>
          <w:color w:val="000000"/>
          <w:szCs w:val="28"/>
        </w:rPr>
        <w:t>’</w:t>
      </w:r>
      <w:r w:rsidRPr="00E11556">
        <w:rPr>
          <w:rFonts w:eastAsia="Calibri"/>
          <w:i/>
          <w:color w:val="000000"/>
          <w:szCs w:val="28"/>
        </w:rPr>
        <w:t>ouverture</w:t>
      </w:r>
      <w:r w:rsidRPr="00E11556">
        <w:rPr>
          <w:i/>
          <w:color w:val="000000"/>
          <w:szCs w:val="28"/>
        </w:rPr>
        <w:t xml:space="preserve"> </w:t>
      </w:r>
      <w:r w:rsidRPr="00E11556">
        <w:rPr>
          <w:rFonts w:eastAsia="Calibri"/>
          <w:i/>
          <w:color w:val="000000"/>
          <w:szCs w:val="28"/>
        </w:rPr>
        <w:t>au</w:t>
      </w:r>
      <w:r w:rsidRPr="00E11556">
        <w:rPr>
          <w:i/>
          <w:color w:val="000000"/>
          <w:szCs w:val="28"/>
        </w:rPr>
        <w:t xml:space="preserve"> </w:t>
      </w:r>
      <w:r w:rsidRPr="00E11556">
        <w:rPr>
          <w:rFonts w:eastAsia="Calibri"/>
          <w:i/>
          <w:color w:val="000000"/>
          <w:szCs w:val="28"/>
        </w:rPr>
        <w:t>monde</w:t>
      </w:r>
      <w:r w:rsidRPr="00320A86">
        <w:rPr>
          <w:rFonts w:eastAsia="Calibri"/>
          <w:color w:val="000000"/>
          <w:szCs w:val="28"/>
        </w:rPr>
        <w:t>,</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réfo</w:t>
      </w:r>
      <w:r w:rsidRPr="00320A86">
        <w:rPr>
          <w:rFonts w:eastAsia="Calibri"/>
          <w:color w:val="000000"/>
          <w:szCs w:val="28"/>
        </w:rPr>
        <w:t>r</w:t>
      </w:r>
      <w:r w:rsidRPr="00320A86">
        <w:rPr>
          <w:rFonts w:eastAsia="Calibri"/>
          <w:color w:val="000000"/>
          <w:szCs w:val="28"/>
        </w:rPr>
        <w:t>me</w:t>
      </w:r>
      <w:r w:rsidRPr="00320A86">
        <w:rPr>
          <w:color w:val="000000"/>
          <w:szCs w:val="28"/>
        </w:rPr>
        <w:t xml:space="preserve"> </w:t>
      </w:r>
      <w:r w:rsidRPr="00320A86">
        <w:rPr>
          <w:rFonts w:eastAsia="Calibri"/>
          <w:color w:val="000000"/>
          <w:szCs w:val="28"/>
        </w:rPr>
        <w:t>liturgique,</w:t>
      </w:r>
      <w:r w:rsidRPr="00320A86">
        <w:rPr>
          <w:color w:val="000000"/>
          <w:szCs w:val="28"/>
        </w:rPr>
        <w:t xml:space="preserve">  </w:t>
      </w:r>
      <w:r w:rsidRPr="00320A86">
        <w:rPr>
          <w:rFonts w:eastAsia="Calibri"/>
          <w:color w:val="000000"/>
          <w:szCs w:val="28"/>
        </w:rPr>
        <w:t>puis,</w:t>
      </w:r>
      <w:r w:rsidRPr="00320A86">
        <w:rPr>
          <w:color w:val="000000"/>
          <w:szCs w:val="28"/>
        </w:rPr>
        <w:t xml:space="preserve"> </w:t>
      </w:r>
      <w:r w:rsidRPr="00320A86">
        <w:rPr>
          <w:rFonts w:eastAsia="Calibri"/>
          <w:color w:val="000000"/>
          <w:szCs w:val="28"/>
        </w:rPr>
        <w:t>sous</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pontificat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Jean</w:t>
      </w:r>
      <w:r w:rsidRPr="00320A86">
        <w:rPr>
          <w:color w:val="000000"/>
          <w:szCs w:val="28"/>
        </w:rPr>
        <w:t>-</w:t>
      </w:r>
      <w:r w:rsidRPr="00320A86">
        <w:rPr>
          <w:rFonts w:eastAsia="Calibri"/>
          <w:color w:val="000000"/>
          <w:szCs w:val="28"/>
        </w:rPr>
        <w:t>Paul</w:t>
      </w:r>
      <w:r>
        <w:rPr>
          <w:color w:val="000000"/>
          <w:szCs w:val="28"/>
        </w:rPr>
        <w:t> </w:t>
      </w:r>
      <w:r w:rsidRPr="00320A86">
        <w:rPr>
          <w:rFonts w:eastAsia="Calibri"/>
          <w:color w:val="000000"/>
          <w:szCs w:val="28"/>
        </w:rPr>
        <w:t>II,</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adhésion</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défense</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Droits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homme,</w:t>
      </w:r>
      <w:r w:rsidRPr="00320A86">
        <w:rPr>
          <w:color w:val="000000"/>
          <w:szCs w:val="28"/>
        </w:rPr>
        <w:t xml:space="preserve"> </w:t>
      </w:r>
      <w:r w:rsidRPr="00320A86">
        <w:rPr>
          <w:rFonts w:eastAsia="Calibri"/>
          <w:color w:val="000000"/>
          <w:szCs w:val="28"/>
        </w:rPr>
        <w:t>ont</w:t>
      </w:r>
      <w:r w:rsidRPr="00320A86">
        <w:rPr>
          <w:color w:val="000000"/>
          <w:szCs w:val="28"/>
        </w:rPr>
        <w:t xml:space="preserve"> </w:t>
      </w:r>
      <w:r w:rsidRPr="00320A86">
        <w:rPr>
          <w:rFonts w:eastAsia="Calibri"/>
          <w:color w:val="000000"/>
          <w:szCs w:val="28"/>
        </w:rPr>
        <w:t>provoqué</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radicalisation</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courant</w:t>
      </w:r>
      <w:r w:rsidRPr="00320A86">
        <w:rPr>
          <w:color w:val="000000"/>
          <w:szCs w:val="28"/>
        </w:rPr>
        <w:t xml:space="preserve"> </w:t>
      </w:r>
      <w:r w:rsidRPr="00320A86">
        <w:rPr>
          <w:rFonts w:eastAsia="Calibri"/>
          <w:color w:val="000000"/>
          <w:szCs w:val="28"/>
        </w:rPr>
        <w:t>anti-moderniste,</w:t>
      </w:r>
      <w:r w:rsidRPr="00320A86">
        <w:rPr>
          <w:color w:val="000000"/>
          <w:szCs w:val="28"/>
        </w:rPr>
        <w:t xml:space="preserve"> </w:t>
      </w:r>
      <w:r w:rsidRPr="00320A86">
        <w:rPr>
          <w:rFonts w:eastAsia="Calibri"/>
          <w:color w:val="000000"/>
          <w:szCs w:val="28"/>
        </w:rPr>
        <w:t>devenu</w:t>
      </w:r>
      <w:r w:rsidRPr="00320A86">
        <w:rPr>
          <w:color w:val="000000"/>
          <w:szCs w:val="28"/>
        </w:rPr>
        <w:t xml:space="preserve"> </w:t>
      </w:r>
      <w:r w:rsidRPr="00320A86">
        <w:rPr>
          <w:rFonts w:eastAsia="Calibri"/>
          <w:color w:val="000000"/>
          <w:szCs w:val="28"/>
        </w:rPr>
        <w:t>anti-conciliaire.</w:t>
      </w:r>
      <w:r w:rsidRPr="00320A86">
        <w:rPr>
          <w:color w:val="000000"/>
          <w:szCs w:val="28"/>
        </w:rPr>
        <w:t xml:space="preserve"> </w:t>
      </w:r>
      <w:r w:rsidRPr="00320A86">
        <w:rPr>
          <w:rFonts w:eastAsia="Calibri"/>
          <w:color w:val="000000"/>
          <w:szCs w:val="28"/>
        </w:rPr>
        <w:t>Initiée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dév</w:t>
      </w:r>
      <w:r w:rsidRPr="00320A86">
        <w:rPr>
          <w:rFonts w:eastAsia="Calibri"/>
          <w:color w:val="000000"/>
          <w:szCs w:val="28"/>
        </w:rPr>
        <w:t>e</w:t>
      </w:r>
      <w:r w:rsidRPr="00320A86">
        <w:rPr>
          <w:rFonts w:eastAsia="Calibri"/>
          <w:color w:val="000000"/>
          <w:szCs w:val="28"/>
        </w:rPr>
        <w:t>loppée</w:t>
      </w:r>
      <w:r w:rsidRPr="00320A86">
        <w:rPr>
          <w:color w:val="000000"/>
          <w:szCs w:val="28"/>
        </w:rPr>
        <w:t xml:space="preserve"> </w:t>
      </w:r>
      <w:r w:rsidRPr="00320A86">
        <w:rPr>
          <w:rFonts w:eastAsia="Calibri"/>
          <w:color w:val="000000"/>
          <w:szCs w:val="28"/>
        </w:rPr>
        <w:t>non</w:t>
      </w:r>
      <w:r w:rsidRPr="00320A86">
        <w:rPr>
          <w:color w:val="000000"/>
          <w:szCs w:val="28"/>
        </w:rPr>
        <w:t xml:space="preserve"> </w:t>
      </w:r>
      <w:r w:rsidRPr="00320A86">
        <w:rPr>
          <w:rFonts w:eastAsia="Calibri"/>
          <w:color w:val="000000"/>
          <w:szCs w:val="28"/>
        </w:rPr>
        <w:t>sans</w:t>
      </w:r>
      <w:r w:rsidRPr="00320A86">
        <w:rPr>
          <w:color w:val="000000"/>
          <w:szCs w:val="28"/>
        </w:rPr>
        <w:t xml:space="preserve"> </w:t>
      </w:r>
      <w:r w:rsidRPr="00320A86">
        <w:rPr>
          <w:rFonts w:eastAsia="Calibri"/>
          <w:color w:val="000000"/>
          <w:szCs w:val="28"/>
        </w:rPr>
        <w:t>succès</w:t>
      </w:r>
      <w:r>
        <w:rPr>
          <w:rFonts w:eastAsia="Calibri"/>
          <w:color w:val="000000"/>
          <w:szCs w:val="28"/>
        </w:rPr>
        <w:t> </w:t>
      </w:r>
      <w:r>
        <w:rPr>
          <w:rStyle w:val="Appelnotedebasdep"/>
          <w:rFonts w:eastAsia="Calibri"/>
          <w:szCs w:val="28"/>
        </w:rPr>
        <w:footnoteReference w:id="1176"/>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M</w:t>
      </w:r>
      <w:r w:rsidRPr="00320A86">
        <w:rPr>
          <w:rFonts w:eastAsia="Calibri"/>
          <w:color w:val="000000"/>
          <w:szCs w:val="28"/>
          <w:vertAlign w:val="superscript"/>
        </w:rPr>
        <w:t>gr</w:t>
      </w:r>
      <w:r w:rsidRPr="00320A86">
        <w:rPr>
          <w:color w:val="000000"/>
          <w:szCs w:val="28"/>
        </w:rPr>
        <w:t xml:space="preserve"> </w:t>
      </w:r>
      <w:r w:rsidRPr="00320A86">
        <w:rPr>
          <w:rFonts w:eastAsia="Calibri"/>
          <w:color w:val="000000"/>
          <w:szCs w:val="28"/>
        </w:rPr>
        <w:t>Marcel</w:t>
      </w:r>
      <w:r w:rsidRPr="00320A86">
        <w:rPr>
          <w:color w:val="000000"/>
          <w:szCs w:val="28"/>
        </w:rPr>
        <w:t xml:space="preserve"> </w:t>
      </w:r>
      <w:r w:rsidRPr="00320A86">
        <w:rPr>
          <w:rFonts w:eastAsia="Calibri"/>
          <w:color w:val="000000"/>
          <w:szCs w:val="28"/>
        </w:rPr>
        <w:t>Lefebvre,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aboutissant</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son</w:t>
      </w:r>
      <w:r w:rsidRPr="00320A86">
        <w:rPr>
          <w:color w:val="000000"/>
          <w:szCs w:val="28"/>
        </w:rPr>
        <w:t xml:space="preserve"> </w:t>
      </w:r>
      <w:r w:rsidRPr="00320A86">
        <w:rPr>
          <w:rFonts w:eastAsia="Calibri"/>
          <w:color w:val="000000"/>
          <w:szCs w:val="28"/>
        </w:rPr>
        <w:t>excommunication</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1988,</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dissidence,</w:t>
      </w:r>
      <w:r w:rsidRPr="00320A86">
        <w:rPr>
          <w:color w:val="000000"/>
          <w:szCs w:val="28"/>
        </w:rPr>
        <w:t xml:space="preserve"> </w:t>
      </w:r>
      <w:r w:rsidRPr="00320A86">
        <w:rPr>
          <w:rFonts w:eastAsia="Calibri"/>
          <w:color w:val="000000"/>
          <w:szCs w:val="28"/>
        </w:rPr>
        <w:t>désormais</w:t>
      </w:r>
      <w:r w:rsidRPr="00320A86">
        <w:rPr>
          <w:color w:val="000000"/>
          <w:szCs w:val="28"/>
        </w:rPr>
        <w:t xml:space="preserve"> </w:t>
      </w:r>
      <w:r w:rsidRPr="00320A86">
        <w:rPr>
          <w:rFonts w:eastAsia="Calibri"/>
          <w:color w:val="000000"/>
          <w:szCs w:val="28"/>
        </w:rPr>
        <w:t>qualifiée</w:t>
      </w:r>
      <w:r w:rsidRPr="00320A86">
        <w:rPr>
          <w:color w:val="000000"/>
          <w:szCs w:val="28"/>
        </w:rPr>
        <w:t xml:space="preserve"> </w:t>
      </w:r>
      <w:r w:rsidRPr="00320A86">
        <w:rPr>
          <w:rFonts w:eastAsia="Calibri"/>
          <w:color w:val="000000"/>
          <w:szCs w:val="28"/>
        </w:rPr>
        <w:t>«</w:t>
      </w:r>
      <w:r w:rsidRPr="00320A86">
        <w:rPr>
          <w:color w:val="000000"/>
          <w:szCs w:val="28"/>
        </w:rPr>
        <w:t> d’</w:t>
      </w:r>
      <w:r w:rsidRPr="00320A86">
        <w:rPr>
          <w:rFonts w:eastAsia="Calibri"/>
          <w:color w:val="000000"/>
          <w:szCs w:val="28"/>
        </w:rPr>
        <w:t>intégriste</w:t>
      </w:r>
      <w:r w:rsidRPr="00320A86">
        <w:rPr>
          <w:color w:val="000000"/>
          <w:szCs w:val="28"/>
        </w:rPr>
        <w:t xml:space="preserve"> » </w:t>
      </w:r>
      <w:r w:rsidRPr="00320A86">
        <w:rPr>
          <w:rFonts w:eastAsia="Calibri"/>
          <w:color w:val="000000"/>
          <w:szCs w:val="28"/>
        </w:rPr>
        <w:t>est</w:t>
      </w:r>
      <w:r w:rsidRPr="00320A86">
        <w:rPr>
          <w:color w:val="000000"/>
          <w:szCs w:val="28"/>
        </w:rPr>
        <w:t xml:space="preserve"> </w:t>
      </w:r>
      <w:r w:rsidRPr="00320A86">
        <w:rPr>
          <w:rFonts w:eastAsia="Calibri"/>
          <w:color w:val="000000"/>
          <w:szCs w:val="28"/>
        </w:rPr>
        <w:t>avant</w:t>
      </w:r>
      <w:r w:rsidRPr="00320A86">
        <w:rPr>
          <w:color w:val="000000"/>
          <w:szCs w:val="28"/>
        </w:rPr>
        <w:t xml:space="preserve"> </w:t>
      </w:r>
      <w:r w:rsidRPr="00320A86">
        <w:rPr>
          <w:rFonts w:eastAsia="Calibri"/>
          <w:color w:val="000000"/>
          <w:szCs w:val="28"/>
        </w:rPr>
        <w:t>tout</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ordre</w:t>
      </w:r>
      <w:r w:rsidRPr="00320A86">
        <w:rPr>
          <w:color w:val="000000"/>
          <w:szCs w:val="28"/>
        </w:rPr>
        <w:t xml:space="preserve"> </w:t>
      </w:r>
      <w:r w:rsidRPr="00320A86">
        <w:rPr>
          <w:rFonts w:eastAsia="Calibri"/>
          <w:color w:val="000000"/>
          <w:szCs w:val="28"/>
        </w:rPr>
        <w:t>religieux</w:t>
      </w:r>
      <w:r w:rsidRPr="00320A86">
        <w:rPr>
          <w:color w:val="000000"/>
          <w:szCs w:val="28"/>
        </w:rPr>
        <w:t xml:space="preserve">. </w:t>
      </w:r>
      <w:r w:rsidRPr="00320A86">
        <w:rPr>
          <w:rFonts w:eastAsia="Calibri"/>
          <w:color w:val="000000"/>
          <w:szCs w:val="28"/>
        </w:rPr>
        <w:t>Elle</w:t>
      </w:r>
      <w:r w:rsidRPr="00320A86">
        <w:rPr>
          <w:color w:val="000000"/>
          <w:szCs w:val="28"/>
        </w:rPr>
        <w:t xml:space="preserve"> </w:t>
      </w:r>
      <w:r w:rsidRPr="00320A86">
        <w:rPr>
          <w:rFonts w:eastAsia="Calibri"/>
          <w:color w:val="000000"/>
          <w:szCs w:val="28"/>
        </w:rPr>
        <w:t>porte</w:t>
      </w:r>
      <w:r w:rsidRPr="00320A86">
        <w:rPr>
          <w:color w:val="000000"/>
          <w:szCs w:val="28"/>
        </w:rPr>
        <w:t xml:space="preserve"> </w:t>
      </w:r>
      <w:r w:rsidRPr="00320A86">
        <w:rPr>
          <w:rFonts w:eastAsia="Calibri"/>
          <w:color w:val="000000"/>
          <w:szCs w:val="28"/>
        </w:rPr>
        <w:t>essentiell</w:t>
      </w:r>
      <w:r w:rsidRPr="00320A86">
        <w:rPr>
          <w:rFonts w:eastAsia="Calibri"/>
          <w:color w:val="000000"/>
          <w:szCs w:val="28"/>
        </w:rPr>
        <w:t>e</w:t>
      </w:r>
      <w:r w:rsidRPr="00320A86">
        <w:rPr>
          <w:rFonts w:eastAsia="Calibri"/>
          <w:color w:val="000000"/>
          <w:szCs w:val="28"/>
        </w:rPr>
        <w:t>ment</w:t>
      </w:r>
      <w:r w:rsidRPr="00320A86">
        <w:rPr>
          <w:color w:val="000000"/>
          <w:szCs w:val="28"/>
        </w:rPr>
        <w:t xml:space="preserve"> </w:t>
      </w:r>
      <w:r w:rsidRPr="00320A86">
        <w:rPr>
          <w:rFonts w:eastAsia="Calibri"/>
          <w:color w:val="000000"/>
          <w:szCs w:val="28"/>
        </w:rPr>
        <w:t>sur</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interprétation</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Tradition</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catholicisme,</w:t>
      </w:r>
      <w:r w:rsidRPr="00320A86">
        <w:rPr>
          <w:color w:val="000000"/>
          <w:szCs w:val="28"/>
        </w:rPr>
        <w:t xml:space="preserve"> </w:t>
      </w:r>
      <w:r w:rsidRPr="00320A86">
        <w:rPr>
          <w:rFonts w:eastAsia="Calibri"/>
          <w:color w:val="000000"/>
          <w:szCs w:val="28"/>
        </w:rPr>
        <w:t>qu</w:t>
      </w:r>
      <w:r w:rsidRPr="00320A86">
        <w:rPr>
          <w:color w:val="000000"/>
          <w:szCs w:val="28"/>
        </w:rPr>
        <w:t>’</w:t>
      </w:r>
      <w:r w:rsidRPr="00320A86">
        <w:rPr>
          <w:rFonts w:eastAsia="Calibri"/>
          <w:color w:val="000000"/>
          <w:szCs w:val="28"/>
        </w:rPr>
        <w:t>elle</w:t>
      </w:r>
      <w:r w:rsidRPr="00320A86">
        <w:rPr>
          <w:color w:val="000000"/>
          <w:szCs w:val="28"/>
        </w:rPr>
        <w:t xml:space="preserve"> </w:t>
      </w:r>
      <w:r w:rsidRPr="00320A86">
        <w:rPr>
          <w:rFonts w:eastAsia="Calibri"/>
          <w:color w:val="000000"/>
          <w:szCs w:val="28"/>
        </w:rPr>
        <w:t>considère</w:t>
      </w:r>
      <w:r w:rsidRPr="00320A86">
        <w:rPr>
          <w:color w:val="000000"/>
          <w:szCs w:val="28"/>
        </w:rPr>
        <w:t xml:space="preserve"> </w:t>
      </w:r>
      <w:r w:rsidRPr="00320A86">
        <w:rPr>
          <w:rFonts w:eastAsia="Calibri"/>
          <w:color w:val="000000"/>
          <w:szCs w:val="28"/>
        </w:rPr>
        <w:t>comme</w:t>
      </w:r>
      <w:r w:rsidRPr="00320A86">
        <w:rPr>
          <w:color w:val="000000"/>
          <w:szCs w:val="28"/>
        </w:rPr>
        <w:t xml:space="preserve"> </w:t>
      </w:r>
      <w:r w:rsidRPr="00320A86">
        <w:rPr>
          <w:rFonts w:eastAsia="Calibri"/>
          <w:color w:val="000000"/>
          <w:szCs w:val="28"/>
        </w:rPr>
        <w:t>définitivement</w:t>
      </w:r>
      <w:r w:rsidRPr="00320A86">
        <w:rPr>
          <w:color w:val="000000"/>
          <w:szCs w:val="28"/>
        </w:rPr>
        <w:t xml:space="preserve"> </w:t>
      </w:r>
      <w:r w:rsidRPr="00320A86">
        <w:rPr>
          <w:rFonts w:eastAsia="Calibri"/>
          <w:color w:val="000000"/>
          <w:szCs w:val="28"/>
        </w:rPr>
        <w:t>aboutie</w:t>
      </w:r>
      <w:r w:rsidRPr="00320A86">
        <w:rPr>
          <w:color w:val="000000"/>
          <w:szCs w:val="28"/>
        </w:rPr>
        <w:t xml:space="preserve"> </w:t>
      </w:r>
      <w:r w:rsidRPr="00320A86">
        <w:rPr>
          <w:rFonts w:eastAsia="Calibri"/>
          <w:color w:val="000000"/>
          <w:szCs w:val="28"/>
        </w:rPr>
        <w:t>depuis</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Concile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Trente (1545-1563),</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refusant</w:t>
      </w:r>
      <w:r w:rsidRPr="00320A86">
        <w:rPr>
          <w:color w:val="000000"/>
          <w:szCs w:val="28"/>
        </w:rPr>
        <w:t xml:space="preserve"> </w:t>
      </w:r>
      <w:r w:rsidRPr="00320A86">
        <w:rPr>
          <w:rFonts w:eastAsia="Calibri"/>
          <w:color w:val="000000"/>
          <w:szCs w:val="28"/>
        </w:rPr>
        <w:t>toute</w:t>
      </w:r>
      <w:r w:rsidRPr="00320A86">
        <w:rPr>
          <w:color w:val="000000"/>
          <w:szCs w:val="28"/>
        </w:rPr>
        <w:t xml:space="preserve"> </w:t>
      </w:r>
      <w:r w:rsidRPr="00320A86">
        <w:rPr>
          <w:rFonts w:eastAsia="Calibri"/>
          <w:color w:val="000000"/>
          <w:szCs w:val="28"/>
        </w:rPr>
        <w:t>évolution,</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particulier</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matière</w:t>
      </w:r>
      <w:r w:rsidRPr="00320A86">
        <w:rPr>
          <w:color w:val="000000"/>
          <w:szCs w:val="28"/>
        </w:rPr>
        <w:t xml:space="preserve"> </w:t>
      </w:r>
      <w:r w:rsidRPr="00320A86">
        <w:rPr>
          <w:rFonts w:eastAsia="Calibri"/>
          <w:color w:val="000000"/>
          <w:szCs w:val="28"/>
        </w:rPr>
        <w:t>l</w:t>
      </w:r>
      <w:r w:rsidRPr="00320A86">
        <w:rPr>
          <w:rFonts w:eastAsia="Calibri"/>
          <w:color w:val="000000"/>
          <w:szCs w:val="28"/>
        </w:rPr>
        <w:t>i</w:t>
      </w:r>
      <w:r w:rsidRPr="00320A86">
        <w:rPr>
          <w:rFonts w:eastAsia="Calibri"/>
          <w:color w:val="000000"/>
          <w:szCs w:val="28"/>
        </w:rPr>
        <w:t>turgique.</w:t>
      </w:r>
      <w:r w:rsidRPr="00320A86">
        <w:rPr>
          <w:color w:val="000000"/>
          <w:szCs w:val="28"/>
        </w:rPr>
        <w:t xml:space="preserve"> </w:t>
      </w:r>
      <w:r w:rsidRPr="00320A86">
        <w:rPr>
          <w:rFonts w:eastAsia="Calibri"/>
          <w:color w:val="000000"/>
          <w:szCs w:val="28"/>
        </w:rPr>
        <w:t>Mais</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voisinage</w:t>
      </w:r>
      <w:r w:rsidRPr="00320A86">
        <w:rPr>
          <w:color w:val="000000"/>
          <w:szCs w:val="28"/>
        </w:rPr>
        <w:t xml:space="preserve"> </w:t>
      </w:r>
      <w:r w:rsidRPr="00320A86">
        <w:rPr>
          <w:rFonts w:eastAsia="Calibri"/>
          <w:color w:val="000000"/>
          <w:szCs w:val="28"/>
        </w:rPr>
        <w:t>avec</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thèmes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réaction</w:t>
      </w:r>
      <w:r w:rsidRPr="00320A86">
        <w:rPr>
          <w:color w:val="000000"/>
          <w:szCs w:val="28"/>
        </w:rPr>
        <w:t xml:space="preserve"> </w:t>
      </w:r>
      <w:r w:rsidRPr="00320A86">
        <w:rPr>
          <w:rFonts w:eastAsia="Calibri"/>
          <w:color w:val="000000"/>
          <w:szCs w:val="28"/>
        </w:rPr>
        <w:t>politique</w:t>
      </w:r>
      <w:r w:rsidRPr="00320A86">
        <w:rPr>
          <w:color w:val="000000"/>
          <w:szCs w:val="28"/>
        </w:rPr>
        <w:t xml:space="preserve"> </w:t>
      </w:r>
      <w:r w:rsidRPr="00320A86">
        <w:rPr>
          <w:rFonts w:eastAsia="Calibri"/>
          <w:color w:val="000000"/>
          <w:szCs w:val="28"/>
        </w:rPr>
        <w:t>catholique</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explicite</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sein</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Fraternité</w:t>
      </w:r>
      <w:r w:rsidRPr="00320A86">
        <w:rPr>
          <w:color w:val="000000"/>
          <w:szCs w:val="28"/>
        </w:rPr>
        <w:t xml:space="preserve"> </w:t>
      </w:r>
      <w:r w:rsidRPr="00320A86">
        <w:rPr>
          <w:rFonts w:eastAsia="Calibri"/>
          <w:color w:val="000000"/>
          <w:szCs w:val="28"/>
        </w:rPr>
        <w:t>Saint</w:t>
      </w:r>
      <w:r w:rsidRPr="00320A86">
        <w:rPr>
          <w:color w:val="000000"/>
          <w:szCs w:val="28"/>
        </w:rPr>
        <w:t xml:space="preserve"> </w:t>
      </w:r>
      <w:r>
        <w:rPr>
          <w:rFonts w:eastAsia="Calibri"/>
          <w:color w:val="000000"/>
          <w:szCs w:val="28"/>
        </w:rPr>
        <w:t>Pie </w:t>
      </w:r>
      <w:r w:rsidRPr="00320A86">
        <w:rPr>
          <w:rFonts w:eastAsia="Calibri"/>
          <w:color w:val="000000"/>
          <w:szCs w:val="28"/>
        </w:rPr>
        <w:t>X</w:t>
      </w:r>
      <w:r w:rsidRPr="00320A86">
        <w:rPr>
          <w:color w:val="000000"/>
          <w:szCs w:val="28"/>
        </w:rPr>
        <w:t xml:space="preserve">, </w:t>
      </w:r>
      <w:r w:rsidRPr="00320A86">
        <w:rPr>
          <w:rFonts w:eastAsia="Calibri"/>
          <w:color w:val="000000"/>
          <w:szCs w:val="28"/>
        </w:rPr>
        <w:t>fondée</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M</w:t>
      </w:r>
      <w:r w:rsidRPr="00320A86">
        <w:rPr>
          <w:rFonts w:eastAsia="Calibri"/>
          <w:color w:val="000000"/>
          <w:szCs w:val="28"/>
          <w:vertAlign w:val="superscript"/>
        </w:rPr>
        <w:t>gr</w:t>
      </w:r>
      <w:r w:rsidRPr="00320A86">
        <w:rPr>
          <w:color w:val="000000"/>
          <w:szCs w:val="28"/>
        </w:rPr>
        <w:t xml:space="preserve"> </w:t>
      </w:r>
      <w:r w:rsidRPr="00320A86">
        <w:rPr>
          <w:rFonts w:eastAsia="Calibri"/>
          <w:color w:val="000000"/>
          <w:szCs w:val="28"/>
        </w:rPr>
        <w:t>Lefebvre :</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anti-modernisme,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anti-libéralisme,</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refus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la</w:t>
      </w:r>
      <w:r w:rsidRPr="00320A86">
        <w:rPr>
          <w:rFonts w:eastAsia="Calibri"/>
          <w:color w:val="000000"/>
          <w:szCs w:val="28"/>
        </w:rPr>
        <w:t>ï</w:t>
      </w:r>
      <w:r w:rsidRPr="00320A86">
        <w:rPr>
          <w:rFonts w:eastAsia="Calibri"/>
          <w:color w:val="000000"/>
          <w:szCs w:val="28"/>
        </w:rPr>
        <w:t>cité,</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nostalgie</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une</w:t>
      </w:r>
      <w:r w:rsidRPr="00320A86">
        <w:rPr>
          <w:color w:val="000000"/>
          <w:szCs w:val="28"/>
        </w:rPr>
        <w:t xml:space="preserve"> </w:t>
      </w:r>
      <w:r w:rsidRPr="00320A86">
        <w:rPr>
          <w:rFonts w:eastAsia="Calibri"/>
          <w:color w:val="000000"/>
          <w:szCs w:val="28"/>
        </w:rPr>
        <w:t>Chrétienté</w:t>
      </w:r>
      <w:r w:rsidRPr="00320A86">
        <w:rPr>
          <w:color w:val="000000"/>
          <w:szCs w:val="28"/>
        </w:rPr>
        <w:t xml:space="preserve"> </w:t>
      </w:r>
      <w:r w:rsidRPr="00320A86">
        <w:rPr>
          <w:rFonts w:eastAsia="Calibri"/>
          <w:color w:val="000000"/>
          <w:szCs w:val="28"/>
        </w:rPr>
        <w:t>disparue</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paysage</w:t>
      </w:r>
      <w:r w:rsidRPr="00320A86">
        <w:rPr>
          <w:color w:val="000000"/>
          <w:szCs w:val="28"/>
        </w:rPr>
        <w:t xml:space="preserve"> </w:t>
      </w:r>
      <w:r w:rsidRPr="00320A86">
        <w:rPr>
          <w:rFonts w:eastAsia="Calibri"/>
          <w:color w:val="000000"/>
          <w:szCs w:val="28"/>
        </w:rPr>
        <w:t>social,</w:t>
      </w:r>
      <w:r w:rsidRPr="00320A86">
        <w:rPr>
          <w:color w:val="000000"/>
          <w:szCs w:val="28"/>
        </w:rPr>
        <w:t xml:space="preserve"> </w:t>
      </w:r>
      <w:r w:rsidRPr="00320A86">
        <w:rPr>
          <w:rFonts w:eastAsia="Calibri"/>
          <w:color w:val="000000"/>
          <w:szCs w:val="28"/>
        </w:rPr>
        <w:t>sont</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thèmes</w:t>
      </w:r>
      <w:r w:rsidRPr="00320A86">
        <w:rPr>
          <w:color w:val="000000"/>
          <w:szCs w:val="28"/>
        </w:rPr>
        <w:t xml:space="preserve"> </w:t>
      </w:r>
      <w:r w:rsidRPr="00320A86">
        <w:rPr>
          <w:rFonts w:eastAsia="Calibri"/>
          <w:color w:val="000000"/>
          <w:szCs w:val="28"/>
        </w:rPr>
        <w:t>entretenus</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continuent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mobiliser</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ouailles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alimenter</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320A86">
        <w:rPr>
          <w:rFonts w:eastAsia="Calibri"/>
          <w:color w:val="000000"/>
          <w:szCs w:val="28"/>
        </w:rPr>
        <w:t>activisme</w:t>
      </w:r>
      <w:r w:rsidRPr="00320A86">
        <w:rPr>
          <w:color w:val="000000"/>
          <w:szCs w:val="28"/>
        </w:rPr>
        <w:t xml:space="preserve"> </w:t>
      </w:r>
      <w:r w:rsidRPr="00320A86">
        <w:rPr>
          <w:rFonts w:eastAsia="Calibri"/>
          <w:color w:val="000000"/>
          <w:szCs w:val="28"/>
        </w:rPr>
        <w:t>politique</w:t>
      </w:r>
      <w:r w:rsidRPr="00320A86">
        <w:rPr>
          <w:color w:val="000000"/>
          <w:szCs w:val="28"/>
        </w:rPr>
        <w:t xml:space="preserve"> </w:t>
      </w:r>
      <w:r w:rsidRPr="00320A86">
        <w:rPr>
          <w:rFonts w:eastAsia="Calibri"/>
          <w:color w:val="000000"/>
          <w:szCs w:val="28"/>
        </w:rPr>
        <w:t>groupusculaire</w:t>
      </w:r>
      <w:r w:rsidRPr="00320A86">
        <w:rPr>
          <w:color w:val="000000"/>
          <w:szCs w:val="28"/>
        </w:rPr>
        <w:t xml:space="preserve"> </w:t>
      </w:r>
      <w:r w:rsidRPr="00320A86">
        <w:rPr>
          <w:rFonts w:eastAsia="Calibri"/>
          <w:color w:val="000000"/>
          <w:szCs w:val="28"/>
        </w:rPr>
        <w:t>animé,</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ce</w:t>
      </w:r>
      <w:r w:rsidRPr="00320A86">
        <w:rPr>
          <w:color w:val="000000"/>
          <w:szCs w:val="28"/>
        </w:rPr>
        <w:t xml:space="preserve"> </w:t>
      </w:r>
      <w:r w:rsidRPr="00320A86">
        <w:rPr>
          <w:rFonts w:eastAsia="Calibri"/>
          <w:color w:val="000000"/>
          <w:szCs w:val="28"/>
        </w:rPr>
        <w:t>cas</w:t>
      </w:r>
      <w:r w:rsidRPr="00320A86">
        <w:rPr>
          <w:color w:val="000000"/>
          <w:szCs w:val="28"/>
        </w:rPr>
        <w:t xml:space="preserve"> </w:t>
      </w:r>
      <w:r w:rsidRPr="00320A86">
        <w:rPr>
          <w:rFonts w:eastAsia="Calibri"/>
          <w:color w:val="000000"/>
          <w:szCs w:val="28"/>
        </w:rPr>
        <w:t>précis</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Institut</w:t>
      </w:r>
      <w:r w:rsidRPr="00320A86">
        <w:rPr>
          <w:color w:val="000000"/>
          <w:szCs w:val="28"/>
        </w:rPr>
        <w:t xml:space="preserve"> </w:t>
      </w:r>
      <w:r w:rsidRPr="00E11556">
        <w:rPr>
          <w:rFonts w:eastAsia="Calibri"/>
          <w:i/>
          <w:color w:val="000000"/>
          <w:szCs w:val="28"/>
        </w:rPr>
        <w:t>Civitas </w:t>
      </w:r>
      <w:r>
        <w:rPr>
          <w:rStyle w:val="Appelnotedebasdep"/>
          <w:rFonts w:eastAsia="Calibri"/>
          <w:szCs w:val="28"/>
        </w:rPr>
        <w:footnoteReference w:id="1177"/>
      </w:r>
      <w:r w:rsidRPr="00320A86">
        <w:rPr>
          <w:rFonts w:eastAsia="Calibri"/>
          <w:color w:val="000000"/>
          <w:szCs w:val="28"/>
        </w:rPr>
        <w:t>.</w:t>
      </w:r>
      <w:r w:rsidRPr="00320A86">
        <w:rPr>
          <w:color w:val="000000"/>
          <w:szCs w:val="28"/>
        </w:rPr>
        <w:t xml:space="preserve"> </w:t>
      </w:r>
      <w:r w:rsidRPr="00320A86">
        <w:rPr>
          <w:rFonts w:eastAsia="Calibri"/>
          <w:color w:val="000000"/>
          <w:szCs w:val="28"/>
        </w:rPr>
        <w:t>Ce</w:t>
      </w:r>
      <w:r w:rsidRPr="00320A86">
        <w:rPr>
          <w:color w:val="000000"/>
          <w:szCs w:val="28"/>
        </w:rPr>
        <w:t xml:space="preserve"> </w:t>
      </w:r>
      <w:r w:rsidRPr="00320A86">
        <w:rPr>
          <w:rFonts w:eastAsia="Calibri"/>
          <w:color w:val="000000"/>
          <w:szCs w:val="28"/>
        </w:rPr>
        <w:t>«</w:t>
      </w:r>
      <w:r w:rsidRPr="00320A86">
        <w:rPr>
          <w:color w:val="000000"/>
          <w:szCs w:val="28"/>
        </w:rPr>
        <w:t xml:space="preserve"> petit </w:t>
      </w:r>
      <w:r w:rsidRPr="00320A86">
        <w:rPr>
          <w:rFonts w:eastAsia="Calibri"/>
          <w:color w:val="000000"/>
          <w:szCs w:val="28"/>
        </w:rPr>
        <w:t>reste</w:t>
      </w:r>
      <w:r w:rsidRPr="00320A86">
        <w:rPr>
          <w:color w:val="000000"/>
          <w:szCs w:val="28"/>
        </w:rPr>
        <w:t xml:space="preserve"> », </w:t>
      </w:r>
      <w:r w:rsidRPr="00320A86">
        <w:rPr>
          <w:rFonts w:eastAsia="Calibri"/>
          <w:color w:val="000000"/>
          <w:szCs w:val="28"/>
        </w:rPr>
        <w:t>qui</w:t>
      </w:r>
      <w:r w:rsidRPr="00320A86">
        <w:rPr>
          <w:color w:val="000000"/>
          <w:szCs w:val="28"/>
        </w:rPr>
        <w:t xml:space="preserve"> </w:t>
      </w:r>
      <w:r w:rsidRPr="00320A86">
        <w:rPr>
          <w:rFonts w:eastAsia="Calibri"/>
          <w:color w:val="000000"/>
          <w:szCs w:val="28"/>
        </w:rPr>
        <w:t>s</w:t>
      </w:r>
      <w:r w:rsidRPr="00320A86">
        <w:rPr>
          <w:color w:val="000000"/>
          <w:szCs w:val="28"/>
        </w:rPr>
        <w:t>’</w:t>
      </w:r>
      <w:r w:rsidRPr="00320A86">
        <w:rPr>
          <w:rFonts w:eastAsia="Calibri"/>
          <w:color w:val="000000"/>
          <w:szCs w:val="28"/>
        </w:rPr>
        <w:t>estime</w:t>
      </w:r>
      <w:r w:rsidRPr="00320A86">
        <w:rPr>
          <w:color w:val="000000"/>
          <w:szCs w:val="28"/>
        </w:rPr>
        <w:t xml:space="preserve"> </w:t>
      </w:r>
      <w:r w:rsidRPr="00320A86">
        <w:rPr>
          <w:rFonts w:eastAsia="Calibri"/>
          <w:color w:val="000000"/>
          <w:szCs w:val="28"/>
        </w:rPr>
        <w:t>déposita</w:t>
      </w:r>
      <w:r w:rsidRPr="00320A86">
        <w:rPr>
          <w:rFonts w:eastAsia="Calibri"/>
          <w:color w:val="000000"/>
          <w:szCs w:val="28"/>
        </w:rPr>
        <w:t>i</w:t>
      </w:r>
      <w:r w:rsidRPr="00320A86">
        <w:rPr>
          <w:rFonts w:eastAsia="Calibri"/>
          <w:color w:val="000000"/>
          <w:szCs w:val="28"/>
        </w:rPr>
        <w:t>re</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catholicisme</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pur,</w:t>
      </w:r>
      <w:r w:rsidRPr="00320A86">
        <w:rPr>
          <w:color w:val="000000"/>
          <w:szCs w:val="28"/>
        </w:rPr>
        <w:t xml:space="preserve"> </w:t>
      </w:r>
      <w:r w:rsidRPr="00320A86">
        <w:rPr>
          <w:rFonts w:eastAsia="Calibri"/>
          <w:color w:val="000000"/>
          <w:szCs w:val="28"/>
        </w:rPr>
        <w:t>concentre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exprime,</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sa</w:t>
      </w:r>
      <w:r w:rsidRPr="00320A86">
        <w:rPr>
          <w:color w:val="000000"/>
          <w:szCs w:val="28"/>
        </w:rPr>
        <w:t xml:space="preserve"> </w:t>
      </w:r>
      <w:r w:rsidRPr="00320A86">
        <w:rPr>
          <w:rFonts w:eastAsia="Calibri"/>
          <w:color w:val="000000"/>
          <w:szCs w:val="28"/>
        </w:rPr>
        <w:t>ve</w:t>
      </w:r>
      <w:r w:rsidRPr="00320A86">
        <w:rPr>
          <w:rFonts w:eastAsia="Calibri"/>
          <w:color w:val="000000"/>
          <w:szCs w:val="28"/>
        </w:rPr>
        <w:t>r</w:t>
      </w:r>
      <w:r w:rsidRPr="00320A86">
        <w:rPr>
          <w:rFonts w:eastAsia="Calibri"/>
          <w:color w:val="000000"/>
          <w:szCs w:val="28"/>
        </w:rPr>
        <w:t>sion</w:t>
      </w:r>
      <w:r w:rsidRPr="00320A86">
        <w:rPr>
          <w:color w:val="000000"/>
          <w:szCs w:val="28"/>
        </w:rPr>
        <w:t xml:space="preserve"> </w:t>
      </w:r>
      <w:r w:rsidRPr="00320A86">
        <w:rPr>
          <w:rFonts w:eastAsia="Calibri"/>
          <w:color w:val="000000"/>
          <w:szCs w:val="28"/>
        </w:rPr>
        <w:t>extrême,</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interférences</w:t>
      </w:r>
      <w:r w:rsidRPr="00320A86">
        <w:rPr>
          <w:color w:val="000000"/>
          <w:szCs w:val="28"/>
        </w:rPr>
        <w:t xml:space="preserve"> </w:t>
      </w:r>
      <w:r w:rsidRPr="00320A86">
        <w:rPr>
          <w:rFonts w:eastAsia="Calibri"/>
          <w:color w:val="000000"/>
          <w:szCs w:val="28"/>
        </w:rPr>
        <w:t>mouvementées</w:t>
      </w:r>
      <w:r w:rsidRPr="00320A86">
        <w:rPr>
          <w:color w:val="000000"/>
          <w:szCs w:val="28"/>
        </w:rPr>
        <w:t xml:space="preserve"> </w:t>
      </w:r>
      <w:r w:rsidRPr="00320A86">
        <w:rPr>
          <w:rFonts w:eastAsia="Calibri"/>
          <w:color w:val="000000"/>
          <w:szCs w:val="28"/>
        </w:rPr>
        <w:t>entre</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E11556">
        <w:rPr>
          <w:rFonts w:eastAsia="Calibri"/>
          <w:i/>
          <w:color w:val="000000"/>
          <w:szCs w:val="28"/>
        </w:rPr>
        <w:t>spirituel</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E11556">
        <w:rPr>
          <w:rFonts w:eastAsia="Calibri"/>
          <w:i/>
          <w:color w:val="000000"/>
          <w:szCs w:val="28"/>
        </w:rPr>
        <w:t>te</w:t>
      </w:r>
      <w:r w:rsidRPr="00E11556">
        <w:rPr>
          <w:rFonts w:eastAsia="Calibri"/>
          <w:i/>
          <w:color w:val="000000"/>
          <w:szCs w:val="28"/>
        </w:rPr>
        <w:t>m</w:t>
      </w:r>
      <w:r w:rsidRPr="00E11556">
        <w:rPr>
          <w:rFonts w:eastAsia="Calibri"/>
          <w:i/>
          <w:color w:val="000000"/>
          <w:szCs w:val="28"/>
        </w:rPr>
        <w:t>porel</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n</w:t>
      </w:r>
      <w:r w:rsidRPr="00320A86">
        <w:rPr>
          <w:color w:val="000000"/>
          <w:szCs w:val="28"/>
        </w:rPr>
        <w:t>’</w:t>
      </w:r>
      <w:r w:rsidRPr="00320A86">
        <w:rPr>
          <w:rFonts w:eastAsia="Calibri"/>
          <w:color w:val="000000"/>
          <w:szCs w:val="28"/>
        </w:rPr>
        <w:t>ont</w:t>
      </w:r>
      <w:r w:rsidRPr="00320A86">
        <w:rPr>
          <w:color w:val="000000"/>
          <w:szCs w:val="28"/>
        </w:rPr>
        <w:t xml:space="preserve"> </w:t>
      </w:r>
      <w:r w:rsidRPr="00320A86">
        <w:rPr>
          <w:rFonts w:eastAsia="Calibri"/>
          <w:color w:val="000000"/>
          <w:szCs w:val="28"/>
        </w:rPr>
        <w:t>cessé</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préoccuper</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Papauté</w:t>
      </w:r>
      <w:r w:rsidRPr="00320A86">
        <w:rPr>
          <w:color w:val="000000"/>
          <w:szCs w:val="28"/>
        </w:rPr>
        <w:t xml:space="preserve"> </w:t>
      </w:r>
      <w:r w:rsidRPr="00320A86">
        <w:rPr>
          <w:rFonts w:eastAsia="Calibri"/>
          <w:color w:val="000000"/>
          <w:szCs w:val="28"/>
        </w:rPr>
        <w:t>depuis</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Révol</w:t>
      </w:r>
      <w:r w:rsidRPr="00320A86">
        <w:rPr>
          <w:rFonts w:eastAsia="Calibri"/>
          <w:color w:val="000000"/>
          <w:szCs w:val="28"/>
        </w:rPr>
        <w:t>u</w:t>
      </w:r>
      <w:r w:rsidRPr="00320A86">
        <w:rPr>
          <w:rFonts w:eastAsia="Calibri"/>
          <w:color w:val="000000"/>
          <w:szCs w:val="28"/>
        </w:rPr>
        <w:t>tion</w:t>
      </w:r>
      <w:r w:rsidRPr="00320A86">
        <w:rPr>
          <w:color w:val="000000"/>
          <w:szCs w:val="28"/>
        </w:rPr>
        <w:t xml:space="preserve"> </w:t>
      </w:r>
      <w:r w:rsidRPr="00320A86">
        <w:rPr>
          <w:rFonts w:eastAsia="Calibri"/>
          <w:color w:val="000000"/>
          <w:szCs w:val="28"/>
        </w:rPr>
        <w:t>française,</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320A86">
        <w:rPr>
          <w:rFonts w:eastAsia="Calibri"/>
          <w:color w:val="000000"/>
          <w:szCs w:val="28"/>
        </w:rPr>
        <w:t>sens</w:t>
      </w:r>
      <w:r w:rsidRPr="00320A86">
        <w:rPr>
          <w:color w:val="000000"/>
          <w:szCs w:val="28"/>
        </w:rPr>
        <w:t xml:space="preserve"> </w:t>
      </w:r>
      <w:r w:rsidRPr="00320A86">
        <w:rPr>
          <w:rFonts w:eastAsia="Calibri"/>
          <w:color w:val="000000"/>
          <w:szCs w:val="28"/>
        </w:rPr>
        <w:t>défensif</w:t>
      </w:r>
      <w:r>
        <w:rPr>
          <w:rFonts w:eastAsia="Calibri"/>
          <w:color w:val="000000"/>
          <w:szCs w:val="28"/>
        </w:rPr>
        <w:t> </w:t>
      </w:r>
      <w:r>
        <w:rPr>
          <w:rStyle w:val="Appelnotedebasdep"/>
          <w:rFonts w:eastAsia="Calibri"/>
          <w:szCs w:val="28"/>
        </w:rPr>
        <w:footnoteReference w:id="1178"/>
      </w:r>
      <w:r w:rsidRPr="00320A86">
        <w:rPr>
          <w:rFonts w:eastAsia="Calibri"/>
          <w:color w:val="000000"/>
          <w:szCs w:val="28"/>
        </w:rPr>
        <w:t>.</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toutes</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autre</w:t>
      </w:r>
      <w:r w:rsidRPr="00320A86">
        <w:rPr>
          <w:color w:val="000000"/>
          <w:szCs w:val="28"/>
        </w:rPr>
        <w:t xml:space="preserve"> </w:t>
      </w:r>
      <w:r w:rsidRPr="00320A86">
        <w:rPr>
          <w:rFonts w:eastAsia="Calibri"/>
          <w:color w:val="000000"/>
          <w:szCs w:val="28"/>
        </w:rPr>
        <w:t>mo</w:t>
      </w:r>
      <w:r w:rsidRPr="00320A86">
        <w:rPr>
          <w:rFonts w:eastAsia="Calibri"/>
          <w:color w:val="000000"/>
          <w:szCs w:val="28"/>
        </w:rPr>
        <w:t>u</w:t>
      </w:r>
      <w:r w:rsidRPr="00320A86">
        <w:rPr>
          <w:rFonts w:eastAsia="Calibri"/>
          <w:color w:val="000000"/>
          <w:szCs w:val="28"/>
        </w:rPr>
        <w:t>vances,</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caractérisent</w:t>
      </w:r>
      <w:r w:rsidRPr="00320A86">
        <w:rPr>
          <w:color w:val="000000"/>
          <w:szCs w:val="28"/>
        </w:rPr>
        <w:t xml:space="preserve"> </w:t>
      </w:r>
      <w:r w:rsidRPr="00320A86">
        <w:rPr>
          <w:rFonts w:eastAsia="Calibri"/>
          <w:color w:val="000000"/>
          <w:szCs w:val="28"/>
        </w:rPr>
        <w:t>a</w:t>
      </w:r>
      <w:r w:rsidRPr="00320A86">
        <w:rPr>
          <w:rFonts w:eastAsia="Calibri"/>
          <w:color w:val="000000"/>
          <w:szCs w:val="28"/>
        </w:rPr>
        <w:t>u</w:t>
      </w:r>
      <w:r w:rsidRPr="00320A86">
        <w:rPr>
          <w:rFonts w:eastAsia="Calibri"/>
          <w:color w:val="000000"/>
          <w:szCs w:val="28"/>
        </w:rPr>
        <w:t>jourd</w:t>
      </w:r>
      <w:r w:rsidRPr="00320A86">
        <w:rPr>
          <w:color w:val="000000"/>
          <w:szCs w:val="28"/>
        </w:rPr>
        <w:t>’</w:t>
      </w:r>
      <w:r w:rsidRPr="00320A86">
        <w:rPr>
          <w:rFonts w:eastAsia="Calibri"/>
          <w:color w:val="000000"/>
          <w:szCs w:val="28"/>
        </w:rPr>
        <w:t>hui</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320A86">
        <w:rPr>
          <w:rFonts w:eastAsia="Calibri"/>
          <w:color w:val="000000"/>
          <w:szCs w:val="28"/>
        </w:rPr>
        <w:t>catholicisme</w:t>
      </w:r>
      <w:r w:rsidRPr="00320A86">
        <w:rPr>
          <w:color w:val="000000"/>
          <w:szCs w:val="28"/>
        </w:rPr>
        <w:t xml:space="preserve"> </w:t>
      </w:r>
      <w:r w:rsidRPr="00320A86">
        <w:rPr>
          <w:rFonts w:eastAsia="Calibri"/>
          <w:color w:val="000000"/>
          <w:szCs w:val="28"/>
        </w:rPr>
        <w:t>pluriel,</w:t>
      </w:r>
      <w:r w:rsidRPr="00320A86">
        <w:rPr>
          <w:color w:val="000000"/>
          <w:szCs w:val="28"/>
        </w:rPr>
        <w:t xml:space="preserve"> </w:t>
      </w:r>
      <w:r w:rsidRPr="00320A86">
        <w:rPr>
          <w:rFonts w:eastAsia="Calibri"/>
          <w:color w:val="000000"/>
          <w:szCs w:val="28"/>
        </w:rPr>
        <w:t>«</w:t>
      </w:r>
      <w:r w:rsidRPr="00320A86">
        <w:rPr>
          <w:color w:val="000000"/>
          <w:szCs w:val="28"/>
        </w:rPr>
        <w:t> l’</w:t>
      </w:r>
      <w:r w:rsidRPr="00320A86">
        <w:rPr>
          <w:rFonts w:eastAsia="Calibri"/>
          <w:color w:val="000000"/>
          <w:szCs w:val="28"/>
        </w:rPr>
        <w:t>intégrisme</w:t>
      </w:r>
      <w:r w:rsidRPr="00320A86">
        <w:rPr>
          <w:color w:val="000000"/>
          <w:szCs w:val="28"/>
        </w:rPr>
        <w:t xml:space="preserve"> » </w:t>
      </w:r>
      <w:r w:rsidRPr="00320A86">
        <w:rPr>
          <w:rFonts w:eastAsia="Calibri"/>
          <w:color w:val="000000"/>
          <w:szCs w:val="28"/>
        </w:rPr>
        <w:t>catholique</w:t>
      </w:r>
      <w:r w:rsidRPr="00320A86">
        <w:rPr>
          <w:color w:val="000000"/>
          <w:szCs w:val="28"/>
        </w:rPr>
        <w:t xml:space="preserve"> </w:t>
      </w:r>
      <w:r w:rsidRPr="00320A86">
        <w:rPr>
          <w:rFonts w:eastAsia="Calibri"/>
          <w:color w:val="000000"/>
          <w:szCs w:val="28"/>
        </w:rPr>
        <w:t>s</w:t>
      </w:r>
      <w:r w:rsidRPr="00320A86">
        <w:rPr>
          <w:color w:val="000000"/>
          <w:szCs w:val="28"/>
        </w:rPr>
        <w:t>’</w:t>
      </w:r>
      <w:r w:rsidRPr="00320A86">
        <w:rPr>
          <w:rFonts w:eastAsia="Calibri"/>
          <w:color w:val="000000"/>
          <w:szCs w:val="28"/>
        </w:rPr>
        <w:t>entretient</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vo</w:t>
      </w:r>
      <w:r w:rsidRPr="00320A86">
        <w:rPr>
          <w:rFonts w:eastAsia="Calibri"/>
          <w:color w:val="000000"/>
          <w:szCs w:val="28"/>
        </w:rPr>
        <w:t>i</w:t>
      </w:r>
      <w:r w:rsidRPr="00320A86">
        <w:rPr>
          <w:rFonts w:eastAsia="Calibri"/>
          <w:color w:val="000000"/>
          <w:szCs w:val="28"/>
        </w:rPr>
        <w:t>sinage,</w:t>
      </w:r>
      <w:r w:rsidRPr="00320A86">
        <w:rPr>
          <w:color w:val="000000"/>
          <w:szCs w:val="28"/>
        </w:rPr>
        <w:t xml:space="preserve"> </w:t>
      </w:r>
      <w:r w:rsidRPr="00320A86">
        <w:rPr>
          <w:rFonts w:eastAsia="Calibri"/>
          <w:color w:val="000000"/>
          <w:szCs w:val="28"/>
        </w:rPr>
        <w:t>si</w:t>
      </w:r>
      <w:r w:rsidRPr="00320A86">
        <w:rPr>
          <w:color w:val="000000"/>
          <w:szCs w:val="28"/>
        </w:rPr>
        <w:t xml:space="preserve"> </w:t>
      </w:r>
      <w:r w:rsidRPr="00320A86">
        <w:rPr>
          <w:rFonts w:eastAsia="Calibri"/>
          <w:color w:val="000000"/>
          <w:szCs w:val="28"/>
        </w:rPr>
        <w:t>ce</w:t>
      </w:r>
      <w:r w:rsidRPr="00320A86">
        <w:rPr>
          <w:color w:val="000000"/>
          <w:szCs w:val="28"/>
        </w:rPr>
        <w:t xml:space="preserve"> </w:t>
      </w:r>
      <w:r w:rsidRPr="00320A86">
        <w:rPr>
          <w:rFonts w:eastAsia="Calibri"/>
          <w:color w:val="000000"/>
          <w:szCs w:val="28"/>
        </w:rPr>
        <w:t>n</w:t>
      </w:r>
      <w:r w:rsidRPr="00320A86">
        <w:rPr>
          <w:color w:val="000000"/>
          <w:szCs w:val="28"/>
        </w:rPr>
        <w:t>’</w:t>
      </w:r>
      <w:r w:rsidRPr="00320A86">
        <w:rPr>
          <w:rFonts w:eastAsia="Calibri"/>
          <w:color w:val="000000"/>
          <w:szCs w:val="28"/>
        </w:rPr>
        <w:t>est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amalgame,</w:t>
      </w:r>
      <w:r w:rsidRPr="00320A86">
        <w:rPr>
          <w:color w:val="000000"/>
          <w:szCs w:val="28"/>
        </w:rPr>
        <w:t xml:space="preserve"> </w:t>
      </w:r>
      <w:r w:rsidRPr="00320A86">
        <w:rPr>
          <w:rFonts w:eastAsia="Calibri"/>
          <w:color w:val="000000"/>
          <w:szCs w:val="28"/>
        </w:rPr>
        <w:t>entre</w:t>
      </w:r>
      <w:r w:rsidRPr="00320A86">
        <w:rPr>
          <w:color w:val="000000"/>
          <w:szCs w:val="28"/>
        </w:rPr>
        <w:t xml:space="preserve"> </w:t>
      </w:r>
      <w:r w:rsidRPr="00320A86">
        <w:rPr>
          <w:rFonts w:eastAsia="Calibri"/>
          <w:color w:val="000000"/>
          <w:szCs w:val="28"/>
        </w:rPr>
        <w:t>ce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appartient</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Dieu,</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ce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relève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César.</w:t>
      </w:r>
      <w:r w:rsidRPr="00320A86">
        <w:rPr>
          <w:color w:val="000000"/>
          <w:szCs w:val="28"/>
        </w:rPr>
        <w:t xml:space="preserve"> </w:t>
      </w:r>
      <w:r w:rsidRPr="00320A86">
        <w:rPr>
          <w:rFonts w:eastAsia="Calibri"/>
          <w:color w:val="000000"/>
          <w:szCs w:val="28"/>
        </w:rPr>
        <w:t>Ces</w:t>
      </w:r>
      <w:r w:rsidRPr="00320A86">
        <w:rPr>
          <w:color w:val="000000"/>
          <w:szCs w:val="28"/>
        </w:rPr>
        <w:t xml:space="preserve"> </w:t>
      </w:r>
      <w:r w:rsidRPr="00320A86">
        <w:rPr>
          <w:rFonts w:eastAsia="Calibri"/>
          <w:color w:val="000000"/>
          <w:szCs w:val="28"/>
        </w:rPr>
        <w:t>combinaisons,</w:t>
      </w:r>
      <w:r w:rsidRPr="00320A86">
        <w:rPr>
          <w:color w:val="000000"/>
          <w:szCs w:val="28"/>
        </w:rPr>
        <w:t xml:space="preserve"> </w:t>
      </w:r>
      <w:r w:rsidRPr="00320A86">
        <w:rPr>
          <w:rFonts w:eastAsia="Calibri"/>
          <w:color w:val="000000"/>
          <w:szCs w:val="28"/>
        </w:rPr>
        <w:t>pourtant</w:t>
      </w:r>
      <w:r w:rsidRPr="00320A86">
        <w:rPr>
          <w:color w:val="000000"/>
          <w:szCs w:val="28"/>
        </w:rPr>
        <w:t xml:space="preserve"> </w:t>
      </w:r>
      <w:r w:rsidRPr="00320A86">
        <w:rPr>
          <w:rFonts w:eastAsia="Calibri"/>
          <w:color w:val="000000"/>
          <w:szCs w:val="28"/>
        </w:rPr>
        <w:t>déconseillées</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Évangile,</w:t>
      </w:r>
      <w:r w:rsidRPr="00320A86">
        <w:rPr>
          <w:color w:val="000000"/>
          <w:szCs w:val="28"/>
        </w:rPr>
        <w:t xml:space="preserve"> </w:t>
      </w:r>
      <w:r w:rsidRPr="00320A86">
        <w:rPr>
          <w:rFonts w:eastAsia="Calibri"/>
          <w:color w:val="000000"/>
          <w:szCs w:val="28"/>
        </w:rPr>
        <w:t>conduisent</w:t>
      </w:r>
      <w:r w:rsidRPr="00320A86">
        <w:rPr>
          <w:color w:val="000000"/>
          <w:szCs w:val="28"/>
        </w:rPr>
        <w:t xml:space="preserve"> </w:t>
      </w:r>
      <w:r w:rsidRPr="00320A86">
        <w:rPr>
          <w:rFonts w:eastAsia="Calibri"/>
          <w:color w:val="000000"/>
          <w:szCs w:val="28"/>
        </w:rPr>
        <w:t>inévitablement</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poser</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question</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primauté</w:t>
      </w:r>
      <w:r w:rsidRPr="00320A86">
        <w:rPr>
          <w:color w:val="000000"/>
          <w:szCs w:val="28"/>
        </w:rPr>
        <w:t xml:space="preserve"> </w:t>
      </w:r>
      <w:r w:rsidRPr="00320A86">
        <w:rPr>
          <w:rFonts w:eastAsia="Calibri"/>
          <w:color w:val="000000"/>
          <w:szCs w:val="28"/>
        </w:rPr>
        <w:t>– ou</w:t>
      </w:r>
      <w:r w:rsidRPr="00320A86">
        <w:rPr>
          <w:color w:val="000000"/>
          <w:szCs w:val="28"/>
        </w:rPr>
        <w:t xml:space="preserve"> </w:t>
      </w:r>
      <w:r w:rsidRPr="00320A86">
        <w:rPr>
          <w:rFonts w:eastAsia="Calibri"/>
          <w:color w:val="000000"/>
          <w:szCs w:val="28"/>
        </w:rPr>
        <w:t>non – de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idéologie</w:t>
      </w:r>
      <w:r w:rsidRPr="00320A86">
        <w:rPr>
          <w:color w:val="000000"/>
          <w:szCs w:val="28"/>
        </w:rPr>
        <w:t xml:space="preserve"> </w:t>
      </w:r>
      <w:r w:rsidRPr="00320A86">
        <w:rPr>
          <w:rFonts w:eastAsia="Calibri"/>
          <w:color w:val="000000"/>
          <w:szCs w:val="28"/>
        </w:rPr>
        <w:t>pol</w:t>
      </w:r>
      <w:r w:rsidRPr="00320A86">
        <w:rPr>
          <w:rFonts w:eastAsia="Calibri"/>
          <w:color w:val="000000"/>
          <w:szCs w:val="28"/>
        </w:rPr>
        <w:t>i</w:t>
      </w:r>
      <w:r w:rsidRPr="00320A86">
        <w:rPr>
          <w:rFonts w:eastAsia="Calibri"/>
          <w:color w:val="000000"/>
          <w:szCs w:val="28"/>
        </w:rPr>
        <w:t>tique</w:t>
      </w:r>
      <w:r w:rsidRPr="00320A86">
        <w:rPr>
          <w:color w:val="000000"/>
          <w:szCs w:val="28"/>
        </w:rPr>
        <w:t xml:space="preserve"> </w:t>
      </w:r>
      <w:r w:rsidRPr="00320A86">
        <w:rPr>
          <w:rFonts w:eastAsia="Calibri"/>
          <w:color w:val="000000"/>
          <w:szCs w:val="28"/>
        </w:rPr>
        <w:t>sur</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engagement</w:t>
      </w:r>
      <w:r w:rsidRPr="00320A86">
        <w:rPr>
          <w:color w:val="000000"/>
          <w:szCs w:val="28"/>
        </w:rPr>
        <w:t xml:space="preserve"> </w:t>
      </w:r>
      <w:r w:rsidRPr="00320A86">
        <w:rPr>
          <w:rFonts w:eastAsia="Calibri"/>
          <w:color w:val="000000"/>
          <w:szCs w:val="28"/>
        </w:rPr>
        <w:t xml:space="preserve">spirituel. </w:t>
      </w:r>
      <w:r w:rsidRPr="00320A86">
        <w:rPr>
          <w:rFonts w:eastAsia="Calibri"/>
          <w:color w:val="000000"/>
          <w:szCs w:val="28"/>
          <w:shd w:val="clear" w:color="auto" w:fill="FFFFFF"/>
        </w:rPr>
        <w:t>Cette</w:t>
      </w:r>
      <w:r w:rsidRPr="00320A86">
        <w:rPr>
          <w:color w:val="000000"/>
          <w:szCs w:val="28"/>
          <w:shd w:val="clear" w:color="auto" w:fill="FFFFFF"/>
        </w:rPr>
        <w:t xml:space="preserve"> </w:t>
      </w:r>
      <w:r w:rsidRPr="00320A86">
        <w:rPr>
          <w:rFonts w:eastAsia="Calibri"/>
          <w:color w:val="000000"/>
          <w:szCs w:val="28"/>
          <w:shd w:val="clear" w:color="auto" w:fill="FFFFFF"/>
        </w:rPr>
        <w:t>interpellation</w:t>
      </w:r>
      <w:r w:rsidRPr="00320A86">
        <w:rPr>
          <w:color w:val="000000"/>
          <w:szCs w:val="28"/>
          <w:shd w:val="clear" w:color="auto" w:fill="FFFFFF"/>
        </w:rPr>
        <w:t xml:space="preserve"> </w:t>
      </w:r>
      <w:r w:rsidRPr="00320A86">
        <w:rPr>
          <w:rFonts w:eastAsia="Calibri"/>
          <w:color w:val="000000"/>
          <w:szCs w:val="28"/>
          <w:shd w:val="clear" w:color="auto" w:fill="FFFFFF"/>
        </w:rPr>
        <w:t>qui</w:t>
      </w:r>
      <w:r w:rsidRPr="00320A86">
        <w:rPr>
          <w:color w:val="000000"/>
          <w:szCs w:val="28"/>
          <w:shd w:val="clear" w:color="auto" w:fill="FFFFFF"/>
        </w:rPr>
        <w:t xml:space="preserve"> </w:t>
      </w:r>
      <w:r w:rsidRPr="00320A86">
        <w:rPr>
          <w:rFonts w:eastAsia="Calibri"/>
          <w:color w:val="000000"/>
          <w:szCs w:val="28"/>
          <w:shd w:val="clear" w:color="auto" w:fill="FFFFFF"/>
        </w:rPr>
        <w:t>n</w:t>
      </w:r>
      <w:r w:rsidRPr="00320A86">
        <w:rPr>
          <w:color w:val="000000"/>
          <w:szCs w:val="28"/>
          <w:shd w:val="clear" w:color="auto" w:fill="FFFFFF"/>
        </w:rPr>
        <w:t>’</w:t>
      </w:r>
      <w:r w:rsidRPr="00320A86">
        <w:rPr>
          <w:rFonts w:eastAsia="Calibri"/>
          <w:color w:val="000000"/>
          <w:szCs w:val="28"/>
          <w:shd w:val="clear" w:color="auto" w:fill="FFFFFF"/>
        </w:rPr>
        <w:t>a</w:t>
      </w:r>
      <w:r w:rsidRPr="00320A86">
        <w:rPr>
          <w:color w:val="000000"/>
          <w:szCs w:val="28"/>
          <w:shd w:val="clear" w:color="auto" w:fill="FFFFFF"/>
        </w:rPr>
        <w:t xml:space="preserve"> </w:t>
      </w:r>
      <w:r w:rsidRPr="00320A86">
        <w:rPr>
          <w:rFonts w:eastAsia="Calibri"/>
          <w:color w:val="000000"/>
          <w:szCs w:val="28"/>
          <w:shd w:val="clear" w:color="auto" w:fill="FFFFFF"/>
        </w:rPr>
        <w:t>cessé</w:t>
      </w:r>
      <w:r w:rsidRPr="00320A86">
        <w:rPr>
          <w:color w:val="000000"/>
          <w:szCs w:val="28"/>
          <w:shd w:val="clear" w:color="auto" w:fill="FFFFFF"/>
        </w:rPr>
        <w:t xml:space="preserve"> </w:t>
      </w:r>
      <w:r w:rsidRPr="00320A86">
        <w:rPr>
          <w:rFonts w:eastAsia="Calibri"/>
          <w:color w:val="000000"/>
          <w:szCs w:val="28"/>
          <w:shd w:val="clear" w:color="auto" w:fill="FFFFFF"/>
        </w:rPr>
        <w:t>de</w:t>
      </w:r>
      <w:r w:rsidRPr="00320A86">
        <w:rPr>
          <w:color w:val="000000"/>
          <w:szCs w:val="28"/>
          <w:shd w:val="clear" w:color="auto" w:fill="FFFFFF"/>
        </w:rPr>
        <w:t xml:space="preserve"> </w:t>
      </w:r>
      <w:r w:rsidRPr="00320A86">
        <w:rPr>
          <w:rFonts w:eastAsia="Calibri"/>
          <w:color w:val="000000"/>
          <w:szCs w:val="28"/>
          <w:shd w:val="clear" w:color="auto" w:fill="FFFFFF"/>
        </w:rPr>
        <w:t>poursuivre</w:t>
      </w:r>
      <w:r w:rsidRPr="00320A86">
        <w:rPr>
          <w:color w:val="000000"/>
          <w:szCs w:val="28"/>
          <w:shd w:val="clear" w:color="auto" w:fill="FFFFFF"/>
        </w:rPr>
        <w:t xml:space="preserve"> </w:t>
      </w:r>
      <w:r w:rsidRPr="00320A86">
        <w:rPr>
          <w:rFonts w:eastAsia="Calibri"/>
          <w:color w:val="000000"/>
          <w:szCs w:val="28"/>
          <w:shd w:val="clear" w:color="auto" w:fill="FFFFFF"/>
        </w:rPr>
        <w:t>prioritairement</w:t>
      </w:r>
      <w:r w:rsidRPr="00320A86">
        <w:rPr>
          <w:color w:val="000000"/>
          <w:szCs w:val="28"/>
          <w:shd w:val="clear" w:color="auto" w:fill="FFFFFF"/>
        </w:rPr>
        <w:t xml:space="preserve"> </w:t>
      </w:r>
      <w:r w:rsidRPr="00320A86">
        <w:rPr>
          <w:rFonts w:eastAsia="Calibri"/>
          <w:color w:val="000000"/>
          <w:szCs w:val="28"/>
          <w:shd w:val="clear" w:color="auto" w:fill="FFFFFF"/>
        </w:rPr>
        <w:t>les</w:t>
      </w:r>
      <w:r w:rsidRPr="00320A86">
        <w:rPr>
          <w:color w:val="000000"/>
          <w:szCs w:val="28"/>
          <w:shd w:val="clear" w:color="auto" w:fill="FFFFFF"/>
        </w:rPr>
        <w:t xml:space="preserve"> </w:t>
      </w:r>
      <w:r w:rsidRPr="00320A86">
        <w:rPr>
          <w:rFonts w:eastAsia="Calibri"/>
          <w:color w:val="000000"/>
          <w:szCs w:val="28"/>
          <w:shd w:val="clear" w:color="auto" w:fill="FFFFFF"/>
        </w:rPr>
        <w:t>ailes</w:t>
      </w:r>
      <w:r w:rsidRPr="00320A86">
        <w:rPr>
          <w:color w:val="000000"/>
          <w:szCs w:val="28"/>
          <w:shd w:val="clear" w:color="auto" w:fill="FFFFFF"/>
        </w:rPr>
        <w:t xml:space="preserve"> </w:t>
      </w:r>
      <w:r w:rsidRPr="00320A86">
        <w:rPr>
          <w:rFonts w:eastAsia="Calibri"/>
          <w:color w:val="000000"/>
          <w:szCs w:val="28"/>
          <w:shd w:val="clear" w:color="auto" w:fill="FFFFFF"/>
        </w:rPr>
        <w:t>progressistes</w:t>
      </w:r>
      <w:r w:rsidRPr="00320A86">
        <w:rPr>
          <w:color w:val="000000"/>
          <w:szCs w:val="28"/>
          <w:shd w:val="clear" w:color="auto" w:fill="FFFFFF"/>
        </w:rPr>
        <w:t xml:space="preserve"> </w:t>
      </w:r>
      <w:r w:rsidRPr="00320A86">
        <w:rPr>
          <w:rFonts w:eastAsia="Calibri"/>
          <w:color w:val="000000"/>
          <w:szCs w:val="28"/>
          <w:shd w:val="clear" w:color="auto" w:fill="FFFFFF"/>
        </w:rPr>
        <w:t>de</w:t>
      </w:r>
      <w:r w:rsidRPr="00320A86">
        <w:rPr>
          <w:color w:val="000000"/>
          <w:szCs w:val="28"/>
          <w:shd w:val="clear" w:color="auto" w:fill="FFFFFF"/>
        </w:rPr>
        <w:t xml:space="preserve"> </w:t>
      </w:r>
      <w:r w:rsidRPr="00320A86">
        <w:rPr>
          <w:rFonts w:eastAsia="Calibri"/>
          <w:color w:val="000000"/>
          <w:szCs w:val="28"/>
          <w:shd w:val="clear" w:color="auto" w:fill="FFFFFF"/>
        </w:rPr>
        <w:t>l</w:t>
      </w:r>
      <w:r w:rsidRPr="00320A86">
        <w:rPr>
          <w:color w:val="000000"/>
          <w:szCs w:val="28"/>
          <w:shd w:val="clear" w:color="auto" w:fill="FFFFFF"/>
        </w:rPr>
        <w:t>’</w:t>
      </w:r>
      <w:r w:rsidRPr="00320A86">
        <w:rPr>
          <w:rFonts w:eastAsia="Calibri"/>
          <w:color w:val="000000"/>
          <w:szCs w:val="28"/>
          <w:shd w:val="clear" w:color="auto" w:fill="FFFFFF"/>
        </w:rPr>
        <w:t xml:space="preserve">Église (notamment le catholicisme social au </w:t>
      </w:r>
      <w:r w:rsidRPr="00320A86">
        <w:rPr>
          <w:rFonts w:eastAsia="Calibri"/>
          <w:smallCaps/>
          <w:color w:val="000000"/>
          <w:szCs w:val="28"/>
          <w:shd w:val="clear" w:color="auto" w:fill="FFFFFF"/>
        </w:rPr>
        <w:t>XIX</w:t>
      </w:r>
      <w:r w:rsidRPr="00320A86">
        <w:rPr>
          <w:rFonts w:eastAsia="Calibri"/>
          <w:color w:val="000000"/>
          <w:szCs w:val="28"/>
          <w:shd w:val="clear" w:color="auto" w:fill="FFFFFF"/>
          <w:vertAlign w:val="superscript"/>
        </w:rPr>
        <w:t>e</w:t>
      </w:r>
      <w:r w:rsidRPr="00320A86">
        <w:rPr>
          <w:rFonts w:eastAsia="Calibri"/>
          <w:color w:val="000000"/>
          <w:szCs w:val="28"/>
          <w:shd w:val="clear" w:color="auto" w:fill="FFFFFF"/>
        </w:rPr>
        <w:t xml:space="preserve"> siècle, «</w:t>
      </w:r>
      <w:r w:rsidRPr="00320A86">
        <w:rPr>
          <w:color w:val="000000"/>
          <w:szCs w:val="28"/>
          <w:shd w:val="clear" w:color="auto" w:fill="FFFFFF"/>
        </w:rPr>
        <w:t> </w:t>
      </w:r>
      <w:r w:rsidRPr="00320A86">
        <w:rPr>
          <w:rFonts w:eastAsia="Calibri"/>
          <w:color w:val="000000"/>
          <w:szCs w:val="28"/>
          <w:shd w:val="clear" w:color="auto" w:fill="FFFFFF"/>
        </w:rPr>
        <w:t>Le Si</w:t>
      </w:r>
      <w:r w:rsidRPr="00320A86">
        <w:rPr>
          <w:rFonts w:eastAsia="Calibri"/>
          <w:color w:val="000000"/>
          <w:szCs w:val="28"/>
          <w:shd w:val="clear" w:color="auto" w:fill="FFFFFF"/>
        </w:rPr>
        <w:t>l</w:t>
      </w:r>
      <w:r w:rsidRPr="00320A86">
        <w:rPr>
          <w:rFonts w:eastAsia="Calibri"/>
          <w:color w:val="000000"/>
          <w:szCs w:val="28"/>
          <w:shd w:val="clear" w:color="auto" w:fill="FFFFFF"/>
        </w:rPr>
        <w:t>lon</w:t>
      </w:r>
      <w:r w:rsidRPr="00320A86">
        <w:rPr>
          <w:color w:val="000000"/>
          <w:szCs w:val="28"/>
          <w:shd w:val="clear" w:color="auto" w:fill="FFFFFF"/>
        </w:rPr>
        <w:t> »</w:t>
      </w:r>
      <w:r w:rsidRPr="00320A86">
        <w:rPr>
          <w:rFonts w:eastAsia="Calibri"/>
          <w:color w:val="000000"/>
          <w:szCs w:val="28"/>
          <w:shd w:val="clear" w:color="auto" w:fill="FFFFFF"/>
        </w:rPr>
        <w:t xml:space="preserve"> de Marc Sangnier, au début du </w:t>
      </w:r>
      <w:r w:rsidRPr="00320A86">
        <w:rPr>
          <w:rFonts w:eastAsia="Calibri"/>
          <w:smallCaps/>
          <w:color w:val="000000"/>
          <w:szCs w:val="28"/>
          <w:shd w:val="clear" w:color="auto" w:fill="FFFFFF"/>
        </w:rPr>
        <w:t>XX</w:t>
      </w:r>
      <w:r w:rsidRPr="00320A86">
        <w:rPr>
          <w:rFonts w:eastAsia="Calibri"/>
          <w:color w:val="000000"/>
          <w:szCs w:val="28"/>
          <w:shd w:val="clear" w:color="auto" w:fill="FFFFFF"/>
          <w:vertAlign w:val="superscript"/>
        </w:rPr>
        <w:t>e</w:t>
      </w:r>
      <w:r w:rsidRPr="00320A86">
        <w:rPr>
          <w:rFonts w:eastAsia="Calibri"/>
          <w:color w:val="000000"/>
          <w:szCs w:val="28"/>
          <w:shd w:val="clear" w:color="auto" w:fill="FFFFFF"/>
        </w:rPr>
        <w:t xml:space="preserve"> siècle, puis, plus tard, le mouvement des «</w:t>
      </w:r>
      <w:r w:rsidRPr="00320A86">
        <w:rPr>
          <w:color w:val="000000"/>
          <w:szCs w:val="28"/>
          <w:shd w:val="clear" w:color="auto" w:fill="FFFFFF"/>
        </w:rPr>
        <w:t> </w:t>
      </w:r>
      <w:r w:rsidRPr="00320A86">
        <w:rPr>
          <w:rFonts w:eastAsia="Calibri"/>
          <w:color w:val="000000"/>
          <w:szCs w:val="28"/>
          <w:shd w:val="clear" w:color="auto" w:fill="FFFFFF"/>
        </w:rPr>
        <w:t>prêtres ouvriers</w:t>
      </w:r>
      <w:r w:rsidRPr="00320A86">
        <w:rPr>
          <w:color w:val="000000"/>
          <w:szCs w:val="28"/>
          <w:shd w:val="clear" w:color="auto" w:fill="FFFFFF"/>
        </w:rPr>
        <w:t> »)</w:t>
      </w:r>
      <w:r w:rsidRPr="00320A86">
        <w:rPr>
          <w:rFonts w:eastAsia="Calibri"/>
          <w:color w:val="000000"/>
          <w:szCs w:val="28"/>
          <w:shd w:val="clear" w:color="auto" w:fill="FFFFFF"/>
        </w:rPr>
        <w:t>,</w:t>
      </w:r>
      <w:r w:rsidRPr="00320A86">
        <w:rPr>
          <w:color w:val="000000"/>
          <w:szCs w:val="28"/>
          <w:shd w:val="clear" w:color="auto" w:fill="FFFFFF"/>
        </w:rPr>
        <w:t xml:space="preserve"> </w:t>
      </w:r>
      <w:r w:rsidRPr="00320A86">
        <w:rPr>
          <w:rFonts w:eastAsia="Calibri"/>
          <w:color w:val="000000"/>
          <w:szCs w:val="28"/>
          <w:shd w:val="clear" w:color="auto" w:fill="FFFFFF"/>
        </w:rPr>
        <w:t>à</w:t>
      </w:r>
      <w:r w:rsidRPr="00320A86">
        <w:rPr>
          <w:color w:val="000000"/>
          <w:szCs w:val="28"/>
          <w:shd w:val="clear" w:color="auto" w:fill="FFFFFF"/>
        </w:rPr>
        <w:t xml:space="preserve"> </w:t>
      </w:r>
      <w:r w:rsidRPr="00320A86">
        <w:rPr>
          <w:rFonts w:eastAsia="Calibri"/>
          <w:color w:val="000000"/>
          <w:szCs w:val="28"/>
          <w:shd w:val="clear" w:color="auto" w:fill="FFFFFF"/>
        </w:rPr>
        <w:t>cause</w:t>
      </w:r>
      <w:r w:rsidRPr="00320A86">
        <w:rPr>
          <w:color w:val="000000"/>
          <w:szCs w:val="28"/>
          <w:shd w:val="clear" w:color="auto" w:fill="FFFFFF"/>
        </w:rPr>
        <w:t xml:space="preserve"> </w:t>
      </w:r>
      <w:r w:rsidRPr="00320A86">
        <w:rPr>
          <w:rFonts w:eastAsia="Calibri"/>
          <w:color w:val="000000"/>
          <w:szCs w:val="28"/>
          <w:shd w:val="clear" w:color="auto" w:fill="FFFFFF"/>
        </w:rPr>
        <w:t>de</w:t>
      </w:r>
      <w:r w:rsidRPr="00320A86">
        <w:rPr>
          <w:color w:val="000000"/>
          <w:szCs w:val="28"/>
          <w:shd w:val="clear" w:color="auto" w:fill="FFFFFF"/>
        </w:rPr>
        <w:t xml:space="preserve"> </w:t>
      </w:r>
      <w:r w:rsidRPr="00320A86">
        <w:rPr>
          <w:rFonts w:eastAsia="Calibri"/>
          <w:color w:val="000000"/>
          <w:szCs w:val="28"/>
          <w:shd w:val="clear" w:color="auto" w:fill="FFFFFF"/>
        </w:rPr>
        <w:t>ses</w:t>
      </w:r>
      <w:r w:rsidRPr="00320A86">
        <w:rPr>
          <w:color w:val="000000"/>
          <w:szCs w:val="28"/>
          <w:shd w:val="clear" w:color="auto" w:fill="FFFFFF"/>
        </w:rPr>
        <w:t xml:space="preserve">  compr</w:t>
      </w:r>
      <w:r w:rsidRPr="00320A86">
        <w:rPr>
          <w:color w:val="000000"/>
          <w:szCs w:val="28"/>
          <w:shd w:val="clear" w:color="auto" w:fill="FFFFFF"/>
        </w:rPr>
        <w:t>o</w:t>
      </w:r>
      <w:r w:rsidRPr="00320A86">
        <w:rPr>
          <w:color w:val="000000"/>
          <w:szCs w:val="28"/>
          <w:shd w:val="clear" w:color="auto" w:fill="FFFFFF"/>
        </w:rPr>
        <w:t xml:space="preserve">missions plus </w:t>
      </w:r>
      <w:r w:rsidRPr="00320A86">
        <w:rPr>
          <w:rFonts w:eastAsia="Calibri"/>
          <w:color w:val="000000"/>
          <w:szCs w:val="28"/>
          <w:shd w:val="clear" w:color="auto" w:fill="FFFFFF"/>
        </w:rPr>
        <w:t>ou</w:t>
      </w:r>
      <w:r w:rsidRPr="00320A86">
        <w:rPr>
          <w:color w:val="000000"/>
          <w:szCs w:val="28"/>
          <w:shd w:val="clear" w:color="auto" w:fill="FFFFFF"/>
        </w:rPr>
        <w:t xml:space="preserve"> </w:t>
      </w:r>
      <w:r w:rsidRPr="00320A86">
        <w:rPr>
          <w:rFonts w:eastAsia="Calibri"/>
          <w:color w:val="000000"/>
          <w:szCs w:val="28"/>
          <w:shd w:val="clear" w:color="auto" w:fill="FFFFFF"/>
        </w:rPr>
        <w:t>moins</w:t>
      </w:r>
      <w:r w:rsidRPr="00320A86">
        <w:rPr>
          <w:color w:val="000000"/>
          <w:szCs w:val="28"/>
          <w:shd w:val="clear" w:color="auto" w:fill="FFFFFF"/>
        </w:rPr>
        <w:t xml:space="preserve"> </w:t>
      </w:r>
      <w:r w:rsidRPr="00320A86">
        <w:rPr>
          <w:rFonts w:eastAsia="Calibri"/>
          <w:color w:val="000000"/>
          <w:szCs w:val="28"/>
          <w:shd w:val="clear" w:color="auto" w:fill="FFFFFF"/>
        </w:rPr>
        <w:t>explicites</w:t>
      </w:r>
      <w:r w:rsidRPr="00320A86">
        <w:rPr>
          <w:color w:val="000000"/>
          <w:szCs w:val="28"/>
          <w:shd w:val="clear" w:color="auto" w:fill="FFFFFF"/>
        </w:rPr>
        <w:t xml:space="preserve"> avec le républicanisme et aussi </w:t>
      </w:r>
      <w:r w:rsidRPr="00320A86">
        <w:rPr>
          <w:rFonts w:eastAsia="Calibri"/>
          <w:color w:val="000000"/>
          <w:szCs w:val="28"/>
          <w:shd w:val="clear" w:color="auto" w:fill="FFFFFF"/>
        </w:rPr>
        <w:t>avec</w:t>
      </w:r>
      <w:r w:rsidRPr="00320A86">
        <w:rPr>
          <w:color w:val="000000"/>
          <w:szCs w:val="28"/>
          <w:shd w:val="clear" w:color="auto" w:fill="FFFFFF"/>
        </w:rPr>
        <w:t xml:space="preserve"> </w:t>
      </w:r>
      <w:r w:rsidRPr="00320A86">
        <w:rPr>
          <w:rFonts w:eastAsia="Calibri"/>
          <w:color w:val="000000"/>
          <w:szCs w:val="28"/>
          <w:shd w:val="clear" w:color="auto" w:fill="FFFFFF"/>
        </w:rPr>
        <w:t>le</w:t>
      </w:r>
      <w:r w:rsidRPr="00320A86">
        <w:rPr>
          <w:color w:val="000000"/>
          <w:szCs w:val="28"/>
          <w:shd w:val="clear" w:color="auto" w:fill="FFFFFF"/>
        </w:rPr>
        <w:t xml:space="preserve"> </w:t>
      </w:r>
      <w:r w:rsidRPr="00320A86">
        <w:rPr>
          <w:rFonts w:eastAsia="Calibri"/>
          <w:color w:val="000000"/>
          <w:szCs w:val="28"/>
          <w:shd w:val="clear" w:color="auto" w:fill="FFFFFF"/>
        </w:rPr>
        <w:t>ma</w:t>
      </w:r>
      <w:r w:rsidRPr="00320A86">
        <w:rPr>
          <w:rFonts w:eastAsia="Calibri"/>
          <w:color w:val="000000"/>
          <w:szCs w:val="28"/>
          <w:shd w:val="clear" w:color="auto" w:fill="FFFFFF"/>
        </w:rPr>
        <w:t>r</w:t>
      </w:r>
      <w:r w:rsidRPr="00320A86">
        <w:rPr>
          <w:rFonts w:eastAsia="Calibri"/>
          <w:color w:val="000000"/>
          <w:szCs w:val="28"/>
          <w:shd w:val="clear" w:color="auto" w:fill="FFFFFF"/>
        </w:rPr>
        <w:t>xisme,</w:t>
      </w:r>
      <w:r w:rsidRPr="00320A86">
        <w:rPr>
          <w:color w:val="000000"/>
          <w:szCs w:val="28"/>
          <w:shd w:val="clear" w:color="auto" w:fill="FFFFFF"/>
        </w:rPr>
        <w:t xml:space="preserve"> </w:t>
      </w:r>
      <w:r w:rsidRPr="00320A86">
        <w:rPr>
          <w:rFonts w:eastAsia="Calibri"/>
          <w:color w:val="000000"/>
          <w:szCs w:val="28"/>
          <w:shd w:val="clear" w:color="auto" w:fill="FFFFFF"/>
        </w:rPr>
        <w:t>peut-elle</w:t>
      </w:r>
      <w:r w:rsidRPr="00320A86">
        <w:rPr>
          <w:color w:val="000000"/>
          <w:szCs w:val="28"/>
          <w:shd w:val="clear" w:color="auto" w:fill="FFFFFF"/>
        </w:rPr>
        <w:t xml:space="preserve"> </w:t>
      </w:r>
      <w:r w:rsidRPr="00320A86">
        <w:rPr>
          <w:rFonts w:eastAsia="Calibri"/>
          <w:color w:val="000000"/>
          <w:szCs w:val="28"/>
          <w:shd w:val="clear" w:color="auto" w:fill="FFFFFF"/>
        </w:rPr>
        <w:t>s</w:t>
      </w:r>
      <w:r w:rsidRPr="00320A86">
        <w:rPr>
          <w:color w:val="000000"/>
          <w:szCs w:val="28"/>
          <w:shd w:val="clear" w:color="auto" w:fill="FFFFFF"/>
        </w:rPr>
        <w:t>’</w:t>
      </w:r>
      <w:r w:rsidRPr="00320A86">
        <w:rPr>
          <w:rFonts w:eastAsia="Calibri"/>
          <w:color w:val="000000"/>
          <w:szCs w:val="28"/>
          <w:shd w:val="clear" w:color="auto" w:fill="FFFFFF"/>
        </w:rPr>
        <w:t>appliquer</w:t>
      </w:r>
      <w:r w:rsidRPr="00320A86">
        <w:rPr>
          <w:color w:val="000000"/>
          <w:szCs w:val="28"/>
          <w:shd w:val="clear" w:color="auto" w:fill="FFFFFF"/>
        </w:rPr>
        <w:t xml:space="preserve"> </w:t>
      </w:r>
      <w:r w:rsidRPr="00320A86">
        <w:rPr>
          <w:rFonts w:eastAsia="Calibri"/>
          <w:color w:val="000000"/>
          <w:szCs w:val="28"/>
          <w:shd w:val="clear" w:color="auto" w:fill="FFFFFF"/>
        </w:rPr>
        <w:t>aussi</w:t>
      </w:r>
      <w:r w:rsidRPr="00320A86">
        <w:rPr>
          <w:color w:val="000000"/>
          <w:szCs w:val="28"/>
          <w:shd w:val="clear" w:color="auto" w:fill="FFFFFF"/>
        </w:rPr>
        <w:t xml:space="preserve"> </w:t>
      </w:r>
      <w:r w:rsidRPr="00320A86">
        <w:rPr>
          <w:rFonts w:eastAsia="Calibri"/>
          <w:color w:val="000000"/>
          <w:szCs w:val="28"/>
          <w:shd w:val="clear" w:color="auto" w:fill="FFFFFF"/>
        </w:rPr>
        <w:t>à</w:t>
      </w:r>
      <w:r w:rsidRPr="00320A86">
        <w:rPr>
          <w:color w:val="000000"/>
          <w:szCs w:val="28"/>
          <w:shd w:val="clear" w:color="auto" w:fill="FFFFFF"/>
        </w:rPr>
        <w:t xml:space="preserve"> </w:t>
      </w:r>
      <w:r w:rsidRPr="00320A86">
        <w:rPr>
          <w:rFonts w:eastAsia="Calibri"/>
          <w:color w:val="000000"/>
          <w:szCs w:val="28"/>
          <w:shd w:val="clear" w:color="auto" w:fill="FFFFFF"/>
        </w:rPr>
        <w:t>la</w:t>
      </w:r>
      <w:r w:rsidRPr="00320A86">
        <w:rPr>
          <w:color w:val="000000"/>
          <w:szCs w:val="28"/>
          <w:shd w:val="clear" w:color="auto" w:fill="FFFFFF"/>
        </w:rPr>
        <w:t xml:space="preserve"> </w:t>
      </w:r>
      <w:r w:rsidRPr="00320A86">
        <w:rPr>
          <w:rFonts w:eastAsia="Calibri"/>
          <w:color w:val="000000"/>
          <w:szCs w:val="28"/>
          <w:shd w:val="clear" w:color="auto" w:fill="FFFFFF"/>
        </w:rPr>
        <w:t>«</w:t>
      </w:r>
      <w:r w:rsidRPr="00320A86">
        <w:rPr>
          <w:color w:val="000000"/>
          <w:szCs w:val="28"/>
          <w:shd w:val="clear" w:color="auto" w:fill="FFFFFF"/>
        </w:rPr>
        <w:t xml:space="preserve"> droite » </w:t>
      </w:r>
      <w:r w:rsidRPr="00320A86">
        <w:rPr>
          <w:rFonts w:eastAsia="Calibri"/>
          <w:color w:val="000000"/>
          <w:szCs w:val="28"/>
          <w:shd w:val="clear" w:color="auto" w:fill="FFFFFF"/>
        </w:rPr>
        <w:t>du</w:t>
      </w:r>
      <w:r w:rsidRPr="00320A86">
        <w:rPr>
          <w:color w:val="000000"/>
          <w:szCs w:val="28"/>
          <w:shd w:val="clear" w:color="auto" w:fill="FFFFFF"/>
        </w:rPr>
        <w:t xml:space="preserve"> </w:t>
      </w:r>
      <w:r w:rsidRPr="00320A86">
        <w:rPr>
          <w:rFonts w:eastAsia="Calibri"/>
          <w:color w:val="000000"/>
          <w:szCs w:val="28"/>
          <w:shd w:val="clear" w:color="auto" w:fill="FFFFFF"/>
        </w:rPr>
        <w:t>Christ</w:t>
      </w:r>
      <w:r w:rsidRPr="00320A86">
        <w:rPr>
          <w:color w:val="000000"/>
          <w:szCs w:val="28"/>
          <w:shd w:val="clear" w:color="auto" w:fill="FFFFFF"/>
        </w:rPr>
        <w:t> ?</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que</w:t>
      </w:r>
      <w:r w:rsidRPr="00320A86">
        <w:rPr>
          <w:rFonts w:eastAsia="Calibri"/>
          <w:color w:val="000000"/>
          <w:szCs w:val="28"/>
        </w:rPr>
        <w:t>s</w:t>
      </w:r>
      <w:r w:rsidRPr="00320A86">
        <w:rPr>
          <w:rFonts w:eastAsia="Calibri"/>
          <w:color w:val="000000"/>
          <w:szCs w:val="28"/>
        </w:rPr>
        <w:t>tion</w:t>
      </w:r>
      <w:r w:rsidRPr="00320A86">
        <w:rPr>
          <w:color w:val="000000"/>
          <w:szCs w:val="28"/>
        </w:rPr>
        <w:t xml:space="preserve"> </w:t>
      </w:r>
      <w:r w:rsidRPr="00320A86">
        <w:rPr>
          <w:rFonts w:eastAsia="Calibri"/>
          <w:color w:val="000000"/>
          <w:szCs w:val="28"/>
        </w:rPr>
        <w:t>n</w:t>
      </w:r>
      <w:r w:rsidRPr="00320A86">
        <w:rPr>
          <w:color w:val="000000"/>
          <w:szCs w:val="28"/>
        </w:rPr>
        <w:t>’</w:t>
      </w:r>
      <w:r w:rsidRPr="00320A86">
        <w:rPr>
          <w:rFonts w:eastAsia="Calibri"/>
          <w:color w:val="000000"/>
          <w:szCs w:val="28"/>
        </w:rPr>
        <w:t>est</w:t>
      </w:r>
      <w:r w:rsidRPr="00320A86">
        <w:rPr>
          <w:color w:val="000000"/>
          <w:szCs w:val="28"/>
        </w:rPr>
        <w:t xml:space="preserve"> </w:t>
      </w:r>
      <w:r w:rsidRPr="00320A86">
        <w:rPr>
          <w:rFonts w:eastAsia="Calibri"/>
          <w:color w:val="000000"/>
          <w:szCs w:val="28"/>
        </w:rPr>
        <w:t>pas</w:t>
      </w:r>
      <w:r w:rsidRPr="00320A86">
        <w:rPr>
          <w:color w:val="000000"/>
          <w:szCs w:val="28"/>
        </w:rPr>
        <w:t xml:space="preserve"> </w:t>
      </w:r>
      <w:r w:rsidRPr="00320A86">
        <w:rPr>
          <w:rFonts w:eastAsia="Calibri"/>
          <w:color w:val="000000"/>
          <w:szCs w:val="28"/>
        </w:rPr>
        <w:t>simple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résoudre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elle</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peut-être</w:t>
      </w:r>
      <w:r w:rsidRPr="00320A86">
        <w:rPr>
          <w:color w:val="000000"/>
          <w:szCs w:val="28"/>
        </w:rPr>
        <w:t xml:space="preserve"> </w:t>
      </w:r>
      <w:r w:rsidRPr="00320A86">
        <w:rPr>
          <w:rFonts w:eastAsia="Calibri"/>
          <w:color w:val="000000"/>
          <w:szCs w:val="28"/>
        </w:rPr>
        <w:t>éternelle. Elle est,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tout</w:t>
      </w:r>
      <w:r w:rsidRPr="00320A86">
        <w:rPr>
          <w:color w:val="000000"/>
          <w:szCs w:val="28"/>
        </w:rPr>
        <w:t xml:space="preserve"> </w:t>
      </w:r>
      <w:r w:rsidRPr="00320A86">
        <w:rPr>
          <w:rFonts w:eastAsia="Calibri"/>
          <w:color w:val="000000"/>
          <w:szCs w:val="28"/>
        </w:rPr>
        <w:t>cas,</w:t>
      </w:r>
      <w:r w:rsidRPr="00320A86">
        <w:rPr>
          <w:color w:val="000000"/>
          <w:szCs w:val="28"/>
        </w:rPr>
        <w:t xml:space="preserve"> </w:t>
      </w:r>
      <w:r w:rsidRPr="00320A86">
        <w:rPr>
          <w:rFonts w:eastAsia="Calibri"/>
          <w:color w:val="000000"/>
          <w:szCs w:val="28"/>
        </w:rPr>
        <w:t>posée</w:t>
      </w:r>
      <w:r w:rsidRPr="00320A86">
        <w:rPr>
          <w:color w:val="000000"/>
          <w:szCs w:val="28"/>
        </w:rPr>
        <w:t xml:space="preserve"> </w:t>
      </w:r>
      <w:r w:rsidRPr="00320A86">
        <w:rPr>
          <w:rFonts w:eastAsia="Calibri"/>
          <w:color w:val="000000"/>
          <w:szCs w:val="28"/>
        </w:rPr>
        <w:t>comme</w:t>
      </w:r>
      <w:r w:rsidRPr="00320A86">
        <w:rPr>
          <w:color w:val="000000"/>
          <w:szCs w:val="28"/>
        </w:rPr>
        <w:t xml:space="preserve"> </w:t>
      </w:r>
      <w:r w:rsidRPr="00320A86">
        <w:rPr>
          <w:rFonts w:eastAsia="Calibri"/>
          <w:color w:val="000000"/>
          <w:szCs w:val="28"/>
        </w:rPr>
        <w:t>telle</w:t>
      </w:r>
      <w:r w:rsidRPr="00320A86">
        <w:rPr>
          <w:color w:val="000000"/>
          <w:szCs w:val="28"/>
        </w:rPr>
        <w:t xml:space="preserve"> </w:t>
      </w:r>
      <w:r w:rsidRPr="00320A86">
        <w:rPr>
          <w:rFonts w:eastAsia="Calibri"/>
          <w:color w:val="000000"/>
          <w:szCs w:val="28"/>
        </w:rPr>
        <w:t>depuis</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saint</w:t>
      </w:r>
      <w:r w:rsidRPr="00320A86">
        <w:rPr>
          <w:color w:val="000000"/>
          <w:szCs w:val="28"/>
        </w:rPr>
        <w:t xml:space="preserve"> </w:t>
      </w:r>
      <w:r w:rsidRPr="00320A86">
        <w:rPr>
          <w:rFonts w:eastAsia="Calibri"/>
          <w:color w:val="000000"/>
          <w:szCs w:val="28"/>
        </w:rPr>
        <w:t>Augustin</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w:t>
      </w:r>
      <w:r w:rsidRPr="00320A86">
        <w:rPr>
          <w:color w:val="000000"/>
          <w:szCs w:val="28"/>
        </w:rPr>
        <w:t xml:space="preserve"> Cité </w:t>
      </w:r>
      <w:r w:rsidRPr="00320A86">
        <w:rPr>
          <w:rFonts w:eastAsia="Calibri"/>
          <w:color w:val="000000"/>
          <w:szCs w:val="28"/>
        </w:rPr>
        <w:t>de</w:t>
      </w:r>
      <w:r w:rsidRPr="00320A86">
        <w:rPr>
          <w:color w:val="000000"/>
          <w:szCs w:val="28"/>
        </w:rPr>
        <w:t xml:space="preserve"> </w:t>
      </w:r>
      <w:r w:rsidRPr="00320A86">
        <w:rPr>
          <w:rFonts w:eastAsia="Calibri"/>
          <w:color w:val="000000"/>
          <w:szCs w:val="28"/>
        </w:rPr>
        <w:t>Dieu</w:t>
      </w:r>
      <w:r w:rsidRPr="00320A86">
        <w:rPr>
          <w:color w:val="000000"/>
          <w:szCs w:val="28"/>
        </w:rPr>
        <w:t> ».</w:t>
      </w:r>
    </w:p>
    <w:p w14:paraId="357C11E5" w14:textId="77777777" w:rsidR="00B01930" w:rsidRPr="00320A86" w:rsidRDefault="00B01930" w:rsidP="00B01930">
      <w:pPr>
        <w:spacing w:before="120" w:after="120"/>
        <w:jc w:val="both"/>
        <w:rPr>
          <w:rFonts w:eastAsia="Calibri"/>
          <w:color w:val="000000"/>
          <w:szCs w:val="28"/>
        </w:rPr>
      </w:pPr>
      <w:r>
        <w:rPr>
          <w:rFonts w:eastAsia="Calibri"/>
          <w:color w:val="000000"/>
          <w:szCs w:val="28"/>
        </w:rPr>
        <w:br w:type="page"/>
      </w:r>
    </w:p>
    <w:p w14:paraId="73C74884" w14:textId="77777777" w:rsidR="00B01930" w:rsidRPr="00320A86" w:rsidRDefault="00B01930" w:rsidP="00B01930">
      <w:pPr>
        <w:pStyle w:val="planche"/>
        <w:rPr>
          <w:rFonts w:eastAsia="Calibri"/>
        </w:rPr>
      </w:pPr>
      <w:bookmarkStart w:id="218" w:name="Analyser_idees_pol_pt_3_texte_10_I"/>
      <w:r w:rsidRPr="00320A86">
        <w:rPr>
          <w:rFonts w:eastAsia="Calibri"/>
        </w:rPr>
        <w:t>I. L’enseignement des attitudes politiques</w:t>
      </w:r>
      <w:r>
        <w:rPr>
          <w:rFonts w:eastAsia="Calibri"/>
        </w:rPr>
        <w:br/>
      </w:r>
      <w:r w:rsidRPr="00320A86">
        <w:rPr>
          <w:rFonts w:eastAsia="Calibri"/>
        </w:rPr>
        <w:t>et ses lim</w:t>
      </w:r>
      <w:r w:rsidRPr="00320A86">
        <w:rPr>
          <w:rFonts w:eastAsia="Calibri"/>
        </w:rPr>
        <w:t>i</w:t>
      </w:r>
      <w:r w:rsidRPr="00320A86">
        <w:rPr>
          <w:rFonts w:eastAsia="Calibri"/>
        </w:rPr>
        <w:t>tes</w:t>
      </w:r>
    </w:p>
    <w:bookmarkEnd w:id="218"/>
    <w:p w14:paraId="3F35F759" w14:textId="77777777" w:rsidR="00B01930" w:rsidRDefault="00B01930" w:rsidP="00B01930">
      <w:pPr>
        <w:spacing w:before="120" w:after="120"/>
        <w:jc w:val="both"/>
        <w:rPr>
          <w:rFonts w:eastAsia="Calibri"/>
          <w:color w:val="000000"/>
          <w:szCs w:val="28"/>
        </w:rPr>
      </w:pPr>
    </w:p>
    <w:p w14:paraId="145EF3DE"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19BE39A8" w14:textId="77777777" w:rsidR="00B01930" w:rsidRPr="00320A86" w:rsidRDefault="00B01930" w:rsidP="00B01930">
      <w:pPr>
        <w:spacing w:before="120" w:after="120"/>
        <w:jc w:val="both"/>
        <w:rPr>
          <w:color w:val="000000"/>
          <w:szCs w:val="28"/>
        </w:rPr>
      </w:pPr>
      <w:r w:rsidRPr="00320A86">
        <w:rPr>
          <w:rFonts w:eastAsia="Calibri"/>
          <w:color w:val="000000"/>
          <w:szCs w:val="28"/>
        </w:rPr>
        <w:t>La</w:t>
      </w:r>
      <w:r w:rsidRPr="00320A86">
        <w:rPr>
          <w:color w:val="000000"/>
          <w:szCs w:val="28"/>
        </w:rPr>
        <w:t xml:space="preserve"> </w:t>
      </w:r>
      <w:r w:rsidRPr="00320A86">
        <w:rPr>
          <w:rFonts w:eastAsia="Calibri"/>
          <w:color w:val="000000"/>
          <w:szCs w:val="28"/>
        </w:rPr>
        <w:t>mise</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évidence</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une</w:t>
      </w:r>
      <w:r w:rsidRPr="00320A86">
        <w:rPr>
          <w:color w:val="000000"/>
          <w:szCs w:val="28"/>
        </w:rPr>
        <w:t xml:space="preserve"> </w:t>
      </w:r>
      <w:r w:rsidRPr="00320A86">
        <w:rPr>
          <w:rFonts w:eastAsia="Calibri"/>
          <w:color w:val="000000"/>
          <w:szCs w:val="28"/>
        </w:rPr>
        <w:t>relation</w:t>
      </w:r>
      <w:r w:rsidRPr="00320A86">
        <w:rPr>
          <w:color w:val="000000"/>
          <w:szCs w:val="28"/>
        </w:rPr>
        <w:t xml:space="preserve"> </w:t>
      </w:r>
      <w:r w:rsidRPr="00320A86">
        <w:rPr>
          <w:rFonts w:eastAsia="Calibri"/>
          <w:color w:val="000000"/>
          <w:szCs w:val="28"/>
        </w:rPr>
        <w:t>entre</w:t>
      </w:r>
      <w:r w:rsidRPr="00320A86">
        <w:rPr>
          <w:color w:val="000000"/>
          <w:szCs w:val="28"/>
        </w:rPr>
        <w:t xml:space="preserve"> </w:t>
      </w:r>
      <w:r w:rsidRPr="00320A86">
        <w:rPr>
          <w:rFonts w:eastAsia="Calibri"/>
          <w:color w:val="000000"/>
          <w:szCs w:val="28"/>
        </w:rPr>
        <w:t>appartenance</w:t>
      </w:r>
      <w:r w:rsidRPr="00320A86">
        <w:rPr>
          <w:color w:val="000000"/>
          <w:szCs w:val="28"/>
        </w:rPr>
        <w:t xml:space="preserve"> </w:t>
      </w:r>
      <w:r w:rsidRPr="00320A86">
        <w:rPr>
          <w:rFonts w:eastAsia="Calibri"/>
          <w:color w:val="000000"/>
          <w:szCs w:val="28"/>
        </w:rPr>
        <w:t>confessio</w:t>
      </w:r>
      <w:r w:rsidRPr="00320A86">
        <w:rPr>
          <w:rFonts w:eastAsia="Calibri"/>
          <w:color w:val="000000"/>
          <w:szCs w:val="28"/>
        </w:rPr>
        <w:t>n</w:t>
      </w:r>
      <w:r w:rsidRPr="00320A86">
        <w:rPr>
          <w:rFonts w:eastAsia="Calibri"/>
          <w:color w:val="000000"/>
          <w:szCs w:val="28"/>
        </w:rPr>
        <w:t>nelle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préférence</w:t>
      </w:r>
      <w:r w:rsidRPr="00320A86">
        <w:rPr>
          <w:color w:val="000000"/>
          <w:szCs w:val="28"/>
        </w:rPr>
        <w:t xml:space="preserve">  </w:t>
      </w:r>
      <w:r w:rsidRPr="00320A86">
        <w:rPr>
          <w:rFonts w:eastAsia="Calibri"/>
          <w:color w:val="000000"/>
          <w:szCs w:val="28"/>
        </w:rPr>
        <w:t>partisane</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préoccupation</w:t>
      </w:r>
      <w:r w:rsidRPr="00320A86">
        <w:rPr>
          <w:color w:val="000000"/>
          <w:szCs w:val="28"/>
        </w:rPr>
        <w:t xml:space="preserve"> </w:t>
      </w:r>
      <w:r w:rsidRPr="00320A86">
        <w:rPr>
          <w:rFonts w:eastAsia="Calibri"/>
          <w:color w:val="000000"/>
          <w:szCs w:val="28"/>
        </w:rPr>
        <w:t>presque</w:t>
      </w:r>
      <w:r w:rsidRPr="00320A86">
        <w:rPr>
          <w:color w:val="000000"/>
          <w:szCs w:val="28"/>
        </w:rPr>
        <w:t xml:space="preserve"> </w:t>
      </w:r>
      <w:r w:rsidRPr="00320A86">
        <w:rPr>
          <w:rFonts w:eastAsia="Calibri"/>
          <w:color w:val="000000"/>
          <w:szCs w:val="28"/>
        </w:rPr>
        <w:t>constante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science</w:t>
      </w:r>
      <w:r w:rsidRPr="00320A86">
        <w:rPr>
          <w:color w:val="000000"/>
          <w:szCs w:val="28"/>
        </w:rPr>
        <w:t xml:space="preserve"> </w:t>
      </w:r>
      <w:r w:rsidRPr="00320A86">
        <w:rPr>
          <w:rFonts w:eastAsia="Calibri"/>
          <w:color w:val="000000"/>
          <w:szCs w:val="28"/>
        </w:rPr>
        <w:t>politique</w:t>
      </w:r>
      <w:r w:rsidRPr="00320A86">
        <w:rPr>
          <w:color w:val="000000"/>
          <w:szCs w:val="28"/>
        </w:rPr>
        <w:t xml:space="preserve"> </w:t>
      </w:r>
      <w:r w:rsidRPr="00320A86">
        <w:rPr>
          <w:rFonts w:eastAsia="Calibri"/>
          <w:color w:val="000000"/>
          <w:szCs w:val="28"/>
        </w:rPr>
        <w:t>française</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XX</w:t>
      </w:r>
      <w:r w:rsidRPr="00320A86">
        <w:rPr>
          <w:rFonts w:eastAsia="Calibri"/>
          <w:color w:val="000000"/>
          <w:szCs w:val="28"/>
          <w:vertAlign w:val="superscript"/>
        </w:rPr>
        <w:t>e</w:t>
      </w:r>
      <w:r w:rsidRPr="00320A86">
        <w:rPr>
          <w:color w:val="000000"/>
          <w:szCs w:val="28"/>
        </w:rPr>
        <w:t xml:space="preserve"> </w:t>
      </w:r>
      <w:r w:rsidRPr="00320A86">
        <w:rPr>
          <w:rFonts w:eastAsia="Calibri"/>
          <w:color w:val="000000"/>
          <w:szCs w:val="28"/>
        </w:rPr>
        <w:t>siècle</w:t>
      </w:r>
      <w:r>
        <w:rPr>
          <w:rFonts w:eastAsia="Calibri"/>
          <w:color w:val="000000"/>
          <w:szCs w:val="28"/>
        </w:rPr>
        <w:t> </w:t>
      </w:r>
      <w:r>
        <w:rPr>
          <w:rStyle w:val="Appelnotedebasdep"/>
          <w:rFonts w:eastAsia="Calibri"/>
          <w:szCs w:val="28"/>
        </w:rPr>
        <w:footnoteReference w:id="1179"/>
      </w:r>
      <w:r w:rsidRPr="00320A86">
        <w:rPr>
          <w:rFonts w:eastAsia="Calibri"/>
          <w:color w:val="000000"/>
          <w:szCs w:val="28"/>
        </w:rPr>
        <w:t>.</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E11556">
        <w:rPr>
          <w:rFonts w:eastAsia="Calibri"/>
          <w:i/>
          <w:color w:val="000000"/>
          <w:szCs w:val="28"/>
        </w:rPr>
        <w:t>Tableau</w:t>
      </w:r>
      <w:r w:rsidRPr="00E11556">
        <w:rPr>
          <w:i/>
          <w:color w:val="000000"/>
          <w:szCs w:val="28"/>
        </w:rPr>
        <w:t xml:space="preserve"> </w:t>
      </w:r>
      <w:r w:rsidRPr="00E11556">
        <w:rPr>
          <w:rFonts w:eastAsia="Calibri"/>
          <w:i/>
          <w:color w:val="000000"/>
          <w:szCs w:val="28"/>
        </w:rPr>
        <w:t>polit</w:t>
      </w:r>
      <w:r w:rsidRPr="00E11556">
        <w:rPr>
          <w:rFonts w:eastAsia="Calibri"/>
          <w:i/>
          <w:color w:val="000000"/>
          <w:szCs w:val="28"/>
        </w:rPr>
        <w:t>i</w:t>
      </w:r>
      <w:r w:rsidRPr="00E11556">
        <w:rPr>
          <w:rFonts w:eastAsia="Calibri"/>
          <w:i/>
          <w:color w:val="000000"/>
          <w:szCs w:val="28"/>
        </w:rPr>
        <w:t>que</w:t>
      </w:r>
      <w:r w:rsidRPr="00E11556">
        <w:rPr>
          <w:i/>
          <w:color w:val="000000"/>
          <w:szCs w:val="28"/>
        </w:rPr>
        <w:t xml:space="preserve"> </w:t>
      </w:r>
      <w:r w:rsidRPr="00E11556">
        <w:rPr>
          <w:rFonts w:eastAsia="Calibri"/>
          <w:i/>
          <w:color w:val="000000"/>
          <w:szCs w:val="28"/>
        </w:rPr>
        <w:t>de</w:t>
      </w:r>
      <w:r w:rsidRPr="00E11556">
        <w:rPr>
          <w:i/>
          <w:color w:val="000000"/>
          <w:szCs w:val="28"/>
        </w:rPr>
        <w:t xml:space="preserve"> </w:t>
      </w:r>
      <w:r w:rsidRPr="00E11556">
        <w:rPr>
          <w:rFonts w:eastAsia="Calibri"/>
          <w:i/>
          <w:color w:val="000000"/>
          <w:szCs w:val="28"/>
        </w:rPr>
        <w:t>la</w:t>
      </w:r>
      <w:r w:rsidRPr="00E11556">
        <w:rPr>
          <w:i/>
          <w:color w:val="000000"/>
          <w:szCs w:val="28"/>
        </w:rPr>
        <w:t xml:space="preserve"> </w:t>
      </w:r>
      <w:r w:rsidRPr="00E11556">
        <w:rPr>
          <w:rFonts w:eastAsia="Calibri"/>
          <w:i/>
          <w:color w:val="000000"/>
          <w:szCs w:val="28"/>
        </w:rPr>
        <w:t>France</w:t>
      </w:r>
      <w:r w:rsidRPr="00E11556">
        <w:rPr>
          <w:i/>
          <w:color w:val="000000"/>
          <w:szCs w:val="28"/>
        </w:rPr>
        <w:t xml:space="preserve"> </w:t>
      </w:r>
      <w:r w:rsidRPr="00E11556">
        <w:rPr>
          <w:rFonts w:eastAsia="Calibri"/>
          <w:i/>
          <w:color w:val="000000"/>
          <w:szCs w:val="28"/>
        </w:rPr>
        <w:t>de</w:t>
      </w:r>
      <w:r w:rsidRPr="00E11556">
        <w:rPr>
          <w:i/>
          <w:color w:val="000000"/>
          <w:szCs w:val="28"/>
        </w:rPr>
        <w:t xml:space="preserve"> </w:t>
      </w:r>
      <w:r w:rsidRPr="00E11556">
        <w:rPr>
          <w:rFonts w:eastAsia="Calibri"/>
          <w:i/>
          <w:color w:val="000000"/>
          <w:szCs w:val="28"/>
        </w:rPr>
        <w:t>l</w:t>
      </w:r>
      <w:r w:rsidRPr="00E11556">
        <w:rPr>
          <w:i/>
          <w:color w:val="000000"/>
          <w:szCs w:val="28"/>
        </w:rPr>
        <w:t>’</w:t>
      </w:r>
      <w:r w:rsidRPr="00E11556">
        <w:rPr>
          <w:rFonts w:eastAsia="Calibri"/>
          <w:i/>
          <w:color w:val="000000"/>
          <w:szCs w:val="28"/>
        </w:rPr>
        <w:t>Ouest</w:t>
      </w:r>
      <w:r w:rsidRPr="00E11556">
        <w:rPr>
          <w:i/>
          <w:color w:val="000000"/>
          <w:szCs w:val="28"/>
        </w:rPr>
        <w:t xml:space="preserve"> </w:t>
      </w:r>
      <w:r w:rsidRPr="00E11556">
        <w:rPr>
          <w:rFonts w:eastAsia="Calibri"/>
          <w:i/>
          <w:color w:val="000000"/>
          <w:szCs w:val="28"/>
        </w:rPr>
        <w:t>sous</w:t>
      </w:r>
      <w:r w:rsidRPr="00E11556">
        <w:rPr>
          <w:i/>
          <w:color w:val="000000"/>
          <w:szCs w:val="28"/>
        </w:rPr>
        <w:t xml:space="preserve"> </w:t>
      </w:r>
      <w:r w:rsidRPr="00E11556">
        <w:rPr>
          <w:rFonts w:eastAsia="Calibri"/>
          <w:i/>
          <w:color w:val="000000"/>
          <w:szCs w:val="28"/>
        </w:rPr>
        <w:t>la</w:t>
      </w:r>
      <w:r w:rsidRPr="00E11556">
        <w:rPr>
          <w:i/>
          <w:color w:val="000000"/>
          <w:szCs w:val="28"/>
        </w:rPr>
        <w:t xml:space="preserve"> </w:t>
      </w:r>
      <w:r w:rsidRPr="00E11556">
        <w:rPr>
          <w:rFonts w:eastAsia="Calibri"/>
          <w:i/>
          <w:color w:val="000000"/>
          <w:szCs w:val="28"/>
        </w:rPr>
        <w:t>III</w:t>
      </w:r>
      <w:r w:rsidRPr="00E11556">
        <w:rPr>
          <w:rFonts w:eastAsia="Calibri"/>
          <w:i/>
          <w:color w:val="000000"/>
          <w:szCs w:val="28"/>
          <w:vertAlign w:val="superscript"/>
        </w:rPr>
        <w:t>e</w:t>
      </w:r>
      <w:r w:rsidRPr="00E11556">
        <w:rPr>
          <w:i/>
          <w:color w:val="000000"/>
          <w:szCs w:val="28"/>
        </w:rPr>
        <w:t xml:space="preserve"> </w:t>
      </w:r>
      <w:r w:rsidRPr="00E11556">
        <w:rPr>
          <w:rFonts w:eastAsia="Calibri"/>
          <w:i/>
          <w:color w:val="000000"/>
          <w:szCs w:val="28"/>
        </w:rPr>
        <w:t>République</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ouvrage</w:t>
      </w:r>
      <w:r w:rsidRPr="00320A86">
        <w:rPr>
          <w:color w:val="000000"/>
          <w:szCs w:val="28"/>
        </w:rPr>
        <w:t xml:space="preserve"> </w:t>
      </w:r>
      <w:r w:rsidRPr="00320A86">
        <w:rPr>
          <w:rFonts w:eastAsia="Calibri"/>
          <w:color w:val="000000"/>
          <w:szCs w:val="28"/>
        </w:rPr>
        <w:t>fond</w:t>
      </w:r>
      <w:r w:rsidRPr="00320A86">
        <w:rPr>
          <w:rFonts w:eastAsia="Calibri"/>
          <w:color w:val="000000"/>
          <w:szCs w:val="28"/>
        </w:rPr>
        <w:t>a</w:t>
      </w:r>
      <w:r w:rsidRPr="00320A86">
        <w:rPr>
          <w:rFonts w:eastAsia="Calibri"/>
          <w:color w:val="000000"/>
          <w:szCs w:val="28"/>
        </w:rPr>
        <w:t>teur</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André</w:t>
      </w:r>
      <w:r w:rsidRPr="00320A86">
        <w:rPr>
          <w:color w:val="000000"/>
          <w:szCs w:val="28"/>
        </w:rPr>
        <w:t xml:space="preserve"> </w:t>
      </w:r>
      <w:r w:rsidRPr="00320A86">
        <w:rPr>
          <w:rFonts w:eastAsia="Calibri"/>
          <w:color w:val="000000"/>
          <w:szCs w:val="28"/>
        </w:rPr>
        <w:t>Siegfried,</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a</w:t>
      </w:r>
      <w:r w:rsidRPr="00320A86">
        <w:rPr>
          <w:color w:val="000000"/>
          <w:szCs w:val="28"/>
        </w:rPr>
        <w:t xml:space="preserve"> </w:t>
      </w:r>
      <w:r w:rsidRPr="00320A86">
        <w:rPr>
          <w:rFonts w:eastAsia="Calibri"/>
          <w:color w:val="000000"/>
          <w:szCs w:val="28"/>
        </w:rPr>
        <w:t>inspiré</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Ecole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géographie</w:t>
      </w:r>
      <w:r w:rsidRPr="00320A86">
        <w:rPr>
          <w:color w:val="000000"/>
          <w:szCs w:val="28"/>
        </w:rPr>
        <w:t xml:space="preserve"> </w:t>
      </w:r>
      <w:r w:rsidRPr="00320A86">
        <w:rPr>
          <w:rFonts w:eastAsia="Calibri"/>
          <w:color w:val="000000"/>
          <w:szCs w:val="28"/>
        </w:rPr>
        <w:t>électorale</w:t>
      </w:r>
      <w:r w:rsidRPr="00320A86">
        <w:rPr>
          <w:color w:val="000000"/>
          <w:szCs w:val="28"/>
        </w:rPr>
        <w:t xml:space="preserve"> </w:t>
      </w:r>
      <w:r w:rsidRPr="00320A86">
        <w:rPr>
          <w:rFonts w:eastAsia="Calibri"/>
          <w:color w:val="000000"/>
          <w:szCs w:val="28"/>
        </w:rPr>
        <w:t>d</w:t>
      </w:r>
      <w:r w:rsidRPr="00320A86">
        <w:rPr>
          <w:rFonts w:eastAsia="Calibri"/>
          <w:color w:val="000000"/>
          <w:szCs w:val="28"/>
        </w:rPr>
        <w:t>é</w:t>
      </w:r>
      <w:r w:rsidRPr="00320A86">
        <w:rPr>
          <w:rFonts w:eastAsia="Calibri"/>
          <w:color w:val="000000"/>
          <w:szCs w:val="28"/>
        </w:rPr>
        <w:t>veloppée</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Fondation</w:t>
      </w:r>
      <w:r w:rsidRPr="00320A86">
        <w:rPr>
          <w:color w:val="000000"/>
          <w:szCs w:val="28"/>
        </w:rPr>
        <w:t xml:space="preserve"> </w:t>
      </w:r>
      <w:r w:rsidRPr="00320A86">
        <w:rPr>
          <w:rFonts w:eastAsia="Calibri"/>
          <w:color w:val="000000"/>
          <w:szCs w:val="28"/>
        </w:rPr>
        <w:t>nationale</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sciences</w:t>
      </w:r>
      <w:r w:rsidRPr="00320A86">
        <w:rPr>
          <w:color w:val="000000"/>
          <w:szCs w:val="28"/>
        </w:rPr>
        <w:t xml:space="preserve"> </w:t>
      </w:r>
      <w:r w:rsidRPr="00320A86">
        <w:rPr>
          <w:rFonts w:eastAsia="Calibri"/>
          <w:color w:val="000000"/>
          <w:szCs w:val="28"/>
        </w:rPr>
        <w:t>politiques.</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corrélations</w:t>
      </w:r>
      <w:r w:rsidRPr="00320A86">
        <w:rPr>
          <w:color w:val="000000"/>
          <w:szCs w:val="28"/>
        </w:rPr>
        <w:t xml:space="preserve"> qu’il a </w:t>
      </w:r>
      <w:r w:rsidRPr="00320A86">
        <w:rPr>
          <w:rFonts w:eastAsia="Calibri"/>
          <w:color w:val="000000"/>
          <w:szCs w:val="28"/>
        </w:rPr>
        <w:t>dégagées</w:t>
      </w:r>
      <w:r w:rsidRPr="00320A86">
        <w:rPr>
          <w:color w:val="000000"/>
          <w:szCs w:val="28"/>
        </w:rPr>
        <w:t xml:space="preserve"> </w:t>
      </w:r>
      <w:r w:rsidRPr="00320A86">
        <w:rPr>
          <w:rFonts w:eastAsia="Calibri"/>
          <w:color w:val="000000"/>
          <w:szCs w:val="28"/>
        </w:rPr>
        <w:t>entre</w:t>
      </w:r>
      <w:r w:rsidRPr="00320A86">
        <w:rPr>
          <w:color w:val="000000"/>
          <w:szCs w:val="28"/>
        </w:rPr>
        <w:t xml:space="preserve"> </w:t>
      </w:r>
      <w:r w:rsidRPr="00320A86">
        <w:rPr>
          <w:rFonts w:eastAsia="Calibri"/>
          <w:color w:val="000000"/>
          <w:szCs w:val="28"/>
        </w:rPr>
        <w:t>pratique</w:t>
      </w:r>
      <w:r w:rsidRPr="00320A86">
        <w:rPr>
          <w:color w:val="000000"/>
          <w:szCs w:val="28"/>
        </w:rPr>
        <w:t xml:space="preserve"> </w:t>
      </w:r>
      <w:r w:rsidRPr="00320A86">
        <w:rPr>
          <w:rFonts w:eastAsia="Calibri"/>
          <w:color w:val="000000"/>
          <w:szCs w:val="28"/>
        </w:rPr>
        <w:t>religieuse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vote</w:t>
      </w:r>
      <w:r w:rsidRPr="00320A86">
        <w:rPr>
          <w:color w:val="000000"/>
          <w:szCs w:val="28"/>
        </w:rPr>
        <w:t xml:space="preserve"> </w:t>
      </w:r>
      <w:r w:rsidRPr="00320A86">
        <w:rPr>
          <w:rFonts w:eastAsia="Calibri"/>
          <w:color w:val="000000"/>
          <w:szCs w:val="28"/>
        </w:rPr>
        <w:t>conse</w:t>
      </w:r>
      <w:r w:rsidRPr="00320A86">
        <w:rPr>
          <w:rFonts w:eastAsia="Calibri"/>
          <w:color w:val="000000"/>
          <w:szCs w:val="28"/>
        </w:rPr>
        <w:t>r</w:t>
      </w:r>
      <w:r w:rsidRPr="00320A86">
        <w:rPr>
          <w:rFonts w:eastAsia="Calibri"/>
          <w:color w:val="000000"/>
          <w:szCs w:val="28"/>
        </w:rPr>
        <w:t>vateur</w:t>
      </w:r>
      <w:r w:rsidRPr="00320A86">
        <w:rPr>
          <w:color w:val="000000"/>
          <w:szCs w:val="28"/>
        </w:rPr>
        <w:t xml:space="preserve"> </w:t>
      </w:r>
      <w:r w:rsidRPr="00320A86">
        <w:rPr>
          <w:rFonts w:eastAsia="Calibri"/>
          <w:color w:val="000000"/>
          <w:szCs w:val="28"/>
        </w:rPr>
        <w:t>furent</w:t>
      </w:r>
      <w:r w:rsidRPr="00320A86">
        <w:rPr>
          <w:color w:val="000000"/>
          <w:szCs w:val="28"/>
        </w:rPr>
        <w:t xml:space="preserve"> </w:t>
      </w:r>
      <w:r w:rsidRPr="00320A86">
        <w:rPr>
          <w:rFonts w:eastAsia="Calibri"/>
          <w:color w:val="000000"/>
          <w:szCs w:val="28"/>
        </w:rPr>
        <w:t>confirmées</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études</w:t>
      </w:r>
      <w:r w:rsidRPr="00320A86">
        <w:rPr>
          <w:color w:val="000000"/>
          <w:szCs w:val="28"/>
        </w:rPr>
        <w:t xml:space="preserve"> </w:t>
      </w:r>
      <w:r w:rsidRPr="00320A86">
        <w:rPr>
          <w:rFonts w:eastAsia="Calibri"/>
          <w:color w:val="000000"/>
          <w:szCs w:val="28"/>
        </w:rPr>
        <w:t>ultérieures,</w:t>
      </w:r>
      <w:r w:rsidRPr="00320A86">
        <w:rPr>
          <w:color w:val="000000"/>
          <w:szCs w:val="28"/>
        </w:rPr>
        <w:t xml:space="preserve"> </w:t>
      </w:r>
      <w:r w:rsidRPr="00320A86">
        <w:rPr>
          <w:rFonts w:eastAsia="Calibri"/>
          <w:color w:val="000000"/>
          <w:szCs w:val="28"/>
        </w:rPr>
        <w:t>notamment</w:t>
      </w:r>
      <w:r w:rsidRPr="00320A86">
        <w:rPr>
          <w:color w:val="000000"/>
          <w:szCs w:val="28"/>
        </w:rPr>
        <w:t xml:space="preserve"> </w:t>
      </w:r>
      <w:r w:rsidRPr="00320A86">
        <w:rPr>
          <w:rFonts w:eastAsia="Calibri"/>
          <w:color w:val="000000"/>
          <w:szCs w:val="28"/>
        </w:rPr>
        <w:t>celles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François</w:t>
      </w:r>
      <w:r w:rsidRPr="00320A86">
        <w:rPr>
          <w:color w:val="000000"/>
          <w:szCs w:val="28"/>
        </w:rPr>
        <w:t xml:space="preserve"> </w:t>
      </w:r>
      <w:r w:rsidRPr="00320A86">
        <w:rPr>
          <w:rFonts w:eastAsia="Calibri"/>
          <w:color w:val="000000"/>
          <w:szCs w:val="28"/>
        </w:rPr>
        <w:t>Goguel</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Georges</w:t>
      </w:r>
      <w:r w:rsidRPr="00320A86">
        <w:rPr>
          <w:color w:val="000000"/>
          <w:szCs w:val="28"/>
        </w:rPr>
        <w:t xml:space="preserve"> </w:t>
      </w:r>
      <w:r w:rsidRPr="00320A86">
        <w:rPr>
          <w:rFonts w:eastAsia="Calibri"/>
          <w:color w:val="000000"/>
          <w:szCs w:val="28"/>
        </w:rPr>
        <w:t>Dupeux.</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sociologues</w:t>
      </w:r>
      <w:r w:rsidRPr="00320A86">
        <w:rPr>
          <w:color w:val="000000"/>
          <w:szCs w:val="28"/>
        </w:rPr>
        <w:t xml:space="preserve"> </w:t>
      </w:r>
      <w:r w:rsidRPr="00320A86">
        <w:rPr>
          <w:rFonts w:eastAsia="Calibri"/>
          <w:color w:val="000000"/>
          <w:szCs w:val="28"/>
        </w:rPr>
        <w:t>Guy</w:t>
      </w:r>
      <w:r w:rsidRPr="00320A86">
        <w:rPr>
          <w:color w:val="000000"/>
          <w:szCs w:val="28"/>
        </w:rPr>
        <w:t> </w:t>
      </w:r>
      <w:r w:rsidRPr="00320A86">
        <w:rPr>
          <w:rFonts w:eastAsia="Calibri"/>
          <w:color w:val="000000"/>
          <w:szCs w:val="28"/>
        </w:rPr>
        <w:t>Michelat</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M</w:t>
      </w:r>
      <w:r w:rsidRPr="00320A86">
        <w:rPr>
          <w:rFonts w:eastAsia="Calibri"/>
          <w:color w:val="000000"/>
          <w:szCs w:val="28"/>
        </w:rPr>
        <w:t>i</w:t>
      </w:r>
      <w:r w:rsidRPr="00320A86">
        <w:rPr>
          <w:rFonts w:eastAsia="Calibri"/>
          <w:color w:val="000000"/>
          <w:szCs w:val="28"/>
        </w:rPr>
        <w:t>chel</w:t>
      </w:r>
      <w:r w:rsidRPr="00320A86">
        <w:rPr>
          <w:color w:val="000000"/>
          <w:szCs w:val="28"/>
        </w:rPr>
        <w:t xml:space="preserve"> </w:t>
      </w:r>
      <w:r w:rsidRPr="00320A86">
        <w:rPr>
          <w:rFonts w:eastAsia="Calibri"/>
          <w:color w:val="000000"/>
          <w:szCs w:val="28"/>
        </w:rPr>
        <w:t>Simon</w:t>
      </w:r>
      <w:r>
        <w:rPr>
          <w:rFonts w:eastAsia="Calibri"/>
          <w:color w:val="000000"/>
          <w:szCs w:val="28"/>
        </w:rPr>
        <w:t> </w:t>
      </w:r>
      <w:r>
        <w:rPr>
          <w:rStyle w:val="Appelnotedebasdep"/>
          <w:rFonts w:eastAsia="Calibri"/>
          <w:szCs w:val="28"/>
        </w:rPr>
        <w:footnoteReference w:id="1180"/>
      </w:r>
      <w:r w:rsidRPr="00320A86">
        <w:rPr>
          <w:rFonts w:eastAsia="Calibri"/>
          <w:color w:val="000000"/>
          <w:szCs w:val="28"/>
        </w:rPr>
        <w:t>,</w:t>
      </w:r>
      <w:r w:rsidRPr="00320A86">
        <w:rPr>
          <w:color w:val="000000"/>
          <w:szCs w:val="28"/>
        </w:rPr>
        <w:t xml:space="preserve"> </w:t>
      </w:r>
      <w:r w:rsidRPr="00320A86">
        <w:rPr>
          <w:rFonts w:eastAsia="Calibri"/>
          <w:color w:val="000000"/>
          <w:szCs w:val="28"/>
        </w:rPr>
        <w:t>sur</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tard</w:t>
      </w:r>
      <w:r w:rsidRPr="00320A86">
        <w:rPr>
          <w:color w:val="000000"/>
          <w:szCs w:val="28"/>
        </w:rPr>
        <w:t xml:space="preserve"> </w:t>
      </w:r>
      <w:r w:rsidRPr="00320A86">
        <w:rPr>
          <w:rFonts w:eastAsia="Calibri"/>
          <w:color w:val="000000"/>
          <w:szCs w:val="28"/>
        </w:rPr>
        <w:t>(1960-70),</w:t>
      </w:r>
      <w:r w:rsidRPr="00320A86">
        <w:rPr>
          <w:color w:val="000000"/>
          <w:szCs w:val="28"/>
        </w:rPr>
        <w:t xml:space="preserve"> </w:t>
      </w:r>
      <w:r w:rsidRPr="00320A86">
        <w:rPr>
          <w:rFonts w:eastAsia="Calibri"/>
          <w:color w:val="000000"/>
          <w:szCs w:val="28"/>
        </w:rPr>
        <w:t>ont</w:t>
      </w:r>
      <w:r w:rsidRPr="00320A86">
        <w:rPr>
          <w:color w:val="000000"/>
          <w:szCs w:val="28"/>
        </w:rPr>
        <w:t xml:space="preserve"> </w:t>
      </w:r>
      <w:r w:rsidRPr="00320A86">
        <w:rPr>
          <w:rFonts w:eastAsia="Calibri"/>
          <w:color w:val="000000"/>
          <w:szCs w:val="28"/>
        </w:rPr>
        <w:t>identifié,</w:t>
      </w:r>
      <w:r w:rsidRPr="00320A86">
        <w:rPr>
          <w:color w:val="000000"/>
          <w:szCs w:val="28"/>
        </w:rPr>
        <w:t xml:space="preserve"> </w:t>
      </w:r>
      <w:r w:rsidRPr="00320A86">
        <w:rPr>
          <w:rFonts w:eastAsia="Calibri"/>
          <w:color w:val="000000"/>
          <w:szCs w:val="28"/>
        </w:rPr>
        <w:t>grâce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entretiens</w:t>
      </w:r>
      <w:r w:rsidRPr="00320A86">
        <w:rPr>
          <w:color w:val="000000"/>
          <w:szCs w:val="28"/>
        </w:rPr>
        <w:t xml:space="preserve"> </w:t>
      </w:r>
      <w:r w:rsidRPr="00320A86">
        <w:rPr>
          <w:rFonts w:eastAsia="Calibri"/>
          <w:color w:val="000000"/>
          <w:szCs w:val="28"/>
        </w:rPr>
        <w:t>qualitatifs,</w:t>
      </w:r>
      <w:r w:rsidRPr="00320A86">
        <w:rPr>
          <w:color w:val="000000"/>
          <w:szCs w:val="28"/>
        </w:rPr>
        <w:t xml:space="preserve"> </w:t>
      </w:r>
      <w:r w:rsidRPr="00320A86">
        <w:rPr>
          <w:rFonts w:eastAsia="Calibri"/>
          <w:color w:val="000000"/>
          <w:szCs w:val="28"/>
        </w:rPr>
        <w:t>deux</w:t>
      </w:r>
      <w:r w:rsidRPr="00320A86">
        <w:rPr>
          <w:color w:val="000000"/>
          <w:szCs w:val="28"/>
        </w:rPr>
        <w:t xml:space="preserve"> </w:t>
      </w:r>
      <w:r w:rsidRPr="00320A86">
        <w:rPr>
          <w:rFonts w:eastAsia="Calibri"/>
          <w:color w:val="000000"/>
          <w:szCs w:val="28"/>
        </w:rPr>
        <w:t>systèmes</w:t>
      </w:r>
      <w:r w:rsidRPr="00320A86">
        <w:rPr>
          <w:color w:val="000000"/>
          <w:szCs w:val="28"/>
        </w:rPr>
        <w:t xml:space="preserve"> </w:t>
      </w:r>
      <w:r w:rsidRPr="00320A86">
        <w:rPr>
          <w:rFonts w:eastAsia="Calibri"/>
          <w:color w:val="000000"/>
          <w:szCs w:val="28"/>
        </w:rPr>
        <w:t>culturels</w:t>
      </w:r>
      <w:r w:rsidRPr="00320A86">
        <w:rPr>
          <w:color w:val="000000"/>
          <w:szCs w:val="28"/>
        </w:rPr>
        <w:t xml:space="preserve"> </w:t>
      </w:r>
      <w:r w:rsidRPr="00320A86">
        <w:rPr>
          <w:rFonts w:eastAsia="Calibri"/>
          <w:color w:val="000000"/>
          <w:szCs w:val="28"/>
        </w:rPr>
        <w:t>bien</w:t>
      </w:r>
      <w:r w:rsidRPr="00320A86">
        <w:rPr>
          <w:color w:val="000000"/>
          <w:szCs w:val="28"/>
        </w:rPr>
        <w:t xml:space="preserve"> </w:t>
      </w:r>
      <w:r w:rsidRPr="00320A86">
        <w:rPr>
          <w:rFonts w:eastAsia="Calibri"/>
          <w:color w:val="000000"/>
          <w:szCs w:val="28"/>
        </w:rPr>
        <w:t>distin</w:t>
      </w:r>
      <w:r w:rsidRPr="00320A86">
        <w:rPr>
          <w:rFonts w:eastAsia="Calibri"/>
          <w:color w:val="000000"/>
          <w:szCs w:val="28"/>
        </w:rPr>
        <w:t>c</w:t>
      </w:r>
      <w:r w:rsidRPr="00320A86">
        <w:rPr>
          <w:rFonts w:eastAsia="Calibri"/>
          <w:color w:val="000000"/>
          <w:szCs w:val="28"/>
        </w:rPr>
        <w:t>ts</w:t>
      </w:r>
      <w:r w:rsidRPr="00320A86">
        <w:rPr>
          <w:color w:val="000000"/>
          <w:szCs w:val="28"/>
        </w:rPr>
        <w:t xml:space="preserve"> </w:t>
      </w:r>
      <w:r w:rsidRPr="00320A86">
        <w:rPr>
          <w:rFonts w:eastAsia="Calibri"/>
          <w:color w:val="000000"/>
          <w:szCs w:val="28"/>
        </w:rPr>
        <w:t>celui</w:t>
      </w:r>
      <w:r w:rsidRPr="00320A86">
        <w:rPr>
          <w:color w:val="000000"/>
          <w:szCs w:val="28"/>
        </w:rPr>
        <w:t xml:space="preserve"> </w:t>
      </w:r>
      <w:r w:rsidRPr="00320A86">
        <w:rPr>
          <w:rFonts w:eastAsia="Calibri"/>
          <w:color w:val="000000"/>
          <w:szCs w:val="28"/>
        </w:rPr>
        <w:t>des</w:t>
      </w:r>
      <w:r w:rsidRPr="00320A86">
        <w:rPr>
          <w:color w:val="000000"/>
          <w:szCs w:val="28"/>
        </w:rPr>
        <w:t xml:space="preserve"> catholiques </w:t>
      </w:r>
      <w:r w:rsidRPr="00320A86">
        <w:rPr>
          <w:rFonts w:eastAsia="Calibri"/>
          <w:color w:val="000000"/>
          <w:szCs w:val="28"/>
        </w:rPr>
        <w:t>déclarés,</w:t>
      </w:r>
      <w:r w:rsidRPr="00320A86">
        <w:rPr>
          <w:color w:val="000000"/>
          <w:szCs w:val="28"/>
        </w:rPr>
        <w:t xml:space="preserve"> </w:t>
      </w:r>
      <w:r w:rsidRPr="00320A86">
        <w:rPr>
          <w:rFonts w:eastAsia="Calibri"/>
          <w:color w:val="000000"/>
          <w:szCs w:val="28"/>
        </w:rPr>
        <w:t>att</w:t>
      </w:r>
      <w:r w:rsidRPr="00320A86">
        <w:rPr>
          <w:rFonts w:eastAsia="Calibri"/>
          <w:color w:val="000000"/>
          <w:szCs w:val="28"/>
        </w:rPr>
        <w:t>a</w:t>
      </w:r>
      <w:r w:rsidRPr="00320A86">
        <w:rPr>
          <w:rFonts w:eastAsia="Calibri"/>
          <w:color w:val="000000"/>
          <w:szCs w:val="28"/>
        </w:rPr>
        <w:t>chés</w:t>
      </w:r>
      <w:r w:rsidRPr="00320A86">
        <w:rPr>
          <w:color w:val="000000"/>
          <w:szCs w:val="28"/>
        </w:rPr>
        <w:t xml:space="preserve"> </w:t>
      </w:r>
      <w:r w:rsidRPr="00320A86">
        <w:rPr>
          <w:rFonts w:eastAsia="Calibri"/>
          <w:color w:val="000000"/>
          <w:szCs w:val="28"/>
        </w:rPr>
        <w:t>aux</w:t>
      </w:r>
      <w:r w:rsidRPr="00320A86">
        <w:rPr>
          <w:color w:val="000000"/>
          <w:szCs w:val="28"/>
        </w:rPr>
        <w:t xml:space="preserve"> </w:t>
      </w:r>
      <w:r w:rsidRPr="00320A86">
        <w:rPr>
          <w:rFonts w:eastAsia="Calibri"/>
          <w:color w:val="000000"/>
          <w:szCs w:val="28"/>
        </w:rPr>
        <w:t>valeurs</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une</w:t>
      </w:r>
      <w:r w:rsidRPr="00320A86">
        <w:rPr>
          <w:color w:val="000000"/>
          <w:szCs w:val="28"/>
        </w:rPr>
        <w:t xml:space="preserve"> </w:t>
      </w:r>
      <w:r w:rsidRPr="00320A86">
        <w:rPr>
          <w:rFonts w:eastAsia="Calibri"/>
          <w:color w:val="000000"/>
          <w:szCs w:val="28"/>
        </w:rPr>
        <w:t>France</w:t>
      </w:r>
      <w:r w:rsidRPr="00320A86">
        <w:rPr>
          <w:color w:val="000000"/>
          <w:szCs w:val="28"/>
        </w:rPr>
        <w:t xml:space="preserve"> </w:t>
      </w:r>
      <w:r w:rsidRPr="00320A86">
        <w:rPr>
          <w:rFonts w:eastAsia="Calibri"/>
          <w:color w:val="000000"/>
          <w:szCs w:val="28"/>
        </w:rPr>
        <w:t>encore</w:t>
      </w:r>
      <w:r w:rsidRPr="00320A86">
        <w:rPr>
          <w:color w:val="000000"/>
          <w:szCs w:val="28"/>
        </w:rPr>
        <w:t xml:space="preserve"> </w:t>
      </w:r>
      <w:r w:rsidRPr="00320A86">
        <w:rPr>
          <w:rFonts w:eastAsia="Calibri"/>
          <w:color w:val="000000"/>
          <w:szCs w:val="28"/>
        </w:rPr>
        <w:t>rurale,</w:t>
      </w:r>
      <w:r w:rsidRPr="00320A86">
        <w:rPr>
          <w:color w:val="000000"/>
          <w:szCs w:val="28"/>
        </w:rPr>
        <w:t xml:space="preserve"> </w:t>
      </w:r>
      <w:r w:rsidRPr="00320A86">
        <w:rPr>
          <w:rFonts w:eastAsia="Calibri"/>
          <w:color w:val="000000"/>
          <w:szCs w:val="28"/>
        </w:rPr>
        <w:t>att</w:t>
      </w:r>
      <w:r w:rsidRPr="00320A86">
        <w:rPr>
          <w:rFonts w:eastAsia="Calibri"/>
          <w:color w:val="000000"/>
          <w:szCs w:val="28"/>
        </w:rPr>
        <w:t>a</w:t>
      </w:r>
      <w:r w:rsidRPr="00320A86">
        <w:rPr>
          <w:rFonts w:eastAsia="Calibri"/>
          <w:color w:val="000000"/>
          <w:szCs w:val="28"/>
        </w:rPr>
        <w:t>chés</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propriété,</w:t>
      </w:r>
      <w:r w:rsidRPr="00320A86">
        <w:rPr>
          <w:color w:val="000000"/>
          <w:szCs w:val="28"/>
        </w:rPr>
        <w:t xml:space="preserve"> </w:t>
      </w:r>
      <w:r w:rsidRPr="00320A86">
        <w:rPr>
          <w:rFonts w:eastAsia="Calibri"/>
          <w:color w:val="000000"/>
          <w:szCs w:val="28"/>
        </w:rPr>
        <w:t>opposés</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lutte</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classes,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marquant</w:t>
      </w:r>
      <w:r w:rsidRPr="00320A86">
        <w:rPr>
          <w:color w:val="000000"/>
          <w:szCs w:val="28"/>
        </w:rPr>
        <w:t xml:space="preserve"> </w:t>
      </w:r>
      <w:r w:rsidRPr="00320A86">
        <w:rPr>
          <w:rFonts w:eastAsia="Calibri"/>
          <w:color w:val="000000"/>
          <w:szCs w:val="28"/>
        </w:rPr>
        <w:t>leur</w:t>
      </w:r>
      <w:r w:rsidRPr="00320A86">
        <w:rPr>
          <w:color w:val="000000"/>
          <w:szCs w:val="28"/>
        </w:rPr>
        <w:t xml:space="preserve"> </w:t>
      </w:r>
      <w:r w:rsidRPr="00320A86">
        <w:rPr>
          <w:rFonts w:eastAsia="Calibri"/>
          <w:color w:val="000000"/>
          <w:szCs w:val="28"/>
        </w:rPr>
        <w:t>préférence</w:t>
      </w:r>
      <w:r w:rsidRPr="00320A86">
        <w:rPr>
          <w:color w:val="000000"/>
          <w:szCs w:val="28"/>
        </w:rPr>
        <w:t xml:space="preserve"> </w:t>
      </w:r>
      <w:r w:rsidRPr="00320A86">
        <w:rPr>
          <w:rFonts w:eastAsia="Calibri"/>
          <w:color w:val="000000"/>
          <w:szCs w:val="28"/>
        </w:rPr>
        <w:t>pour</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droite</w:t>
      </w:r>
      <w:r w:rsidRPr="00320A86">
        <w:rPr>
          <w:color w:val="000000"/>
          <w:szCs w:val="28"/>
        </w:rPr>
        <w:t xml:space="preserve"> </w:t>
      </w:r>
      <w:r w:rsidRPr="00320A86">
        <w:rPr>
          <w:rFonts w:eastAsia="Calibri"/>
          <w:color w:val="000000"/>
          <w:szCs w:val="28"/>
        </w:rPr>
        <w:t>modérée</w:t>
      </w:r>
      <w:r w:rsidRPr="00320A86">
        <w:rPr>
          <w:color w:val="000000"/>
          <w:szCs w:val="28"/>
        </w:rPr>
        <w:t xml:space="preserve"> ; </w:t>
      </w:r>
      <w:r w:rsidRPr="00320A86">
        <w:rPr>
          <w:rFonts w:eastAsia="Calibri"/>
          <w:color w:val="000000"/>
          <w:szCs w:val="28"/>
        </w:rPr>
        <w:t>celui</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indiff</w:t>
      </w:r>
      <w:r w:rsidRPr="00320A86">
        <w:rPr>
          <w:rFonts w:eastAsia="Calibri"/>
          <w:color w:val="000000"/>
          <w:szCs w:val="28"/>
        </w:rPr>
        <w:t>é</w:t>
      </w:r>
      <w:r w:rsidRPr="00320A86">
        <w:rPr>
          <w:rFonts w:eastAsia="Calibri"/>
          <w:color w:val="000000"/>
          <w:szCs w:val="28"/>
        </w:rPr>
        <w:t>rents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sans</w:t>
      </w:r>
      <w:r w:rsidRPr="00320A86">
        <w:rPr>
          <w:color w:val="000000"/>
          <w:szCs w:val="28"/>
        </w:rPr>
        <w:t xml:space="preserve"> </w:t>
      </w:r>
      <w:r w:rsidRPr="00320A86">
        <w:rPr>
          <w:rFonts w:eastAsia="Calibri"/>
          <w:color w:val="000000"/>
          <w:szCs w:val="28"/>
        </w:rPr>
        <w:t>rel</w:t>
      </w:r>
      <w:r w:rsidRPr="00320A86">
        <w:rPr>
          <w:rFonts w:eastAsia="Calibri"/>
          <w:color w:val="000000"/>
          <w:szCs w:val="28"/>
        </w:rPr>
        <w:t>i</w:t>
      </w:r>
      <w:r w:rsidRPr="00320A86">
        <w:rPr>
          <w:rFonts w:eastAsia="Calibri"/>
          <w:color w:val="000000"/>
          <w:szCs w:val="28"/>
        </w:rPr>
        <w:t>gion,</w:t>
      </w:r>
      <w:r w:rsidRPr="00320A86">
        <w:rPr>
          <w:color w:val="000000"/>
          <w:szCs w:val="28"/>
        </w:rPr>
        <w:t xml:space="preserve"> </w:t>
      </w:r>
      <w:r w:rsidRPr="00320A86">
        <w:rPr>
          <w:rFonts w:eastAsia="Calibri"/>
          <w:color w:val="000000"/>
          <w:szCs w:val="28"/>
        </w:rPr>
        <w:t>ou</w:t>
      </w:r>
      <w:r w:rsidRPr="00320A86">
        <w:rPr>
          <w:color w:val="000000"/>
          <w:szCs w:val="28"/>
        </w:rPr>
        <w:t xml:space="preserve"> </w:t>
      </w:r>
      <w:r w:rsidRPr="00320A86">
        <w:rPr>
          <w:rFonts w:eastAsia="Calibri"/>
          <w:color w:val="000000"/>
          <w:szCs w:val="28"/>
        </w:rPr>
        <w:t>encore</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non</w:t>
      </w:r>
      <w:r w:rsidRPr="00320A86">
        <w:rPr>
          <w:color w:val="000000"/>
          <w:szCs w:val="28"/>
        </w:rPr>
        <w:t xml:space="preserve"> </w:t>
      </w:r>
      <w:r w:rsidRPr="00320A86">
        <w:rPr>
          <w:rFonts w:eastAsia="Calibri"/>
          <w:color w:val="000000"/>
          <w:szCs w:val="28"/>
        </w:rPr>
        <w:t>pratiquants,</w:t>
      </w:r>
      <w:r w:rsidRPr="00320A86">
        <w:rPr>
          <w:color w:val="000000"/>
          <w:szCs w:val="28"/>
        </w:rPr>
        <w:t xml:space="preserve"> </w:t>
      </w:r>
      <w:r w:rsidRPr="00320A86">
        <w:rPr>
          <w:rFonts w:eastAsia="Calibri"/>
          <w:color w:val="000000"/>
          <w:szCs w:val="28"/>
        </w:rPr>
        <w:t>jugeant</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Église</w:t>
      </w:r>
      <w:r w:rsidRPr="00320A86">
        <w:rPr>
          <w:color w:val="000000"/>
          <w:szCs w:val="28"/>
        </w:rPr>
        <w:t xml:space="preserve">  </w:t>
      </w:r>
      <w:r w:rsidRPr="00320A86">
        <w:rPr>
          <w:rFonts w:eastAsia="Calibri"/>
          <w:color w:val="000000"/>
          <w:szCs w:val="28"/>
        </w:rPr>
        <w:t>alliée</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capit</w:t>
      </w:r>
      <w:r w:rsidRPr="00320A86">
        <w:rPr>
          <w:rFonts w:eastAsia="Calibri"/>
          <w:color w:val="000000"/>
          <w:szCs w:val="28"/>
        </w:rPr>
        <w:t>a</w:t>
      </w:r>
      <w:r w:rsidRPr="00320A86">
        <w:rPr>
          <w:rFonts w:eastAsia="Calibri"/>
          <w:color w:val="000000"/>
          <w:szCs w:val="28"/>
        </w:rPr>
        <w:t>lisme,</w:t>
      </w:r>
      <w:r w:rsidRPr="00320A86">
        <w:rPr>
          <w:color w:val="000000"/>
          <w:szCs w:val="28"/>
        </w:rPr>
        <w:t xml:space="preserve"> </w:t>
      </w:r>
      <w:r w:rsidRPr="00320A86">
        <w:rPr>
          <w:rFonts w:eastAsia="Calibri"/>
          <w:color w:val="000000"/>
          <w:szCs w:val="28"/>
        </w:rPr>
        <w:t>trop</w:t>
      </w:r>
      <w:r w:rsidRPr="00320A86">
        <w:rPr>
          <w:color w:val="000000"/>
          <w:szCs w:val="28"/>
        </w:rPr>
        <w:t xml:space="preserve"> </w:t>
      </w:r>
      <w:r w:rsidRPr="00320A86">
        <w:rPr>
          <w:rFonts w:eastAsia="Calibri"/>
          <w:color w:val="000000"/>
          <w:szCs w:val="28"/>
        </w:rPr>
        <w:t>hiérarchique,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fidèles</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vote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classe</w:t>
      </w:r>
      <w:r w:rsidRPr="00320A86">
        <w:rPr>
          <w:color w:val="000000"/>
          <w:szCs w:val="28"/>
        </w:rPr>
        <w:t xml:space="preserve"> </w:t>
      </w:r>
      <w:r w:rsidRPr="00320A86">
        <w:rPr>
          <w:rFonts w:eastAsia="Calibri"/>
          <w:color w:val="000000"/>
          <w:szCs w:val="28"/>
        </w:rPr>
        <w:t>ouvrière,</w:t>
      </w:r>
      <w:r w:rsidRPr="00320A86">
        <w:rPr>
          <w:color w:val="000000"/>
          <w:szCs w:val="28"/>
        </w:rPr>
        <w:t xml:space="preserve"> </w:t>
      </w:r>
      <w:r w:rsidRPr="00320A86">
        <w:rPr>
          <w:rFonts w:eastAsia="Calibri"/>
          <w:color w:val="000000"/>
          <w:szCs w:val="28"/>
        </w:rPr>
        <w:t>co</w:t>
      </w:r>
      <w:r w:rsidRPr="00320A86">
        <w:rPr>
          <w:rFonts w:eastAsia="Calibri"/>
          <w:color w:val="000000"/>
          <w:szCs w:val="28"/>
        </w:rPr>
        <w:t>m</w:t>
      </w:r>
      <w:r w:rsidRPr="00320A86">
        <w:rPr>
          <w:rFonts w:eastAsia="Calibri"/>
          <w:color w:val="000000"/>
          <w:szCs w:val="28"/>
        </w:rPr>
        <w:t>muniste</w:t>
      </w:r>
      <w:r w:rsidRPr="00320A86">
        <w:rPr>
          <w:color w:val="000000"/>
          <w:szCs w:val="28"/>
        </w:rPr>
        <w:t xml:space="preserve"> </w:t>
      </w:r>
      <w:r w:rsidRPr="00320A86">
        <w:rPr>
          <w:rFonts w:eastAsia="Calibri"/>
          <w:color w:val="000000"/>
          <w:szCs w:val="28"/>
        </w:rPr>
        <w:t>ou</w:t>
      </w:r>
      <w:r w:rsidRPr="00320A86">
        <w:rPr>
          <w:color w:val="000000"/>
          <w:szCs w:val="28"/>
        </w:rPr>
        <w:t xml:space="preserve"> </w:t>
      </w:r>
      <w:r w:rsidRPr="00320A86">
        <w:rPr>
          <w:rFonts w:eastAsia="Calibri"/>
          <w:color w:val="000000"/>
          <w:szCs w:val="28"/>
        </w:rPr>
        <w:t>socialiste.</w:t>
      </w:r>
      <w:r w:rsidRPr="00320A86">
        <w:rPr>
          <w:color w:val="000000"/>
          <w:szCs w:val="28"/>
        </w:rPr>
        <w:t xml:space="preserve"> </w:t>
      </w:r>
      <w:r w:rsidRPr="00320A86">
        <w:rPr>
          <w:rFonts w:eastAsia="Calibri"/>
          <w:color w:val="000000"/>
          <w:szCs w:val="28"/>
        </w:rPr>
        <w:t>Leurs</w:t>
      </w:r>
      <w:r w:rsidRPr="00320A86">
        <w:rPr>
          <w:color w:val="000000"/>
          <w:szCs w:val="28"/>
        </w:rPr>
        <w:t xml:space="preserve"> </w:t>
      </w:r>
      <w:r w:rsidRPr="00320A86">
        <w:rPr>
          <w:rFonts w:eastAsia="Calibri"/>
          <w:color w:val="000000"/>
          <w:szCs w:val="28"/>
        </w:rPr>
        <w:t>conclusions</w:t>
      </w:r>
      <w:r w:rsidRPr="00320A86">
        <w:rPr>
          <w:color w:val="000000"/>
          <w:szCs w:val="28"/>
        </w:rPr>
        <w:t xml:space="preserve"> </w:t>
      </w:r>
      <w:r w:rsidRPr="00320A86">
        <w:rPr>
          <w:rFonts w:eastAsia="Calibri"/>
          <w:color w:val="000000"/>
          <w:szCs w:val="28"/>
        </w:rPr>
        <w:t>sont</w:t>
      </w:r>
      <w:r w:rsidRPr="00320A86">
        <w:rPr>
          <w:color w:val="000000"/>
          <w:szCs w:val="28"/>
        </w:rPr>
        <w:t xml:space="preserve"> </w:t>
      </w:r>
      <w:r w:rsidRPr="00320A86">
        <w:rPr>
          <w:rFonts w:eastAsia="Calibri"/>
          <w:color w:val="000000"/>
          <w:szCs w:val="28"/>
        </w:rPr>
        <w:t>formelles</w:t>
      </w:r>
      <w:r w:rsidRPr="00320A86">
        <w:rPr>
          <w:color w:val="000000"/>
          <w:szCs w:val="28"/>
        </w:rPr>
        <w:t> :</w:t>
      </w:r>
    </w:p>
    <w:p w14:paraId="31B6A9BD" w14:textId="77777777" w:rsidR="00B01930" w:rsidRDefault="00B01930" w:rsidP="00B01930">
      <w:pPr>
        <w:pStyle w:val="citation"/>
        <w:rPr>
          <w:szCs w:val="28"/>
        </w:rPr>
      </w:pPr>
      <w:r w:rsidRPr="00320A86">
        <w:rPr>
          <w:szCs w:val="28"/>
        </w:rPr>
        <w:t>«</w:t>
      </w:r>
      <w:r w:rsidRPr="00320A86">
        <w:t> Manifestement la variable religieuse est la variable lourde, explicat</w:t>
      </w:r>
      <w:r w:rsidRPr="00320A86">
        <w:t>i</w:t>
      </w:r>
      <w:r w:rsidRPr="00320A86">
        <w:t>ve en de</w:t>
      </w:r>
      <w:r w:rsidRPr="00320A86">
        <w:t>r</w:t>
      </w:r>
      <w:r w:rsidRPr="00320A86">
        <w:t>nier ressort, en sociologie électorale</w:t>
      </w:r>
      <w:r>
        <w:t> </w:t>
      </w:r>
      <w:r w:rsidRPr="003F485F">
        <w:rPr>
          <w:rStyle w:val="Appelnotedebasdep"/>
          <w:i/>
        </w:rPr>
        <w:footnoteReference w:id="1181"/>
      </w:r>
      <w:r w:rsidRPr="00320A86">
        <w:t> </w:t>
      </w:r>
      <w:r w:rsidRPr="00320A86">
        <w:rPr>
          <w:szCs w:val="28"/>
        </w:rPr>
        <w:t>».</w:t>
      </w:r>
    </w:p>
    <w:p w14:paraId="479A8AFB" w14:textId="77777777" w:rsidR="00B01930" w:rsidRPr="00320A86" w:rsidRDefault="00B01930" w:rsidP="00B01930">
      <w:pPr>
        <w:pStyle w:val="citation"/>
        <w:rPr>
          <w:szCs w:val="28"/>
        </w:rPr>
      </w:pPr>
    </w:p>
    <w:p w14:paraId="0ED2986D" w14:textId="77777777" w:rsidR="00B01930" w:rsidRPr="00320A86" w:rsidRDefault="00B01930" w:rsidP="00B01930">
      <w:pPr>
        <w:spacing w:before="120" w:after="120"/>
        <w:jc w:val="both"/>
      </w:pPr>
      <w:r w:rsidRPr="00320A86">
        <w:t xml:space="preserve"> Une fois  la constatation établie, quelles sont les explications que tentent ces deux auteurs ? L’une, historique, invoque l’idéologie réa</w:t>
      </w:r>
      <w:r w:rsidRPr="00320A86">
        <w:t>c</w:t>
      </w:r>
      <w:r w:rsidRPr="00320A86">
        <w:t>tionnaire de l’Église du XIX</w:t>
      </w:r>
      <w:r w:rsidRPr="00320A86">
        <w:rPr>
          <w:vertAlign w:val="superscript"/>
        </w:rPr>
        <w:t>e</w:t>
      </w:r>
      <w:r w:rsidRPr="00320A86">
        <w:t xml:space="preserve"> siècle, mais elle oublie les revirements du XX</w:t>
      </w:r>
      <w:r w:rsidRPr="00320A86">
        <w:rPr>
          <w:vertAlign w:val="superscript"/>
        </w:rPr>
        <w:t>e</w:t>
      </w:r>
      <w:r w:rsidRPr="00320A86">
        <w:t xml:space="preserve"> et surévalue une « préférence politique » héréditaire qui aurait franchi un XX</w:t>
      </w:r>
      <w:r w:rsidRPr="00320A86">
        <w:rPr>
          <w:vertAlign w:val="superscript"/>
        </w:rPr>
        <w:t>e</w:t>
      </w:r>
      <w:r w:rsidRPr="00320A86">
        <w:t xml:space="preserve"> siècle particulièrement bouleversé, </w:t>
      </w:r>
      <w:r w:rsidRPr="00320A86">
        <w:rPr>
          <w:shd w:val="clear" w:color="auto" w:fill="FFFFFF"/>
        </w:rPr>
        <w:t>pour toutes les g</w:t>
      </w:r>
      <w:r w:rsidRPr="00320A86">
        <w:rPr>
          <w:shd w:val="clear" w:color="auto" w:fill="FFFFFF"/>
        </w:rPr>
        <w:t>é</w:t>
      </w:r>
      <w:r w:rsidRPr="00320A86">
        <w:rPr>
          <w:shd w:val="clear" w:color="auto" w:fill="FFFFFF"/>
        </w:rPr>
        <w:t>nérations, d’ailleurs</w:t>
      </w:r>
      <w:r w:rsidRPr="00320A86">
        <w:t>. L’autre, psycholog</w:t>
      </w:r>
      <w:r w:rsidRPr="00320A86">
        <w:t>i</w:t>
      </w:r>
      <w:r w:rsidRPr="00320A86">
        <w:t>que, attribue au sentiment de stabilité offert par l’Église catholique (mais aussi par les autres confessions chrétiennes en Europe) une inclination vers le vote conservateur. Mais la même remarque pourrait s’appliquer au vote en faveur de la gauche communiste, surtout depuis 1989, et malgré la disqualification histor</w:t>
      </w:r>
      <w:r w:rsidRPr="00320A86">
        <w:t>i</w:t>
      </w:r>
      <w:r w:rsidRPr="00320A86">
        <w:t>que des régimes du même nom. Rompant avec cette distribution (droite-gauche), qu’il juge trop simpliste, Émile  Poulat</w:t>
      </w:r>
      <w:r>
        <w:t> </w:t>
      </w:r>
      <w:r>
        <w:rPr>
          <w:rStyle w:val="Appelnotedebasdep"/>
        </w:rPr>
        <w:footnoteReference w:id="1182"/>
      </w:r>
      <w:r w:rsidRPr="00320A86">
        <w:t xml:space="preserve"> considère l’institution ecclésiale co</w:t>
      </w:r>
      <w:r w:rsidRPr="00320A86">
        <w:t>m</w:t>
      </w:r>
      <w:r w:rsidRPr="00320A86">
        <w:t>me un bloc politique à part entière, qui rejette à la fois le libéralisme bourgeois, et le soci</w:t>
      </w:r>
      <w:r w:rsidRPr="00320A86">
        <w:t>a</w:t>
      </w:r>
      <w:r w:rsidRPr="00320A86">
        <w:t>lisme prolétarien. Particulièrement marqué par l’antimodernisme vir</w:t>
      </w:r>
      <w:r w:rsidRPr="00320A86">
        <w:t>u</w:t>
      </w:r>
      <w:r w:rsidRPr="00320A86">
        <w:t>lent exprimé par les derniers pontifes du XIX</w:t>
      </w:r>
      <w:r w:rsidRPr="00320A86">
        <w:rPr>
          <w:vertAlign w:val="superscript"/>
        </w:rPr>
        <w:t>e</w:t>
      </w:r>
      <w:r w:rsidRPr="00320A86">
        <w:t xml:space="preserve"> siècle, il conçoit le monde cath</w:t>
      </w:r>
      <w:r w:rsidRPr="00320A86">
        <w:t>o</w:t>
      </w:r>
      <w:r w:rsidRPr="00320A86">
        <w:t xml:space="preserve">lique comme un </w:t>
      </w:r>
      <w:r w:rsidRPr="00E11556">
        <w:rPr>
          <w:i/>
        </w:rPr>
        <w:t>intransigeantisme</w:t>
      </w:r>
      <w:r w:rsidRPr="00320A86">
        <w:t xml:space="preserve"> monolithique lié à une posture de reconquête du monde temporel dont la démocratie chr</w:t>
      </w:r>
      <w:r w:rsidRPr="00320A86">
        <w:t>é</w:t>
      </w:r>
      <w:r w:rsidRPr="00320A86">
        <w:t xml:space="preserve">tienne, ni de droite, ni de gauche, est l’expression la plus évidente. Cette tentative de </w:t>
      </w:r>
      <w:r w:rsidRPr="00E11556">
        <w:rPr>
          <w:i/>
        </w:rPr>
        <w:t>catholicisme intégral</w:t>
      </w:r>
      <w:r w:rsidRPr="00320A86">
        <w:t xml:space="preserve"> est pour lui un trait permanent de l’Église de Rome et le concile de </w:t>
      </w:r>
      <w:r>
        <w:t>Vatican II</w:t>
      </w:r>
      <w:r w:rsidRPr="00320A86">
        <w:t>, loin d’être un rupture, confirme le sens de l’adaptation tactique des clercs face aux évol</w:t>
      </w:r>
      <w:r w:rsidRPr="00320A86">
        <w:t>u</w:t>
      </w:r>
      <w:r w:rsidRPr="00320A86">
        <w:t>tions contemporaines.</w:t>
      </w:r>
    </w:p>
    <w:p w14:paraId="402E4DE3" w14:textId="77777777" w:rsidR="00B01930" w:rsidRPr="00320A86" w:rsidRDefault="00B01930" w:rsidP="00B01930">
      <w:pPr>
        <w:spacing w:before="120" w:after="120"/>
        <w:jc w:val="both"/>
        <w:rPr>
          <w:color w:val="000000"/>
          <w:szCs w:val="28"/>
        </w:rPr>
      </w:pPr>
      <w:r w:rsidRPr="00320A86">
        <w:rPr>
          <w:rFonts w:eastAsia="Calibri"/>
          <w:color w:val="000000"/>
          <w:szCs w:val="28"/>
        </w:rPr>
        <w:t>Presque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opposé</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ces</w:t>
      </w:r>
      <w:r w:rsidRPr="00320A86">
        <w:rPr>
          <w:color w:val="000000"/>
          <w:szCs w:val="28"/>
        </w:rPr>
        <w:t xml:space="preserve"> </w:t>
      </w:r>
      <w:r w:rsidRPr="00320A86">
        <w:rPr>
          <w:rFonts w:eastAsia="Calibri"/>
          <w:color w:val="000000"/>
          <w:szCs w:val="28"/>
        </w:rPr>
        <w:t>visions</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homogénéité</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préférences</w:t>
      </w:r>
      <w:r w:rsidRPr="00320A86">
        <w:rPr>
          <w:color w:val="000000"/>
          <w:szCs w:val="28"/>
        </w:rPr>
        <w:t xml:space="preserve"> </w:t>
      </w:r>
      <w:r w:rsidRPr="00320A86">
        <w:rPr>
          <w:rFonts w:eastAsia="Calibri"/>
          <w:color w:val="000000"/>
          <w:szCs w:val="28"/>
        </w:rPr>
        <w:t>cathol</w:t>
      </w:r>
      <w:r w:rsidRPr="00320A86">
        <w:rPr>
          <w:rFonts w:eastAsia="Calibri"/>
          <w:color w:val="000000"/>
          <w:szCs w:val="28"/>
        </w:rPr>
        <w:t>i</w:t>
      </w:r>
      <w:r w:rsidRPr="00320A86">
        <w:rPr>
          <w:rFonts w:eastAsia="Calibri"/>
          <w:color w:val="000000"/>
          <w:szCs w:val="28"/>
        </w:rPr>
        <w:t>ques,</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analyses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René</w:t>
      </w:r>
      <w:r w:rsidRPr="00320A86">
        <w:rPr>
          <w:color w:val="000000"/>
          <w:szCs w:val="28"/>
        </w:rPr>
        <w:t xml:space="preserve"> </w:t>
      </w:r>
      <w:r w:rsidRPr="00320A86">
        <w:rPr>
          <w:rFonts w:eastAsia="Calibri"/>
          <w:color w:val="000000"/>
          <w:szCs w:val="28"/>
        </w:rPr>
        <w:t>Rémond</w:t>
      </w:r>
      <w:r>
        <w:rPr>
          <w:rFonts w:eastAsia="Calibri"/>
          <w:color w:val="000000"/>
          <w:szCs w:val="28"/>
        </w:rPr>
        <w:t> </w:t>
      </w:r>
      <w:r>
        <w:rPr>
          <w:rStyle w:val="Appelnotedebasdep"/>
          <w:rFonts w:eastAsia="Calibri"/>
          <w:szCs w:val="28"/>
        </w:rPr>
        <w:footnoteReference w:id="1183"/>
      </w:r>
      <w:r w:rsidRPr="00320A86">
        <w:rPr>
          <w:color w:val="000000"/>
          <w:szCs w:val="28"/>
        </w:rPr>
        <w:t xml:space="preserve"> </w:t>
      </w:r>
      <w:r w:rsidRPr="00320A86">
        <w:rPr>
          <w:rFonts w:eastAsia="Calibri"/>
          <w:color w:val="000000"/>
          <w:szCs w:val="28"/>
        </w:rPr>
        <w:t>nous</w:t>
      </w:r>
      <w:r w:rsidRPr="00320A86">
        <w:rPr>
          <w:color w:val="000000"/>
          <w:szCs w:val="28"/>
        </w:rPr>
        <w:t xml:space="preserve"> </w:t>
      </w:r>
      <w:r w:rsidRPr="00320A86">
        <w:rPr>
          <w:rFonts w:eastAsia="Calibri"/>
          <w:color w:val="000000"/>
          <w:szCs w:val="28"/>
        </w:rPr>
        <w:t>dressent,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effet,</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320A86">
        <w:rPr>
          <w:rFonts w:eastAsia="Calibri"/>
          <w:color w:val="000000"/>
          <w:szCs w:val="28"/>
        </w:rPr>
        <w:t>tout</w:t>
      </w:r>
      <w:r w:rsidRPr="00320A86">
        <w:rPr>
          <w:color w:val="000000"/>
          <w:szCs w:val="28"/>
        </w:rPr>
        <w:t xml:space="preserve"> </w:t>
      </w:r>
      <w:r w:rsidRPr="00320A86">
        <w:rPr>
          <w:rFonts w:eastAsia="Calibri"/>
          <w:color w:val="000000"/>
          <w:szCs w:val="28"/>
        </w:rPr>
        <w:t>autre</w:t>
      </w:r>
      <w:r w:rsidRPr="00320A86">
        <w:rPr>
          <w:color w:val="000000"/>
          <w:szCs w:val="28"/>
        </w:rPr>
        <w:t xml:space="preserve"> </w:t>
      </w:r>
      <w:r w:rsidRPr="00320A86">
        <w:rPr>
          <w:rFonts w:eastAsia="Calibri"/>
          <w:color w:val="000000"/>
          <w:szCs w:val="28"/>
        </w:rPr>
        <w:t>paysage.</w:t>
      </w:r>
      <w:r w:rsidRPr="00320A86">
        <w:rPr>
          <w:color w:val="000000"/>
          <w:szCs w:val="28"/>
        </w:rPr>
        <w:t xml:space="preserve"> </w:t>
      </w:r>
      <w:r w:rsidRPr="00320A86">
        <w:rPr>
          <w:rFonts w:eastAsia="Calibri"/>
          <w:color w:val="000000"/>
          <w:szCs w:val="28"/>
        </w:rPr>
        <w:t>Dès</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XIX</w:t>
      </w:r>
      <w:r w:rsidRPr="00320A86">
        <w:rPr>
          <w:rFonts w:eastAsia="Calibri"/>
          <w:color w:val="000000"/>
          <w:szCs w:val="28"/>
          <w:vertAlign w:val="superscript"/>
        </w:rPr>
        <w:t>e</w:t>
      </w:r>
      <w:r w:rsidRPr="00320A86">
        <w:rPr>
          <w:color w:val="000000"/>
          <w:szCs w:val="28"/>
        </w:rPr>
        <w:t xml:space="preserve"> </w:t>
      </w:r>
      <w:r w:rsidRPr="00320A86">
        <w:rPr>
          <w:rFonts w:eastAsia="Calibri"/>
          <w:color w:val="000000"/>
          <w:szCs w:val="28"/>
        </w:rPr>
        <w:t>siècle,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côté</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catholiques</w:t>
      </w:r>
      <w:r w:rsidRPr="00320A86">
        <w:rPr>
          <w:color w:val="000000"/>
          <w:szCs w:val="28"/>
        </w:rPr>
        <w:t xml:space="preserve"> </w:t>
      </w:r>
      <w:r w:rsidRPr="00320A86">
        <w:rPr>
          <w:rFonts w:eastAsia="Calibri"/>
          <w:color w:val="000000"/>
          <w:szCs w:val="28"/>
        </w:rPr>
        <w:t>intrans</w:t>
      </w:r>
      <w:r w:rsidRPr="00320A86">
        <w:rPr>
          <w:rFonts w:eastAsia="Calibri"/>
          <w:color w:val="000000"/>
          <w:szCs w:val="28"/>
        </w:rPr>
        <w:t>i</w:t>
      </w:r>
      <w:r w:rsidRPr="00320A86">
        <w:rPr>
          <w:rFonts w:eastAsia="Calibri"/>
          <w:color w:val="000000"/>
          <w:szCs w:val="28"/>
        </w:rPr>
        <w:t>geants</w:t>
      </w:r>
      <w:r>
        <w:rPr>
          <w:rFonts w:eastAsia="Calibri"/>
          <w:color w:val="000000"/>
          <w:szCs w:val="28"/>
        </w:rPr>
        <w:t> </w:t>
      </w:r>
      <w:r>
        <w:rPr>
          <w:rStyle w:val="Appelnotedebasdep"/>
          <w:rFonts w:eastAsia="Calibri"/>
          <w:szCs w:val="28"/>
        </w:rPr>
        <w:footnoteReference w:id="1184"/>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voient</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Révolution</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rupture</w:t>
      </w:r>
      <w:r w:rsidRPr="00320A86">
        <w:rPr>
          <w:color w:val="000000"/>
          <w:szCs w:val="28"/>
        </w:rPr>
        <w:t xml:space="preserve"> </w:t>
      </w:r>
      <w:r w:rsidRPr="00320A86">
        <w:rPr>
          <w:rFonts w:eastAsia="Calibri"/>
          <w:color w:val="000000"/>
          <w:szCs w:val="28"/>
        </w:rPr>
        <w:t>définitive</w:t>
      </w:r>
      <w:r w:rsidRPr="00320A86">
        <w:rPr>
          <w:color w:val="000000"/>
          <w:szCs w:val="28"/>
        </w:rPr>
        <w:t xml:space="preserve"> </w:t>
      </w:r>
      <w:r w:rsidRPr="00320A86">
        <w:rPr>
          <w:rFonts w:eastAsia="Calibri"/>
          <w:color w:val="000000"/>
          <w:szCs w:val="28"/>
        </w:rPr>
        <w:t>avec</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christianisme,</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développe</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320A86">
        <w:rPr>
          <w:rFonts w:eastAsia="Calibri"/>
          <w:color w:val="000000"/>
          <w:szCs w:val="28"/>
        </w:rPr>
        <w:t>«</w:t>
      </w:r>
      <w:r w:rsidRPr="00320A86">
        <w:rPr>
          <w:color w:val="000000"/>
          <w:szCs w:val="28"/>
        </w:rPr>
        <w:t xml:space="preserve"> catholicisme </w:t>
      </w:r>
      <w:r w:rsidRPr="00320A86">
        <w:rPr>
          <w:rFonts w:eastAsia="Calibri"/>
          <w:color w:val="000000"/>
          <w:szCs w:val="28"/>
        </w:rPr>
        <w:t>libéral</w:t>
      </w:r>
      <w:r w:rsidRPr="00320A86">
        <w:rPr>
          <w:color w:val="000000"/>
          <w:szCs w:val="28"/>
        </w:rPr>
        <w:t xml:space="preserve"> » </w:t>
      </w:r>
      <w:r w:rsidRPr="00320A86">
        <w:rPr>
          <w:rFonts w:eastAsia="Calibri"/>
          <w:color w:val="000000"/>
          <w:szCs w:val="28"/>
        </w:rPr>
        <w:t>soutenu</w:t>
      </w:r>
      <w:r w:rsidRPr="00320A86">
        <w:rPr>
          <w:color w:val="000000"/>
          <w:szCs w:val="28"/>
        </w:rPr>
        <w:t xml:space="preserve"> n</w:t>
      </w:r>
      <w:r w:rsidRPr="00320A86">
        <w:rPr>
          <w:color w:val="000000"/>
          <w:szCs w:val="28"/>
        </w:rPr>
        <w:t>o</w:t>
      </w:r>
      <w:r w:rsidRPr="00320A86">
        <w:rPr>
          <w:color w:val="000000"/>
          <w:szCs w:val="28"/>
        </w:rPr>
        <w:t xml:space="preserve">tamment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Lamennais,</w:t>
      </w:r>
      <w:r w:rsidRPr="00320A86">
        <w:rPr>
          <w:color w:val="000000"/>
          <w:szCs w:val="28"/>
        </w:rPr>
        <w:t xml:space="preserve"> </w:t>
      </w:r>
      <w:r w:rsidRPr="00320A86">
        <w:rPr>
          <w:rFonts w:eastAsia="Calibri"/>
          <w:color w:val="000000"/>
          <w:szCs w:val="28"/>
        </w:rPr>
        <w:t>Montalembert</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M</w:t>
      </w:r>
      <w:r w:rsidRPr="00320A86">
        <w:rPr>
          <w:rFonts w:eastAsia="Calibri"/>
          <w:color w:val="000000"/>
          <w:szCs w:val="28"/>
          <w:vertAlign w:val="superscript"/>
        </w:rPr>
        <w:t>gr</w:t>
      </w:r>
      <w:r w:rsidRPr="00320A86">
        <w:rPr>
          <w:color w:val="000000"/>
          <w:szCs w:val="28"/>
        </w:rPr>
        <w:t> </w:t>
      </w:r>
      <w:r w:rsidRPr="00320A86">
        <w:rPr>
          <w:rFonts w:eastAsia="Calibri"/>
          <w:color w:val="000000"/>
          <w:szCs w:val="28"/>
        </w:rPr>
        <w:t>Dupanloup,</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adme</w:t>
      </w:r>
      <w:r w:rsidRPr="00320A86">
        <w:rPr>
          <w:rFonts w:eastAsia="Calibri"/>
          <w:color w:val="000000"/>
          <w:szCs w:val="28"/>
        </w:rPr>
        <w:t>t</w:t>
      </w:r>
      <w:r w:rsidRPr="00320A86">
        <w:rPr>
          <w:rFonts w:eastAsia="Calibri"/>
          <w:color w:val="000000"/>
          <w:szCs w:val="28"/>
        </w:rPr>
        <w:t>tent</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w:t>
      </w:r>
      <w:r w:rsidRPr="00320A86">
        <w:rPr>
          <w:color w:val="000000"/>
          <w:szCs w:val="28"/>
        </w:rPr>
        <w:t xml:space="preserve"> libertés </w:t>
      </w:r>
      <w:r w:rsidRPr="00320A86">
        <w:rPr>
          <w:rFonts w:eastAsia="Calibri"/>
          <w:color w:val="000000"/>
          <w:szCs w:val="28"/>
        </w:rPr>
        <w:t>nouvelles</w:t>
      </w:r>
      <w:r w:rsidRPr="00320A86">
        <w:rPr>
          <w:color w:val="000000"/>
          <w:szCs w:val="28"/>
        </w:rPr>
        <w:t xml:space="preserve"> » </w:t>
      </w:r>
      <w:r w:rsidRPr="00320A86">
        <w:rPr>
          <w:rFonts w:eastAsia="Calibri"/>
          <w:color w:val="000000"/>
          <w:szCs w:val="28"/>
        </w:rPr>
        <w:t>issues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1789.</w:t>
      </w:r>
      <w:r w:rsidRPr="00320A86">
        <w:rPr>
          <w:color w:val="000000"/>
          <w:szCs w:val="28"/>
        </w:rPr>
        <w:t xml:space="preserve"> </w:t>
      </w:r>
      <w:r w:rsidRPr="00320A86">
        <w:rPr>
          <w:rFonts w:eastAsia="Calibri"/>
          <w:color w:val="000000"/>
          <w:szCs w:val="28"/>
        </w:rPr>
        <w:t>Bientôt,</w:t>
      </w:r>
      <w:r w:rsidRPr="00320A86">
        <w:rPr>
          <w:color w:val="000000"/>
          <w:szCs w:val="28"/>
        </w:rPr>
        <w:t xml:space="preserve"> </w:t>
      </w:r>
      <w:r w:rsidRPr="00320A86">
        <w:rPr>
          <w:rFonts w:eastAsia="Calibri"/>
          <w:color w:val="000000"/>
          <w:szCs w:val="28"/>
        </w:rPr>
        <w:t>cette</w:t>
      </w:r>
      <w:r w:rsidRPr="00320A86">
        <w:rPr>
          <w:color w:val="000000"/>
          <w:szCs w:val="28"/>
        </w:rPr>
        <w:t xml:space="preserve"> </w:t>
      </w:r>
      <w:r w:rsidRPr="00320A86">
        <w:rPr>
          <w:rFonts w:eastAsia="Calibri"/>
          <w:color w:val="000000"/>
          <w:szCs w:val="28"/>
        </w:rPr>
        <w:t>te</w:t>
      </w:r>
      <w:r w:rsidRPr="00320A86">
        <w:rPr>
          <w:rFonts w:eastAsia="Calibri"/>
          <w:color w:val="000000"/>
          <w:szCs w:val="28"/>
        </w:rPr>
        <w:t>n</w:t>
      </w:r>
      <w:r w:rsidRPr="00320A86">
        <w:rPr>
          <w:rFonts w:eastAsia="Calibri"/>
          <w:color w:val="000000"/>
          <w:szCs w:val="28"/>
        </w:rPr>
        <w:t>dance</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discrètement</w:t>
      </w:r>
      <w:r w:rsidRPr="00320A86">
        <w:rPr>
          <w:color w:val="000000"/>
          <w:szCs w:val="28"/>
        </w:rPr>
        <w:t xml:space="preserve"> </w:t>
      </w:r>
      <w:r w:rsidRPr="00320A86">
        <w:rPr>
          <w:rFonts w:eastAsia="Calibri"/>
          <w:color w:val="000000"/>
          <w:szCs w:val="28"/>
        </w:rPr>
        <w:t>approuvée</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magistère</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travers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Léon</w:t>
      </w:r>
      <w:r w:rsidRPr="00320A86">
        <w:rPr>
          <w:color w:val="000000"/>
          <w:szCs w:val="28"/>
        </w:rPr>
        <w:t> </w:t>
      </w:r>
      <w:r w:rsidRPr="00320A86">
        <w:rPr>
          <w:rFonts w:eastAsia="Calibri"/>
          <w:color w:val="000000"/>
          <w:szCs w:val="28"/>
        </w:rPr>
        <w:t>XIII,</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Benoît</w:t>
      </w:r>
      <w:r w:rsidRPr="00320A86">
        <w:rPr>
          <w:color w:val="000000"/>
          <w:szCs w:val="28"/>
        </w:rPr>
        <w:t xml:space="preserve"> </w:t>
      </w:r>
      <w:r w:rsidRPr="00320A86">
        <w:rPr>
          <w:rFonts w:eastAsia="Calibri"/>
          <w:color w:val="000000"/>
          <w:szCs w:val="28"/>
        </w:rPr>
        <w:t>XV,</w:t>
      </w:r>
      <w:r w:rsidRPr="00320A86">
        <w:rPr>
          <w:color w:val="000000"/>
          <w:szCs w:val="28"/>
        </w:rPr>
        <w:t xml:space="preserve"> </w:t>
      </w:r>
      <w:r w:rsidRPr="00320A86">
        <w:rPr>
          <w:rFonts w:eastAsia="Calibri"/>
          <w:color w:val="000000"/>
          <w:szCs w:val="28"/>
        </w:rPr>
        <w:t>puis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Pr>
          <w:rFonts w:eastAsia="Calibri"/>
          <w:color w:val="000000"/>
          <w:szCs w:val="28"/>
        </w:rPr>
        <w:t>Pie </w:t>
      </w:r>
      <w:r w:rsidRPr="00320A86">
        <w:rPr>
          <w:rFonts w:eastAsia="Calibri"/>
          <w:color w:val="000000"/>
          <w:szCs w:val="28"/>
        </w:rPr>
        <w:t>XI</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rapprocheront</w:t>
      </w:r>
      <w:r w:rsidRPr="00320A86">
        <w:rPr>
          <w:color w:val="000000"/>
          <w:szCs w:val="28"/>
        </w:rPr>
        <w:t xml:space="preserve">  </w:t>
      </w:r>
      <w:r w:rsidRPr="00320A86">
        <w:rPr>
          <w:rFonts w:eastAsia="Calibri"/>
          <w:color w:val="000000"/>
          <w:szCs w:val="28"/>
        </w:rPr>
        <w:t>autant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d</w:t>
      </w:r>
      <w:r w:rsidRPr="00320A86">
        <w:rPr>
          <w:rFonts w:eastAsia="Calibri"/>
          <w:color w:val="000000"/>
          <w:szCs w:val="28"/>
        </w:rPr>
        <w:t>é</w:t>
      </w:r>
      <w:r w:rsidRPr="00320A86">
        <w:rPr>
          <w:rFonts w:eastAsia="Calibri"/>
          <w:color w:val="000000"/>
          <w:szCs w:val="28"/>
        </w:rPr>
        <w:t>mocratie</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un</w:t>
      </w:r>
      <w:r w:rsidRPr="00320A86">
        <w:rPr>
          <w:color w:val="000000"/>
          <w:szCs w:val="28"/>
        </w:rPr>
        <w:t xml:space="preserve">  </w:t>
      </w:r>
      <w:r w:rsidRPr="00320A86">
        <w:rPr>
          <w:rFonts w:eastAsia="Calibri"/>
          <w:color w:val="000000"/>
          <w:szCs w:val="28"/>
        </w:rPr>
        <w:t>capitalisme</w:t>
      </w:r>
      <w:r w:rsidRPr="00320A86">
        <w:rPr>
          <w:color w:val="000000"/>
          <w:szCs w:val="28"/>
        </w:rPr>
        <w:t xml:space="preserve"> </w:t>
      </w:r>
      <w:r w:rsidRPr="00320A86">
        <w:rPr>
          <w:rFonts w:eastAsia="Calibri"/>
          <w:color w:val="000000"/>
          <w:szCs w:val="28"/>
        </w:rPr>
        <w:t>désormais</w:t>
      </w:r>
      <w:r w:rsidRPr="00320A86">
        <w:rPr>
          <w:color w:val="000000"/>
          <w:szCs w:val="28"/>
        </w:rPr>
        <w:t xml:space="preserve"> </w:t>
      </w:r>
      <w:r w:rsidRPr="00320A86">
        <w:rPr>
          <w:rFonts w:eastAsia="Calibri"/>
          <w:color w:val="000000"/>
          <w:szCs w:val="28"/>
        </w:rPr>
        <w:t>«</w:t>
      </w:r>
      <w:r w:rsidRPr="00320A86">
        <w:rPr>
          <w:color w:val="000000"/>
          <w:szCs w:val="28"/>
        </w:rPr>
        <w:t xml:space="preserve"> christianisé », </w:t>
      </w:r>
      <w:r w:rsidRPr="00320A86">
        <w:rPr>
          <w:rFonts w:eastAsia="Calibri"/>
          <w:color w:val="000000"/>
          <w:szCs w:val="28"/>
        </w:rPr>
        <w:t>donnant</w:t>
      </w:r>
      <w:r w:rsidRPr="00320A86">
        <w:rPr>
          <w:color w:val="000000"/>
          <w:szCs w:val="28"/>
        </w:rPr>
        <w:t xml:space="preserve"> </w:t>
      </w:r>
      <w:r w:rsidRPr="00320A86">
        <w:rPr>
          <w:rFonts w:eastAsia="Calibri"/>
          <w:color w:val="000000"/>
          <w:szCs w:val="28"/>
        </w:rPr>
        <w:t>naissance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E11556">
        <w:rPr>
          <w:rFonts w:eastAsia="Calibri"/>
          <w:i/>
          <w:color w:val="000000"/>
          <w:szCs w:val="28"/>
        </w:rPr>
        <w:t>doctrine</w:t>
      </w:r>
      <w:r w:rsidRPr="00E11556">
        <w:rPr>
          <w:i/>
          <w:color w:val="000000"/>
          <w:szCs w:val="28"/>
        </w:rPr>
        <w:t xml:space="preserve"> </w:t>
      </w:r>
      <w:r w:rsidRPr="00E11556">
        <w:rPr>
          <w:rFonts w:eastAsia="Calibri"/>
          <w:i/>
          <w:color w:val="000000"/>
          <w:szCs w:val="28"/>
        </w:rPr>
        <w:t>sociale</w:t>
      </w:r>
      <w:r w:rsidRPr="00E11556">
        <w:rPr>
          <w:i/>
          <w:color w:val="000000"/>
          <w:szCs w:val="28"/>
        </w:rPr>
        <w:t xml:space="preserve"> </w:t>
      </w:r>
      <w:r w:rsidRPr="00E11556">
        <w:rPr>
          <w:rFonts w:eastAsia="Calibri"/>
          <w:i/>
          <w:color w:val="000000"/>
          <w:szCs w:val="28"/>
        </w:rPr>
        <w:t>de</w:t>
      </w:r>
      <w:r w:rsidRPr="00E11556">
        <w:rPr>
          <w:i/>
          <w:color w:val="000000"/>
          <w:szCs w:val="28"/>
        </w:rPr>
        <w:t xml:space="preserve"> </w:t>
      </w:r>
      <w:r w:rsidRPr="00E11556">
        <w:rPr>
          <w:rFonts w:eastAsia="Calibri"/>
          <w:i/>
          <w:color w:val="000000"/>
          <w:szCs w:val="28"/>
        </w:rPr>
        <w:t>l</w:t>
      </w:r>
      <w:r w:rsidRPr="00E11556">
        <w:rPr>
          <w:i/>
          <w:color w:val="000000"/>
          <w:szCs w:val="28"/>
        </w:rPr>
        <w:t>’</w:t>
      </w:r>
      <w:r w:rsidRPr="00E11556">
        <w:rPr>
          <w:rFonts w:eastAsia="Calibri"/>
          <w:i/>
          <w:color w:val="000000"/>
          <w:szCs w:val="28"/>
        </w:rPr>
        <w:t>Église</w:t>
      </w:r>
      <w:r w:rsidRPr="00320A86">
        <w:rPr>
          <w:rFonts w:eastAsia="Calibri"/>
          <w:color w:val="000000"/>
          <w:szCs w:val="28"/>
        </w:rPr>
        <w:t>.</w:t>
      </w:r>
      <w:r w:rsidRPr="00320A86">
        <w:rPr>
          <w:color w:val="000000"/>
          <w:szCs w:val="28"/>
        </w:rPr>
        <w:t xml:space="preserve"> </w:t>
      </w:r>
      <w:r w:rsidRPr="00320A86">
        <w:rPr>
          <w:rFonts w:eastAsia="Calibri"/>
          <w:color w:val="000000"/>
          <w:szCs w:val="28"/>
        </w:rPr>
        <w:t>Même</w:t>
      </w:r>
      <w:r w:rsidRPr="00320A86">
        <w:rPr>
          <w:color w:val="000000"/>
          <w:szCs w:val="28"/>
        </w:rPr>
        <w:t xml:space="preserve"> </w:t>
      </w:r>
      <w:r w:rsidRPr="00320A86">
        <w:rPr>
          <w:rFonts w:eastAsia="Calibri"/>
          <w:color w:val="000000"/>
          <w:szCs w:val="28"/>
        </w:rPr>
        <w:t>si</w:t>
      </w:r>
      <w:r w:rsidRPr="00320A86">
        <w:rPr>
          <w:color w:val="000000"/>
          <w:szCs w:val="28"/>
        </w:rPr>
        <w:t xml:space="preserve"> </w:t>
      </w:r>
      <w:r w:rsidRPr="00320A86">
        <w:rPr>
          <w:rFonts w:eastAsia="Calibri"/>
          <w:color w:val="000000"/>
          <w:szCs w:val="28"/>
        </w:rPr>
        <w:t>ces</w:t>
      </w:r>
      <w:r w:rsidRPr="00320A86">
        <w:rPr>
          <w:color w:val="000000"/>
          <w:szCs w:val="28"/>
        </w:rPr>
        <w:t xml:space="preserve"> </w:t>
      </w:r>
      <w:r w:rsidRPr="00320A86">
        <w:rPr>
          <w:rFonts w:eastAsia="Calibri"/>
          <w:color w:val="000000"/>
          <w:szCs w:val="28"/>
        </w:rPr>
        <w:t>o</w:t>
      </w:r>
      <w:r w:rsidRPr="00320A86">
        <w:rPr>
          <w:rFonts w:eastAsia="Calibri"/>
          <w:color w:val="000000"/>
          <w:szCs w:val="28"/>
        </w:rPr>
        <w:t>u</w:t>
      </w:r>
      <w:r w:rsidRPr="00320A86">
        <w:rPr>
          <w:rFonts w:eastAsia="Calibri"/>
          <w:color w:val="000000"/>
          <w:szCs w:val="28"/>
        </w:rPr>
        <w:t>vertures</w:t>
      </w:r>
      <w:r w:rsidRPr="00320A86">
        <w:rPr>
          <w:color w:val="000000"/>
          <w:szCs w:val="28"/>
        </w:rPr>
        <w:t xml:space="preserve"> </w:t>
      </w:r>
      <w:r w:rsidRPr="00320A86">
        <w:rPr>
          <w:rFonts w:eastAsia="Calibri"/>
          <w:color w:val="000000"/>
          <w:szCs w:val="28"/>
        </w:rPr>
        <w:t>constantes</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partir</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1945</w:t>
      </w:r>
      <w:r w:rsidRPr="00320A86">
        <w:rPr>
          <w:color w:val="000000"/>
          <w:szCs w:val="28"/>
        </w:rPr>
        <w:t xml:space="preserve"> </w:t>
      </w:r>
      <w:r w:rsidRPr="00320A86">
        <w:rPr>
          <w:rFonts w:eastAsia="Calibri"/>
          <w:color w:val="000000"/>
          <w:szCs w:val="28"/>
        </w:rPr>
        <w:t>sont</w:t>
      </w:r>
      <w:r w:rsidRPr="00320A86">
        <w:rPr>
          <w:color w:val="000000"/>
          <w:szCs w:val="28"/>
        </w:rPr>
        <w:t xml:space="preserve"> </w:t>
      </w:r>
      <w:r w:rsidRPr="00320A86">
        <w:rPr>
          <w:rFonts w:eastAsia="Calibri"/>
          <w:color w:val="000000"/>
          <w:szCs w:val="28"/>
        </w:rPr>
        <w:t>qualifiées</w:t>
      </w:r>
      <w:r w:rsidRPr="00320A86">
        <w:rPr>
          <w:color w:val="000000"/>
          <w:szCs w:val="28"/>
        </w:rPr>
        <w:t xml:space="preserve"> </w:t>
      </w:r>
      <w:r w:rsidRPr="00320A86">
        <w:rPr>
          <w:rFonts w:eastAsia="Calibri"/>
          <w:color w:val="000000"/>
          <w:szCs w:val="28"/>
        </w:rPr>
        <w:t>d</w:t>
      </w:r>
      <w:r w:rsidRPr="00320A86">
        <w:rPr>
          <w:color w:val="000000"/>
          <w:szCs w:val="28"/>
        </w:rPr>
        <w:t>’</w:t>
      </w:r>
      <w:r w:rsidRPr="00E11556">
        <w:rPr>
          <w:rFonts w:eastAsia="Calibri"/>
          <w:i/>
          <w:color w:val="000000"/>
          <w:szCs w:val="28"/>
        </w:rPr>
        <w:t>adaptations</w:t>
      </w:r>
      <w:r w:rsidRPr="00E11556">
        <w:rPr>
          <w:i/>
          <w:color w:val="000000"/>
          <w:szCs w:val="28"/>
        </w:rPr>
        <w:t xml:space="preserve"> </w:t>
      </w:r>
      <w:r w:rsidRPr="00E11556">
        <w:rPr>
          <w:rFonts w:eastAsia="Calibri"/>
          <w:i/>
          <w:color w:val="000000"/>
          <w:szCs w:val="28"/>
        </w:rPr>
        <w:t>pratiques</w:t>
      </w:r>
      <w:r w:rsidRPr="00E11556">
        <w:rPr>
          <w:i/>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Jean</w:t>
      </w:r>
      <w:r w:rsidRPr="00320A86">
        <w:rPr>
          <w:color w:val="000000"/>
          <w:szCs w:val="28"/>
        </w:rPr>
        <w:t xml:space="preserve"> </w:t>
      </w:r>
      <w:r w:rsidRPr="00320A86">
        <w:rPr>
          <w:rFonts w:eastAsia="Calibri"/>
          <w:color w:val="000000"/>
          <w:szCs w:val="28"/>
        </w:rPr>
        <w:t>Madiran</w:t>
      </w:r>
      <w:r>
        <w:rPr>
          <w:rFonts w:eastAsia="Calibri"/>
          <w:color w:val="000000"/>
          <w:szCs w:val="28"/>
        </w:rPr>
        <w:t> </w:t>
      </w:r>
      <w:r>
        <w:rPr>
          <w:rStyle w:val="Appelnotedebasdep"/>
          <w:rFonts w:eastAsia="Calibri"/>
          <w:szCs w:val="28"/>
        </w:rPr>
        <w:footnoteReference w:id="1185"/>
      </w:r>
      <w:r w:rsidRPr="00320A86">
        <w:rPr>
          <w:rFonts w:eastAsia="Calibri"/>
          <w:color w:val="000000"/>
          <w:szCs w:val="28"/>
        </w:rPr>
        <w:t>,</w:t>
      </w:r>
      <w:r w:rsidRPr="00320A86">
        <w:rPr>
          <w:color w:val="000000"/>
          <w:szCs w:val="28"/>
        </w:rPr>
        <w:t xml:space="preserve"> </w:t>
      </w:r>
      <w:r w:rsidRPr="00320A86">
        <w:rPr>
          <w:rFonts w:eastAsia="Calibri"/>
          <w:color w:val="000000"/>
          <w:szCs w:val="28"/>
        </w:rPr>
        <w:t>elles</w:t>
      </w:r>
      <w:r w:rsidRPr="00320A86">
        <w:rPr>
          <w:color w:val="000000"/>
          <w:szCs w:val="28"/>
        </w:rPr>
        <w:t xml:space="preserve"> </w:t>
      </w:r>
      <w:r w:rsidRPr="00320A86">
        <w:rPr>
          <w:rFonts w:eastAsia="Calibri"/>
          <w:color w:val="000000"/>
          <w:szCs w:val="28"/>
        </w:rPr>
        <w:t>manifestent</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apparition</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sein</w:t>
      </w:r>
      <w:r w:rsidRPr="00320A86">
        <w:rPr>
          <w:color w:val="000000"/>
          <w:szCs w:val="28"/>
        </w:rPr>
        <w:t xml:space="preserve"> </w:t>
      </w:r>
      <w:r w:rsidRPr="00320A86">
        <w:rPr>
          <w:rFonts w:eastAsia="Calibri"/>
          <w:color w:val="000000"/>
          <w:szCs w:val="28"/>
        </w:rPr>
        <w:t>m</w:t>
      </w:r>
      <w:r w:rsidRPr="00320A86">
        <w:rPr>
          <w:rFonts w:eastAsia="Calibri"/>
          <w:color w:val="000000"/>
          <w:szCs w:val="28"/>
        </w:rPr>
        <w:t>ê</w:t>
      </w:r>
      <w:r w:rsidRPr="00320A86">
        <w:rPr>
          <w:rFonts w:eastAsia="Calibri"/>
          <w:color w:val="000000"/>
          <w:szCs w:val="28"/>
        </w:rPr>
        <w:t>me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Église</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une</w:t>
      </w:r>
      <w:r w:rsidRPr="00320A86">
        <w:rPr>
          <w:color w:val="000000"/>
          <w:szCs w:val="28"/>
        </w:rPr>
        <w:t xml:space="preserve"> </w:t>
      </w:r>
      <w:r w:rsidRPr="00320A86">
        <w:rPr>
          <w:rFonts w:eastAsia="Calibri"/>
          <w:color w:val="000000"/>
          <w:szCs w:val="28"/>
        </w:rPr>
        <w:t>pluralité</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Philippe</w:t>
      </w:r>
      <w:r w:rsidRPr="00320A86">
        <w:rPr>
          <w:color w:val="000000"/>
          <w:szCs w:val="28"/>
        </w:rPr>
        <w:t xml:space="preserve"> </w:t>
      </w:r>
      <w:r w:rsidRPr="00320A86">
        <w:rPr>
          <w:rFonts w:eastAsia="Calibri"/>
          <w:color w:val="000000"/>
          <w:szCs w:val="28"/>
        </w:rPr>
        <w:t>Portier</w:t>
      </w:r>
      <w:r w:rsidRPr="00320A86">
        <w:rPr>
          <w:color w:val="000000"/>
          <w:szCs w:val="28"/>
        </w:rPr>
        <w:t xml:space="preserve"> </w:t>
      </w:r>
      <w:r w:rsidRPr="00320A86">
        <w:rPr>
          <w:rFonts w:eastAsia="Calibri"/>
          <w:color w:val="000000"/>
          <w:szCs w:val="28"/>
        </w:rPr>
        <w:t>érige</w:t>
      </w:r>
      <w:r w:rsidRPr="00320A86">
        <w:rPr>
          <w:color w:val="000000"/>
          <w:szCs w:val="28"/>
        </w:rPr>
        <w:t xml:space="preserve"> </w:t>
      </w:r>
      <w:r w:rsidRPr="00320A86">
        <w:rPr>
          <w:rFonts w:eastAsia="Calibri"/>
          <w:color w:val="000000"/>
          <w:szCs w:val="28"/>
        </w:rPr>
        <w:t>très</w:t>
      </w:r>
      <w:r w:rsidRPr="00320A86">
        <w:rPr>
          <w:color w:val="000000"/>
          <w:szCs w:val="28"/>
        </w:rPr>
        <w:t xml:space="preserve"> </w:t>
      </w:r>
      <w:r w:rsidRPr="00320A86">
        <w:rPr>
          <w:rFonts w:eastAsia="Calibri"/>
          <w:color w:val="000000"/>
          <w:szCs w:val="28"/>
        </w:rPr>
        <w:t>logiqu</w:t>
      </w:r>
      <w:r w:rsidRPr="00320A86">
        <w:rPr>
          <w:rFonts w:eastAsia="Calibri"/>
          <w:color w:val="000000"/>
          <w:szCs w:val="28"/>
        </w:rPr>
        <w:t>e</w:t>
      </w:r>
      <w:r w:rsidRPr="00320A86">
        <w:rPr>
          <w:rFonts w:eastAsia="Calibri"/>
          <w:color w:val="000000"/>
          <w:szCs w:val="28"/>
        </w:rPr>
        <w:t>ment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nouveau</w:t>
      </w:r>
      <w:r w:rsidRPr="00320A86">
        <w:rPr>
          <w:color w:val="000000"/>
          <w:szCs w:val="28"/>
        </w:rPr>
        <w:t xml:space="preserve"> </w:t>
      </w:r>
      <w:r w:rsidRPr="00320A86">
        <w:rPr>
          <w:rFonts w:eastAsia="Calibri"/>
          <w:color w:val="000000"/>
          <w:szCs w:val="28"/>
        </w:rPr>
        <w:t>paradigme</w:t>
      </w:r>
      <w:r w:rsidRPr="00320A86">
        <w:rPr>
          <w:color w:val="000000"/>
          <w:szCs w:val="28"/>
        </w:rPr>
        <w:t> :</w:t>
      </w:r>
    </w:p>
    <w:p w14:paraId="4B6ED176" w14:textId="77777777" w:rsidR="00B01930" w:rsidRDefault="00B01930" w:rsidP="00B01930">
      <w:pPr>
        <w:pStyle w:val="citation"/>
      </w:pPr>
    </w:p>
    <w:p w14:paraId="75666718" w14:textId="77777777" w:rsidR="00B01930" w:rsidRDefault="00B01930" w:rsidP="00B01930">
      <w:pPr>
        <w:pStyle w:val="citation"/>
      </w:pPr>
      <w:r w:rsidRPr="00320A86">
        <w:t>« Il ne s’agit pas de souscrire à l’idée d’une détermination univoque de la préf</w:t>
      </w:r>
      <w:r w:rsidRPr="00320A86">
        <w:t>é</w:t>
      </w:r>
      <w:r w:rsidRPr="00320A86">
        <w:t>rence politique par l’appartenance religieuse, mais d’affirmer au contraire que, malgré leur inscription dans une comm</w:t>
      </w:r>
      <w:r w:rsidRPr="00320A86">
        <w:t>u</w:t>
      </w:r>
      <w:r w:rsidRPr="00320A86">
        <w:t>ne lignée de foi, les catholiques se retrouvent en France, tant sur le plan des options tempore</w:t>
      </w:r>
      <w:r w:rsidRPr="00320A86">
        <w:t>l</w:t>
      </w:r>
      <w:r w:rsidRPr="00320A86">
        <w:t>les que sur celui des choix spirituels, a</w:t>
      </w:r>
      <w:r w:rsidRPr="00320A86">
        <w:t>s</w:t>
      </w:r>
      <w:r w:rsidRPr="00320A86">
        <w:t>sez profondément divisés</w:t>
      </w:r>
      <w:r>
        <w:t> </w:t>
      </w:r>
      <w:r w:rsidRPr="003F485F">
        <w:rPr>
          <w:rStyle w:val="Appelnotedebasdep"/>
          <w:i/>
        </w:rPr>
        <w:footnoteReference w:id="1186"/>
      </w:r>
      <w:r w:rsidRPr="00320A86">
        <w:rPr>
          <w:szCs w:val="28"/>
        </w:rPr>
        <w:t>.</w:t>
      </w:r>
      <w:r w:rsidRPr="00320A86">
        <w:t> »</w:t>
      </w:r>
    </w:p>
    <w:p w14:paraId="748DEBA4" w14:textId="77777777" w:rsidR="00B01930" w:rsidRPr="00320A86" w:rsidRDefault="00B01930" w:rsidP="00B01930">
      <w:pPr>
        <w:pStyle w:val="citation"/>
        <w:rPr>
          <w:szCs w:val="28"/>
        </w:rPr>
      </w:pPr>
    </w:p>
    <w:p w14:paraId="0395F063" w14:textId="77777777" w:rsidR="00B01930" w:rsidRPr="00320A86" w:rsidRDefault="00B01930" w:rsidP="00B01930">
      <w:pPr>
        <w:spacing w:before="120" w:after="120"/>
        <w:jc w:val="both"/>
        <w:rPr>
          <w:rFonts w:eastAsia="Calibri"/>
          <w:color w:val="000000"/>
          <w:szCs w:val="28"/>
        </w:rPr>
      </w:pPr>
      <w:r w:rsidRPr="00320A86">
        <w:rPr>
          <w:rFonts w:eastAsia="Calibri"/>
          <w:color w:val="000000"/>
          <w:szCs w:val="28"/>
        </w:rPr>
        <w:t>Une</w:t>
      </w:r>
      <w:r w:rsidRPr="00320A86">
        <w:rPr>
          <w:color w:val="000000"/>
          <w:szCs w:val="28"/>
        </w:rPr>
        <w:t xml:space="preserve"> </w:t>
      </w:r>
      <w:r w:rsidRPr="00320A86">
        <w:rPr>
          <w:rFonts w:eastAsia="Calibri"/>
          <w:color w:val="000000"/>
          <w:szCs w:val="28"/>
        </w:rPr>
        <w:t>partie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question</w:t>
      </w:r>
      <w:r w:rsidRPr="00320A86">
        <w:rPr>
          <w:color w:val="000000"/>
          <w:szCs w:val="28"/>
        </w:rPr>
        <w:t xml:space="preserve"> </w:t>
      </w:r>
      <w:r w:rsidRPr="00320A86">
        <w:rPr>
          <w:rFonts w:eastAsia="Calibri"/>
          <w:color w:val="000000"/>
          <w:szCs w:val="28"/>
        </w:rPr>
        <w:t>posée</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haut,</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savoir</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déterminer</w:t>
      </w:r>
      <w:r w:rsidRPr="00320A86">
        <w:rPr>
          <w:color w:val="000000"/>
          <w:szCs w:val="28"/>
        </w:rPr>
        <w:t xml:space="preserve"> </w:t>
      </w:r>
      <w:r w:rsidRPr="00320A86">
        <w:rPr>
          <w:rFonts w:eastAsia="Calibri"/>
          <w:color w:val="000000"/>
          <w:szCs w:val="28"/>
        </w:rPr>
        <w:t>ce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premier</w:t>
      </w:r>
      <w:r w:rsidRPr="00320A86">
        <w:rPr>
          <w:color w:val="000000"/>
          <w:szCs w:val="28"/>
        </w:rPr>
        <w:t xml:space="preserve"> </w:t>
      </w:r>
      <w:r w:rsidRPr="00320A86">
        <w:rPr>
          <w:rFonts w:eastAsia="Calibri"/>
          <w:color w:val="000000"/>
          <w:szCs w:val="28"/>
        </w:rPr>
        <w:t>entre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orientation</w:t>
      </w:r>
      <w:r w:rsidRPr="00320A86">
        <w:rPr>
          <w:color w:val="000000"/>
          <w:szCs w:val="28"/>
        </w:rPr>
        <w:t xml:space="preserve"> </w:t>
      </w:r>
      <w:r w:rsidRPr="00320A86">
        <w:rPr>
          <w:rFonts w:eastAsia="Calibri"/>
          <w:color w:val="000000"/>
          <w:szCs w:val="28"/>
        </w:rPr>
        <w:t>religieuse,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préférence</w:t>
      </w:r>
      <w:r w:rsidRPr="00320A86">
        <w:rPr>
          <w:color w:val="000000"/>
          <w:szCs w:val="28"/>
        </w:rPr>
        <w:t xml:space="preserve"> </w:t>
      </w:r>
      <w:r w:rsidRPr="00320A86">
        <w:rPr>
          <w:rFonts w:eastAsia="Calibri"/>
          <w:color w:val="000000"/>
          <w:szCs w:val="28"/>
        </w:rPr>
        <w:t>polit</w:t>
      </w:r>
      <w:r w:rsidRPr="00320A86">
        <w:rPr>
          <w:rFonts w:eastAsia="Calibri"/>
          <w:color w:val="000000"/>
          <w:szCs w:val="28"/>
        </w:rPr>
        <w:t>i</w:t>
      </w:r>
      <w:r w:rsidRPr="00320A86">
        <w:rPr>
          <w:rFonts w:eastAsia="Calibri"/>
          <w:color w:val="000000"/>
          <w:szCs w:val="28"/>
        </w:rPr>
        <w:t>que,</w:t>
      </w:r>
      <w:r w:rsidRPr="00320A86">
        <w:rPr>
          <w:color w:val="000000"/>
          <w:szCs w:val="28"/>
        </w:rPr>
        <w:t xml:space="preserve"> </w:t>
      </w:r>
      <w:r w:rsidRPr="00320A86">
        <w:rPr>
          <w:rFonts w:eastAsia="Calibri"/>
          <w:color w:val="000000"/>
          <w:szCs w:val="28"/>
        </w:rPr>
        <w:t>serait</w:t>
      </w:r>
      <w:r w:rsidRPr="00320A86">
        <w:rPr>
          <w:color w:val="000000"/>
          <w:szCs w:val="28"/>
        </w:rPr>
        <w:t xml:space="preserve"> </w:t>
      </w:r>
      <w:r w:rsidRPr="00320A86">
        <w:rPr>
          <w:rFonts w:eastAsia="Calibri"/>
          <w:color w:val="000000"/>
          <w:szCs w:val="28"/>
        </w:rPr>
        <w:t>ainsi</w:t>
      </w:r>
      <w:r w:rsidRPr="00320A86">
        <w:rPr>
          <w:color w:val="000000"/>
          <w:szCs w:val="28"/>
        </w:rPr>
        <w:t xml:space="preserve"> </w:t>
      </w:r>
      <w:r w:rsidRPr="00320A86">
        <w:rPr>
          <w:rFonts w:eastAsia="Calibri"/>
          <w:color w:val="000000"/>
          <w:szCs w:val="28"/>
        </w:rPr>
        <w:t>rés</w:t>
      </w:r>
      <w:r w:rsidRPr="00320A86">
        <w:rPr>
          <w:rFonts w:eastAsia="Calibri"/>
          <w:color w:val="000000"/>
          <w:szCs w:val="28"/>
        </w:rPr>
        <w:t>o</w:t>
      </w:r>
      <w:r w:rsidRPr="00320A86">
        <w:rPr>
          <w:rFonts w:eastAsia="Calibri"/>
          <w:color w:val="000000"/>
          <w:szCs w:val="28"/>
        </w:rPr>
        <w:t>lue</w:t>
      </w:r>
      <w:r w:rsidRPr="00320A86">
        <w:rPr>
          <w:color w:val="000000"/>
          <w:szCs w:val="28"/>
        </w:rPr>
        <w:t xml:space="preserve"> : </w:t>
      </w:r>
      <w:r w:rsidRPr="00320A86">
        <w:rPr>
          <w:rFonts w:eastAsia="Calibri"/>
          <w:color w:val="000000"/>
          <w:szCs w:val="28"/>
        </w:rPr>
        <w:t>une</w:t>
      </w:r>
      <w:r w:rsidRPr="00320A86">
        <w:rPr>
          <w:color w:val="000000"/>
          <w:szCs w:val="28"/>
        </w:rPr>
        <w:t xml:space="preserve"> </w:t>
      </w:r>
      <w:r w:rsidRPr="00320A86">
        <w:rPr>
          <w:rFonts w:eastAsia="Calibri"/>
          <w:color w:val="000000"/>
          <w:szCs w:val="28"/>
        </w:rPr>
        <w:t>conviction</w:t>
      </w:r>
      <w:r w:rsidRPr="00320A86">
        <w:rPr>
          <w:color w:val="000000"/>
          <w:szCs w:val="28"/>
        </w:rPr>
        <w:t xml:space="preserve"> </w:t>
      </w:r>
      <w:r w:rsidRPr="00320A86">
        <w:rPr>
          <w:rFonts w:eastAsia="Calibri"/>
          <w:color w:val="000000"/>
          <w:szCs w:val="28"/>
        </w:rPr>
        <w:t>catholique</w:t>
      </w:r>
      <w:r w:rsidRPr="00320A86">
        <w:rPr>
          <w:color w:val="000000"/>
          <w:szCs w:val="28"/>
        </w:rPr>
        <w:t xml:space="preserve"> </w:t>
      </w:r>
      <w:r w:rsidRPr="00320A86">
        <w:rPr>
          <w:rFonts w:eastAsia="Calibri"/>
          <w:color w:val="000000"/>
          <w:szCs w:val="28"/>
        </w:rPr>
        <w:t>pourrait</w:t>
      </w:r>
      <w:r w:rsidRPr="00320A86">
        <w:rPr>
          <w:color w:val="000000"/>
          <w:szCs w:val="28"/>
        </w:rPr>
        <w:t xml:space="preserve"> </w:t>
      </w:r>
      <w:r w:rsidRPr="00320A86">
        <w:rPr>
          <w:rFonts w:eastAsia="Calibri"/>
          <w:color w:val="000000"/>
          <w:szCs w:val="28"/>
        </w:rPr>
        <w:t>coexister</w:t>
      </w:r>
      <w:r w:rsidRPr="00320A86">
        <w:rPr>
          <w:color w:val="000000"/>
          <w:szCs w:val="28"/>
        </w:rPr>
        <w:t xml:space="preserve"> </w:t>
      </w:r>
      <w:r w:rsidRPr="00320A86">
        <w:rPr>
          <w:rFonts w:eastAsia="Calibri"/>
          <w:color w:val="000000"/>
          <w:szCs w:val="28"/>
        </w:rPr>
        <w:t>avec</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choix</w:t>
      </w:r>
      <w:r w:rsidRPr="00320A86">
        <w:rPr>
          <w:color w:val="000000"/>
          <w:szCs w:val="28"/>
        </w:rPr>
        <w:t xml:space="preserve"> </w:t>
      </w:r>
      <w:r w:rsidRPr="00320A86">
        <w:rPr>
          <w:rFonts w:eastAsia="Calibri"/>
          <w:color w:val="000000"/>
          <w:szCs w:val="28"/>
        </w:rPr>
        <w:t>politiques</w:t>
      </w:r>
      <w:r w:rsidRPr="00320A86">
        <w:rPr>
          <w:color w:val="000000"/>
          <w:szCs w:val="28"/>
        </w:rPr>
        <w:t xml:space="preserve"> </w:t>
      </w:r>
      <w:r w:rsidRPr="00320A86">
        <w:rPr>
          <w:rFonts w:eastAsia="Calibri"/>
          <w:color w:val="000000"/>
          <w:szCs w:val="28"/>
        </w:rPr>
        <w:t>différenciés,</w:t>
      </w:r>
      <w:r w:rsidRPr="00320A86">
        <w:rPr>
          <w:color w:val="000000"/>
          <w:szCs w:val="28"/>
        </w:rPr>
        <w:t xml:space="preserve"> </w:t>
      </w:r>
      <w:r w:rsidRPr="00320A86">
        <w:rPr>
          <w:rFonts w:eastAsia="Calibri"/>
          <w:color w:val="000000"/>
          <w:szCs w:val="28"/>
        </w:rPr>
        <w:t>voire</w:t>
      </w:r>
      <w:r w:rsidRPr="00320A86">
        <w:rPr>
          <w:color w:val="000000"/>
          <w:szCs w:val="28"/>
        </w:rPr>
        <w:t xml:space="preserve"> </w:t>
      </w:r>
      <w:r w:rsidRPr="00320A86">
        <w:rPr>
          <w:rFonts w:eastAsia="Calibri"/>
          <w:color w:val="000000"/>
          <w:szCs w:val="28"/>
        </w:rPr>
        <w:t>opposés.</w:t>
      </w:r>
      <w:r w:rsidRPr="00320A86">
        <w:rPr>
          <w:color w:val="000000"/>
          <w:szCs w:val="28"/>
        </w:rPr>
        <w:t xml:space="preserve"> </w:t>
      </w:r>
      <w:r w:rsidRPr="00320A86">
        <w:rPr>
          <w:rFonts w:eastAsia="Calibri"/>
          <w:color w:val="000000"/>
          <w:szCs w:val="28"/>
        </w:rPr>
        <w:t>Cette</w:t>
      </w:r>
      <w:r w:rsidRPr="00320A86">
        <w:rPr>
          <w:color w:val="000000"/>
          <w:szCs w:val="28"/>
        </w:rPr>
        <w:t xml:space="preserve"> </w:t>
      </w:r>
      <w:r w:rsidRPr="00320A86">
        <w:rPr>
          <w:rFonts w:eastAsia="Calibri"/>
          <w:color w:val="000000"/>
          <w:szCs w:val="28"/>
        </w:rPr>
        <w:t>observ</w:t>
      </w:r>
      <w:r w:rsidRPr="00320A86">
        <w:rPr>
          <w:rFonts w:eastAsia="Calibri"/>
          <w:color w:val="000000"/>
          <w:szCs w:val="28"/>
        </w:rPr>
        <w:t>a</w:t>
      </w:r>
      <w:r w:rsidRPr="00320A86">
        <w:rPr>
          <w:rFonts w:eastAsia="Calibri"/>
          <w:color w:val="000000"/>
          <w:szCs w:val="28"/>
        </w:rPr>
        <w:t>tion</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globalement</w:t>
      </w:r>
      <w:r w:rsidRPr="00320A86">
        <w:rPr>
          <w:color w:val="000000"/>
          <w:szCs w:val="28"/>
        </w:rPr>
        <w:t xml:space="preserve"> </w:t>
      </w:r>
      <w:r w:rsidRPr="00320A86">
        <w:rPr>
          <w:rFonts w:eastAsia="Calibri"/>
          <w:color w:val="000000"/>
          <w:szCs w:val="28"/>
        </w:rPr>
        <w:t>vérifiée</w:t>
      </w:r>
      <w:r w:rsidRPr="00320A86">
        <w:rPr>
          <w:color w:val="000000"/>
          <w:szCs w:val="28"/>
        </w:rPr>
        <w:t xml:space="preserve"> </w:t>
      </w:r>
      <w:r w:rsidRPr="00320A86">
        <w:rPr>
          <w:rFonts w:eastAsia="Calibri"/>
          <w:color w:val="000000"/>
          <w:szCs w:val="28"/>
        </w:rPr>
        <w:t>aujourd</w:t>
      </w:r>
      <w:r w:rsidRPr="00320A86">
        <w:rPr>
          <w:color w:val="000000"/>
          <w:szCs w:val="28"/>
        </w:rPr>
        <w:t>’</w:t>
      </w:r>
      <w:r w:rsidRPr="00320A86">
        <w:rPr>
          <w:rFonts w:eastAsia="Calibri"/>
          <w:color w:val="000000"/>
          <w:szCs w:val="28"/>
        </w:rPr>
        <w:t>hui,</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préférence</w:t>
      </w:r>
      <w:r w:rsidRPr="00320A86">
        <w:rPr>
          <w:color w:val="000000"/>
          <w:szCs w:val="28"/>
        </w:rPr>
        <w:t xml:space="preserve"> </w:t>
      </w:r>
      <w:r w:rsidRPr="00320A86">
        <w:rPr>
          <w:rFonts w:eastAsia="Calibri"/>
          <w:color w:val="000000"/>
          <w:szCs w:val="28"/>
        </w:rPr>
        <w:t>majoritaire</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catholiques</w:t>
      </w:r>
      <w:r w:rsidRPr="00320A86">
        <w:rPr>
          <w:color w:val="000000"/>
          <w:szCs w:val="28"/>
        </w:rPr>
        <w:t xml:space="preserve"> </w:t>
      </w:r>
      <w:r w:rsidRPr="00320A86">
        <w:rPr>
          <w:rFonts w:eastAsia="Calibri"/>
          <w:color w:val="000000"/>
          <w:szCs w:val="28"/>
        </w:rPr>
        <w:t>pour</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droite</w:t>
      </w:r>
      <w:r w:rsidRPr="00320A86">
        <w:rPr>
          <w:color w:val="000000"/>
          <w:szCs w:val="28"/>
        </w:rPr>
        <w:t xml:space="preserve"> </w:t>
      </w:r>
      <w:r w:rsidRPr="00320A86">
        <w:rPr>
          <w:rFonts w:eastAsia="Calibri"/>
          <w:color w:val="000000"/>
          <w:szCs w:val="28"/>
        </w:rPr>
        <w:t>n</w:t>
      </w:r>
      <w:r w:rsidRPr="00320A86">
        <w:rPr>
          <w:color w:val="000000"/>
          <w:szCs w:val="28"/>
        </w:rPr>
        <w:t>’</w:t>
      </w:r>
      <w:r w:rsidRPr="00320A86">
        <w:rPr>
          <w:rFonts w:eastAsia="Calibri"/>
          <w:color w:val="000000"/>
          <w:szCs w:val="28"/>
        </w:rPr>
        <w:t>étant</w:t>
      </w:r>
      <w:r w:rsidRPr="00320A86">
        <w:rPr>
          <w:color w:val="000000"/>
          <w:szCs w:val="28"/>
        </w:rPr>
        <w:t xml:space="preserve"> </w:t>
      </w:r>
      <w:r w:rsidRPr="00320A86">
        <w:rPr>
          <w:rFonts w:eastAsia="Calibri"/>
          <w:color w:val="000000"/>
          <w:szCs w:val="28"/>
        </w:rPr>
        <w:t>pas</w:t>
      </w:r>
      <w:r w:rsidRPr="00320A86">
        <w:rPr>
          <w:color w:val="000000"/>
          <w:szCs w:val="28"/>
        </w:rPr>
        <w:t xml:space="preserve"> </w:t>
      </w:r>
      <w:r w:rsidRPr="00320A86">
        <w:rPr>
          <w:rFonts w:eastAsia="Calibri"/>
          <w:color w:val="000000"/>
          <w:szCs w:val="28"/>
        </w:rPr>
        <w:t>systématique,</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choix</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Dieu</w:t>
      </w:r>
      <w:r w:rsidRPr="00320A86">
        <w:rPr>
          <w:color w:val="000000"/>
          <w:szCs w:val="28"/>
        </w:rPr>
        <w:t xml:space="preserve"> </w:t>
      </w:r>
      <w:r w:rsidRPr="00320A86">
        <w:rPr>
          <w:rFonts w:eastAsia="Calibri"/>
          <w:color w:val="000000"/>
          <w:szCs w:val="28"/>
        </w:rPr>
        <w:t>n</w:t>
      </w:r>
      <w:r w:rsidRPr="00320A86">
        <w:rPr>
          <w:color w:val="000000"/>
          <w:szCs w:val="28"/>
        </w:rPr>
        <w:t>’</w:t>
      </w:r>
      <w:r w:rsidRPr="00320A86">
        <w:rPr>
          <w:rFonts w:eastAsia="Calibri"/>
          <w:color w:val="000000"/>
          <w:szCs w:val="28"/>
        </w:rPr>
        <w:t>imposant</w:t>
      </w:r>
      <w:r w:rsidRPr="00320A86">
        <w:rPr>
          <w:color w:val="000000"/>
          <w:szCs w:val="28"/>
        </w:rPr>
        <w:t xml:space="preserve"> </w:t>
      </w:r>
      <w:r w:rsidRPr="00320A86">
        <w:rPr>
          <w:rFonts w:eastAsia="Calibri"/>
          <w:color w:val="000000"/>
          <w:szCs w:val="28"/>
        </w:rPr>
        <w:t>pas</w:t>
      </w:r>
      <w:r w:rsidRPr="00320A86">
        <w:rPr>
          <w:color w:val="000000"/>
          <w:szCs w:val="28"/>
        </w:rPr>
        <w:t xml:space="preserve"> </w:t>
      </w:r>
      <w:r w:rsidRPr="00320A86">
        <w:rPr>
          <w:rFonts w:eastAsia="Calibri"/>
          <w:color w:val="000000"/>
          <w:szCs w:val="28"/>
        </w:rPr>
        <w:t>celui</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César.</w:t>
      </w:r>
      <w:r w:rsidRPr="00320A86">
        <w:rPr>
          <w:color w:val="000000"/>
          <w:szCs w:val="28"/>
        </w:rPr>
        <w:t xml:space="preserve"> </w:t>
      </w:r>
      <w:r w:rsidRPr="00320A86">
        <w:rPr>
          <w:rFonts w:eastAsia="Calibri"/>
          <w:color w:val="000000"/>
          <w:szCs w:val="28"/>
        </w:rPr>
        <w:t>Mais</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proposition</w:t>
      </w:r>
      <w:r w:rsidRPr="00320A86">
        <w:rPr>
          <w:color w:val="000000"/>
          <w:szCs w:val="28"/>
        </w:rPr>
        <w:t xml:space="preserve"> </w:t>
      </w:r>
      <w:r w:rsidRPr="00320A86">
        <w:rPr>
          <w:rFonts w:eastAsia="Calibri"/>
          <w:color w:val="000000"/>
          <w:szCs w:val="28"/>
        </w:rPr>
        <w:t>symétrique</w:t>
      </w:r>
      <w:r w:rsidRPr="00320A86">
        <w:rPr>
          <w:color w:val="000000"/>
          <w:szCs w:val="28"/>
        </w:rPr>
        <w:t xml:space="preserve"> </w:t>
      </w:r>
      <w:r w:rsidRPr="00320A86">
        <w:rPr>
          <w:rFonts w:eastAsia="Calibri"/>
          <w:color w:val="000000"/>
          <w:szCs w:val="28"/>
        </w:rPr>
        <w:t>mérite</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ample</w:t>
      </w:r>
      <w:r w:rsidRPr="00320A86">
        <w:rPr>
          <w:color w:val="000000"/>
          <w:szCs w:val="28"/>
        </w:rPr>
        <w:t xml:space="preserve"> </w:t>
      </w:r>
      <w:r w:rsidRPr="00320A86">
        <w:rPr>
          <w:rFonts w:eastAsia="Calibri"/>
          <w:color w:val="000000"/>
          <w:szCs w:val="28"/>
        </w:rPr>
        <w:t>examen</w:t>
      </w:r>
      <w:r w:rsidRPr="00320A86">
        <w:rPr>
          <w:color w:val="000000"/>
          <w:szCs w:val="28"/>
        </w:rPr>
        <w:t xml:space="preserve"> : </w:t>
      </w:r>
      <w:r w:rsidRPr="00320A86">
        <w:rPr>
          <w:rFonts w:eastAsia="Calibri"/>
          <w:color w:val="000000"/>
          <w:szCs w:val="28"/>
        </w:rPr>
        <w:t>est-ce</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l</w:t>
      </w:r>
      <w:r w:rsidRPr="00320A86">
        <w:rPr>
          <w:color w:val="000000"/>
          <w:szCs w:val="28"/>
        </w:rPr>
        <w:t>’</w:t>
      </w:r>
      <w:r w:rsidRPr="00E11556">
        <w:rPr>
          <w:rFonts w:eastAsia="Calibri"/>
          <w:i/>
          <w:color w:val="000000"/>
          <w:szCs w:val="28"/>
        </w:rPr>
        <w:t>habitus</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une</w:t>
      </w:r>
      <w:r w:rsidRPr="00320A86">
        <w:rPr>
          <w:color w:val="000000"/>
          <w:szCs w:val="28"/>
        </w:rPr>
        <w:t xml:space="preserve"> </w:t>
      </w:r>
      <w:r w:rsidRPr="00320A86">
        <w:rPr>
          <w:rFonts w:eastAsia="Calibri"/>
          <w:color w:val="000000"/>
          <w:szCs w:val="28"/>
        </w:rPr>
        <w:t>idéologie</w:t>
      </w:r>
      <w:r w:rsidRPr="00320A86">
        <w:rPr>
          <w:color w:val="000000"/>
          <w:szCs w:val="28"/>
        </w:rPr>
        <w:t xml:space="preserve"> </w:t>
      </w:r>
      <w:r w:rsidRPr="00320A86">
        <w:rPr>
          <w:rFonts w:eastAsia="Calibri"/>
          <w:color w:val="000000"/>
          <w:szCs w:val="28"/>
        </w:rPr>
        <w:t>politique</w:t>
      </w:r>
      <w:r w:rsidRPr="00320A86">
        <w:rPr>
          <w:color w:val="000000"/>
          <w:szCs w:val="28"/>
        </w:rPr>
        <w:t xml:space="preserve"> </w:t>
      </w:r>
      <w:r w:rsidRPr="00320A86">
        <w:rPr>
          <w:rFonts w:eastAsia="Calibri"/>
          <w:color w:val="000000"/>
          <w:szCs w:val="28"/>
        </w:rPr>
        <w:t>préalable</w:t>
      </w:r>
      <w:r w:rsidRPr="00320A86">
        <w:rPr>
          <w:color w:val="000000"/>
          <w:szCs w:val="28"/>
        </w:rPr>
        <w:t xml:space="preserve"> </w:t>
      </w:r>
      <w:r w:rsidRPr="00320A86">
        <w:rPr>
          <w:rFonts w:eastAsia="Calibri"/>
          <w:color w:val="000000"/>
          <w:szCs w:val="28"/>
        </w:rPr>
        <w:t>n</w:t>
      </w:r>
      <w:r w:rsidRPr="00320A86">
        <w:rPr>
          <w:color w:val="000000"/>
          <w:szCs w:val="28"/>
        </w:rPr>
        <w:t>’</w:t>
      </w:r>
      <w:r w:rsidRPr="00320A86">
        <w:rPr>
          <w:rFonts w:eastAsia="Calibri"/>
          <w:color w:val="000000"/>
          <w:szCs w:val="28"/>
        </w:rPr>
        <w:t>entraînerait</w:t>
      </w:r>
      <w:r w:rsidRPr="00320A86">
        <w:rPr>
          <w:color w:val="000000"/>
          <w:szCs w:val="28"/>
        </w:rPr>
        <w:t xml:space="preserve"> </w:t>
      </w:r>
      <w:r w:rsidRPr="00320A86">
        <w:rPr>
          <w:rFonts w:eastAsia="Calibri"/>
          <w:color w:val="000000"/>
          <w:szCs w:val="28"/>
        </w:rPr>
        <w:t>pas</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orientation</w:t>
      </w:r>
      <w:r w:rsidRPr="00320A86">
        <w:rPr>
          <w:color w:val="000000"/>
          <w:szCs w:val="28"/>
        </w:rPr>
        <w:t xml:space="preserve"> </w:t>
      </w:r>
      <w:r w:rsidRPr="00320A86">
        <w:rPr>
          <w:rFonts w:eastAsia="Calibri"/>
          <w:color w:val="000000"/>
          <w:szCs w:val="28"/>
        </w:rPr>
        <w:t>religieuse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lui</w:t>
      </w:r>
      <w:r w:rsidRPr="00320A86">
        <w:rPr>
          <w:color w:val="000000"/>
          <w:szCs w:val="28"/>
        </w:rPr>
        <w:t xml:space="preserve"> </w:t>
      </w:r>
      <w:r w:rsidRPr="00320A86">
        <w:rPr>
          <w:rFonts w:eastAsia="Calibri"/>
          <w:color w:val="000000"/>
          <w:szCs w:val="28"/>
        </w:rPr>
        <w:t>soit</w:t>
      </w:r>
      <w:r w:rsidRPr="00320A86">
        <w:rPr>
          <w:color w:val="000000"/>
          <w:szCs w:val="28"/>
        </w:rPr>
        <w:t xml:space="preserve"> </w:t>
      </w:r>
      <w:r w:rsidRPr="00320A86">
        <w:rPr>
          <w:rFonts w:eastAsia="Calibri"/>
          <w:color w:val="000000"/>
          <w:szCs w:val="28"/>
        </w:rPr>
        <w:t>ass</w:t>
      </w:r>
      <w:r w:rsidRPr="00320A86">
        <w:rPr>
          <w:rFonts w:eastAsia="Calibri"/>
          <w:color w:val="000000"/>
          <w:szCs w:val="28"/>
        </w:rPr>
        <w:t>o</w:t>
      </w:r>
      <w:r w:rsidRPr="00320A86">
        <w:rPr>
          <w:rFonts w:eastAsia="Calibri"/>
          <w:color w:val="000000"/>
          <w:szCs w:val="28"/>
        </w:rPr>
        <w:t>ciée</w:t>
      </w:r>
      <w:r w:rsidRPr="00320A86">
        <w:rPr>
          <w:color w:val="000000"/>
          <w:szCs w:val="28"/>
        </w:rPr>
        <w:t xml:space="preserve"> ? </w:t>
      </w:r>
      <w:r w:rsidRPr="00320A86">
        <w:rPr>
          <w:rFonts w:eastAsia="Calibri"/>
          <w:color w:val="000000"/>
          <w:szCs w:val="28"/>
        </w:rPr>
        <w:t>Et</w:t>
      </w:r>
      <w:r w:rsidRPr="00320A86">
        <w:rPr>
          <w:color w:val="000000"/>
          <w:szCs w:val="28"/>
        </w:rPr>
        <w:t xml:space="preserve"> </w:t>
      </w:r>
      <w:r w:rsidRPr="00320A86">
        <w:rPr>
          <w:rFonts w:eastAsia="Calibri"/>
          <w:color w:val="000000"/>
          <w:szCs w:val="28"/>
        </w:rPr>
        <w:t>sur</w:t>
      </w:r>
      <w:r w:rsidRPr="00320A86">
        <w:rPr>
          <w:color w:val="000000"/>
          <w:szCs w:val="28"/>
        </w:rPr>
        <w:t xml:space="preserve"> </w:t>
      </w:r>
      <w:r w:rsidRPr="00320A86">
        <w:rPr>
          <w:rFonts w:eastAsia="Calibri"/>
          <w:color w:val="000000"/>
          <w:szCs w:val="28"/>
        </w:rPr>
        <w:t>quel</w:t>
      </w:r>
      <w:r w:rsidRPr="00320A86">
        <w:rPr>
          <w:color w:val="000000"/>
          <w:szCs w:val="28"/>
        </w:rPr>
        <w:t xml:space="preserve"> </w:t>
      </w:r>
      <w:r w:rsidRPr="00320A86">
        <w:rPr>
          <w:rFonts w:eastAsia="Calibri"/>
          <w:color w:val="000000"/>
          <w:szCs w:val="28"/>
        </w:rPr>
        <w:t>socle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valeurs</w:t>
      </w:r>
      <w:r w:rsidRPr="00320A86">
        <w:rPr>
          <w:color w:val="000000"/>
          <w:szCs w:val="28"/>
        </w:rPr>
        <w:t xml:space="preserve"> </w:t>
      </w:r>
      <w:r w:rsidRPr="00320A86">
        <w:rPr>
          <w:rFonts w:eastAsia="Calibri"/>
          <w:color w:val="000000"/>
          <w:szCs w:val="28"/>
        </w:rPr>
        <w:t>communes,</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asseoir</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pertine</w:t>
      </w:r>
      <w:r w:rsidRPr="00320A86">
        <w:rPr>
          <w:rFonts w:eastAsia="Calibri"/>
          <w:color w:val="000000"/>
          <w:szCs w:val="28"/>
        </w:rPr>
        <w:t>n</w:t>
      </w:r>
      <w:r w:rsidRPr="00320A86">
        <w:rPr>
          <w:rFonts w:eastAsia="Calibri"/>
          <w:color w:val="000000"/>
          <w:szCs w:val="28"/>
        </w:rPr>
        <w:t>ce</w:t>
      </w:r>
      <w:r w:rsidRPr="00320A86">
        <w:rPr>
          <w:color w:val="000000"/>
          <w:szCs w:val="28"/>
        </w:rPr>
        <w:t> ?</w:t>
      </w:r>
    </w:p>
    <w:p w14:paraId="2A33B88B" w14:textId="77777777" w:rsidR="00B01930" w:rsidRPr="00320A86" w:rsidRDefault="00B01930" w:rsidP="00B01930">
      <w:pPr>
        <w:spacing w:before="120" w:after="120"/>
        <w:jc w:val="both"/>
        <w:rPr>
          <w:rFonts w:eastAsia="Calibri"/>
          <w:color w:val="000000"/>
          <w:szCs w:val="28"/>
        </w:rPr>
      </w:pPr>
      <w:r w:rsidRPr="00320A86">
        <w:rPr>
          <w:rFonts w:eastAsia="Calibri"/>
          <w:color w:val="000000"/>
          <w:szCs w:val="28"/>
        </w:rPr>
        <w:t>Une</w:t>
      </w:r>
      <w:r w:rsidRPr="00320A86">
        <w:rPr>
          <w:color w:val="000000"/>
          <w:szCs w:val="28"/>
        </w:rPr>
        <w:t xml:space="preserve"> </w:t>
      </w:r>
      <w:r w:rsidRPr="00320A86">
        <w:rPr>
          <w:rFonts w:eastAsia="Calibri"/>
          <w:color w:val="000000"/>
          <w:szCs w:val="28"/>
        </w:rPr>
        <w:t>première</w:t>
      </w:r>
      <w:r w:rsidRPr="00320A86">
        <w:rPr>
          <w:color w:val="000000"/>
          <w:szCs w:val="28"/>
        </w:rPr>
        <w:t xml:space="preserve"> </w:t>
      </w:r>
      <w:r w:rsidRPr="00320A86">
        <w:rPr>
          <w:rFonts w:eastAsia="Calibri"/>
          <w:color w:val="000000"/>
          <w:szCs w:val="28"/>
        </w:rPr>
        <w:t>difficulté,</w:t>
      </w:r>
      <w:r w:rsidRPr="00320A86">
        <w:rPr>
          <w:color w:val="000000"/>
          <w:szCs w:val="28"/>
        </w:rPr>
        <w:t xml:space="preserve"> </w:t>
      </w:r>
      <w:r w:rsidRPr="00320A86">
        <w:rPr>
          <w:rFonts w:eastAsia="Calibri"/>
          <w:color w:val="000000"/>
          <w:szCs w:val="28"/>
        </w:rPr>
        <w:t>relativement</w:t>
      </w:r>
      <w:r w:rsidRPr="00320A86">
        <w:rPr>
          <w:color w:val="000000"/>
          <w:szCs w:val="28"/>
        </w:rPr>
        <w:t xml:space="preserve"> </w:t>
      </w:r>
      <w:r w:rsidRPr="00320A86">
        <w:rPr>
          <w:rFonts w:eastAsia="Calibri"/>
          <w:color w:val="000000"/>
          <w:szCs w:val="28"/>
        </w:rPr>
        <w:t>récente,</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qu</w:t>
      </w:r>
      <w:r w:rsidRPr="00320A86">
        <w:rPr>
          <w:color w:val="000000"/>
          <w:szCs w:val="28"/>
        </w:rPr>
        <w:t>’</w:t>
      </w:r>
      <w:r w:rsidRPr="00320A86">
        <w:rPr>
          <w:rFonts w:eastAsia="Calibri"/>
          <w:color w:val="000000"/>
          <w:szCs w:val="28"/>
        </w:rPr>
        <w:t>en</w:t>
      </w:r>
      <w:r w:rsidRPr="00320A86">
        <w:rPr>
          <w:color w:val="000000"/>
          <w:szCs w:val="28"/>
        </w:rPr>
        <w:t xml:space="preserve"> </w:t>
      </w:r>
      <w:r w:rsidRPr="00320A86">
        <w:rPr>
          <w:rFonts w:eastAsia="Calibri"/>
          <w:color w:val="000000"/>
          <w:szCs w:val="28"/>
        </w:rPr>
        <w:t>dépit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attrait</w:t>
      </w:r>
      <w:r w:rsidRPr="00320A86">
        <w:rPr>
          <w:color w:val="000000"/>
          <w:szCs w:val="28"/>
        </w:rPr>
        <w:t xml:space="preserve"> </w:t>
      </w:r>
      <w:r w:rsidRPr="00320A86">
        <w:rPr>
          <w:rFonts w:eastAsia="Calibri"/>
          <w:color w:val="000000"/>
          <w:szCs w:val="28"/>
        </w:rPr>
        <w:t>qu</w:t>
      </w:r>
      <w:r w:rsidRPr="00320A86">
        <w:rPr>
          <w:color w:val="000000"/>
          <w:szCs w:val="28"/>
        </w:rPr>
        <w:t>’</w:t>
      </w:r>
      <w:r w:rsidRPr="00320A86">
        <w:rPr>
          <w:rFonts w:eastAsia="Calibri"/>
          <w:color w:val="000000"/>
          <w:szCs w:val="28"/>
        </w:rPr>
        <w:t>il</w:t>
      </w:r>
      <w:r w:rsidRPr="00320A86">
        <w:rPr>
          <w:color w:val="000000"/>
          <w:szCs w:val="28"/>
        </w:rPr>
        <w:t xml:space="preserve"> </w:t>
      </w:r>
      <w:r w:rsidRPr="00320A86">
        <w:rPr>
          <w:rFonts w:eastAsia="Calibri"/>
          <w:color w:val="000000"/>
          <w:szCs w:val="28"/>
        </w:rPr>
        <w:t>exerce</w:t>
      </w:r>
      <w:r w:rsidRPr="00320A86">
        <w:rPr>
          <w:color w:val="000000"/>
          <w:szCs w:val="28"/>
        </w:rPr>
        <w:t xml:space="preserve"> </w:t>
      </w:r>
      <w:r w:rsidRPr="00320A86">
        <w:rPr>
          <w:rFonts w:eastAsia="Calibri"/>
          <w:color w:val="000000"/>
          <w:szCs w:val="28"/>
        </w:rPr>
        <w:t>sur</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spécialistes</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sciences</w:t>
      </w:r>
      <w:r w:rsidRPr="00320A86">
        <w:rPr>
          <w:color w:val="000000"/>
          <w:szCs w:val="28"/>
        </w:rPr>
        <w:t xml:space="preserve">  </w:t>
      </w:r>
      <w:r w:rsidRPr="00320A86">
        <w:rPr>
          <w:rFonts w:eastAsia="Calibri"/>
          <w:color w:val="000000"/>
          <w:szCs w:val="28"/>
        </w:rPr>
        <w:t>sociales,</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fait</w:t>
      </w:r>
      <w:r w:rsidRPr="00320A86">
        <w:rPr>
          <w:color w:val="000000"/>
          <w:szCs w:val="28"/>
        </w:rPr>
        <w:t xml:space="preserve"> </w:t>
      </w:r>
      <w:r w:rsidRPr="00320A86">
        <w:rPr>
          <w:rFonts w:eastAsia="Calibri"/>
          <w:color w:val="000000"/>
          <w:szCs w:val="28"/>
        </w:rPr>
        <w:t>religieux</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train</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perdre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sa</w:t>
      </w:r>
      <w:r w:rsidRPr="00320A86">
        <w:rPr>
          <w:color w:val="000000"/>
          <w:szCs w:val="28"/>
        </w:rPr>
        <w:t xml:space="preserve"> </w:t>
      </w:r>
      <w:r w:rsidRPr="00320A86">
        <w:rPr>
          <w:rFonts w:eastAsia="Calibri"/>
          <w:color w:val="000000"/>
          <w:szCs w:val="28"/>
        </w:rPr>
        <w:t>consistance</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Europe</w:t>
      </w:r>
      <w:r w:rsidRPr="00320A86">
        <w:rPr>
          <w:color w:val="000000"/>
          <w:szCs w:val="28"/>
        </w:rPr>
        <w:t xml:space="preserve"> </w:t>
      </w:r>
      <w:r w:rsidRPr="00320A86">
        <w:rPr>
          <w:rFonts w:eastAsia="Calibri"/>
          <w:color w:val="000000"/>
          <w:szCs w:val="28"/>
        </w:rPr>
        <w:t>occident</w:t>
      </w:r>
      <w:r w:rsidRPr="00320A86">
        <w:rPr>
          <w:rFonts w:eastAsia="Calibri"/>
          <w:color w:val="000000"/>
          <w:szCs w:val="28"/>
        </w:rPr>
        <w:t>a</w:t>
      </w:r>
      <w:r w:rsidRPr="00320A86">
        <w:rPr>
          <w:rFonts w:eastAsia="Calibri"/>
          <w:color w:val="000000"/>
          <w:szCs w:val="28"/>
        </w:rPr>
        <w:t>le.</w:t>
      </w:r>
      <w:r w:rsidRPr="00320A86">
        <w:rPr>
          <w:color w:val="000000"/>
          <w:szCs w:val="28"/>
        </w:rPr>
        <w:t xml:space="preserve"> </w:t>
      </w:r>
      <w:r w:rsidRPr="00320A86">
        <w:rPr>
          <w:rFonts w:eastAsia="Calibri"/>
          <w:color w:val="000000"/>
          <w:szCs w:val="28"/>
        </w:rPr>
        <w:t>Si</w:t>
      </w:r>
      <w:r w:rsidRPr="00320A86">
        <w:rPr>
          <w:color w:val="000000"/>
          <w:szCs w:val="28"/>
        </w:rPr>
        <w:t xml:space="preserve"> </w:t>
      </w:r>
      <w:r w:rsidRPr="00320A86">
        <w:rPr>
          <w:rFonts w:eastAsia="Calibri"/>
          <w:color w:val="000000"/>
          <w:szCs w:val="28"/>
        </w:rPr>
        <w:t>64 %</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Français</w:t>
      </w:r>
      <w:r w:rsidRPr="00320A86">
        <w:rPr>
          <w:color w:val="000000"/>
          <w:szCs w:val="28"/>
        </w:rPr>
        <w:t xml:space="preserve"> </w:t>
      </w:r>
      <w:r w:rsidRPr="00320A86">
        <w:rPr>
          <w:rFonts w:eastAsia="Calibri"/>
          <w:color w:val="000000"/>
          <w:szCs w:val="28"/>
        </w:rPr>
        <w:t>continuent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2014</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déclarer</w:t>
      </w:r>
      <w:r w:rsidRPr="00320A86">
        <w:rPr>
          <w:color w:val="000000"/>
          <w:szCs w:val="28"/>
        </w:rPr>
        <w:t xml:space="preserve"> </w:t>
      </w:r>
      <w:r w:rsidRPr="00320A86">
        <w:rPr>
          <w:rFonts w:eastAsia="Calibri"/>
          <w:color w:val="000000"/>
          <w:szCs w:val="28"/>
        </w:rPr>
        <w:t>cathol</w:t>
      </w:r>
      <w:r w:rsidRPr="00320A86">
        <w:rPr>
          <w:rFonts w:eastAsia="Calibri"/>
          <w:color w:val="000000"/>
          <w:szCs w:val="28"/>
        </w:rPr>
        <w:t>i</w:t>
      </w:r>
      <w:r w:rsidRPr="00320A86">
        <w:rPr>
          <w:rFonts w:eastAsia="Calibri"/>
          <w:color w:val="000000"/>
          <w:szCs w:val="28"/>
        </w:rPr>
        <w:t>ques</w:t>
      </w:r>
      <w:r>
        <w:rPr>
          <w:rFonts w:eastAsia="Calibri"/>
          <w:color w:val="000000"/>
          <w:szCs w:val="28"/>
        </w:rPr>
        <w:t> </w:t>
      </w:r>
      <w:r>
        <w:rPr>
          <w:rStyle w:val="Appelnotedebasdep"/>
          <w:rFonts w:eastAsia="Calibri"/>
          <w:szCs w:val="28"/>
        </w:rPr>
        <w:footnoteReference w:id="1187"/>
      </w:r>
      <w:r w:rsidRPr="00320A86">
        <w:rPr>
          <w:color w:val="000000"/>
          <w:szCs w:val="28"/>
        </w:rPr>
        <w:t xml:space="preserve"> </w:t>
      </w:r>
      <w:r w:rsidRPr="00320A86">
        <w:rPr>
          <w:rFonts w:eastAsia="Calibri"/>
          <w:color w:val="000000"/>
          <w:szCs w:val="28"/>
        </w:rPr>
        <w:t>(ils</w:t>
      </w:r>
      <w:r w:rsidRPr="00320A86">
        <w:rPr>
          <w:color w:val="000000"/>
          <w:szCs w:val="28"/>
        </w:rPr>
        <w:t xml:space="preserve"> </w:t>
      </w:r>
      <w:r w:rsidRPr="00320A86">
        <w:rPr>
          <w:rFonts w:eastAsia="Calibri"/>
          <w:color w:val="000000"/>
          <w:szCs w:val="28"/>
        </w:rPr>
        <w:t>étaient</w:t>
      </w:r>
      <w:r w:rsidRPr="00320A86">
        <w:rPr>
          <w:color w:val="000000"/>
          <w:szCs w:val="28"/>
        </w:rPr>
        <w:t xml:space="preserve"> </w:t>
      </w:r>
      <w:r w:rsidRPr="00320A86">
        <w:rPr>
          <w:rFonts w:eastAsia="Calibri"/>
          <w:color w:val="000000"/>
          <w:szCs w:val="28"/>
        </w:rPr>
        <w:t>81 %</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1950),</w:t>
      </w:r>
      <w:r w:rsidRPr="00320A86">
        <w:rPr>
          <w:color w:val="000000"/>
          <w:szCs w:val="28"/>
        </w:rPr>
        <w:t xml:space="preserve"> </w:t>
      </w:r>
      <w:r w:rsidRPr="00320A86">
        <w:rPr>
          <w:rFonts w:eastAsia="Calibri"/>
          <w:color w:val="000000"/>
          <w:szCs w:val="28"/>
        </w:rPr>
        <w:t>leur</w:t>
      </w:r>
      <w:r w:rsidRPr="00320A86">
        <w:rPr>
          <w:color w:val="000000"/>
          <w:szCs w:val="28"/>
        </w:rPr>
        <w:t xml:space="preserve"> </w:t>
      </w:r>
      <w:r w:rsidRPr="00320A86">
        <w:rPr>
          <w:rFonts w:eastAsia="Calibri"/>
          <w:color w:val="000000"/>
          <w:szCs w:val="28"/>
        </w:rPr>
        <w:t>lien</w:t>
      </w:r>
      <w:r w:rsidRPr="00320A86">
        <w:rPr>
          <w:color w:val="000000"/>
          <w:szCs w:val="28"/>
        </w:rPr>
        <w:t xml:space="preserve"> </w:t>
      </w:r>
      <w:r w:rsidRPr="00320A86">
        <w:rPr>
          <w:rFonts w:eastAsia="Calibri"/>
          <w:color w:val="000000"/>
          <w:szCs w:val="28"/>
        </w:rPr>
        <w:t>avec</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Église</w:t>
      </w:r>
      <w:r w:rsidRPr="00320A86">
        <w:rPr>
          <w:color w:val="000000"/>
          <w:szCs w:val="28"/>
        </w:rPr>
        <w:t xml:space="preserve"> </w:t>
      </w:r>
      <w:r w:rsidRPr="00320A86">
        <w:rPr>
          <w:rFonts w:eastAsia="Calibri"/>
          <w:color w:val="000000"/>
          <w:szCs w:val="28"/>
        </w:rPr>
        <w:t>s</w:t>
      </w:r>
      <w:r w:rsidRPr="00320A86">
        <w:rPr>
          <w:color w:val="000000"/>
          <w:szCs w:val="28"/>
        </w:rPr>
        <w:t>’</w:t>
      </w:r>
      <w:r w:rsidRPr="00320A86">
        <w:rPr>
          <w:rFonts w:eastAsia="Calibri"/>
          <w:color w:val="000000"/>
          <w:szCs w:val="28"/>
        </w:rPr>
        <w:t>est</w:t>
      </w:r>
      <w:r w:rsidRPr="00320A86">
        <w:rPr>
          <w:color w:val="000000"/>
          <w:szCs w:val="28"/>
        </w:rPr>
        <w:t xml:space="preserve"> </w:t>
      </w:r>
      <w:r w:rsidRPr="00320A86">
        <w:rPr>
          <w:rFonts w:eastAsia="Calibri"/>
          <w:color w:val="000000"/>
          <w:szCs w:val="28"/>
        </w:rPr>
        <w:t>fortement</w:t>
      </w:r>
      <w:r w:rsidRPr="00320A86">
        <w:rPr>
          <w:color w:val="000000"/>
          <w:szCs w:val="28"/>
        </w:rPr>
        <w:t xml:space="preserve"> </w:t>
      </w:r>
      <w:r w:rsidRPr="00320A86">
        <w:rPr>
          <w:rFonts w:eastAsia="Calibri"/>
          <w:color w:val="000000"/>
          <w:szCs w:val="28"/>
        </w:rPr>
        <w:t>di</w:t>
      </w:r>
      <w:r w:rsidRPr="00320A86">
        <w:rPr>
          <w:rFonts w:eastAsia="Calibri"/>
          <w:color w:val="000000"/>
          <w:szCs w:val="28"/>
        </w:rPr>
        <w:t>s</w:t>
      </w:r>
      <w:r w:rsidRPr="00320A86">
        <w:rPr>
          <w:rFonts w:eastAsia="Calibri"/>
          <w:color w:val="000000"/>
          <w:szCs w:val="28"/>
        </w:rPr>
        <w:t>tendu.</w:t>
      </w:r>
      <w:r w:rsidRPr="00320A86">
        <w:rPr>
          <w:color w:val="000000"/>
          <w:szCs w:val="28"/>
        </w:rPr>
        <w:t xml:space="preserve"> </w:t>
      </w:r>
      <w:r w:rsidRPr="00320A86">
        <w:rPr>
          <w:rFonts w:eastAsia="Calibri"/>
          <w:color w:val="000000"/>
          <w:szCs w:val="28"/>
        </w:rPr>
        <w:t>Aujourd</w:t>
      </w:r>
      <w:r w:rsidRPr="00320A86">
        <w:rPr>
          <w:color w:val="000000"/>
          <w:szCs w:val="28"/>
        </w:rPr>
        <w:t>’</w:t>
      </w:r>
      <w:r w:rsidRPr="00320A86">
        <w:rPr>
          <w:rFonts w:eastAsia="Calibri"/>
          <w:color w:val="000000"/>
          <w:szCs w:val="28"/>
        </w:rPr>
        <w:t>hui</w:t>
      </w:r>
      <w:r w:rsidRPr="00320A86">
        <w:rPr>
          <w:color w:val="000000"/>
          <w:szCs w:val="28"/>
        </w:rPr>
        <w:t xml:space="preserve"> </w:t>
      </w:r>
      <w:r w:rsidRPr="00320A86">
        <w:rPr>
          <w:rFonts w:eastAsia="Calibri"/>
          <w:color w:val="000000"/>
          <w:szCs w:val="28"/>
        </w:rPr>
        <w:t>réduite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taux</w:t>
      </w:r>
      <w:r w:rsidRPr="00320A86">
        <w:rPr>
          <w:color w:val="000000"/>
          <w:szCs w:val="28"/>
        </w:rPr>
        <w:t xml:space="preserve"> </w:t>
      </w:r>
      <w:r w:rsidRPr="00320A86">
        <w:rPr>
          <w:rFonts w:eastAsia="Calibri"/>
          <w:color w:val="000000"/>
          <w:szCs w:val="28"/>
        </w:rPr>
        <w:t>insignifiants</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pratique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messe</w:t>
      </w:r>
      <w:r w:rsidRPr="00320A86">
        <w:rPr>
          <w:color w:val="000000"/>
          <w:szCs w:val="28"/>
        </w:rPr>
        <w:t xml:space="preserve"> </w:t>
      </w:r>
      <w:r w:rsidRPr="00320A86">
        <w:rPr>
          <w:rFonts w:eastAsia="Calibri"/>
          <w:color w:val="000000"/>
          <w:szCs w:val="28"/>
        </w:rPr>
        <w:t>dominicale</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passée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21 %</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catholiques</w:t>
      </w:r>
      <w:r w:rsidRPr="00320A86">
        <w:rPr>
          <w:color w:val="000000"/>
          <w:szCs w:val="28"/>
        </w:rPr>
        <w:t xml:space="preserve"> </w:t>
      </w:r>
      <w:r w:rsidRPr="00320A86">
        <w:rPr>
          <w:rFonts w:eastAsia="Calibri"/>
          <w:color w:val="000000"/>
          <w:szCs w:val="28"/>
        </w:rPr>
        <w:t>décl</w:t>
      </w:r>
      <w:r w:rsidRPr="00320A86">
        <w:rPr>
          <w:rFonts w:eastAsia="Calibri"/>
          <w:color w:val="000000"/>
          <w:szCs w:val="28"/>
        </w:rPr>
        <w:t>a</w:t>
      </w:r>
      <w:r w:rsidRPr="00320A86">
        <w:rPr>
          <w:rFonts w:eastAsia="Calibri"/>
          <w:color w:val="000000"/>
          <w:szCs w:val="28"/>
        </w:rPr>
        <w:t>rés</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1960,</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4,5 %</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2010.</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même</w:t>
      </w:r>
      <w:r w:rsidRPr="00320A86">
        <w:rPr>
          <w:color w:val="000000"/>
          <w:szCs w:val="28"/>
        </w:rPr>
        <w:t xml:space="preserve"> </w:t>
      </w:r>
      <w:r w:rsidRPr="00320A86">
        <w:rPr>
          <w:rFonts w:eastAsia="Calibri"/>
          <w:color w:val="000000"/>
          <w:szCs w:val="28"/>
        </w:rPr>
        <w:t>dégradation</w:t>
      </w:r>
      <w:r w:rsidRPr="00320A86">
        <w:rPr>
          <w:color w:val="000000"/>
          <w:szCs w:val="28"/>
        </w:rPr>
        <w:t xml:space="preserve"> </w:t>
      </w:r>
      <w:r w:rsidRPr="00320A86">
        <w:rPr>
          <w:rFonts w:eastAsia="Calibri"/>
          <w:color w:val="000000"/>
          <w:szCs w:val="28"/>
        </w:rPr>
        <w:t>s</w:t>
      </w:r>
      <w:r w:rsidRPr="00320A86">
        <w:rPr>
          <w:color w:val="000000"/>
          <w:szCs w:val="28"/>
        </w:rPr>
        <w:t>’</w:t>
      </w:r>
      <w:r w:rsidRPr="00320A86">
        <w:rPr>
          <w:rFonts w:eastAsia="Calibri"/>
          <w:color w:val="000000"/>
          <w:szCs w:val="28"/>
        </w:rPr>
        <w:t>observe</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ce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concerne</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nombre</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baptêmes</w:t>
      </w:r>
      <w:r w:rsidRPr="00320A86">
        <w:rPr>
          <w:color w:val="000000"/>
          <w:szCs w:val="28"/>
        </w:rPr>
        <w:t xml:space="preserve"> : </w:t>
      </w:r>
      <w:r w:rsidRPr="00320A86">
        <w:rPr>
          <w:rFonts w:eastAsia="Calibri"/>
          <w:color w:val="000000"/>
          <w:szCs w:val="28"/>
        </w:rPr>
        <w:t>- 40 %</w:t>
      </w:r>
      <w:r w:rsidRPr="00320A86">
        <w:rPr>
          <w:color w:val="000000"/>
          <w:szCs w:val="28"/>
        </w:rPr>
        <w:t xml:space="preserve"> </w:t>
      </w:r>
      <w:r w:rsidRPr="00320A86">
        <w:rPr>
          <w:rFonts w:eastAsia="Calibri"/>
          <w:color w:val="000000"/>
          <w:szCs w:val="28"/>
        </w:rPr>
        <w:t>entre</w:t>
      </w:r>
      <w:r w:rsidRPr="00320A86">
        <w:rPr>
          <w:color w:val="000000"/>
          <w:szCs w:val="28"/>
        </w:rPr>
        <w:t xml:space="preserve"> </w:t>
      </w:r>
      <w:r w:rsidRPr="00320A86">
        <w:rPr>
          <w:rFonts w:eastAsia="Calibri"/>
          <w:color w:val="000000"/>
          <w:szCs w:val="28"/>
        </w:rPr>
        <w:t>1990</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2010, ainsi que</w:t>
      </w:r>
      <w:r w:rsidRPr="00320A86">
        <w:rPr>
          <w:color w:val="000000"/>
          <w:szCs w:val="28"/>
        </w:rPr>
        <w:t xml:space="preserve"> </w:t>
      </w:r>
      <w:r w:rsidRPr="00320A86">
        <w:rPr>
          <w:rFonts w:eastAsia="Calibri"/>
          <w:color w:val="000000"/>
          <w:szCs w:val="28"/>
        </w:rPr>
        <w:t>celui</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mariages</w:t>
      </w:r>
      <w:r w:rsidRPr="00320A86">
        <w:rPr>
          <w:color w:val="000000"/>
          <w:szCs w:val="28"/>
        </w:rPr>
        <w:t xml:space="preserve"> </w:t>
      </w:r>
      <w:r w:rsidRPr="00320A86">
        <w:rPr>
          <w:rFonts w:eastAsia="Calibri"/>
          <w:color w:val="000000"/>
          <w:szCs w:val="28"/>
        </w:rPr>
        <w:t>religieux</w:t>
      </w:r>
      <w:r w:rsidRPr="00320A86">
        <w:rPr>
          <w:color w:val="000000"/>
          <w:szCs w:val="28"/>
        </w:rPr>
        <w:t xml:space="preserve"> qui </w:t>
      </w:r>
      <w:r w:rsidRPr="00320A86">
        <w:rPr>
          <w:rFonts w:eastAsia="Calibri"/>
          <w:color w:val="000000"/>
          <w:szCs w:val="28"/>
        </w:rPr>
        <w:t>a</w:t>
      </w:r>
      <w:r w:rsidRPr="00320A86">
        <w:rPr>
          <w:color w:val="000000"/>
          <w:szCs w:val="28"/>
        </w:rPr>
        <w:t xml:space="preserve"> </w:t>
      </w:r>
      <w:r w:rsidRPr="00320A86">
        <w:rPr>
          <w:rFonts w:eastAsia="Calibri"/>
          <w:color w:val="000000"/>
          <w:szCs w:val="28"/>
        </w:rPr>
        <w:t>diminué</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moitié</w:t>
      </w:r>
      <w:r w:rsidRPr="00320A86">
        <w:rPr>
          <w:color w:val="000000"/>
          <w:szCs w:val="28"/>
        </w:rPr>
        <w:t xml:space="preserve"> </w:t>
      </w:r>
      <w:r w:rsidRPr="00320A86">
        <w:rPr>
          <w:rFonts w:eastAsia="Calibri"/>
          <w:color w:val="000000"/>
          <w:szCs w:val="28"/>
        </w:rPr>
        <w:t>entre</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mêmes</w:t>
      </w:r>
      <w:r w:rsidRPr="00320A86">
        <w:rPr>
          <w:color w:val="000000"/>
          <w:szCs w:val="28"/>
        </w:rPr>
        <w:t xml:space="preserve"> </w:t>
      </w:r>
      <w:r w:rsidRPr="00320A86">
        <w:rPr>
          <w:rFonts w:eastAsia="Calibri"/>
          <w:color w:val="000000"/>
          <w:szCs w:val="28"/>
        </w:rPr>
        <w:t>dates</w:t>
      </w:r>
      <w:r>
        <w:rPr>
          <w:rFonts w:eastAsia="Calibri"/>
          <w:color w:val="000000"/>
          <w:szCs w:val="28"/>
        </w:rPr>
        <w:t> </w:t>
      </w:r>
      <w:r>
        <w:rPr>
          <w:rStyle w:val="Appelnotedebasdep"/>
          <w:rFonts w:eastAsia="Calibri"/>
          <w:szCs w:val="28"/>
        </w:rPr>
        <w:footnoteReference w:id="1188"/>
      </w:r>
      <w:r w:rsidRPr="00320A86">
        <w:rPr>
          <w:rFonts w:eastAsia="Calibri"/>
          <w:color w:val="000000"/>
          <w:szCs w:val="28"/>
        </w:rPr>
        <w:t>.</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situation</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cle</w:t>
      </w:r>
      <w:r w:rsidRPr="00320A86">
        <w:rPr>
          <w:rFonts w:eastAsia="Calibri"/>
          <w:color w:val="000000"/>
          <w:szCs w:val="28"/>
        </w:rPr>
        <w:t>r</w:t>
      </w:r>
      <w:r w:rsidRPr="00320A86">
        <w:rPr>
          <w:rFonts w:eastAsia="Calibri"/>
          <w:color w:val="000000"/>
          <w:szCs w:val="28"/>
        </w:rPr>
        <w:t>gé</w:t>
      </w:r>
      <w:r w:rsidRPr="00320A86">
        <w:rPr>
          <w:color w:val="000000"/>
          <w:szCs w:val="28"/>
        </w:rPr>
        <w:t xml:space="preserve"> </w:t>
      </w:r>
      <w:r w:rsidRPr="00320A86">
        <w:rPr>
          <w:rFonts w:eastAsia="Calibri"/>
          <w:color w:val="000000"/>
          <w:szCs w:val="28"/>
        </w:rPr>
        <w:t>devient</w:t>
      </w:r>
      <w:r w:rsidRPr="00320A86">
        <w:rPr>
          <w:color w:val="000000"/>
          <w:szCs w:val="28"/>
        </w:rPr>
        <w:t xml:space="preserve"> </w:t>
      </w:r>
      <w:r w:rsidRPr="00320A86">
        <w:rPr>
          <w:rFonts w:eastAsia="Calibri"/>
          <w:color w:val="000000"/>
          <w:szCs w:val="28"/>
        </w:rPr>
        <w:t>alarmante</w:t>
      </w:r>
      <w:r w:rsidRPr="00320A86">
        <w:rPr>
          <w:color w:val="000000"/>
          <w:szCs w:val="28"/>
        </w:rPr>
        <w:t xml:space="preserve"> : </w:t>
      </w:r>
      <w:r w:rsidRPr="00320A86">
        <w:rPr>
          <w:rFonts w:eastAsia="Calibri"/>
          <w:color w:val="000000"/>
          <w:szCs w:val="28"/>
        </w:rPr>
        <w:t>on</w:t>
      </w:r>
      <w:r w:rsidRPr="00320A86">
        <w:rPr>
          <w:color w:val="000000"/>
          <w:szCs w:val="28"/>
        </w:rPr>
        <w:t xml:space="preserve"> </w:t>
      </w:r>
      <w:r w:rsidRPr="00320A86">
        <w:rPr>
          <w:rFonts w:eastAsia="Calibri"/>
          <w:color w:val="000000"/>
          <w:szCs w:val="28"/>
        </w:rPr>
        <w:t>compte</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ordination</w:t>
      </w:r>
      <w:r w:rsidRPr="00320A86">
        <w:rPr>
          <w:color w:val="000000"/>
          <w:szCs w:val="28"/>
        </w:rPr>
        <w:t xml:space="preserve"> </w:t>
      </w:r>
      <w:r w:rsidRPr="00320A86">
        <w:rPr>
          <w:rFonts w:eastAsia="Calibri"/>
          <w:color w:val="000000"/>
          <w:szCs w:val="28"/>
        </w:rPr>
        <w:t>pour</w:t>
      </w:r>
      <w:r w:rsidRPr="00320A86">
        <w:rPr>
          <w:color w:val="000000"/>
          <w:szCs w:val="28"/>
        </w:rPr>
        <w:t xml:space="preserve"> </w:t>
      </w:r>
      <w:r w:rsidRPr="00320A86">
        <w:rPr>
          <w:rFonts w:eastAsia="Calibri"/>
          <w:color w:val="000000"/>
          <w:szCs w:val="28"/>
        </w:rPr>
        <w:t>huit</w:t>
      </w:r>
      <w:r w:rsidRPr="00320A86">
        <w:rPr>
          <w:color w:val="000000"/>
          <w:szCs w:val="28"/>
        </w:rPr>
        <w:t xml:space="preserve"> </w:t>
      </w:r>
      <w:r w:rsidRPr="00320A86">
        <w:rPr>
          <w:rFonts w:eastAsia="Calibri"/>
          <w:color w:val="000000"/>
          <w:szCs w:val="28"/>
        </w:rPr>
        <w:t>décès,</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320A86">
        <w:rPr>
          <w:rFonts w:eastAsia="Calibri"/>
          <w:color w:val="000000"/>
          <w:szCs w:val="28"/>
        </w:rPr>
        <w:t>nombre</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ordinations</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centaine</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an)</w:t>
      </w:r>
      <w:r w:rsidRPr="00320A86">
        <w:rPr>
          <w:color w:val="000000"/>
          <w:szCs w:val="28"/>
        </w:rPr>
        <w:t xml:space="preserve"> </w:t>
      </w:r>
      <w:r w:rsidRPr="00320A86">
        <w:rPr>
          <w:rFonts w:eastAsia="Calibri"/>
          <w:color w:val="000000"/>
          <w:szCs w:val="28"/>
        </w:rPr>
        <w:t>divisé</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dix</w:t>
      </w:r>
      <w:r w:rsidRPr="00320A86">
        <w:rPr>
          <w:color w:val="000000"/>
          <w:szCs w:val="28"/>
        </w:rPr>
        <w:t xml:space="preserve"> </w:t>
      </w:r>
      <w:r w:rsidRPr="00320A86">
        <w:rPr>
          <w:rFonts w:eastAsia="Calibri"/>
          <w:color w:val="000000"/>
          <w:szCs w:val="28"/>
        </w:rPr>
        <w:t>depuis</w:t>
      </w:r>
      <w:r w:rsidRPr="00320A86">
        <w:rPr>
          <w:color w:val="000000"/>
          <w:szCs w:val="28"/>
        </w:rPr>
        <w:t xml:space="preserve"> </w:t>
      </w:r>
      <w:r w:rsidRPr="00320A86">
        <w:rPr>
          <w:rFonts w:eastAsia="Calibri"/>
          <w:color w:val="000000"/>
          <w:szCs w:val="28"/>
        </w:rPr>
        <w:t>1950,</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moyenne</w:t>
      </w:r>
      <w:r w:rsidRPr="00320A86">
        <w:rPr>
          <w:color w:val="000000"/>
          <w:szCs w:val="28"/>
        </w:rPr>
        <w:t xml:space="preserve"> </w:t>
      </w:r>
      <w:r w:rsidRPr="00320A86">
        <w:rPr>
          <w:rFonts w:eastAsia="Calibri"/>
          <w:color w:val="000000"/>
          <w:szCs w:val="28"/>
        </w:rPr>
        <w:t>d</w:t>
      </w:r>
      <w:r w:rsidRPr="00320A86">
        <w:rPr>
          <w:color w:val="000000"/>
          <w:szCs w:val="28"/>
        </w:rPr>
        <w:t>’â</w:t>
      </w:r>
      <w:r w:rsidRPr="00320A86">
        <w:rPr>
          <w:rFonts w:eastAsia="Calibri"/>
          <w:color w:val="000000"/>
          <w:szCs w:val="28"/>
        </w:rPr>
        <w:t>ge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75-80</w:t>
      </w:r>
      <w:r w:rsidRPr="00320A86">
        <w:rPr>
          <w:color w:val="000000"/>
          <w:szCs w:val="28"/>
        </w:rPr>
        <w:t xml:space="preserve"> </w:t>
      </w:r>
      <w:r w:rsidRPr="00320A86">
        <w:rPr>
          <w:rFonts w:eastAsia="Calibri"/>
          <w:color w:val="000000"/>
          <w:szCs w:val="28"/>
        </w:rPr>
        <w:t>ans</w:t>
      </w:r>
      <w:r w:rsidRPr="00320A86">
        <w:rPr>
          <w:color w:val="000000"/>
          <w:szCs w:val="28"/>
        </w:rPr>
        <w:t xml:space="preserve"> </w:t>
      </w:r>
      <w:r w:rsidRPr="00320A86">
        <w:rPr>
          <w:rFonts w:eastAsia="Calibri"/>
          <w:color w:val="000000"/>
          <w:szCs w:val="28"/>
        </w:rPr>
        <w:t>pour</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prêtres</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exercice.</w:t>
      </w:r>
      <w:r w:rsidRPr="00320A86">
        <w:rPr>
          <w:color w:val="000000"/>
          <w:szCs w:val="28"/>
        </w:rPr>
        <w:t xml:space="preserve"> </w:t>
      </w:r>
      <w:r w:rsidRPr="00320A86">
        <w:rPr>
          <w:rFonts w:eastAsia="Calibri"/>
          <w:color w:val="000000"/>
          <w:szCs w:val="28"/>
        </w:rPr>
        <w:t>Ces</w:t>
      </w:r>
      <w:r w:rsidRPr="00320A86">
        <w:rPr>
          <w:color w:val="000000"/>
          <w:szCs w:val="28"/>
        </w:rPr>
        <w:t xml:space="preserve"> </w:t>
      </w:r>
      <w:r w:rsidRPr="00320A86">
        <w:rPr>
          <w:rFonts w:eastAsia="Calibri"/>
          <w:color w:val="000000"/>
          <w:szCs w:val="28"/>
        </w:rPr>
        <w:t>évolutions</w:t>
      </w:r>
      <w:r w:rsidRPr="00320A86">
        <w:rPr>
          <w:color w:val="000000"/>
          <w:szCs w:val="28"/>
        </w:rPr>
        <w:t xml:space="preserve"> </w:t>
      </w:r>
      <w:r w:rsidRPr="00320A86">
        <w:rPr>
          <w:rFonts w:eastAsia="Calibri"/>
          <w:color w:val="000000"/>
          <w:szCs w:val="28"/>
        </w:rPr>
        <w:t>accélérées</w:t>
      </w:r>
      <w:r w:rsidRPr="00320A86">
        <w:rPr>
          <w:color w:val="000000"/>
          <w:szCs w:val="28"/>
        </w:rPr>
        <w:t xml:space="preserve"> </w:t>
      </w:r>
      <w:r w:rsidRPr="00320A86">
        <w:rPr>
          <w:rFonts w:eastAsia="Calibri"/>
          <w:color w:val="000000"/>
          <w:szCs w:val="28"/>
        </w:rPr>
        <w:t>ont</w:t>
      </w:r>
      <w:r w:rsidRPr="00320A86">
        <w:rPr>
          <w:color w:val="000000"/>
          <w:szCs w:val="28"/>
        </w:rPr>
        <w:t xml:space="preserve"> </w:t>
      </w:r>
      <w:r w:rsidRPr="00320A86">
        <w:rPr>
          <w:rFonts w:eastAsia="Calibri"/>
          <w:color w:val="000000"/>
          <w:szCs w:val="28"/>
        </w:rPr>
        <w:t>modifié</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position</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curseur</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analyse</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catholicisme</w:t>
      </w:r>
      <w:r w:rsidRPr="00320A86">
        <w:rPr>
          <w:color w:val="000000"/>
          <w:szCs w:val="28"/>
        </w:rPr>
        <w:t xml:space="preserve"> : </w:t>
      </w:r>
      <w:r w:rsidRPr="00320A86">
        <w:rPr>
          <w:rFonts w:eastAsia="Calibri"/>
          <w:color w:val="000000"/>
          <w:szCs w:val="28"/>
        </w:rPr>
        <w:t>si</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intégration</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Église,</w:t>
      </w:r>
      <w:r w:rsidRPr="00320A86">
        <w:rPr>
          <w:color w:val="000000"/>
          <w:szCs w:val="28"/>
        </w:rPr>
        <w:t xml:space="preserve"> </w:t>
      </w:r>
      <w:r w:rsidRPr="00320A86">
        <w:rPr>
          <w:rFonts w:eastAsia="Calibri"/>
          <w:color w:val="000000"/>
          <w:szCs w:val="28"/>
        </w:rPr>
        <w:t>manifestée</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pratique</w:t>
      </w:r>
      <w:r w:rsidRPr="00320A86">
        <w:rPr>
          <w:color w:val="000000"/>
          <w:szCs w:val="28"/>
        </w:rPr>
        <w:t xml:space="preserve"> </w:t>
      </w:r>
      <w:r w:rsidRPr="00320A86">
        <w:rPr>
          <w:rFonts w:eastAsia="Calibri"/>
          <w:color w:val="000000"/>
          <w:szCs w:val="28"/>
        </w:rPr>
        <w:t>religieuse</w:t>
      </w:r>
      <w:r w:rsidRPr="00320A86">
        <w:rPr>
          <w:color w:val="000000"/>
          <w:szCs w:val="28"/>
        </w:rPr>
        <w:t xml:space="preserve"> </w:t>
      </w:r>
      <w:r w:rsidRPr="00320A86">
        <w:rPr>
          <w:rFonts w:eastAsia="Calibri"/>
          <w:color w:val="000000"/>
          <w:szCs w:val="28"/>
        </w:rPr>
        <w:t>(assista</w:t>
      </w:r>
      <w:r w:rsidRPr="00320A86">
        <w:rPr>
          <w:rFonts w:eastAsia="Calibri"/>
          <w:color w:val="000000"/>
          <w:szCs w:val="28"/>
        </w:rPr>
        <w:t>n</w:t>
      </w:r>
      <w:r w:rsidRPr="00320A86">
        <w:rPr>
          <w:rFonts w:eastAsia="Calibri"/>
          <w:color w:val="000000"/>
          <w:szCs w:val="28"/>
        </w:rPr>
        <w:t>ce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messe,</w:t>
      </w:r>
      <w:r w:rsidRPr="00320A86">
        <w:rPr>
          <w:color w:val="000000"/>
          <w:szCs w:val="28"/>
        </w:rPr>
        <w:t xml:space="preserve"> </w:t>
      </w:r>
      <w:r w:rsidRPr="00320A86">
        <w:rPr>
          <w:rFonts w:eastAsia="Calibri"/>
          <w:color w:val="000000"/>
          <w:szCs w:val="28"/>
        </w:rPr>
        <w:t>fidélité</w:t>
      </w:r>
      <w:r w:rsidRPr="00320A86">
        <w:rPr>
          <w:color w:val="000000"/>
          <w:szCs w:val="28"/>
        </w:rPr>
        <w:t xml:space="preserve"> </w:t>
      </w:r>
      <w:r w:rsidRPr="00320A86">
        <w:rPr>
          <w:rFonts w:eastAsia="Calibri"/>
          <w:color w:val="000000"/>
          <w:szCs w:val="28"/>
        </w:rPr>
        <w:t>aux</w:t>
      </w:r>
      <w:r w:rsidRPr="00320A86">
        <w:rPr>
          <w:color w:val="000000"/>
          <w:szCs w:val="28"/>
        </w:rPr>
        <w:t xml:space="preserve"> </w:t>
      </w:r>
      <w:r w:rsidRPr="00320A86">
        <w:rPr>
          <w:rFonts w:eastAsia="Calibri"/>
          <w:color w:val="000000"/>
          <w:szCs w:val="28"/>
        </w:rPr>
        <w:t>sacrements)</w:t>
      </w:r>
      <w:r w:rsidRPr="00320A86">
        <w:rPr>
          <w:color w:val="000000"/>
          <w:szCs w:val="28"/>
        </w:rPr>
        <w:t xml:space="preserve"> </w:t>
      </w:r>
      <w:r w:rsidRPr="00320A86">
        <w:rPr>
          <w:rFonts w:eastAsia="Calibri"/>
          <w:color w:val="000000"/>
          <w:szCs w:val="28"/>
        </w:rPr>
        <w:t>permettait</w:t>
      </w:r>
      <w:r w:rsidRPr="00320A86">
        <w:rPr>
          <w:color w:val="000000"/>
          <w:szCs w:val="28"/>
        </w:rPr>
        <w:t xml:space="preserve"> </w:t>
      </w:r>
      <w:r w:rsidRPr="00320A86">
        <w:rPr>
          <w:rFonts w:eastAsia="Calibri"/>
          <w:color w:val="000000"/>
          <w:szCs w:val="28"/>
        </w:rPr>
        <w:t>autrefois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définir</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E11556">
        <w:rPr>
          <w:rFonts w:eastAsia="Calibri"/>
          <w:i/>
          <w:color w:val="000000"/>
          <w:szCs w:val="28"/>
        </w:rPr>
        <w:t>catholicisme</w:t>
      </w:r>
      <w:r w:rsidRPr="00E11556">
        <w:rPr>
          <w:i/>
          <w:color w:val="000000"/>
          <w:szCs w:val="28"/>
        </w:rPr>
        <w:t xml:space="preserve"> </w:t>
      </w:r>
      <w:r w:rsidRPr="00E11556">
        <w:rPr>
          <w:rFonts w:eastAsia="Calibri"/>
          <w:i/>
          <w:color w:val="000000"/>
          <w:szCs w:val="28"/>
        </w:rPr>
        <w:t>objectif</w:t>
      </w:r>
      <w:r w:rsidRPr="00320A86">
        <w:rPr>
          <w:rFonts w:eastAsia="Calibri"/>
          <w:color w:val="000000"/>
          <w:szCs w:val="28"/>
        </w:rPr>
        <w:t>,</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recherche</w:t>
      </w:r>
      <w:r w:rsidRPr="00320A86">
        <w:rPr>
          <w:color w:val="000000"/>
          <w:szCs w:val="28"/>
        </w:rPr>
        <w:t xml:space="preserve"> </w:t>
      </w:r>
      <w:r w:rsidRPr="00320A86">
        <w:rPr>
          <w:rFonts w:eastAsia="Calibri"/>
          <w:color w:val="000000"/>
          <w:szCs w:val="28"/>
        </w:rPr>
        <w:t>récente</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contente</w:t>
      </w:r>
      <w:r w:rsidRPr="00320A86">
        <w:rPr>
          <w:color w:val="000000"/>
          <w:szCs w:val="28"/>
        </w:rPr>
        <w:t xml:space="preserve"> </w:t>
      </w:r>
      <w:r w:rsidRPr="00320A86">
        <w:rPr>
          <w:rFonts w:eastAsia="Calibri"/>
          <w:color w:val="000000"/>
          <w:szCs w:val="28"/>
        </w:rPr>
        <w:t>désormais</w:t>
      </w:r>
      <w:r w:rsidRPr="00320A86">
        <w:rPr>
          <w:color w:val="000000"/>
          <w:szCs w:val="28"/>
        </w:rPr>
        <w:t xml:space="preserve"> </w:t>
      </w:r>
      <w:r w:rsidRPr="00320A86">
        <w:rPr>
          <w:rFonts w:eastAsia="Calibri"/>
          <w:color w:val="000000"/>
          <w:szCs w:val="28"/>
        </w:rPr>
        <w:t>d’observer</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E11556">
        <w:rPr>
          <w:rFonts w:eastAsia="Calibri"/>
          <w:i/>
          <w:color w:val="000000"/>
          <w:szCs w:val="28"/>
        </w:rPr>
        <w:t>c</w:t>
      </w:r>
      <w:r w:rsidRPr="00E11556">
        <w:rPr>
          <w:rFonts w:eastAsia="Calibri"/>
          <w:i/>
          <w:color w:val="000000"/>
          <w:szCs w:val="28"/>
        </w:rPr>
        <w:t>a</w:t>
      </w:r>
      <w:r w:rsidRPr="00E11556">
        <w:rPr>
          <w:rFonts w:eastAsia="Calibri"/>
          <w:i/>
          <w:color w:val="000000"/>
          <w:szCs w:val="28"/>
        </w:rPr>
        <w:t>tholicisme</w:t>
      </w:r>
      <w:r w:rsidRPr="00E11556">
        <w:rPr>
          <w:i/>
          <w:color w:val="000000"/>
          <w:szCs w:val="28"/>
        </w:rPr>
        <w:t xml:space="preserve"> </w:t>
      </w:r>
      <w:r w:rsidRPr="00E11556">
        <w:rPr>
          <w:rFonts w:eastAsia="Calibri"/>
          <w:i/>
          <w:color w:val="000000"/>
          <w:szCs w:val="28"/>
        </w:rPr>
        <w:t>déclaratif</w:t>
      </w:r>
      <w:r w:rsidRPr="00320A86">
        <w:rPr>
          <w:color w:val="000000"/>
          <w:szCs w:val="28"/>
        </w:rPr>
        <w:t xml:space="preserve"> – </w:t>
      </w:r>
      <w:r w:rsidRPr="00320A86">
        <w:rPr>
          <w:rFonts w:eastAsia="Calibri"/>
          <w:color w:val="000000"/>
          <w:szCs w:val="28"/>
        </w:rPr>
        <w:t>est</w:t>
      </w:r>
      <w:r w:rsidRPr="00320A86">
        <w:rPr>
          <w:color w:val="000000"/>
          <w:szCs w:val="28"/>
        </w:rPr>
        <w:t xml:space="preserve"> </w:t>
      </w:r>
      <w:r w:rsidRPr="00320A86">
        <w:rPr>
          <w:rFonts w:eastAsia="Calibri"/>
          <w:color w:val="000000"/>
          <w:szCs w:val="28"/>
        </w:rPr>
        <w:t>catholique</w:t>
      </w:r>
      <w:r w:rsidRPr="00320A86">
        <w:rPr>
          <w:color w:val="000000"/>
          <w:szCs w:val="28"/>
        </w:rPr>
        <w:t xml:space="preserve"> </w:t>
      </w:r>
      <w:r w:rsidRPr="00320A86">
        <w:rPr>
          <w:rFonts w:eastAsia="Calibri"/>
          <w:color w:val="000000"/>
          <w:szCs w:val="28"/>
        </w:rPr>
        <w:t>celui</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réclame,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d</w:t>
      </w:r>
      <w:r w:rsidRPr="00320A86">
        <w:rPr>
          <w:rFonts w:eastAsia="Calibri"/>
          <w:color w:val="000000"/>
          <w:szCs w:val="28"/>
        </w:rPr>
        <w:t>e</w:t>
      </w:r>
      <w:r w:rsidRPr="00320A86">
        <w:rPr>
          <w:rFonts w:eastAsia="Calibri"/>
          <w:color w:val="000000"/>
          <w:szCs w:val="28"/>
        </w:rPr>
        <w:t>grés</w:t>
      </w:r>
      <w:r w:rsidRPr="00320A86">
        <w:rPr>
          <w:color w:val="000000"/>
          <w:szCs w:val="28"/>
        </w:rPr>
        <w:t xml:space="preserve"> </w:t>
      </w:r>
      <w:r w:rsidRPr="00320A86">
        <w:rPr>
          <w:rFonts w:eastAsia="Calibri"/>
          <w:color w:val="000000"/>
          <w:szCs w:val="28"/>
        </w:rPr>
        <w:t>divers,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cette</w:t>
      </w:r>
      <w:r w:rsidRPr="00320A86">
        <w:rPr>
          <w:color w:val="000000"/>
          <w:szCs w:val="28"/>
        </w:rPr>
        <w:t xml:space="preserve"> </w:t>
      </w:r>
      <w:r w:rsidRPr="00320A86">
        <w:rPr>
          <w:rFonts w:eastAsia="Calibri"/>
          <w:color w:val="000000"/>
          <w:szCs w:val="28"/>
        </w:rPr>
        <w:t>religion –</w:t>
      </w:r>
      <w:r w:rsidRPr="00320A86">
        <w:rPr>
          <w:color w:val="000000"/>
          <w:szCs w:val="28"/>
        </w:rPr>
        <w:t xml:space="preserve"> </w:t>
      </w:r>
      <w:r w:rsidRPr="00320A86">
        <w:rPr>
          <w:rFonts w:eastAsia="Calibri"/>
          <w:color w:val="000000"/>
          <w:szCs w:val="28"/>
        </w:rPr>
        <w:t>ce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permet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sauv</w:t>
      </w:r>
      <w:r w:rsidRPr="00320A86">
        <w:rPr>
          <w:rFonts w:eastAsia="Calibri"/>
          <w:color w:val="000000"/>
          <w:szCs w:val="28"/>
        </w:rPr>
        <w:t>e</w:t>
      </w:r>
      <w:r w:rsidRPr="00320A86">
        <w:rPr>
          <w:rFonts w:eastAsia="Calibri"/>
          <w:color w:val="000000"/>
          <w:szCs w:val="28"/>
        </w:rPr>
        <w:t>garder</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sujet</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étude,</w:t>
      </w:r>
      <w:r w:rsidRPr="00320A86">
        <w:rPr>
          <w:color w:val="000000"/>
          <w:szCs w:val="28"/>
        </w:rPr>
        <w:t xml:space="preserve"> </w:t>
      </w:r>
      <w:r w:rsidRPr="00320A86">
        <w:rPr>
          <w:rFonts w:eastAsia="Calibri"/>
          <w:color w:val="000000"/>
          <w:szCs w:val="28"/>
        </w:rPr>
        <w:t>mais</w:t>
      </w:r>
      <w:r w:rsidRPr="00320A86">
        <w:rPr>
          <w:color w:val="000000"/>
          <w:szCs w:val="28"/>
        </w:rPr>
        <w:t xml:space="preserve"> </w:t>
      </w:r>
      <w:r w:rsidRPr="00320A86">
        <w:rPr>
          <w:rFonts w:eastAsia="Calibri"/>
          <w:color w:val="000000"/>
          <w:szCs w:val="28"/>
        </w:rPr>
        <w:t>pose</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problème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sa</w:t>
      </w:r>
      <w:r w:rsidRPr="00320A86">
        <w:rPr>
          <w:color w:val="000000"/>
          <w:szCs w:val="28"/>
        </w:rPr>
        <w:t xml:space="preserve"> </w:t>
      </w:r>
      <w:r w:rsidRPr="00320A86">
        <w:rPr>
          <w:rFonts w:eastAsia="Calibri"/>
          <w:color w:val="000000"/>
          <w:szCs w:val="28"/>
        </w:rPr>
        <w:t>définition</w:t>
      </w:r>
      <w:r w:rsidRPr="00320A86">
        <w:rPr>
          <w:color w:val="000000"/>
          <w:szCs w:val="28"/>
        </w:rPr>
        <w:t xml:space="preserve"> </w:t>
      </w:r>
      <w:r w:rsidRPr="00320A86">
        <w:rPr>
          <w:rFonts w:eastAsia="Calibri"/>
          <w:color w:val="000000"/>
          <w:szCs w:val="28"/>
        </w:rPr>
        <w:t>elle-même.</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études</w:t>
      </w:r>
      <w:r w:rsidRPr="00320A86">
        <w:rPr>
          <w:color w:val="000000"/>
          <w:szCs w:val="28"/>
        </w:rPr>
        <w:t xml:space="preserve"> </w:t>
      </w:r>
      <w:r w:rsidRPr="00320A86">
        <w:rPr>
          <w:rFonts w:eastAsia="Calibri"/>
          <w:color w:val="000000"/>
          <w:szCs w:val="28"/>
        </w:rPr>
        <w:t>menées</w:t>
      </w:r>
      <w:r w:rsidRPr="00320A86">
        <w:rPr>
          <w:color w:val="000000"/>
          <w:szCs w:val="28"/>
        </w:rPr>
        <w:t xml:space="preserve"> par </w:t>
      </w:r>
      <w:r w:rsidRPr="00320A86">
        <w:rPr>
          <w:rFonts w:eastAsia="Calibri"/>
          <w:color w:val="000000"/>
          <w:szCs w:val="28"/>
        </w:rPr>
        <w:t>Jean-Marie</w:t>
      </w:r>
      <w:r w:rsidRPr="00320A86">
        <w:rPr>
          <w:color w:val="000000"/>
          <w:szCs w:val="28"/>
        </w:rPr>
        <w:t xml:space="preserve"> </w:t>
      </w:r>
      <w:r w:rsidRPr="00320A86">
        <w:rPr>
          <w:rFonts w:eastAsia="Calibri"/>
          <w:color w:val="000000"/>
          <w:szCs w:val="28"/>
        </w:rPr>
        <w:t>Donégani</w:t>
      </w:r>
      <w:r>
        <w:rPr>
          <w:rFonts w:eastAsia="Calibri"/>
          <w:color w:val="000000"/>
          <w:szCs w:val="28"/>
        </w:rPr>
        <w:t> </w:t>
      </w:r>
      <w:r>
        <w:rPr>
          <w:rStyle w:val="Appelnotedebasdep"/>
          <w:rFonts w:eastAsia="Calibri"/>
          <w:szCs w:val="28"/>
        </w:rPr>
        <w:footnoteReference w:id="1189"/>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Guy</w:t>
      </w:r>
      <w:r w:rsidRPr="00320A86">
        <w:rPr>
          <w:color w:val="000000"/>
          <w:szCs w:val="28"/>
        </w:rPr>
        <w:t xml:space="preserve"> </w:t>
      </w:r>
      <w:r w:rsidRPr="00320A86">
        <w:rPr>
          <w:rFonts w:eastAsia="Calibri"/>
          <w:color w:val="000000"/>
          <w:szCs w:val="28"/>
        </w:rPr>
        <w:t>Lescanne</w:t>
      </w:r>
      <w:r>
        <w:rPr>
          <w:rFonts w:eastAsia="Calibri"/>
          <w:color w:val="000000"/>
          <w:szCs w:val="28"/>
        </w:rPr>
        <w:t> </w:t>
      </w:r>
      <w:r>
        <w:rPr>
          <w:rStyle w:val="Appelnotedebasdep"/>
          <w:rFonts w:eastAsia="Calibri"/>
          <w:szCs w:val="28"/>
        </w:rPr>
        <w:footnoteReference w:id="1190"/>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années</w:t>
      </w:r>
      <w:r w:rsidRPr="00320A86">
        <w:rPr>
          <w:color w:val="000000"/>
          <w:szCs w:val="28"/>
        </w:rPr>
        <w:t xml:space="preserve"> </w:t>
      </w:r>
      <w:r w:rsidRPr="00320A86">
        <w:rPr>
          <w:rFonts w:eastAsia="Calibri"/>
          <w:color w:val="000000"/>
          <w:szCs w:val="28"/>
        </w:rPr>
        <w:t>1980-1990</w:t>
      </w:r>
      <w:r w:rsidRPr="00320A86">
        <w:rPr>
          <w:color w:val="000000"/>
          <w:szCs w:val="28"/>
        </w:rPr>
        <w:t xml:space="preserve"> </w:t>
      </w:r>
      <w:r w:rsidRPr="00320A86">
        <w:rPr>
          <w:rFonts w:eastAsia="Calibri"/>
          <w:color w:val="000000"/>
          <w:szCs w:val="28"/>
        </w:rPr>
        <w:t>dégagent</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profils</w:t>
      </w:r>
      <w:r w:rsidRPr="00320A86">
        <w:rPr>
          <w:color w:val="000000"/>
          <w:szCs w:val="28"/>
        </w:rPr>
        <w:t xml:space="preserve"> </w:t>
      </w:r>
      <w:r w:rsidRPr="00320A86">
        <w:rPr>
          <w:rFonts w:eastAsia="Calibri"/>
          <w:color w:val="000000"/>
          <w:szCs w:val="28"/>
        </w:rPr>
        <w:t>«</w:t>
      </w:r>
      <w:r w:rsidRPr="00320A86">
        <w:rPr>
          <w:color w:val="000000"/>
          <w:szCs w:val="28"/>
        </w:rPr>
        <w:t xml:space="preserve"> catholiques » </w:t>
      </w:r>
      <w:r w:rsidRPr="00320A86">
        <w:rPr>
          <w:rFonts w:eastAsia="Calibri"/>
          <w:color w:val="000000"/>
          <w:szCs w:val="28"/>
        </w:rPr>
        <w:t>multiples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divers</w:t>
      </w:r>
      <w:r w:rsidRPr="00320A86">
        <w:rPr>
          <w:rFonts w:eastAsia="Calibri"/>
          <w:color w:val="000000"/>
          <w:szCs w:val="28"/>
        </w:rPr>
        <w:t>i</w:t>
      </w:r>
      <w:r w:rsidRPr="00320A86">
        <w:rPr>
          <w:rFonts w:eastAsia="Calibri"/>
          <w:color w:val="000000"/>
          <w:szCs w:val="28"/>
        </w:rPr>
        <w:t>fiés,</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répartissant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w:t>
      </w:r>
      <w:r w:rsidRPr="00320A86">
        <w:rPr>
          <w:color w:val="000000"/>
          <w:szCs w:val="28"/>
        </w:rPr>
        <w:t xml:space="preserve"> intégralistes » </w:t>
      </w:r>
      <w:r w:rsidRPr="00320A86">
        <w:rPr>
          <w:rFonts w:eastAsia="Calibri"/>
          <w:color w:val="000000"/>
          <w:szCs w:val="28"/>
        </w:rPr>
        <w:t>et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w:t>
      </w:r>
      <w:r w:rsidRPr="00320A86">
        <w:rPr>
          <w:color w:val="000000"/>
          <w:szCs w:val="28"/>
        </w:rPr>
        <w:t xml:space="preserve"> marginalistes », </w:t>
      </w:r>
      <w:r w:rsidRPr="00320A86">
        <w:rPr>
          <w:rFonts w:eastAsia="Calibri"/>
          <w:color w:val="000000"/>
          <w:szCs w:val="28"/>
        </w:rPr>
        <w:t>avec</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sous-catégories,</w:t>
      </w:r>
      <w:r w:rsidRPr="00320A86">
        <w:rPr>
          <w:color w:val="000000"/>
          <w:szCs w:val="28"/>
        </w:rPr>
        <w:t xml:space="preserve"> </w:t>
      </w:r>
      <w:r w:rsidRPr="00320A86">
        <w:rPr>
          <w:rFonts w:eastAsia="Calibri"/>
          <w:color w:val="000000"/>
          <w:szCs w:val="28"/>
        </w:rPr>
        <w:t>a</w:t>
      </w:r>
      <w:r w:rsidRPr="00320A86">
        <w:rPr>
          <w:rFonts w:eastAsia="Calibri"/>
          <w:color w:val="000000"/>
          <w:szCs w:val="28"/>
        </w:rPr>
        <w:t>l</w:t>
      </w:r>
      <w:r w:rsidRPr="00320A86">
        <w:rPr>
          <w:rFonts w:eastAsia="Calibri"/>
          <w:color w:val="000000"/>
          <w:szCs w:val="28"/>
        </w:rPr>
        <w:t>lant</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simples</w:t>
      </w:r>
      <w:r w:rsidRPr="00320A86">
        <w:rPr>
          <w:color w:val="000000"/>
          <w:szCs w:val="28"/>
        </w:rPr>
        <w:t xml:space="preserve"> </w:t>
      </w:r>
      <w:r w:rsidRPr="00320A86">
        <w:rPr>
          <w:rFonts w:eastAsia="Calibri"/>
          <w:color w:val="000000"/>
          <w:szCs w:val="28"/>
        </w:rPr>
        <w:t>«</w:t>
      </w:r>
      <w:r w:rsidRPr="00320A86">
        <w:rPr>
          <w:color w:val="000000"/>
          <w:szCs w:val="28"/>
        </w:rPr>
        <w:t xml:space="preserve"> fidèles », </w:t>
      </w:r>
      <w:r w:rsidRPr="00320A86">
        <w:rPr>
          <w:rFonts w:eastAsia="Calibri"/>
          <w:color w:val="000000"/>
          <w:szCs w:val="28"/>
        </w:rPr>
        <w:t>pour</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w:t>
      </w:r>
      <w:r w:rsidRPr="00320A86">
        <w:rPr>
          <w:color w:val="000000"/>
          <w:szCs w:val="28"/>
        </w:rPr>
        <w:t xml:space="preserve"> intégralistes », </w:t>
      </w:r>
      <w:r w:rsidRPr="00320A86">
        <w:rPr>
          <w:rFonts w:eastAsia="Calibri"/>
          <w:color w:val="000000"/>
          <w:szCs w:val="28"/>
        </w:rPr>
        <w:t>aux</w:t>
      </w:r>
      <w:r w:rsidRPr="00320A86">
        <w:rPr>
          <w:color w:val="000000"/>
          <w:szCs w:val="28"/>
        </w:rPr>
        <w:t xml:space="preserve"> </w:t>
      </w:r>
      <w:r w:rsidRPr="00320A86">
        <w:rPr>
          <w:rFonts w:eastAsia="Calibri"/>
          <w:color w:val="000000"/>
          <w:szCs w:val="28"/>
        </w:rPr>
        <w:t>«</w:t>
      </w:r>
      <w:r w:rsidRPr="00320A86">
        <w:rPr>
          <w:color w:val="000000"/>
          <w:szCs w:val="28"/>
        </w:rPr>
        <w:t xml:space="preserve"> indifférents », </w:t>
      </w:r>
      <w:r w:rsidRPr="00320A86">
        <w:rPr>
          <w:rFonts w:eastAsia="Calibri"/>
          <w:color w:val="000000"/>
          <w:szCs w:val="28"/>
        </w:rPr>
        <w:t>pour</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w:t>
      </w:r>
      <w:r w:rsidRPr="00320A86">
        <w:rPr>
          <w:color w:val="000000"/>
          <w:szCs w:val="28"/>
        </w:rPr>
        <w:t xml:space="preserve"> marginalistes » </w:t>
      </w:r>
      <w:r w:rsidRPr="00320A86">
        <w:rPr>
          <w:rFonts w:eastAsia="Calibri"/>
          <w:color w:val="000000"/>
          <w:szCs w:val="28"/>
        </w:rPr>
        <w:t>qui</w:t>
      </w:r>
      <w:r w:rsidRPr="00320A86">
        <w:rPr>
          <w:color w:val="000000"/>
          <w:szCs w:val="28"/>
        </w:rPr>
        <w:t xml:space="preserve"> </w:t>
      </w:r>
      <w:r w:rsidRPr="00320A86">
        <w:rPr>
          <w:rFonts w:eastAsia="Calibri"/>
          <w:color w:val="000000"/>
          <w:szCs w:val="28"/>
        </w:rPr>
        <w:t>ne</w:t>
      </w:r>
      <w:r w:rsidRPr="00320A86">
        <w:rPr>
          <w:color w:val="000000"/>
          <w:szCs w:val="28"/>
        </w:rPr>
        <w:t xml:space="preserve"> </w:t>
      </w:r>
      <w:r w:rsidRPr="00320A86">
        <w:rPr>
          <w:rFonts w:eastAsia="Calibri"/>
          <w:color w:val="000000"/>
          <w:szCs w:val="28"/>
        </w:rPr>
        <w:t>considèrent</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Église</w:t>
      </w:r>
      <w:r w:rsidRPr="00320A86">
        <w:rPr>
          <w:color w:val="000000"/>
          <w:szCs w:val="28"/>
        </w:rPr>
        <w:t xml:space="preserve"> </w:t>
      </w:r>
      <w:r w:rsidRPr="00320A86">
        <w:rPr>
          <w:rFonts w:eastAsia="Calibri"/>
          <w:color w:val="000000"/>
          <w:szCs w:val="28"/>
        </w:rPr>
        <w:t>comme</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320A86">
        <w:rPr>
          <w:rFonts w:eastAsia="Calibri"/>
          <w:color w:val="000000"/>
          <w:szCs w:val="28"/>
        </w:rPr>
        <w:t>lieu</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référence</w:t>
      </w:r>
      <w:r w:rsidRPr="00320A86">
        <w:rPr>
          <w:color w:val="000000"/>
          <w:szCs w:val="28"/>
        </w:rPr>
        <w:t xml:space="preserve"> </w:t>
      </w:r>
      <w:r w:rsidRPr="00320A86">
        <w:rPr>
          <w:rFonts w:eastAsia="Calibri"/>
          <w:color w:val="000000"/>
          <w:szCs w:val="28"/>
        </w:rPr>
        <w:t>ou</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mémoire.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ceux-là</w:t>
      </w:r>
      <w:r w:rsidRPr="00320A86">
        <w:rPr>
          <w:color w:val="000000"/>
          <w:szCs w:val="28"/>
        </w:rPr>
        <w:t xml:space="preserve"> </w:t>
      </w:r>
      <w:r w:rsidRPr="00320A86">
        <w:rPr>
          <w:rFonts w:eastAsia="Calibri"/>
          <w:color w:val="000000"/>
          <w:szCs w:val="28"/>
        </w:rPr>
        <w:t>s</w:t>
      </w:r>
      <w:r w:rsidRPr="00320A86">
        <w:rPr>
          <w:color w:val="000000"/>
          <w:szCs w:val="28"/>
        </w:rPr>
        <w:t>’</w:t>
      </w:r>
      <w:r w:rsidRPr="00320A86">
        <w:rPr>
          <w:rFonts w:eastAsia="Calibri"/>
          <w:color w:val="000000"/>
          <w:szCs w:val="28"/>
        </w:rPr>
        <w:t>ajouteraient</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mod</w:t>
      </w:r>
      <w:r w:rsidRPr="00320A86">
        <w:rPr>
          <w:rFonts w:eastAsia="Calibri"/>
          <w:color w:val="000000"/>
          <w:szCs w:val="28"/>
        </w:rPr>
        <w:t>è</w:t>
      </w:r>
      <w:r w:rsidRPr="00320A86">
        <w:rPr>
          <w:rFonts w:eastAsia="Calibri"/>
          <w:color w:val="000000"/>
          <w:szCs w:val="28"/>
        </w:rPr>
        <w:t>les</w:t>
      </w:r>
      <w:r w:rsidRPr="00320A86">
        <w:rPr>
          <w:color w:val="000000"/>
          <w:szCs w:val="28"/>
        </w:rPr>
        <w:t xml:space="preserve"> </w:t>
      </w:r>
      <w:r w:rsidRPr="00320A86">
        <w:rPr>
          <w:rFonts w:eastAsia="Calibri"/>
          <w:color w:val="000000"/>
          <w:szCs w:val="28"/>
        </w:rPr>
        <w:t>intermédiaires,</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catholiques</w:t>
      </w:r>
      <w:r w:rsidRPr="00320A86">
        <w:rPr>
          <w:color w:val="000000"/>
          <w:szCs w:val="28"/>
        </w:rPr>
        <w:t xml:space="preserve"> </w:t>
      </w:r>
      <w:r w:rsidRPr="00320A86">
        <w:rPr>
          <w:rFonts w:eastAsia="Calibri"/>
          <w:color w:val="000000"/>
          <w:szCs w:val="28"/>
        </w:rPr>
        <w:t>«</w:t>
      </w:r>
      <w:r w:rsidRPr="00320A86">
        <w:rPr>
          <w:color w:val="000000"/>
          <w:szCs w:val="28"/>
        </w:rPr>
        <w:t xml:space="preserve"> exilés », de valeurs ressenties et enfouies, </w:t>
      </w:r>
      <w:r w:rsidRPr="00320A86">
        <w:rPr>
          <w:rFonts w:eastAsia="Calibri"/>
          <w:color w:val="000000"/>
          <w:szCs w:val="28"/>
        </w:rPr>
        <w:t>simplement</w:t>
      </w:r>
      <w:r w:rsidRPr="00320A86">
        <w:rPr>
          <w:color w:val="000000"/>
          <w:szCs w:val="28"/>
        </w:rPr>
        <w:t xml:space="preserve"> peut-être </w:t>
      </w:r>
      <w:r w:rsidRPr="00320A86">
        <w:rPr>
          <w:rFonts w:eastAsia="Calibri"/>
          <w:color w:val="000000"/>
          <w:szCs w:val="28"/>
        </w:rPr>
        <w:t>respectueux</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leur</w:t>
      </w:r>
      <w:r w:rsidRPr="00320A86">
        <w:rPr>
          <w:color w:val="000000"/>
          <w:szCs w:val="28"/>
        </w:rPr>
        <w:t xml:space="preserve"> </w:t>
      </w:r>
      <w:r w:rsidRPr="00320A86">
        <w:rPr>
          <w:rFonts w:eastAsia="Calibri"/>
          <w:color w:val="000000"/>
          <w:szCs w:val="28"/>
        </w:rPr>
        <w:t>enfance</w:t>
      </w:r>
      <w:r w:rsidRPr="00320A86">
        <w:rPr>
          <w:color w:val="000000"/>
          <w:szCs w:val="28"/>
        </w:rPr>
        <w:t xml:space="preserve"> </w:t>
      </w:r>
      <w:r w:rsidRPr="00320A86">
        <w:rPr>
          <w:rFonts w:eastAsia="Calibri"/>
          <w:color w:val="000000"/>
          <w:szCs w:val="28"/>
        </w:rPr>
        <w:t>encore</w:t>
      </w:r>
      <w:r w:rsidRPr="00320A86">
        <w:rPr>
          <w:color w:val="000000"/>
          <w:szCs w:val="28"/>
        </w:rPr>
        <w:t xml:space="preserve"> </w:t>
      </w:r>
      <w:r w:rsidRPr="00320A86">
        <w:rPr>
          <w:rFonts w:eastAsia="Calibri"/>
          <w:color w:val="000000"/>
          <w:szCs w:val="28"/>
        </w:rPr>
        <w:t>baignée</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référe</w:t>
      </w:r>
      <w:r w:rsidRPr="00320A86">
        <w:rPr>
          <w:rFonts w:eastAsia="Calibri"/>
          <w:color w:val="000000"/>
          <w:szCs w:val="28"/>
        </w:rPr>
        <w:t>n</w:t>
      </w:r>
      <w:r w:rsidRPr="00320A86">
        <w:rPr>
          <w:rFonts w:eastAsia="Calibri"/>
          <w:color w:val="000000"/>
          <w:szCs w:val="28"/>
        </w:rPr>
        <w:t>ces</w:t>
      </w:r>
      <w:r w:rsidRPr="00320A86">
        <w:rPr>
          <w:color w:val="000000"/>
          <w:szCs w:val="28"/>
        </w:rPr>
        <w:t xml:space="preserve"> </w:t>
      </w:r>
      <w:r w:rsidRPr="00320A86">
        <w:rPr>
          <w:rFonts w:eastAsia="Calibri"/>
          <w:color w:val="000000"/>
          <w:szCs w:val="28"/>
        </w:rPr>
        <w:t>ecclésiales,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w:t>
      </w:r>
      <w:r w:rsidRPr="00320A86">
        <w:rPr>
          <w:color w:val="000000"/>
          <w:szCs w:val="28"/>
        </w:rPr>
        <w:t xml:space="preserve"> culturels », </w:t>
      </w:r>
      <w:r w:rsidRPr="00320A86">
        <w:rPr>
          <w:rFonts w:eastAsia="Calibri"/>
          <w:color w:val="000000"/>
          <w:szCs w:val="28"/>
        </w:rPr>
        <w:t>détachés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toute</w:t>
      </w:r>
      <w:r w:rsidRPr="00320A86">
        <w:rPr>
          <w:color w:val="000000"/>
          <w:szCs w:val="28"/>
        </w:rPr>
        <w:t xml:space="preserve"> </w:t>
      </w:r>
      <w:r w:rsidRPr="00320A86">
        <w:rPr>
          <w:rFonts w:eastAsia="Calibri"/>
          <w:color w:val="000000"/>
          <w:szCs w:val="28"/>
        </w:rPr>
        <w:t>norme,</w:t>
      </w:r>
      <w:r w:rsidRPr="00320A86">
        <w:rPr>
          <w:color w:val="000000"/>
          <w:szCs w:val="28"/>
        </w:rPr>
        <w:t xml:space="preserve"> </w:t>
      </w:r>
      <w:r w:rsidRPr="00320A86">
        <w:rPr>
          <w:rFonts w:eastAsia="Calibri"/>
          <w:color w:val="000000"/>
          <w:szCs w:val="28"/>
        </w:rPr>
        <w:t>adeptes</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un</w:t>
      </w:r>
      <w:r w:rsidRPr="00320A86">
        <w:rPr>
          <w:color w:val="000000"/>
          <w:szCs w:val="28"/>
        </w:rPr>
        <w:t xml:space="preserve"> </w:t>
      </w:r>
      <w:r w:rsidRPr="00320A86">
        <w:rPr>
          <w:rFonts w:eastAsia="Calibri"/>
          <w:color w:val="000000"/>
          <w:szCs w:val="28"/>
        </w:rPr>
        <w:t>spontanéisme</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faisant</w:t>
      </w:r>
      <w:r w:rsidRPr="00320A86">
        <w:rPr>
          <w:color w:val="000000"/>
          <w:szCs w:val="28"/>
        </w:rPr>
        <w:t xml:space="preserve"> </w:t>
      </w:r>
      <w:r w:rsidRPr="00320A86">
        <w:rPr>
          <w:rFonts w:eastAsia="Calibri"/>
          <w:color w:val="000000"/>
          <w:szCs w:val="28"/>
        </w:rPr>
        <w:t>vivre</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instant.</w:t>
      </w:r>
      <w:r w:rsidRPr="00320A86">
        <w:rPr>
          <w:color w:val="000000"/>
          <w:szCs w:val="28"/>
        </w:rPr>
        <w:t xml:space="preserve"> </w:t>
      </w:r>
      <w:r w:rsidRPr="00320A86">
        <w:rPr>
          <w:rFonts w:eastAsia="Calibri"/>
          <w:color w:val="000000"/>
          <w:szCs w:val="28"/>
        </w:rPr>
        <w:t>Tout</w:t>
      </w:r>
      <w:r w:rsidRPr="00320A86">
        <w:rPr>
          <w:color w:val="000000"/>
          <w:szCs w:val="28"/>
        </w:rPr>
        <w:t xml:space="preserve"> </w:t>
      </w:r>
      <w:r w:rsidRPr="00320A86">
        <w:rPr>
          <w:rFonts w:eastAsia="Calibri"/>
          <w:color w:val="000000"/>
          <w:szCs w:val="28"/>
        </w:rPr>
        <w:t>cela</w:t>
      </w:r>
      <w:r w:rsidRPr="00320A86">
        <w:rPr>
          <w:color w:val="000000"/>
          <w:szCs w:val="28"/>
        </w:rPr>
        <w:t xml:space="preserve"> </w:t>
      </w:r>
      <w:r w:rsidRPr="00320A86">
        <w:rPr>
          <w:rFonts w:eastAsia="Calibri"/>
          <w:color w:val="000000"/>
          <w:szCs w:val="28"/>
        </w:rPr>
        <w:t>fait</w:t>
      </w:r>
      <w:r w:rsidRPr="00320A86">
        <w:rPr>
          <w:color w:val="000000"/>
          <w:szCs w:val="28"/>
        </w:rPr>
        <w:t xml:space="preserve"> </w:t>
      </w:r>
      <w:r w:rsidRPr="00320A86">
        <w:rPr>
          <w:rFonts w:eastAsia="Calibri"/>
          <w:color w:val="000000"/>
          <w:szCs w:val="28"/>
        </w:rPr>
        <w:t>sans</w:t>
      </w:r>
      <w:r w:rsidRPr="00320A86">
        <w:rPr>
          <w:color w:val="000000"/>
          <w:szCs w:val="28"/>
        </w:rPr>
        <w:t xml:space="preserve"> </w:t>
      </w:r>
      <w:r w:rsidRPr="00320A86">
        <w:rPr>
          <w:rFonts w:eastAsia="Calibri"/>
          <w:color w:val="000000"/>
          <w:szCs w:val="28"/>
        </w:rPr>
        <w:t>doute</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320A86">
        <w:rPr>
          <w:rFonts w:eastAsia="Calibri"/>
          <w:color w:val="000000"/>
          <w:szCs w:val="28"/>
        </w:rPr>
        <w:t>peuple</w:t>
      </w:r>
      <w:r w:rsidRPr="00320A86">
        <w:rPr>
          <w:color w:val="000000"/>
          <w:szCs w:val="28"/>
        </w:rPr>
        <w:t xml:space="preserve"> </w:t>
      </w:r>
      <w:r w:rsidRPr="00320A86">
        <w:rPr>
          <w:rFonts w:eastAsia="Calibri"/>
          <w:color w:val="000000"/>
          <w:szCs w:val="28"/>
        </w:rPr>
        <w:t>i</w:t>
      </w:r>
      <w:r w:rsidRPr="00320A86">
        <w:rPr>
          <w:rFonts w:eastAsia="Calibri"/>
          <w:color w:val="000000"/>
          <w:szCs w:val="28"/>
        </w:rPr>
        <w:t>m</w:t>
      </w:r>
      <w:r w:rsidRPr="00320A86">
        <w:rPr>
          <w:rFonts w:eastAsia="Calibri"/>
          <w:color w:val="000000"/>
          <w:szCs w:val="28"/>
        </w:rPr>
        <w:t>mense,</w:t>
      </w:r>
      <w:r w:rsidRPr="00320A86">
        <w:rPr>
          <w:color w:val="000000"/>
          <w:szCs w:val="28"/>
        </w:rPr>
        <w:t xml:space="preserve"> </w:t>
      </w:r>
      <w:r w:rsidRPr="00320A86">
        <w:rPr>
          <w:rFonts w:eastAsia="Calibri"/>
          <w:color w:val="000000"/>
          <w:szCs w:val="28"/>
        </w:rPr>
        <w:t>comme</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décrirait</w:t>
      </w:r>
      <w:r w:rsidRPr="00320A86">
        <w:rPr>
          <w:color w:val="000000"/>
          <w:szCs w:val="28"/>
        </w:rPr>
        <w:t xml:space="preserve"> </w:t>
      </w:r>
      <w:r w:rsidRPr="00320A86">
        <w:rPr>
          <w:rFonts w:eastAsia="Calibri"/>
          <w:color w:val="000000"/>
          <w:szCs w:val="28"/>
        </w:rPr>
        <w:t>l</w:t>
      </w:r>
      <w:r w:rsidRPr="00320A86">
        <w:rPr>
          <w:color w:val="000000"/>
          <w:szCs w:val="28"/>
        </w:rPr>
        <w:t>’</w:t>
      </w:r>
      <w:r w:rsidRPr="00E11556">
        <w:rPr>
          <w:rFonts w:eastAsia="Calibri"/>
          <w:i/>
          <w:color w:val="000000"/>
          <w:szCs w:val="28"/>
        </w:rPr>
        <w:t>Apocalypse</w:t>
      </w:r>
      <w:r w:rsidRPr="00320A86">
        <w:rPr>
          <w:rFonts w:eastAsia="Calibri"/>
          <w:color w:val="000000"/>
          <w:szCs w:val="28"/>
        </w:rPr>
        <w:t>,</w:t>
      </w:r>
      <w:r w:rsidRPr="00320A86">
        <w:rPr>
          <w:color w:val="000000"/>
          <w:szCs w:val="28"/>
        </w:rPr>
        <w:t xml:space="preserve"> </w:t>
      </w:r>
      <w:r w:rsidRPr="00320A86">
        <w:rPr>
          <w:rFonts w:eastAsia="Calibri"/>
          <w:color w:val="000000"/>
          <w:szCs w:val="28"/>
        </w:rPr>
        <w:t>mais</w:t>
      </w:r>
      <w:r w:rsidRPr="00320A86">
        <w:rPr>
          <w:color w:val="000000"/>
          <w:szCs w:val="28"/>
        </w:rPr>
        <w:t xml:space="preserve"> </w:t>
      </w:r>
      <w:r w:rsidRPr="00320A86">
        <w:rPr>
          <w:rFonts w:eastAsia="Calibri"/>
          <w:color w:val="000000"/>
          <w:szCs w:val="28"/>
        </w:rPr>
        <w:t>s</w:t>
      </w:r>
      <w:r w:rsidRPr="00320A86">
        <w:rPr>
          <w:color w:val="000000"/>
          <w:szCs w:val="28"/>
        </w:rPr>
        <w:t>’</w:t>
      </w:r>
      <w:r w:rsidRPr="00320A86">
        <w:rPr>
          <w:rFonts w:eastAsia="Calibri"/>
          <w:color w:val="000000"/>
          <w:szCs w:val="28"/>
        </w:rPr>
        <w:t>agit-il</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E11556">
        <w:rPr>
          <w:rFonts w:eastAsia="Calibri"/>
          <w:i/>
          <w:color w:val="000000"/>
          <w:szCs w:val="28"/>
        </w:rPr>
        <w:t>Peuple</w:t>
      </w:r>
      <w:r w:rsidRPr="00E11556">
        <w:rPr>
          <w:i/>
          <w:color w:val="000000"/>
          <w:szCs w:val="28"/>
        </w:rPr>
        <w:t xml:space="preserve"> </w:t>
      </w:r>
      <w:r w:rsidRPr="00E11556">
        <w:rPr>
          <w:rFonts w:eastAsia="Calibri"/>
          <w:i/>
          <w:color w:val="000000"/>
          <w:szCs w:val="28"/>
        </w:rPr>
        <w:t>de</w:t>
      </w:r>
      <w:r w:rsidRPr="00E11556">
        <w:rPr>
          <w:i/>
          <w:color w:val="000000"/>
          <w:szCs w:val="28"/>
        </w:rPr>
        <w:t xml:space="preserve"> </w:t>
      </w:r>
      <w:r w:rsidRPr="00E11556">
        <w:rPr>
          <w:rFonts w:eastAsia="Calibri"/>
          <w:i/>
          <w:color w:val="000000"/>
          <w:szCs w:val="28"/>
        </w:rPr>
        <w:t>Dieu</w:t>
      </w:r>
      <w:r w:rsidRPr="00320A86">
        <w:rPr>
          <w:color w:val="000000"/>
          <w:szCs w:val="28"/>
        </w:rPr>
        <w:t xml:space="preserve"> </w:t>
      </w:r>
      <w:r w:rsidRPr="00320A86">
        <w:rPr>
          <w:rFonts w:eastAsia="Calibri"/>
          <w:color w:val="000000"/>
          <w:szCs w:val="28"/>
        </w:rPr>
        <w:t>censé</w:t>
      </w:r>
      <w:r w:rsidRPr="00320A86">
        <w:rPr>
          <w:color w:val="000000"/>
          <w:szCs w:val="28"/>
        </w:rPr>
        <w:t xml:space="preserve"> </w:t>
      </w:r>
      <w:r w:rsidRPr="00320A86">
        <w:rPr>
          <w:rFonts w:eastAsia="Calibri"/>
          <w:color w:val="000000"/>
          <w:szCs w:val="28"/>
        </w:rPr>
        <w:t>être</w:t>
      </w:r>
      <w:r w:rsidRPr="00320A86">
        <w:rPr>
          <w:color w:val="000000"/>
          <w:szCs w:val="28"/>
        </w:rPr>
        <w:t xml:space="preserve"> </w:t>
      </w:r>
      <w:r w:rsidRPr="00320A86">
        <w:rPr>
          <w:rFonts w:eastAsia="Calibri"/>
          <w:color w:val="000000"/>
          <w:szCs w:val="28"/>
        </w:rPr>
        <w:t>rassemblé</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Église</w:t>
      </w:r>
      <w:r w:rsidRPr="00320A86">
        <w:rPr>
          <w:color w:val="000000"/>
          <w:szCs w:val="28"/>
        </w:rPr>
        <w:t xml:space="preserve"> </w:t>
      </w:r>
      <w:r w:rsidRPr="00320A86">
        <w:rPr>
          <w:rFonts w:eastAsia="Calibri"/>
          <w:color w:val="000000"/>
          <w:szCs w:val="28"/>
        </w:rPr>
        <w:t>cathol</w:t>
      </w:r>
      <w:r w:rsidRPr="00320A86">
        <w:rPr>
          <w:rFonts w:eastAsia="Calibri"/>
          <w:color w:val="000000"/>
          <w:szCs w:val="28"/>
        </w:rPr>
        <w:t>i</w:t>
      </w:r>
      <w:r w:rsidRPr="00320A86">
        <w:rPr>
          <w:rFonts w:eastAsia="Calibri"/>
          <w:color w:val="000000"/>
          <w:szCs w:val="28"/>
        </w:rPr>
        <w:t>que</w:t>
      </w:r>
      <w:r w:rsidRPr="00320A86">
        <w:rPr>
          <w:color w:val="000000"/>
          <w:szCs w:val="28"/>
        </w:rPr>
        <w:t xml:space="preserve"> et sa hiérarchie ?</w:t>
      </w:r>
    </w:p>
    <w:p w14:paraId="1D3B7747" w14:textId="77777777" w:rsidR="00B01930" w:rsidRPr="00320A86" w:rsidRDefault="00B01930" w:rsidP="00B01930">
      <w:pPr>
        <w:spacing w:before="120" w:after="120"/>
        <w:jc w:val="both"/>
        <w:rPr>
          <w:color w:val="000000"/>
          <w:szCs w:val="28"/>
        </w:rPr>
      </w:pPr>
      <w:r w:rsidRPr="00320A86">
        <w:rPr>
          <w:rFonts w:eastAsia="Calibri"/>
          <w:color w:val="000000"/>
          <w:szCs w:val="28"/>
        </w:rPr>
        <w:t>Qu</w:t>
      </w:r>
      <w:r w:rsidRPr="00320A86">
        <w:rPr>
          <w:color w:val="000000"/>
          <w:szCs w:val="28"/>
        </w:rPr>
        <w:t>’</w:t>
      </w:r>
      <w:r w:rsidRPr="00320A86">
        <w:rPr>
          <w:rFonts w:eastAsia="Calibri"/>
          <w:color w:val="000000"/>
          <w:szCs w:val="28"/>
        </w:rPr>
        <w:t>on</w:t>
      </w:r>
      <w:r w:rsidRPr="00320A86">
        <w:rPr>
          <w:color w:val="000000"/>
          <w:szCs w:val="28"/>
        </w:rPr>
        <w:t xml:space="preserve"> </w:t>
      </w:r>
      <w:r w:rsidRPr="00320A86">
        <w:rPr>
          <w:rFonts w:eastAsia="Calibri"/>
          <w:color w:val="000000"/>
          <w:szCs w:val="28"/>
        </w:rPr>
        <w:t>soit</w:t>
      </w:r>
      <w:r w:rsidRPr="00320A86">
        <w:rPr>
          <w:color w:val="000000"/>
          <w:szCs w:val="28"/>
        </w:rPr>
        <w:t xml:space="preserve"> </w:t>
      </w:r>
      <w:r w:rsidRPr="00320A86">
        <w:rPr>
          <w:rFonts w:eastAsia="Calibri"/>
          <w:color w:val="000000"/>
          <w:szCs w:val="28"/>
        </w:rPr>
        <w:t>convaincu</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paradigme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unité</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catholicisme</w:t>
      </w:r>
      <w:r w:rsidRPr="00320A86">
        <w:rPr>
          <w:color w:val="000000"/>
          <w:szCs w:val="28"/>
        </w:rPr>
        <w:t xml:space="preserve"> </w:t>
      </w:r>
      <w:r w:rsidRPr="00320A86">
        <w:rPr>
          <w:rFonts w:eastAsia="Calibri"/>
          <w:color w:val="000000"/>
          <w:szCs w:val="28"/>
        </w:rPr>
        <w:t>(défendu</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Émile</w:t>
      </w:r>
      <w:r w:rsidRPr="00320A86">
        <w:rPr>
          <w:color w:val="000000"/>
          <w:szCs w:val="28"/>
        </w:rPr>
        <w:t xml:space="preserve"> </w:t>
      </w:r>
      <w:r w:rsidRPr="00320A86">
        <w:rPr>
          <w:rFonts w:eastAsia="Calibri"/>
          <w:color w:val="000000"/>
          <w:szCs w:val="28"/>
        </w:rPr>
        <w:t>Poulat),</w:t>
      </w:r>
      <w:r w:rsidRPr="00320A86">
        <w:rPr>
          <w:color w:val="000000"/>
          <w:szCs w:val="28"/>
        </w:rPr>
        <w:t xml:space="preserve"> </w:t>
      </w:r>
      <w:r w:rsidRPr="00320A86">
        <w:rPr>
          <w:rFonts w:eastAsia="Calibri"/>
          <w:color w:val="000000"/>
          <w:szCs w:val="28"/>
        </w:rPr>
        <w:t>ou</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celui</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sa</w:t>
      </w:r>
      <w:r w:rsidRPr="00320A86">
        <w:rPr>
          <w:color w:val="000000"/>
          <w:szCs w:val="28"/>
        </w:rPr>
        <w:t xml:space="preserve"> </w:t>
      </w:r>
      <w:r w:rsidRPr="00320A86">
        <w:rPr>
          <w:rFonts w:eastAsia="Calibri"/>
          <w:color w:val="000000"/>
          <w:szCs w:val="28"/>
        </w:rPr>
        <w:t>diversité</w:t>
      </w:r>
      <w:r w:rsidRPr="00320A86">
        <w:rPr>
          <w:color w:val="000000"/>
          <w:szCs w:val="28"/>
        </w:rPr>
        <w:t xml:space="preserve"> </w:t>
      </w:r>
      <w:r w:rsidRPr="00320A86">
        <w:rPr>
          <w:rFonts w:eastAsia="Calibri"/>
          <w:color w:val="000000"/>
          <w:szCs w:val="28"/>
        </w:rPr>
        <w:t>(illustré</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René</w:t>
      </w:r>
      <w:r w:rsidRPr="00320A86">
        <w:rPr>
          <w:color w:val="000000"/>
          <w:szCs w:val="28"/>
        </w:rPr>
        <w:t xml:space="preserve"> </w:t>
      </w:r>
      <w:r w:rsidRPr="00320A86">
        <w:rPr>
          <w:rFonts w:eastAsia="Calibri"/>
          <w:color w:val="000000"/>
          <w:szCs w:val="28"/>
        </w:rPr>
        <w:t>Rémond,</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dernières</w:t>
      </w:r>
      <w:r w:rsidRPr="00320A86">
        <w:rPr>
          <w:color w:val="000000"/>
          <w:szCs w:val="28"/>
        </w:rPr>
        <w:t xml:space="preserve"> </w:t>
      </w:r>
      <w:r w:rsidRPr="00320A86">
        <w:rPr>
          <w:rFonts w:eastAsia="Calibri"/>
          <w:color w:val="000000"/>
          <w:szCs w:val="28"/>
        </w:rPr>
        <w:t>générations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chercheurs),</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cathol</w:t>
      </w:r>
      <w:r w:rsidRPr="00320A86">
        <w:rPr>
          <w:rFonts w:eastAsia="Calibri"/>
          <w:color w:val="000000"/>
          <w:szCs w:val="28"/>
        </w:rPr>
        <w:t>i</w:t>
      </w:r>
      <w:r w:rsidRPr="00320A86">
        <w:rPr>
          <w:rFonts w:eastAsia="Calibri"/>
          <w:color w:val="000000"/>
          <w:szCs w:val="28"/>
        </w:rPr>
        <w:t>cisme</w:t>
      </w:r>
      <w:r w:rsidRPr="00320A86">
        <w:rPr>
          <w:color w:val="000000"/>
          <w:szCs w:val="28"/>
        </w:rPr>
        <w:t xml:space="preserve"> </w:t>
      </w:r>
      <w:r w:rsidRPr="00320A86">
        <w:rPr>
          <w:rFonts w:eastAsia="Calibri"/>
          <w:color w:val="000000"/>
          <w:szCs w:val="28"/>
        </w:rPr>
        <w:t>paraît</w:t>
      </w:r>
      <w:r w:rsidRPr="00320A86">
        <w:rPr>
          <w:color w:val="000000"/>
          <w:szCs w:val="28"/>
        </w:rPr>
        <w:t xml:space="preserve"> </w:t>
      </w:r>
      <w:r w:rsidRPr="00320A86">
        <w:rPr>
          <w:rFonts w:eastAsia="Calibri"/>
          <w:color w:val="000000"/>
          <w:szCs w:val="28"/>
        </w:rPr>
        <w:t>surtout</w:t>
      </w:r>
      <w:r w:rsidRPr="00320A86">
        <w:rPr>
          <w:color w:val="000000"/>
          <w:szCs w:val="28"/>
        </w:rPr>
        <w:t xml:space="preserve"> </w:t>
      </w:r>
      <w:r w:rsidRPr="00320A86">
        <w:rPr>
          <w:rFonts w:eastAsia="Calibri"/>
          <w:color w:val="000000"/>
          <w:szCs w:val="28"/>
        </w:rPr>
        <w:t>victime</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un</w:t>
      </w:r>
      <w:r w:rsidRPr="00320A86">
        <w:rPr>
          <w:color w:val="000000"/>
          <w:szCs w:val="28"/>
        </w:rPr>
        <w:t xml:space="preserve"> </w:t>
      </w:r>
      <w:r w:rsidRPr="00320A86">
        <w:rPr>
          <w:rFonts w:eastAsia="Calibri"/>
          <w:color w:val="000000"/>
          <w:szCs w:val="28"/>
        </w:rPr>
        <w:t>double</w:t>
      </w:r>
      <w:r w:rsidRPr="00320A86">
        <w:rPr>
          <w:color w:val="000000"/>
          <w:szCs w:val="28"/>
        </w:rPr>
        <w:t xml:space="preserve"> </w:t>
      </w:r>
      <w:r w:rsidRPr="00320A86">
        <w:rPr>
          <w:rFonts w:eastAsia="Calibri"/>
          <w:color w:val="000000"/>
          <w:szCs w:val="28"/>
        </w:rPr>
        <w:t>encerclement,</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fois</w:t>
      </w:r>
      <w:r w:rsidRPr="00320A86">
        <w:rPr>
          <w:color w:val="000000"/>
          <w:szCs w:val="28"/>
        </w:rPr>
        <w:t xml:space="preserve"> </w:t>
      </w:r>
      <w:r w:rsidRPr="00320A86">
        <w:rPr>
          <w:rFonts w:eastAsia="Calibri"/>
          <w:color w:val="000000"/>
          <w:szCs w:val="28"/>
        </w:rPr>
        <w:t>qua</w:t>
      </w:r>
      <w:r w:rsidRPr="00320A86">
        <w:rPr>
          <w:rFonts w:eastAsia="Calibri"/>
          <w:color w:val="000000"/>
          <w:szCs w:val="28"/>
        </w:rPr>
        <w:t>n</w:t>
      </w:r>
      <w:r w:rsidRPr="00320A86">
        <w:rPr>
          <w:rFonts w:eastAsia="Calibri"/>
          <w:color w:val="000000"/>
          <w:szCs w:val="28"/>
        </w:rPr>
        <w:t>titatif</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conceptuel.</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catholicisme</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confronté depuis les années 2000</w:t>
      </w:r>
      <w:r w:rsidRPr="00320A86">
        <w:rPr>
          <w:color w:val="000000"/>
          <w:szCs w:val="28"/>
        </w:rPr>
        <w:t xml:space="preserve"> – </w:t>
      </w:r>
      <w:r w:rsidRPr="00320A86">
        <w:rPr>
          <w:rFonts w:eastAsia="Calibri"/>
          <w:color w:val="000000"/>
          <w:szCs w:val="28"/>
        </w:rPr>
        <w:t>en</w:t>
      </w:r>
      <w:r w:rsidRPr="00320A86">
        <w:rPr>
          <w:color w:val="000000"/>
          <w:szCs w:val="28"/>
        </w:rPr>
        <w:t xml:space="preserve"> </w:t>
      </w:r>
      <w:r w:rsidRPr="00320A86">
        <w:rPr>
          <w:rFonts w:eastAsia="Calibri"/>
          <w:color w:val="000000"/>
          <w:szCs w:val="28"/>
        </w:rPr>
        <w:t>tant</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religion</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sein</w:t>
      </w:r>
      <w:r w:rsidRPr="00320A86">
        <w:rPr>
          <w:color w:val="000000"/>
          <w:szCs w:val="28"/>
        </w:rPr>
        <w:t xml:space="preserve"> </w:t>
      </w:r>
      <w:r w:rsidRPr="00320A86">
        <w:rPr>
          <w:rFonts w:eastAsia="Calibri"/>
          <w:color w:val="000000"/>
          <w:szCs w:val="28"/>
        </w:rPr>
        <w:t>même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société</w:t>
      </w:r>
      <w:r w:rsidRPr="00320A86">
        <w:rPr>
          <w:color w:val="000000"/>
          <w:szCs w:val="28"/>
        </w:rPr>
        <w:t xml:space="preserve"> </w:t>
      </w:r>
      <w:r w:rsidRPr="00320A86">
        <w:rPr>
          <w:rFonts w:eastAsia="Calibri"/>
          <w:color w:val="000000"/>
          <w:szCs w:val="28"/>
        </w:rPr>
        <w:t>française –</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concurrence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Islam.</w:t>
      </w:r>
      <w:r w:rsidRPr="00320A86">
        <w:rPr>
          <w:color w:val="000000"/>
          <w:szCs w:val="28"/>
        </w:rPr>
        <w:t xml:space="preserve"> </w:t>
      </w:r>
      <w:r w:rsidRPr="00320A86">
        <w:rPr>
          <w:rFonts w:eastAsia="Calibri"/>
          <w:color w:val="000000"/>
          <w:szCs w:val="28"/>
        </w:rPr>
        <w:t>Il</w:t>
      </w:r>
      <w:r w:rsidRPr="00320A86">
        <w:rPr>
          <w:color w:val="000000"/>
          <w:szCs w:val="28"/>
        </w:rPr>
        <w:t xml:space="preserve"> </w:t>
      </w:r>
      <w:r w:rsidRPr="00320A86">
        <w:rPr>
          <w:rFonts w:eastAsia="Calibri"/>
          <w:color w:val="000000"/>
          <w:szCs w:val="28"/>
        </w:rPr>
        <w:t>apparaît</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sera</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plus</w:t>
      </w:r>
      <w:r w:rsidRPr="00320A86">
        <w:rPr>
          <w:color w:val="000000"/>
          <w:szCs w:val="28"/>
        </w:rPr>
        <w:t xml:space="preserve"> relativ</w:t>
      </w:r>
      <w:r w:rsidRPr="00320A86">
        <w:rPr>
          <w:color w:val="000000"/>
          <w:szCs w:val="28"/>
        </w:rPr>
        <w:t>e</w:t>
      </w:r>
      <w:r w:rsidRPr="00320A86">
        <w:rPr>
          <w:color w:val="000000"/>
          <w:szCs w:val="28"/>
        </w:rPr>
        <w:t xml:space="preserve">ment </w:t>
      </w:r>
      <w:r w:rsidRPr="00320A86">
        <w:rPr>
          <w:rFonts w:eastAsia="Calibri"/>
          <w:color w:val="000000"/>
          <w:szCs w:val="28"/>
        </w:rPr>
        <w:t>minoritaire</w:t>
      </w:r>
      <w:r w:rsidRPr="00320A86">
        <w:rPr>
          <w:color w:val="000000"/>
          <w:szCs w:val="28"/>
        </w:rPr>
        <w:t xml:space="preserve"> </w:t>
      </w:r>
      <w:r w:rsidRPr="00320A86">
        <w:rPr>
          <w:rFonts w:eastAsia="Calibri"/>
          <w:color w:val="000000"/>
          <w:szCs w:val="28"/>
        </w:rPr>
        <w:t>compte</w:t>
      </w:r>
      <w:r w:rsidRPr="00320A86">
        <w:rPr>
          <w:color w:val="000000"/>
          <w:szCs w:val="28"/>
        </w:rPr>
        <w:t xml:space="preserve"> </w:t>
      </w:r>
      <w:r w:rsidRPr="00320A86">
        <w:rPr>
          <w:rFonts w:eastAsia="Calibri"/>
          <w:color w:val="000000"/>
          <w:szCs w:val="28"/>
        </w:rPr>
        <w:t>tenu</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croissance</w:t>
      </w:r>
      <w:r w:rsidRPr="00320A86">
        <w:rPr>
          <w:color w:val="000000"/>
          <w:szCs w:val="28"/>
        </w:rPr>
        <w:t xml:space="preserve"> </w:t>
      </w:r>
      <w:r w:rsidRPr="00320A86">
        <w:rPr>
          <w:rFonts w:eastAsia="Calibri"/>
          <w:color w:val="000000"/>
          <w:szCs w:val="28"/>
        </w:rPr>
        <w:t>démographique</w:t>
      </w:r>
      <w:r w:rsidRPr="00320A86">
        <w:rPr>
          <w:color w:val="000000"/>
          <w:szCs w:val="28"/>
        </w:rPr>
        <w:t xml:space="preserve"> </w:t>
      </w:r>
      <w:r w:rsidRPr="00320A86">
        <w:rPr>
          <w:rFonts w:eastAsia="Calibri"/>
          <w:color w:val="000000"/>
          <w:szCs w:val="28"/>
        </w:rPr>
        <w:t>bea</w:t>
      </w:r>
      <w:r w:rsidRPr="00320A86">
        <w:rPr>
          <w:rFonts w:eastAsia="Calibri"/>
          <w:color w:val="000000"/>
          <w:szCs w:val="28"/>
        </w:rPr>
        <w:t>u</w:t>
      </w:r>
      <w:r w:rsidRPr="00320A86">
        <w:rPr>
          <w:rFonts w:eastAsia="Calibri"/>
          <w:color w:val="000000"/>
          <w:szCs w:val="28"/>
        </w:rPr>
        <w:t>coup</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vigoureuse</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communautés</w:t>
      </w:r>
      <w:r w:rsidRPr="00320A86">
        <w:rPr>
          <w:color w:val="000000"/>
          <w:szCs w:val="28"/>
        </w:rPr>
        <w:t xml:space="preserve"> </w:t>
      </w:r>
      <w:r w:rsidRPr="00320A86">
        <w:rPr>
          <w:rFonts w:eastAsia="Calibri"/>
          <w:color w:val="000000"/>
          <w:szCs w:val="28"/>
        </w:rPr>
        <w:t>musulmanes,</w:t>
      </w:r>
      <w:r w:rsidRPr="00320A86">
        <w:rPr>
          <w:color w:val="000000"/>
          <w:szCs w:val="28"/>
        </w:rPr>
        <w:t xml:space="preserve"> </w:t>
      </w:r>
      <w:r w:rsidRPr="00320A86">
        <w:rPr>
          <w:rFonts w:eastAsia="Calibri"/>
          <w:color w:val="000000"/>
          <w:szCs w:val="28"/>
        </w:rPr>
        <w:t>étant</w:t>
      </w:r>
      <w:r w:rsidRPr="00320A86">
        <w:rPr>
          <w:color w:val="000000"/>
          <w:szCs w:val="28"/>
        </w:rPr>
        <w:t xml:space="preserve"> </w:t>
      </w:r>
      <w:r w:rsidRPr="00320A86">
        <w:rPr>
          <w:rFonts w:eastAsia="Calibri"/>
          <w:color w:val="000000"/>
          <w:szCs w:val="28"/>
        </w:rPr>
        <w:t>peu</w:t>
      </w:r>
      <w:r w:rsidRPr="00320A86">
        <w:rPr>
          <w:color w:val="000000"/>
          <w:szCs w:val="28"/>
        </w:rPr>
        <w:t xml:space="preserve"> </w:t>
      </w:r>
      <w:r w:rsidRPr="00320A86">
        <w:rPr>
          <w:rFonts w:eastAsia="Calibri"/>
          <w:color w:val="000000"/>
          <w:szCs w:val="28"/>
        </w:rPr>
        <w:t>servi,</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sa</w:t>
      </w:r>
      <w:r w:rsidRPr="00320A86">
        <w:rPr>
          <w:color w:val="000000"/>
          <w:szCs w:val="28"/>
        </w:rPr>
        <w:t xml:space="preserve"> </w:t>
      </w:r>
      <w:r w:rsidRPr="00320A86">
        <w:rPr>
          <w:rFonts w:eastAsia="Calibri"/>
          <w:color w:val="000000"/>
          <w:szCs w:val="28"/>
        </w:rPr>
        <w:t>résistance,</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climat</w:t>
      </w:r>
      <w:r w:rsidRPr="00320A86">
        <w:rPr>
          <w:color w:val="000000"/>
          <w:szCs w:val="28"/>
        </w:rPr>
        <w:t xml:space="preserve"> </w:t>
      </w:r>
      <w:r w:rsidRPr="00320A86">
        <w:rPr>
          <w:rFonts w:eastAsia="Calibri"/>
          <w:color w:val="000000"/>
          <w:szCs w:val="28"/>
        </w:rPr>
        <w:t>général</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indifférentisme</w:t>
      </w:r>
      <w:r w:rsidRPr="00320A86">
        <w:rPr>
          <w:color w:val="000000"/>
          <w:szCs w:val="28"/>
        </w:rPr>
        <w:t xml:space="preserve"> </w:t>
      </w:r>
      <w:r w:rsidRPr="00320A86">
        <w:rPr>
          <w:rFonts w:eastAsia="Calibri"/>
          <w:color w:val="000000"/>
          <w:szCs w:val="28"/>
        </w:rPr>
        <w:t>ou</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mo</w:t>
      </w:r>
      <w:r w:rsidRPr="00320A86">
        <w:rPr>
          <w:rFonts w:eastAsia="Calibri"/>
          <w:color w:val="000000"/>
          <w:szCs w:val="28"/>
        </w:rPr>
        <w:t>r</w:t>
      </w:r>
      <w:r w:rsidRPr="00320A86">
        <w:rPr>
          <w:rFonts w:eastAsia="Calibri"/>
          <w:color w:val="000000"/>
          <w:szCs w:val="28"/>
        </w:rPr>
        <w:t>cellement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son</w:t>
      </w:r>
      <w:r w:rsidRPr="00320A86">
        <w:rPr>
          <w:color w:val="000000"/>
          <w:szCs w:val="28"/>
        </w:rPr>
        <w:t xml:space="preserve"> </w:t>
      </w:r>
      <w:r w:rsidRPr="00320A86">
        <w:rPr>
          <w:rFonts w:eastAsia="Calibri"/>
          <w:color w:val="000000"/>
          <w:szCs w:val="28"/>
        </w:rPr>
        <w:t>ident</w:t>
      </w:r>
      <w:r w:rsidRPr="00320A86">
        <w:rPr>
          <w:rFonts w:eastAsia="Calibri"/>
          <w:color w:val="000000"/>
          <w:szCs w:val="28"/>
        </w:rPr>
        <w:t>i</w:t>
      </w:r>
      <w:r w:rsidRPr="00320A86">
        <w:rPr>
          <w:rFonts w:eastAsia="Calibri"/>
          <w:color w:val="000000"/>
          <w:szCs w:val="28"/>
        </w:rPr>
        <w:t>té,</w:t>
      </w:r>
      <w:r w:rsidRPr="00320A86">
        <w:rPr>
          <w:color w:val="000000"/>
          <w:szCs w:val="28"/>
        </w:rPr>
        <w:t xml:space="preserve"> </w:t>
      </w:r>
      <w:r w:rsidRPr="00320A86">
        <w:rPr>
          <w:rFonts w:eastAsia="Calibri"/>
          <w:color w:val="000000"/>
          <w:szCs w:val="28"/>
        </w:rPr>
        <w:t>provoqué</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vogue</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un</w:t>
      </w:r>
      <w:r w:rsidRPr="00320A86">
        <w:rPr>
          <w:color w:val="000000"/>
          <w:szCs w:val="28"/>
        </w:rPr>
        <w:t xml:space="preserve"> </w:t>
      </w:r>
      <w:r w:rsidRPr="00320A86">
        <w:rPr>
          <w:rFonts w:eastAsia="Calibri"/>
          <w:color w:val="000000"/>
          <w:szCs w:val="28"/>
        </w:rPr>
        <w:t>christianisme</w:t>
      </w:r>
      <w:r w:rsidRPr="00320A86">
        <w:rPr>
          <w:color w:val="000000"/>
          <w:szCs w:val="28"/>
        </w:rPr>
        <w:t xml:space="preserve"> </w:t>
      </w:r>
      <w:r w:rsidRPr="00320A86">
        <w:rPr>
          <w:rFonts w:eastAsia="Calibri"/>
          <w:color w:val="000000"/>
          <w:szCs w:val="28"/>
        </w:rPr>
        <w:t>«</w:t>
      </w:r>
      <w:r w:rsidRPr="00320A86">
        <w:rPr>
          <w:color w:val="000000"/>
          <w:szCs w:val="28"/>
        </w:rPr>
        <w:t xml:space="preserve"> à </w:t>
      </w:r>
      <w:r w:rsidRPr="00320A86">
        <w:rPr>
          <w:rFonts w:eastAsia="Calibri"/>
          <w:color w:val="000000"/>
          <w:szCs w:val="28"/>
        </w:rPr>
        <w:t>la</w:t>
      </w:r>
      <w:r w:rsidRPr="00320A86">
        <w:rPr>
          <w:color w:val="000000"/>
          <w:szCs w:val="28"/>
        </w:rPr>
        <w:t xml:space="preserve"> </w:t>
      </w:r>
      <w:r w:rsidRPr="00320A86">
        <w:rPr>
          <w:rFonts w:eastAsia="Calibri"/>
          <w:color w:val="000000"/>
          <w:szCs w:val="28"/>
        </w:rPr>
        <w:t>carte</w:t>
      </w:r>
      <w:r w:rsidRPr="00320A86">
        <w:rPr>
          <w:color w:val="000000"/>
          <w:szCs w:val="28"/>
        </w:rPr>
        <w:t xml:space="preserve"> », </w:t>
      </w:r>
      <w:r w:rsidRPr="00320A86">
        <w:rPr>
          <w:rFonts w:eastAsia="Calibri"/>
          <w:color w:val="000000"/>
          <w:szCs w:val="28"/>
        </w:rPr>
        <w:t>strictement</w:t>
      </w:r>
      <w:r w:rsidRPr="00320A86">
        <w:rPr>
          <w:color w:val="000000"/>
          <w:szCs w:val="28"/>
        </w:rPr>
        <w:t xml:space="preserve"> </w:t>
      </w:r>
      <w:r w:rsidRPr="00320A86">
        <w:rPr>
          <w:rFonts w:eastAsia="Calibri"/>
          <w:color w:val="000000"/>
          <w:szCs w:val="28"/>
        </w:rPr>
        <w:t>indiv</w:t>
      </w:r>
      <w:r w:rsidRPr="00320A86">
        <w:rPr>
          <w:rFonts w:eastAsia="Calibri"/>
          <w:color w:val="000000"/>
          <w:szCs w:val="28"/>
        </w:rPr>
        <w:t>i</w:t>
      </w:r>
      <w:r w:rsidRPr="00320A86">
        <w:rPr>
          <w:rFonts w:eastAsia="Calibri"/>
          <w:color w:val="000000"/>
          <w:szCs w:val="28"/>
        </w:rPr>
        <w:t>duel.</w:t>
      </w:r>
    </w:p>
    <w:p w14:paraId="0D5B9CE9" w14:textId="77777777" w:rsidR="00B01930" w:rsidRPr="00320A86" w:rsidRDefault="00B01930" w:rsidP="00B01930">
      <w:pPr>
        <w:spacing w:before="120" w:after="120"/>
        <w:jc w:val="both"/>
        <w:rPr>
          <w:color w:val="000000"/>
          <w:szCs w:val="28"/>
        </w:rPr>
      </w:pPr>
      <w:r w:rsidRPr="00320A86">
        <w:rPr>
          <w:rFonts w:eastAsia="Calibri"/>
          <w:color w:val="000000"/>
          <w:szCs w:val="28"/>
        </w:rPr>
        <w:t>Simultanément,</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w:t>
      </w:r>
      <w:r w:rsidRPr="00320A86">
        <w:rPr>
          <w:color w:val="000000"/>
          <w:szCs w:val="28"/>
        </w:rPr>
        <w:t xml:space="preserve"> restes </w:t>
      </w:r>
      <w:r w:rsidRPr="00320A86">
        <w:rPr>
          <w:rFonts w:eastAsia="Calibri"/>
          <w:color w:val="000000"/>
          <w:szCs w:val="28"/>
        </w:rPr>
        <w:t>de</w:t>
      </w:r>
      <w:r w:rsidRPr="00320A86">
        <w:rPr>
          <w:color w:val="000000"/>
          <w:szCs w:val="28"/>
        </w:rPr>
        <w:t xml:space="preserve"> </w:t>
      </w:r>
      <w:r w:rsidRPr="00320A86">
        <w:rPr>
          <w:rFonts w:eastAsia="Calibri"/>
          <w:color w:val="000000"/>
          <w:szCs w:val="28"/>
        </w:rPr>
        <w:t>chrétienté</w:t>
      </w:r>
      <w:r w:rsidRPr="00320A86">
        <w:rPr>
          <w:color w:val="000000"/>
          <w:szCs w:val="28"/>
        </w:rPr>
        <w:t xml:space="preserve"> » </w:t>
      </w:r>
      <w:r w:rsidRPr="00320A86">
        <w:rPr>
          <w:rFonts w:eastAsia="Calibri"/>
          <w:color w:val="000000"/>
          <w:szCs w:val="28"/>
        </w:rPr>
        <w:t>imprègnent</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320A86">
        <w:rPr>
          <w:rFonts w:eastAsia="Calibri"/>
          <w:color w:val="000000"/>
          <w:szCs w:val="28"/>
        </w:rPr>
        <w:t>tel</w:t>
      </w:r>
      <w:r w:rsidRPr="00320A86">
        <w:rPr>
          <w:color w:val="000000"/>
          <w:szCs w:val="28"/>
        </w:rPr>
        <w:t xml:space="preserve"> </w:t>
      </w:r>
      <w:r w:rsidRPr="00320A86">
        <w:rPr>
          <w:rFonts w:eastAsia="Calibri"/>
          <w:color w:val="000000"/>
          <w:szCs w:val="28"/>
        </w:rPr>
        <w:t>point</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culture</w:t>
      </w:r>
      <w:r w:rsidRPr="00320A86">
        <w:rPr>
          <w:color w:val="000000"/>
          <w:szCs w:val="28"/>
        </w:rPr>
        <w:t xml:space="preserve"> </w:t>
      </w:r>
      <w:r w:rsidRPr="00320A86">
        <w:rPr>
          <w:rFonts w:eastAsia="Calibri"/>
          <w:color w:val="000000"/>
          <w:szCs w:val="28"/>
        </w:rPr>
        <w:t>occidentale</w:t>
      </w:r>
      <w:r w:rsidRPr="00320A86">
        <w:rPr>
          <w:color w:val="000000"/>
          <w:szCs w:val="28"/>
        </w:rPr>
        <w:t xml:space="preserve">  </w:t>
      </w:r>
      <w:r w:rsidRPr="00320A86">
        <w:rPr>
          <w:rFonts w:eastAsia="Calibri"/>
          <w:color w:val="000000"/>
          <w:szCs w:val="28"/>
        </w:rPr>
        <w:t>qu</w:t>
      </w:r>
      <w:r w:rsidRPr="00320A86">
        <w:rPr>
          <w:color w:val="000000"/>
          <w:szCs w:val="28"/>
        </w:rPr>
        <w:t>’</w:t>
      </w:r>
      <w:r w:rsidRPr="00320A86">
        <w:rPr>
          <w:rFonts w:eastAsia="Calibri"/>
          <w:color w:val="000000"/>
          <w:szCs w:val="28"/>
        </w:rPr>
        <w:t>ils</w:t>
      </w:r>
      <w:r w:rsidRPr="00320A86">
        <w:rPr>
          <w:color w:val="000000"/>
          <w:szCs w:val="28"/>
        </w:rPr>
        <w:t xml:space="preserve"> </w:t>
      </w:r>
      <w:r w:rsidRPr="00320A86">
        <w:rPr>
          <w:rFonts w:eastAsia="Calibri"/>
          <w:color w:val="000000"/>
          <w:szCs w:val="28"/>
        </w:rPr>
        <w:t>continuent</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être</w:t>
      </w:r>
      <w:r w:rsidRPr="00320A86">
        <w:rPr>
          <w:color w:val="000000"/>
          <w:szCs w:val="28"/>
        </w:rPr>
        <w:t xml:space="preserve"> </w:t>
      </w:r>
      <w:r w:rsidRPr="00320A86">
        <w:rPr>
          <w:rFonts w:eastAsia="Calibri"/>
          <w:color w:val="000000"/>
          <w:szCs w:val="28"/>
        </w:rPr>
        <w:t>investis</w:t>
      </w:r>
      <w:r w:rsidRPr="00320A86">
        <w:rPr>
          <w:color w:val="000000"/>
          <w:szCs w:val="28"/>
        </w:rPr>
        <w:t xml:space="preserve"> </w:t>
      </w:r>
      <w:r w:rsidRPr="00320A86">
        <w:rPr>
          <w:rFonts w:eastAsia="Calibri"/>
          <w:color w:val="000000"/>
          <w:szCs w:val="28"/>
        </w:rPr>
        <w:t>ou</w:t>
      </w:r>
      <w:r w:rsidRPr="00320A86">
        <w:rPr>
          <w:color w:val="000000"/>
          <w:szCs w:val="28"/>
        </w:rPr>
        <w:t xml:space="preserve"> </w:t>
      </w:r>
      <w:r w:rsidRPr="00320A86">
        <w:rPr>
          <w:rFonts w:eastAsia="Calibri"/>
          <w:color w:val="000000"/>
          <w:szCs w:val="28"/>
        </w:rPr>
        <w:t>reve</w:t>
      </w:r>
      <w:r w:rsidRPr="00320A86">
        <w:rPr>
          <w:rFonts w:eastAsia="Calibri"/>
          <w:color w:val="000000"/>
          <w:szCs w:val="28"/>
        </w:rPr>
        <w:t>n</w:t>
      </w:r>
      <w:r w:rsidRPr="00320A86">
        <w:rPr>
          <w:rFonts w:eastAsia="Calibri"/>
          <w:color w:val="000000"/>
          <w:szCs w:val="28"/>
        </w:rPr>
        <w:t>diqués</w:t>
      </w:r>
      <w:r w:rsidRPr="00320A86">
        <w:rPr>
          <w:color w:val="000000"/>
          <w:szCs w:val="28"/>
        </w:rPr>
        <w:t xml:space="preserve"> </w:t>
      </w:r>
      <w:r w:rsidRPr="00320A86">
        <w:rPr>
          <w:rFonts w:eastAsia="Calibri"/>
          <w:color w:val="000000"/>
          <w:szCs w:val="28"/>
        </w:rPr>
        <w:t>tout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étant</w:t>
      </w:r>
      <w:r w:rsidRPr="00320A86">
        <w:rPr>
          <w:color w:val="000000"/>
          <w:szCs w:val="28"/>
        </w:rPr>
        <w:t xml:space="preserve"> </w:t>
      </w:r>
      <w:r w:rsidRPr="00320A86">
        <w:rPr>
          <w:rFonts w:eastAsia="Calibri"/>
          <w:color w:val="000000"/>
          <w:szCs w:val="28"/>
        </w:rPr>
        <w:t>dépouillés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tout</w:t>
      </w:r>
      <w:r w:rsidRPr="00320A86">
        <w:rPr>
          <w:color w:val="000000"/>
          <w:szCs w:val="28"/>
        </w:rPr>
        <w:t xml:space="preserve"> </w:t>
      </w:r>
      <w:r w:rsidRPr="00320A86">
        <w:rPr>
          <w:rFonts w:eastAsia="Calibri"/>
          <w:color w:val="000000"/>
          <w:szCs w:val="28"/>
        </w:rPr>
        <w:t>contenu</w:t>
      </w:r>
      <w:r w:rsidRPr="00320A86">
        <w:rPr>
          <w:color w:val="000000"/>
          <w:szCs w:val="28"/>
        </w:rPr>
        <w:t xml:space="preserve"> </w:t>
      </w:r>
      <w:r w:rsidRPr="00320A86">
        <w:rPr>
          <w:rFonts w:eastAsia="Calibri"/>
          <w:color w:val="000000"/>
          <w:szCs w:val="28"/>
        </w:rPr>
        <w:t>théologique.</w:t>
      </w:r>
      <w:r w:rsidRPr="00320A86">
        <w:rPr>
          <w:color w:val="000000"/>
          <w:szCs w:val="28"/>
        </w:rPr>
        <w:t xml:space="preserve"> </w:t>
      </w:r>
      <w:r w:rsidRPr="00320A86">
        <w:rPr>
          <w:rFonts w:eastAsia="Calibri"/>
          <w:color w:val="000000"/>
          <w:szCs w:val="28"/>
        </w:rPr>
        <w:t>On</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d</w:t>
      </w:r>
      <w:r w:rsidRPr="00320A86">
        <w:rPr>
          <w:rFonts w:eastAsia="Calibri"/>
          <w:color w:val="000000"/>
          <w:szCs w:val="28"/>
        </w:rPr>
        <w:t>é</w:t>
      </w:r>
      <w:r w:rsidRPr="00320A86">
        <w:rPr>
          <w:rFonts w:eastAsia="Calibri"/>
          <w:color w:val="000000"/>
          <w:szCs w:val="28"/>
        </w:rPr>
        <w:t>clare</w:t>
      </w:r>
      <w:r w:rsidRPr="00320A86">
        <w:rPr>
          <w:color w:val="000000"/>
          <w:szCs w:val="28"/>
        </w:rPr>
        <w:t xml:space="preserve"> </w:t>
      </w:r>
      <w:r w:rsidRPr="00320A86">
        <w:rPr>
          <w:rFonts w:eastAsia="Calibri"/>
          <w:color w:val="000000"/>
          <w:szCs w:val="28"/>
        </w:rPr>
        <w:t>chrétien</w:t>
      </w:r>
      <w:r w:rsidRPr="00320A86">
        <w:rPr>
          <w:color w:val="000000"/>
          <w:szCs w:val="28"/>
        </w:rPr>
        <w:t xml:space="preserve"> </w:t>
      </w:r>
      <w:r w:rsidRPr="00320A86">
        <w:rPr>
          <w:rFonts w:eastAsia="Calibri"/>
          <w:color w:val="000000"/>
          <w:szCs w:val="28"/>
        </w:rPr>
        <w:t>sans</w:t>
      </w:r>
      <w:r w:rsidRPr="00320A86">
        <w:rPr>
          <w:color w:val="000000"/>
          <w:szCs w:val="28"/>
        </w:rPr>
        <w:t xml:space="preserve"> </w:t>
      </w:r>
      <w:r w:rsidRPr="00320A86">
        <w:rPr>
          <w:rFonts w:eastAsia="Calibri"/>
          <w:color w:val="000000"/>
          <w:szCs w:val="28"/>
        </w:rPr>
        <w:t>croire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R</w:t>
      </w:r>
      <w:r w:rsidRPr="00320A86">
        <w:rPr>
          <w:rFonts w:eastAsia="Calibri"/>
          <w:color w:val="000000"/>
          <w:szCs w:val="28"/>
        </w:rPr>
        <w:t>é</w:t>
      </w:r>
      <w:r w:rsidRPr="00320A86">
        <w:rPr>
          <w:rFonts w:eastAsia="Calibri"/>
          <w:color w:val="000000"/>
          <w:szCs w:val="28"/>
        </w:rPr>
        <w:t>surrection,</w:t>
      </w:r>
      <w:r w:rsidRPr="00320A86">
        <w:rPr>
          <w:color w:val="000000"/>
          <w:szCs w:val="28"/>
        </w:rPr>
        <w:t xml:space="preserve"> </w:t>
      </w:r>
      <w:r w:rsidRPr="00320A86">
        <w:rPr>
          <w:rFonts w:eastAsia="Calibri"/>
          <w:color w:val="000000"/>
          <w:szCs w:val="28"/>
        </w:rPr>
        <w:t>on</w:t>
      </w:r>
      <w:r w:rsidRPr="00320A86">
        <w:rPr>
          <w:color w:val="000000"/>
          <w:szCs w:val="28"/>
        </w:rPr>
        <w:t xml:space="preserve"> </w:t>
      </w:r>
      <w:r w:rsidRPr="00320A86">
        <w:rPr>
          <w:rFonts w:eastAsia="Calibri"/>
          <w:color w:val="000000"/>
          <w:szCs w:val="28"/>
        </w:rPr>
        <w:t>invoque</w:t>
      </w:r>
      <w:r w:rsidRPr="00320A86">
        <w:rPr>
          <w:color w:val="000000"/>
          <w:szCs w:val="28"/>
        </w:rPr>
        <w:t xml:space="preserve"> </w:t>
      </w:r>
      <w:r w:rsidRPr="00320A86">
        <w:rPr>
          <w:rFonts w:eastAsia="Calibri"/>
          <w:color w:val="000000"/>
          <w:szCs w:val="28"/>
        </w:rPr>
        <w:t>«</w:t>
      </w:r>
      <w:r w:rsidRPr="00320A86">
        <w:rPr>
          <w:color w:val="000000"/>
          <w:szCs w:val="28"/>
        </w:rPr>
        <w:t xml:space="preserve"> le </w:t>
      </w:r>
      <w:r w:rsidRPr="00320A86">
        <w:rPr>
          <w:rFonts w:eastAsia="Calibri"/>
          <w:color w:val="000000"/>
          <w:szCs w:val="28"/>
        </w:rPr>
        <w:t>mariage</w:t>
      </w:r>
      <w:r w:rsidRPr="00320A86">
        <w:rPr>
          <w:color w:val="000000"/>
          <w:szCs w:val="28"/>
        </w:rPr>
        <w:t xml:space="preserve"> </w:t>
      </w:r>
      <w:r w:rsidRPr="00320A86">
        <w:rPr>
          <w:rFonts w:eastAsia="Calibri"/>
          <w:color w:val="000000"/>
          <w:szCs w:val="28"/>
        </w:rPr>
        <w:t>pour</w:t>
      </w:r>
      <w:r w:rsidRPr="00320A86">
        <w:rPr>
          <w:color w:val="000000"/>
          <w:szCs w:val="28"/>
        </w:rPr>
        <w:t xml:space="preserve"> </w:t>
      </w:r>
      <w:r w:rsidRPr="00320A86">
        <w:rPr>
          <w:rFonts w:eastAsia="Calibri"/>
          <w:color w:val="000000"/>
          <w:szCs w:val="28"/>
        </w:rPr>
        <w:t>tous</w:t>
      </w:r>
      <w:r w:rsidRPr="00320A86">
        <w:rPr>
          <w:color w:val="000000"/>
          <w:szCs w:val="28"/>
        </w:rPr>
        <w:t xml:space="preserve"> » </w:t>
      </w:r>
      <w:r w:rsidRPr="00320A86">
        <w:rPr>
          <w:rFonts w:eastAsia="Calibri"/>
          <w:color w:val="000000"/>
          <w:szCs w:val="28"/>
        </w:rPr>
        <w:t>en</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coupant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son</w:t>
      </w:r>
      <w:r w:rsidRPr="00320A86">
        <w:rPr>
          <w:color w:val="000000"/>
          <w:szCs w:val="28"/>
        </w:rPr>
        <w:t xml:space="preserve"> </w:t>
      </w:r>
      <w:r w:rsidRPr="00320A86">
        <w:rPr>
          <w:rFonts w:eastAsia="Calibri"/>
          <w:color w:val="000000"/>
          <w:szCs w:val="28"/>
        </w:rPr>
        <w:t>éthique</w:t>
      </w:r>
      <w:r w:rsidRPr="00320A86">
        <w:rPr>
          <w:color w:val="000000"/>
          <w:szCs w:val="28"/>
        </w:rPr>
        <w:t xml:space="preserve"> </w:t>
      </w:r>
      <w:r w:rsidRPr="00320A86">
        <w:rPr>
          <w:rFonts w:eastAsia="Calibri"/>
          <w:color w:val="000000"/>
          <w:szCs w:val="28"/>
        </w:rPr>
        <w:t>c</w:t>
      </w:r>
      <w:r w:rsidRPr="00320A86">
        <w:rPr>
          <w:rFonts w:eastAsia="Calibri"/>
          <w:color w:val="000000"/>
          <w:szCs w:val="28"/>
        </w:rPr>
        <w:t>a</w:t>
      </w:r>
      <w:r w:rsidRPr="00320A86">
        <w:rPr>
          <w:rFonts w:eastAsia="Calibri"/>
          <w:color w:val="000000"/>
          <w:szCs w:val="28"/>
        </w:rPr>
        <w:t>tholique,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on</w:t>
      </w:r>
      <w:r w:rsidRPr="00320A86">
        <w:rPr>
          <w:color w:val="000000"/>
          <w:szCs w:val="28"/>
        </w:rPr>
        <w:t xml:space="preserve"> </w:t>
      </w:r>
      <w:r w:rsidRPr="00320A86">
        <w:rPr>
          <w:rFonts w:eastAsia="Calibri"/>
          <w:color w:val="000000"/>
          <w:szCs w:val="28"/>
        </w:rPr>
        <w:t>remplace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charité</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solidarité.</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expurgeant</w:t>
      </w:r>
      <w:r w:rsidRPr="00320A86">
        <w:rPr>
          <w:color w:val="000000"/>
          <w:szCs w:val="28"/>
        </w:rPr>
        <w:t xml:space="preserve"> ainsi </w:t>
      </w:r>
      <w:r w:rsidRPr="00320A86">
        <w:rPr>
          <w:rFonts w:eastAsia="Calibri"/>
          <w:color w:val="000000"/>
          <w:szCs w:val="28"/>
        </w:rPr>
        <w:t>le</w:t>
      </w:r>
      <w:r w:rsidRPr="00320A86">
        <w:rPr>
          <w:color w:val="000000"/>
          <w:szCs w:val="28"/>
        </w:rPr>
        <w:t xml:space="preserve"> </w:t>
      </w:r>
      <w:r w:rsidRPr="00320A86">
        <w:rPr>
          <w:rFonts w:eastAsia="Calibri"/>
          <w:color w:val="000000"/>
          <w:szCs w:val="28"/>
        </w:rPr>
        <w:t>sacré</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concepts</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sont</w:t>
      </w:r>
      <w:r w:rsidRPr="00320A86">
        <w:rPr>
          <w:color w:val="000000"/>
          <w:szCs w:val="28"/>
        </w:rPr>
        <w:t xml:space="preserve">  </w:t>
      </w:r>
      <w:r w:rsidRPr="00320A86">
        <w:rPr>
          <w:rFonts w:eastAsia="Calibri"/>
          <w:color w:val="000000"/>
          <w:szCs w:val="28"/>
        </w:rPr>
        <w:t>indissociables,</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vecteurs</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christianisme</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trouvent</w:t>
      </w:r>
      <w:r w:rsidRPr="00320A86">
        <w:rPr>
          <w:color w:val="000000"/>
          <w:szCs w:val="28"/>
        </w:rPr>
        <w:t xml:space="preserve"> </w:t>
      </w:r>
      <w:r w:rsidRPr="00320A86">
        <w:rPr>
          <w:rFonts w:eastAsia="Calibri"/>
          <w:color w:val="000000"/>
          <w:szCs w:val="28"/>
        </w:rPr>
        <w:t>d</w:t>
      </w:r>
      <w:r w:rsidRPr="00320A86">
        <w:rPr>
          <w:rFonts w:eastAsia="Calibri"/>
          <w:color w:val="000000"/>
          <w:szCs w:val="28"/>
        </w:rPr>
        <w:t>é</w:t>
      </w:r>
      <w:r w:rsidRPr="00320A86">
        <w:rPr>
          <w:rFonts w:eastAsia="Calibri"/>
          <w:color w:val="000000"/>
          <w:szCs w:val="28"/>
        </w:rPr>
        <w:t>pouillés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toute</w:t>
      </w:r>
      <w:r w:rsidRPr="00320A86">
        <w:rPr>
          <w:color w:val="000000"/>
          <w:szCs w:val="28"/>
        </w:rPr>
        <w:t xml:space="preserve"> </w:t>
      </w:r>
      <w:r w:rsidRPr="00320A86">
        <w:rPr>
          <w:rFonts w:eastAsia="Calibri"/>
          <w:color w:val="000000"/>
          <w:szCs w:val="28"/>
        </w:rPr>
        <w:t>religiosité,</w:t>
      </w:r>
      <w:r w:rsidRPr="00320A86">
        <w:rPr>
          <w:color w:val="000000"/>
          <w:szCs w:val="28"/>
        </w:rPr>
        <w:t xml:space="preserve"> </w:t>
      </w:r>
      <w:r w:rsidRPr="00320A86">
        <w:rPr>
          <w:rFonts w:eastAsia="Calibri"/>
          <w:color w:val="000000"/>
          <w:szCs w:val="28"/>
        </w:rPr>
        <w:t>ils</w:t>
      </w:r>
      <w:r w:rsidRPr="00320A86">
        <w:rPr>
          <w:color w:val="000000"/>
          <w:szCs w:val="28"/>
        </w:rPr>
        <w:t xml:space="preserve"> </w:t>
      </w:r>
      <w:r w:rsidRPr="00320A86">
        <w:rPr>
          <w:rFonts w:eastAsia="Calibri"/>
          <w:color w:val="000000"/>
          <w:szCs w:val="28"/>
        </w:rPr>
        <w:t>sont</w:t>
      </w:r>
      <w:r w:rsidRPr="00320A86">
        <w:rPr>
          <w:color w:val="000000"/>
          <w:szCs w:val="28"/>
        </w:rPr>
        <w:t xml:space="preserve"> </w:t>
      </w:r>
      <w:r w:rsidRPr="00E11556">
        <w:rPr>
          <w:rFonts w:eastAsia="Calibri"/>
          <w:i/>
          <w:color w:val="000000"/>
          <w:szCs w:val="28"/>
        </w:rPr>
        <w:t>profanés</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sens</w:t>
      </w:r>
      <w:r w:rsidRPr="00320A86">
        <w:rPr>
          <w:color w:val="000000"/>
          <w:szCs w:val="28"/>
        </w:rPr>
        <w:t xml:space="preserve"> </w:t>
      </w:r>
      <w:r w:rsidRPr="00320A86">
        <w:rPr>
          <w:rFonts w:eastAsia="Calibri"/>
          <w:color w:val="000000"/>
          <w:szCs w:val="28"/>
        </w:rPr>
        <w:t>littéral,</w:t>
      </w:r>
      <w:r w:rsidRPr="00320A86">
        <w:rPr>
          <w:color w:val="000000"/>
          <w:szCs w:val="28"/>
        </w:rPr>
        <w:t xml:space="preserve"> </w:t>
      </w:r>
      <w:r w:rsidRPr="00320A86">
        <w:rPr>
          <w:rFonts w:eastAsia="Calibri"/>
          <w:color w:val="000000"/>
          <w:szCs w:val="28"/>
        </w:rPr>
        <w:t>ce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provoque</w:t>
      </w:r>
      <w:r w:rsidRPr="00320A86">
        <w:rPr>
          <w:color w:val="000000"/>
          <w:szCs w:val="28"/>
        </w:rPr>
        <w:t xml:space="preserve"> </w:t>
      </w:r>
      <w:r w:rsidRPr="00320A86">
        <w:rPr>
          <w:rFonts w:eastAsia="Calibri"/>
          <w:color w:val="000000"/>
          <w:szCs w:val="28"/>
        </w:rPr>
        <w:t>incohérences,</w:t>
      </w:r>
      <w:r w:rsidRPr="00320A86">
        <w:rPr>
          <w:color w:val="000000"/>
          <w:szCs w:val="28"/>
        </w:rPr>
        <w:t xml:space="preserve"> </w:t>
      </w:r>
      <w:r w:rsidRPr="00320A86">
        <w:rPr>
          <w:rFonts w:eastAsia="Calibri"/>
          <w:color w:val="000000"/>
          <w:szCs w:val="28"/>
        </w:rPr>
        <w:t>confusions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perte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sens.</w:t>
      </w:r>
      <w:r w:rsidRPr="00320A86">
        <w:rPr>
          <w:color w:val="000000"/>
          <w:szCs w:val="28"/>
        </w:rPr>
        <w:t xml:space="preserve"> </w:t>
      </w:r>
    </w:p>
    <w:p w14:paraId="0E9F6061" w14:textId="77777777" w:rsidR="00B01930" w:rsidRPr="00320A86" w:rsidRDefault="00B01930" w:rsidP="00B01930">
      <w:pPr>
        <w:spacing w:before="120" w:after="120"/>
        <w:jc w:val="both"/>
        <w:rPr>
          <w:rFonts w:eastAsia="Calibri"/>
          <w:color w:val="000000"/>
          <w:szCs w:val="28"/>
        </w:rPr>
      </w:pPr>
      <w:r w:rsidRPr="00320A86">
        <w:rPr>
          <w:rFonts w:eastAsia="Calibri"/>
          <w:color w:val="000000"/>
          <w:szCs w:val="28"/>
        </w:rPr>
        <w:t>Le</w:t>
      </w:r>
      <w:r w:rsidRPr="00320A86">
        <w:rPr>
          <w:color w:val="000000"/>
          <w:szCs w:val="28"/>
        </w:rPr>
        <w:t xml:space="preserve"> </w:t>
      </w:r>
      <w:r w:rsidRPr="00320A86">
        <w:rPr>
          <w:rFonts w:eastAsia="Calibri"/>
          <w:color w:val="000000"/>
          <w:szCs w:val="28"/>
        </w:rPr>
        <w:t>catholicisme</w:t>
      </w:r>
      <w:r w:rsidRPr="00320A86">
        <w:rPr>
          <w:color w:val="000000"/>
          <w:szCs w:val="28"/>
        </w:rPr>
        <w:t xml:space="preserve"> </w:t>
      </w:r>
      <w:r w:rsidRPr="00320A86">
        <w:rPr>
          <w:rFonts w:eastAsia="Calibri"/>
          <w:color w:val="000000"/>
          <w:szCs w:val="28"/>
        </w:rPr>
        <w:t>français</w:t>
      </w:r>
      <w:r w:rsidRPr="00320A86">
        <w:rPr>
          <w:color w:val="000000"/>
          <w:szCs w:val="28"/>
        </w:rPr>
        <w:t xml:space="preserve"> </w:t>
      </w:r>
      <w:r w:rsidRPr="00320A86">
        <w:rPr>
          <w:rFonts w:eastAsia="Calibri"/>
          <w:color w:val="000000"/>
          <w:szCs w:val="28"/>
        </w:rPr>
        <w:t>connaîtrait-il</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sort,</w:t>
      </w:r>
      <w:r w:rsidRPr="00320A86">
        <w:rPr>
          <w:color w:val="000000"/>
          <w:szCs w:val="28"/>
        </w:rPr>
        <w:t xml:space="preserve"> </w:t>
      </w:r>
      <w:r w:rsidRPr="00320A86">
        <w:rPr>
          <w:rFonts w:eastAsia="Calibri"/>
          <w:color w:val="000000"/>
          <w:szCs w:val="28"/>
        </w:rPr>
        <w:t>déjà</w:t>
      </w:r>
      <w:r w:rsidRPr="00320A86">
        <w:rPr>
          <w:color w:val="000000"/>
          <w:szCs w:val="28"/>
        </w:rPr>
        <w:t xml:space="preserve"> </w:t>
      </w:r>
      <w:r w:rsidRPr="00320A86">
        <w:rPr>
          <w:rFonts w:eastAsia="Calibri"/>
          <w:color w:val="000000"/>
          <w:szCs w:val="28"/>
        </w:rPr>
        <w:t>éprouvé,</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ces</w:t>
      </w:r>
      <w:r w:rsidRPr="00320A86">
        <w:rPr>
          <w:color w:val="000000"/>
          <w:szCs w:val="28"/>
        </w:rPr>
        <w:t xml:space="preserve"> </w:t>
      </w:r>
      <w:r w:rsidRPr="00320A86">
        <w:rPr>
          <w:rFonts w:eastAsia="Calibri"/>
          <w:color w:val="000000"/>
          <w:szCs w:val="28"/>
        </w:rPr>
        <w:t>structures</w:t>
      </w:r>
      <w:r w:rsidRPr="00320A86">
        <w:rPr>
          <w:color w:val="000000"/>
          <w:szCs w:val="28"/>
        </w:rPr>
        <w:t xml:space="preserve"> </w:t>
      </w:r>
      <w:r w:rsidRPr="00320A86">
        <w:rPr>
          <w:rFonts w:eastAsia="Calibri"/>
          <w:color w:val="000000"/>
          <w:szCs w:val="28"/>
        </w:rPr>
        <w:t>mentales</w:t>
      </w:r>
      <w:r w:rsidRPr="00320A86">
        <w:rPr>
          <w:color w:val="000000"/>
          <w:szCs w:val="28"/>
        </w:rPr>
        <w:t xml:space="preserve"> </w:t>
      </w:r>
      <w:r w:rsidRPr="00320A86">
        <w:rPr>
          <w:rFonts w:eastAsia="Calibri"/>
          <w:color w:val="000000"/>
          <w:szCs w:val="28"/>
        </w:rPr>
        <w:t>patrimoniales</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subsistent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dépit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leur</w:t>
      </w:r>
      <w:r w:rsidRPr="00320A86">
        <w:rPr>
          <w:color w:val="000000"/>
          <w:szCs w:val="28"/>
        </w:rPr>
        <w:t xml:space="preserve"> </w:t>
      </w:r>
      <w:r w:rsidRPr="00320A86">
        <w:rPr>
          <w:rFonts w:eastAsia="Calibri"/>
          <w:color w:val="000000"/>
          <w:szCs w:val="28"/>
        </w:rPr>
        <w:t>d</w:t>
      </w:r>
      <w:r w:rsidRPr="00320A86">
        <w:rPr>
          <w:rFonts w:eastAsia="Calibri"/>
          <w:color w:val="000000"/>
          <w:szCs w:val="28"/>
        </w:rPr>
        <w:t>é</w:t>
      </w:r>
      <w:r w:rsidRPr="00320A86">
        <w:rPr>
          <w:rFonts w:eastAsia="Calibri"/>
          <w:color w:val="000000"/>
          <w:szCs w:val="28"/>
        </w:rPr>
        <w:t>nonciation</w:t>
      </w:r>
      <w:r w:rsidRPr="00320A86">
        <w:rPr>
          <w:color w:val="000000"/>
          <w:szCs w:val="28"/>
        </w:rPr>
        <w:t xml:space="preserve"> ? </w:t>
      </w:r>
      <w:r w:rsidRPr="00320A86">
        <w:rPr>
          <w:rFonts w:eastAsia="Calibri"/>
          <w:color w:val="000000"/>
          <w:szCs w:val="28"/>
        </w:rPr>
        <w:t>Ainsi,</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Ancien</w:t>
      </w:r>
      <w:r w:rsidRPr="00320A86">
        <w:rPr>
          <w:color w:val="000000"/>
          <w:szCs w:val="28"/>
        </w:rPr>
        <w:t xml:space="preserve"> </w:t>
      </w:r>
      <w:r w:rsidRPr="00320A86">
        <w:rPr>
          <w:rFonts w:eastAsia="Calibri"/>
          <w:color w:val="000000"/>
          <w:szCs w:val="28"/>
        </w:rPr>
        <w:t>Régime,</w:t>
      </w:r>
      <w:r w:rsidRPr="00320A86">
        <w:rPr>
          <w:color w:val="000000"/>
          <w:szCs w:val="28"/>
        </w:rPr>
        <w:t xml:space="preserve"> </w:t>
      </w:r>
      <w:r w:rsidRPr="00320A86">
        <w:rPr>
          <w:rFonts w:eastAsia="Calibri"/>
          <w:color w:val="000000"/>
          <w:szCs w:val="28"/>
        </w:rPr>
        <w:t>a</w:t>
      </w:r>
      <w:r w:rsidRPr="00320A86">
        <w:rPr>
          <w:color w:val="000000"/>
          <w:szCs w:val="28"/>
        </w:rPr>
        <w:t xml:space="preserve"> </w:t>
      </w:r>
      <w:r w:rsidRPr="00320A86">
        <w:rPr>
          <w:rFonts w:eastAsia="Calibri"/>
          <w:color w:val="000000"/>
          <w:szCs w:val="28"/>
        </w:rPr>
        <w:t>surmonté</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haines</w:t>
      </w:r>
      <w:r w:rsidRPr="00320A86">
        <w:rPr>
          <w:color w:val="000000"/>
          <w:szCs w:val="28"/>
        </w:rPr>
        <w:t xml:space="preserve"> </w:t>
      </w:r>
      <w:r w:rsidRPr="00320A86">
        <w:rPr>
          <w:rFonts w:eastAsia="Calibri"/>
          <w:color w:val="000000"/>
          <w:szCs w:val="28"/>
        </w:rPr>
        <w:t>révol</w:t>
      </w:r>
      <w:r w:rsidRPr="00320A86">
        <w:rPr>
          <w:rFonts w:eastAsia="Calibri"/>
          <w:color w:val="000000"/>
          <w:szCs w:val="28"/>
        </w:rPr>
        <w:t>u</w:t>
      </w:r>
      <w:r w:rsidRPr="00320A86">
        <w:rPr>
          <w:rFonts w:eastAsia="Calibri"/>
          <w:color w:val="000000"/>
          <w:szCs w:val="28"/>
        </w:rPr>
        <w:t>tionnaires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a</w:t>
      </w:r>
      <w:r w:rsidRPr="00320A86">
        <w:rPr>
          <w:color w:val="000000"/>
          <w:szCs w:val="28"/>
        </w:rPr>
        <w:t xml:space="preserve"> </w:t>
      </w:r>
      <w:r w:rsidRPr="00320A86">
        <w:rPr>
          <w:rFonts w:eastAsia="Calibri"/>
          <w:color w:val="000000"/>
          <w:szCs w:val="28"/>
        </w:rPr>
        <w:t>fait</w:t>
      </w:r>
      <w:r w:rsidRPr="00320A86">
        <w:rPr>
          <w:color w:val="000000"/>
          <w:szCs w:val="28"/>
        </w:rPr>
        <w:t xml:space="preserve"> </w:t>
      </w:r>
      <w:r w:rsidRPr="00320A86">
        <w:rPr>
          <w:rFonts w:eastAsia="Calibri"/>
          <w:color w:val="000000"/>
          <w:szCs w:val="28"/>
        </w:rPr>
        <w:t>preuve</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une</w:t>
      </w:r>
      <w:r w:rsidRPr="00320A86">
        <w:rPr>
          <w:color w:val="000000"/>
          <w:szCs w:val="28"/>
        </w:rPr>
        <w:t xml:space="preserve"> </w:t>
      </w:r>
      <w:r w:rsidRPr="00320A86">
        <w:rPr>
          <w:rFonts w:eastAsia="Calibri"/>
          <w:color w:val="000000"/>
          <w:szCs w:val="28"/>
        </w:rPr>
        <w:t>résistance</w:t>
      </w:r>
      <w:r w:rsidRPr="00320A86">
        <w:rPr>
          <w:color w:val="000000"/>
          <w:szCs w:val="28"/>
        </w:rPr>
        <w:t xml:space="preserve"> </w:t>
      </w:r>
      <w:r w:rsidRPr="00320A86">
        <w:rPr>
          <w:rFonts w:eastAsia="Calibri"/>
          <w:color w:val="000000"/>
          <w:szCs w:val="28"/>
        </w:rPr>
        <w:t>étonnante.</w:t>
      </w:r>
      <w:r w:rsidRPr="00320A86">
        <w:rPr>
          <w:color w:val="000000"/>
          <w:szCs w:val="28"/>
        </w:rPr>
        <w:t xml:space="preserve"> </w:t>
      </w:r>
      <w:r w:rsidRPr="00320A86">
        <w:rPr>
          <w:rFonts w:eastAsia="Calibri"/>
          <w:color w:val="000000"/>
          <w:szCs w:val="28"/>
        </w:rPr>
        <w:t>Socialement</w:t>
      </w:r>
      <w:r w:rsidRPr="00320A86">
        <w:rPr>
          <w:color w:val="000000"/>
          <w:szCs w:val="28"/>
        </w:rPr>
        <w:t xml:space="preserve"> </w:t>
      </w:r>
      <w:r w:rsidRPr="00320A86">
        <w:rPr>
          <w:rFonts w:eastAsia="Calibri"/>
          <w:color w:val="000000"/>
          <w:szCs w:val="28"/>
        </w:rPr>
        <w:t>parlant,</w:t>
      </w:r>
      <w:r w:rsidRPr="00320A86">
        <w:rPr>
          <w:color w:val="000000"/>
          <w:szCs w:val="28"/>
        </w:rPr>
        <w:t xml:space="preserve"> </w:t>
      </w:r>
      <w:r w:rsidRPr="00320A86">
        <w:rPr>
          <w:rFonts w:eastAsia="Calibri"/>
          <w:color w:val="000000"/>
          <w:szCs w:val="28"/>
        </w:rPr>
        <w:t>il</w:t>
      </w:r>
      <w:r w:rsidRPr="00320A86">
        <w:rPr>
          <w:color w:val="000000"/>
          <w:szCs w:val="28"/>
        </w:rPr>
        <w:t xml:space="preserve"> </w:t>
      </w:r>
      <w:r w:rsidRPr="00320A86">
        <w:rPr>
          <w:rFonts w:eastAsia="Calibri"/>
          <w:color w:val="000000"/>
          <w:szCs w:val="28"/>
        </w:rPr>
        <w:t>subsiste</w:t>
      </w:r>
      <w:r w:rsidRPr="00320A86">
        <w:rPr>
          <w:color w:val="000000"/>
          <w:szCs w:val="28"/>
        </w:rPr>
        <w:t xml:space="preserve"> </w:t>
      </w:r>
      <w:r w:rsidRPr="00320A86">
        <w:rPr>
          <w:rFonts w:eastAsia="Calibri"/>
          <w:color w:val="000000"/>
          <w:szCs w:val="28"/>
        </w:rPr>
        <w:t>jusqu</w:t>
      </w:r>
      <w:r w:rsidRPr="00320A86">
        <w:rPr>
          <w:color w:val="000000"/>
          <w:szCs w:val="28"/>
        </w:rPr>
        <w:t>’</w:t>
      </w:r>
      <w:r w:rsidRPr="00320A86">
        <w:rPr>
          <w:rFonts w:eastAsia="Calibri"/>
          <w:color w:val="000000"/>
          <w:szCs w:val="28"/>
        </w:rPr>
        <w:t>en</w:t>
      </w:r>
      <w:r w:rsidRPr="00320A86">
        <w:rPr>
          <w:color w:val="000000"/>
          <w:szCs w:val="28"/>
        </w:rPr>
        <w:t xml:space="preserve"> </w:t>
      </w:r>
      <w:r w:rsidRPr="00320A86">
        <w:rPr>
          <w:rFonts w:eastAsia="Calibri"/>
          <w:color w:val="000000"/>
          <w:szCs w:val="28"/>
        </w:rPr>
        <w:t>1914,</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pou</w:t>
      </w:r>
      <w:r w:rsidRPr="00320A86">
        <w:rPr>
          <w:rFonts w:eastAsia="Calibri"/>
          <w:color w:val="000000"/>
          <w:szCs w:val="28"/>
        </w:rPr>
        <w:t>r</w:t>
      </w:r>
      <w:r w:rsidRPr="00320A86">
        <w:rPr>
          <w:rFonts w:eastAsia="Calibri"/>
          <w:color w:val="000000"/>
          <w:szCs w:val="28"/>
        </w:rPr>
        <w:t>suit</w:t>
      </w:r>
      <w:r w:rsidRPr="00320A86">
        <w:rPr>
          <w:color w:val="000000"/>
          <w:szCs w:val="28"/>
        </w:rPr>
        <w:t xml:space="preserve"> </w:t>
      </w:r>
      <w:r w:rsidRPr="00320A86">
        <w:rPr>
          <w:rFonts w:eastAsia="Calibri"/>
          <w:color w:val="000000"/>
          <w:szCs w:val="28"/>
        </w:rPr>
        <w:t>après</w:t>
      </w:r>
      <w:r w:rsidRPr="00320A86">
        <w:rPr>
          <w:color w:val="000000"/>
          <w:szCs w:val="28"/>
        </w:rPr>
        <w:t xml:space="preserve"> </w:t>
      </w:r>
      <w:r w:rsidRPr="00320A86">
        <w:rPr>
          <w:rFonts w:eastAsia="Calibri"/>
          <w:color w:val="000000"/>
          <w:szCs w:val="28"/>
        </w:rPr>
        <w:t>1945</w:t>
      </w:r>
      <w:r w:rsidRPr="00320A86">
        <w:rPr>
          <w:color w:val="000000"/>
          <w:szCs w:val="28"/>
        </w:rPr>
        <w:t xml:space="preserve"> </w:t>
      </w:r>
      <w:r w:rsidRPr="00320A86">
        <w:rPr>
          <w:rFonts w:eastAsia="Calibri"/>
          <w:color w:val="000000"/>
          <w:szCs w:val="28"/>
        </w:rPr>
        <w:t>sous</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forme</w:t>
      </w:r>
      <w:r w:rsidRPr="00320A86">
        <w:rPr>
          <w:color w:val="000000"/>
          <w:szCs w:val="28"/>
        </w:rPr>
        <w:t xml:space="preserve"> </w:t>
      </w:r>
      <w:r w:rsidRPr="00320A86">
        <w:rPr>
          <w:rFonts w:eastAsia="Calibri"/>
          <w:color w:val="000000"/>
          <w:szCs w:val="28"/>
        </w:rPr>
        <w:t>d</w:t>
      </w:r>
      <w:r w:rsidRPr="00320A86">
        <w:rPr>
          <w:color w:val="000000"/>
          <w:szCs w:val="28"/>
        </w:rPr>
        <w:t>’</w:t>
      </w:r>
      <w:r w:rsidRPr="00E11556">
        <w:rPr>
          <w:rFonts w:eastAsia="Calibri"/>
          <w:i/>
          <w:color w:val="000000"/>
          <w:szCs w:val="28"/>
        </w:rPr>
        <w:t>aristocratie</w:t>
      </w:r>
      <w:r w:rsidRPr="00E11556">
        <w:rPr>
          <w:i/>
          <w:color w:val="000000"/>
          <w:szCs w:val="28"/>
        </w:rPr>
        <w:t xml:space="preserve"> </w:t>
      </w:r>
      <w:r w:rsidRPr="00E11556">
        <w:rPr>
          <w:rFonts w:eastAsia="Calibri"/>
          <w:i/>
          <w:color w:val="000000"/>
          <w:szCs w:val="28"/>
        </w:rPr>
        <w:t>républicaine</w:t>
      </w:r>
      <w:r w:rsidRPr="00320A86">
        <w:rPr>
          <w:rFonts w:eastAsia="Calibri"/>
          <w:color w:val="000000"/>
          <w:szCs w:val="28"/>
        </w:rPr>
        <w:t>,</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sa</w:t>
      </w:r>
      <w:r w:rsidRPr="00320A86">
        <w:rPr>
          <w:color w:val="000000"/>
          <w:szCs w:val="28"/>
        </w:rPr>
        <w:t xml:space="preserve"> </w:t>
      </w:r>
      <w:r w:rsidRPr="00320A86">
        <w:rPr>
          <w:rFonts w:eastAsia="Calibri"/>
          <w:color w:val="000000"/>
          <w:szCs w:val="28"/>
        </w:rPr>
        <w:t>version</w:t>
      </w:r>
      <w:r w:rsidRPr="00320A86">
        <w:rPr>
          <w:color w:val="000000"/>
          <w:szCs w:val="28"/>
        </w:rPr>
        <w:t xml:space="preserve"> </w:t>
      </w:r>
      <w:r w:rsidRPr="00320A86">
        <w:rPr>
          <w:rFonts w:eastAsia="Calibri"/>
          <w:color w:val="000000"/>
          <w:szCs w:val="28"/>
        </w:rPr>
        <w:t>p</w:t>
      </w:r>
      <w:r w:rsidRPr="00320A86">
        <w:rPr>
          <w:rFonts w:eastAsia="Calibri"/>
          <w:color w:val="000000"/>
          <w:szCs w:val="28"/>
        </w:rPr>
        <w:t>o</w:t>
      </w:r>
      <w:r w:rsidRPr="00320A86">
        <w:rPr>
          <w:rFonts w:eastAsia="Calibri"/>
          <w:color w:val="000000"/>
          <w:szCs w:val="28"/>
        </w:rPr>
        <w:t>litique</w:t>
      </w:r>
      <w:r w:rsidRPr="00320A86">
        <w:rPr>
          <w:color w:val="000000"/>
          <w:szCs w:val="28"/>
        </w:rPr>
        <w:t xml:space="preserve"> </w:t>
      </w:r>
      <w:r w:rsidRPr="00320A86">
        <w:rPr>
          <w:rFonts w:eastAsia="Calibri"/>
          <w:color w:val="000000"/>
          <w:szCs w:val="28"/>
        </w:rPr>
        <w:t>sous</w:t>
      </w:r>
      <w:r w:rsidRPr="00320A86">
        <w:rPr>
          <w:color w:val="000000"/>
          <w:szCs w:val="28"/>
        </w:rPr>
        <w:t xml:space="preserve"> </w:t>
      </w:r>
      <w:r w:rsidRPr="00320A86">
        <w:rPr>
          <w:rFonts w:eastAsia="Calibri"/>
          <w:color w:val="000000"/>
          <w:szCs w:val="28"/>
        </w:rPr>
        <w:t>celle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E11556">
        <w:rPr>
          <w:rFonts w:eastAsia="Calibri"/>
          <w:i/>
          <w:color w:val="000000"/>
          <w:szCs w:val="28"/>
        </w:rPr>
        <w:t>monarchie</w:t>
      </w:r>
      <w:r w:rsidRPr="00E11556">
        <w:rPr>
          <w:i/>
          <w:color w:val="000000"/>
          <w:szCs w:val="28"/>
        </w:rPr>
        <w:t xml:space="preserve"> </w:t>
      </w:r>
      <w:r w:rsidRPr="00E11556">
        <w:rPr>
          <w:rFonts w:eastAsia="Calibri"/>
          <w:i/>
          <w:color w:val="000000"/>
          <w:szCs w:val="28"/>
        </w:rPr>
        <w:t>républicaine</w:t>
      </w:r>
      <w:r w:rsidRPr="00320A86">
        <w:rPr>
          <w:rFonts w:eastAsia="Calibri"/>
          <w:color w:val="000000"/>
          <w:szCs w:val="28"/>
        </w:rPr>
        <w:t>.</w:t>
      </w:r>
      <w:r w:rsidRPr="00320A86">
        <w:rPr>
          <w:color w:val="000000"/>
          <w:szCs w:val="28"/>
        </w:rPr>
        <w:t xml:space="preserve"> </w:t>
      </w:r>
      <w:r w:rsidRPr="00320A86">
        <w:rPr>
          <w:rFonts w:eastAsia="Calibri"/>
          <w:color w:val="000000"/>
          <w:szCs w:val="28"/>
        </w:rPr>
        <w:t>Selon</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interprétations,</w:t>
      </w:r>
      <w:r w:rsidRPr="00320A86">
        <w:rPr>
          <w:color w:val="000000"/>
          <w:szCs w:val="28"/>
        </w:rPr>
        <w:t xml:space="preserve"> </w:t>
      </w:r>
      <w:r w:rsidRPr="00320A86">
        <w:rPr>
          <w:rFonts w:eastAsia="Calibri"/>
          <w:color w:val="000000"/>
          <w:szCs w:val="28"/>
        </w:rPr>
        <w:t>ces</w:t>
      </w:r>
      <w:r w:rsidRPr="00320A86">
        <w:rPr>
          <w:color w:val="000000"/>
          <w:szCs w:val="28"/>
        </w:rPr>
        <w:t xml:space="preserve"> </w:t>
      </w:r>
      <w:r w:rsidRPr="00320A86">
        <w:rPr>
          <w:rFonts w:eastAsia="Calibri"/>
          <w:color w:val="000000"/>
          <w:szCs w:val="28"/>
        </w:rPr>
        <w:t>reco</w:t>
      </w:r>
      <w:r w:rsidRPr="00320A86">
        <w:rPr>
          <w:rFonts w:eastAsia="Calibri"/>
          <w:color w:val="000000"/>
          <w:szCs w:val="28"/>
        </w:rPr>
        <w:t>m</w:t>
      </w:r>
      <w:r w:rsidRPr="00320A86">
        <w:rPr>
          <w:rFonts w:eastAsia="Calibri"/>
          <w:color w:val="000000"/>
          <w:szCs w:val="28"/>
        </w:rPr>
        <w:t>positions</w:t>
      </w:r>
      <w:r w:rsidRPr="00320A86">
        <w:rPr>
          <w:color w:val="000000"/>
          <w:szCs w:val="28"/>
        </w:rPr>
        <w:t xml:space="preserve"> </w:t>
      </w:r>
      <w:r w:rsidRPr="00320A86">
        <w:rPr>
          <w:rFonts w:eastAsia="Calibri"/>
          <w:color w:val="000000"/>
          <w:szCs w:val="28"/>
        </w:rPr>
        <w:t>hybrides</w:t>
      </w:r>
      <w:r w:rsidRPr="00320A86">
        <w:rPr>
          <w:color w:val="000000"/>
          <w:szCs w:val="28"/>
        </w:rPr>
        <w:t xml:space="preserve"> </w:t>
      </w:r>
      <w:r w:rsidRPr="00320A86">
        <w:rPr>
          <w:rFonts w:eastAsia="Calibri"/>
          <w:color w:val="000000"/>
          <w:szCs w:val="28"/>
        </w:rPr>
        <w:t>aboutissent</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êtres</w:t>
      </w:r>
      <w:r w:rsidRPr="00320A86">
        <w:rPr>
          <w:color w:val="000000"/>
          <w:szCs w:val="28"/>
        </w:rPr>
        <w:t xml:space="preserve"> </w:t>
      </w:r>
      <w:r w:rsidRPr="00320A86">
        <w:rPr>
          <w:rFonts w:eastAsia="Calibri"/>
          <w:color w:val="000000"/>
          <w:szCs w:val="28"/>
        </w:rPr>
        <w:t>monstrueux,</w:t>
      </w:r>
      <w:r w:rsidRPr="00320A86">
        <w:rPr>
          <w:color w:val="000000"/>
          <w:szCs w:val="28"/>
        </w:rPr>
        <w:t xml:space="preserve"> </w:t>
      </w:r>
      <w:r w:rsidRPr="00320A86">
        <w:rPr>
          <w:rFonts w:eastAsia="Calibri"/>
          <w:color w:val="000000"/>
          <w:szCs w:val="28"/>
        </w:rPr>
        <w:t>ou</w:t>
      </w:r>
      <w:r w:rsidRPr="00320A86">
        <w:rPr>
          <w:color w:val="000000"/>
          <w:szCs w:val="28"/>
        </w:rPr>
        <w:t xml:space="preserve"> </w:t>
      </w:r>
      <w:r w:rsidRPr="00320A86">
        <w:rPr>
          <w:rFonts w:eastAsia="Calibri"/>
          <w:color w:val="000000"/>
          <w:szCs w:val="28"/>
        </w:rPr>
        <w:t>cumulent,</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contra</w:t>
      </w:r>
      <w:r w:rsidRPr="00320A86">
        <w:rPr>
          <w:rFonts w:eastAsia="Calibri"/>
          <w:color w:val="000000"/>
          <w:szCs w:val="28"/>
        </w:rPr>
        <w:t>i</w:t>
      </w:r>
      <w:r w:rsidRPr="00320A86">
        <w:rPr>
          <w:rFonts w:eastAsia="Calibri"/>
          <w:color w:val="000000"/>
          <w:szCs w:val="28"/>
        </w:rPr>
        <w:t>re,</w:t>
      </w:r>
      <w:r w:rsidRPr="00320A86">
        <w:rPr>
          <w:color w:val="000000"/>
          <w:szCs w:val="28"/>
        </w:rPr>
        <w:t xml:space="preserve"> en une sorte de sagesse spontanée,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vertus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modèles</w:t>
      </w:r>
      <w:r w:rsidRPr="00320A86">
        <w:rPr>
          <w:color w:val="000000"/>
          <w:szCs w:val="28"/>
        </w:rPr>
        <w:t xml:space="preserve"> </w:t>
      </w:r>
      <w:r w:rsidRPr="00320A86">
        <w:rPr>
          <w:rFonts w:eastAsia="Calibri"/>
          <w:color w:val="000000"/>
          <w:szCs w:val="28"/>
        </w:rPr>
        <w:t>pourtant</w:t>
      </w:r>
      <w:r w:rsidRPr="00320A86">
        <w:rPr>
          <w:color w:val="000000"/>
          <w:szCs w:val="28"/>
        </w:rPr>
        <w:t xml:space="preserve"> </w:t>
      </w:r>
      <w:r w:rsidRPr="00320A86">
        <w:rPr>
          <w:rFonts w:eastAsia="Calibri"/>
          <w:color w:val="000000"/>
          <w:szCs w:val="28"/>
        </w:rPr>
        <w:t>contradi</w:t>
      </w:r>
      <w:r w:rsidRPr="00320A86">
        <w:rPr>
          <w:rFonts w:eastAsia="Calibri"/>
          <w:color w:val="000000"/>
          <w:szCs w:val="28"/>
        </w:rPr>
        <w:t>c</w:t>
      </w:r>
      <w:r w:rsidRPr="00320A86">
        <w:rPr>
          <w:rFonts w:eastAsia="Calibri"/>
          <w:color w:val="000000"/>
          <w:szCs w:val="28"/>
        </w:rPr>
        <w:t>toires, comme sédimendarisés dans la conscience de beaucoup</w:t>
      </w:r>
      <w:r w:rsidRPr="00320A86">
        <w:rPr>
          <w:color w:val="000000"/>
          <w:szCs w:val="28"/>
        </w:rPr>
        <w:t xml:space="preserve">… </w:t>
      </w:r>
      <w:r w:rsidRPr="00320A86">
        <w:rPr>
          <w:rFonts w:eastAsia="Calibri"/>
          <w:color w:val="000000"/>
          <w:szCs w:val="28"/>
        </w:rPr>
        <w:t>S</w:t>
      </w:r>
      <w:r w:rsidRPr="00320A86">
        <w:rPr>
          <w:color w:val="000000"/>
          <w:szCs w:val="28"/>
        </w:rPr>
        <w:t>’</w:t>
      </w:r>
      <w:r w:rsidRPr="00320A86">
        <w:rPr>
          <w:rFonts w:eastAsia="Calibri"/>
          <w:color w:val="000000"/>
          <w:szCs w:val="28"/>
        </w:rPr>
        <w:t>agissant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religion</w:t>
      </w:r>
      <w:r w:rsidRPr="00320A86">
        <w:rPr>
          <w:color w:val="000000"/>
          <w:szCs w:val="28"/>
        </w:rPr>
        <w:t xml:space="preserve"> </w:t>
      </w:r>
      <w:r w:rsidRPr="00320A86">
        <w:rPr>
          <w:rFonts w:eastAsia="Calibri"/>
          <w:color w:val="000000"/>
          <w:szCs w:val="28"/>
        </w:rPr>
        <w:t>catholique,</w:t>
      </w:r>
      <w:r w:rsidRPr="00320A86">
        <w:rPr>
          <w:color w:val="000000"/>
          <w:szCs w:val="28"/>
        </w:rPr>
        <w:t xml:space="preserve"> </w:t>
      </w:r>
      <w:r w:rsidRPr="00320A86">
        <w:rPr>
          <w:rFonts w:eastAsia="Calibri"/>
          <w:color w:val="000000"/>
          <w:szCs w:val="28"/>
        </w:rPr>
        <w:t>cette</w:t>
      </w:r>
      <w:r w:rsidRPr="00320A86">
        <w:rPr>
          <w:color w:val="000000"/>
          <w:szCs w:val="28"/>
        </w:rPr>
        <w:t xml:space="preserve"> </w:t>
      </w:r>
      <w:r w:rsidRPr="00320A86">
        <w:rPr>
          <w:rFonts w:eastAsia="Calibri"/>
          <w:color w:val="000000"/>
          <w:szCs w:val="28"/>
        </w:rPr>
        <w:t>métamorphose</w:t>
      </w:r>
      <w:r w:rsidRPr="00320A86">
        <w:rPr>
          <w:color w:val="000000"/>
          <w:szCs w:val="28"/>
        </w:rPr>
        <w:t xml:space="preserve"> </w:t>
      </w:r>
      <w:r w:rsidRPr="00320A86">
        <w:rPr>
          <w:rFonts w:eastAsia="Calibri"/>
          <w:color w:val="000000"/>
          <w:szCs w:val="28"/>
        </w:rPr>
        <w:t>structurelle</w:t>
      </w:r>
      <w:r w:rsidRPr="00320A86">
        <w:rPr>
          <w:color w:val="000000"/>
          <w:szCs w:val="28"/>
        </w:rPr>
        <w:t xml:space="preserve"> </w:t>
      </w:r>
      <w:r w:rsidRPr="00320A86">
        <w:rPr>
          <w:rFonts w:eastAsia="Calibri"/>
          <w:color w:val="000000"/>
          <w:szCs w:val="28"/>
        </w:rPr>
        <w:t>serait-elle</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train</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produire,</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post-modernisme</w:t>
      </w:r>
      <w:r w:rsidRPr="00320A86">
        <w:rPr>
          <w:color w:val="000000"/>
          <w:szCs w:val="28"/>
        </w:rPr>
        <w:t xml:space="preserve"> </w:t>
      </w:r>
      <w:r w:rsidRPr="00320A86">
        <w:rPr>
          <w:rFonts w:eastAsia="Calibri"/>
          <w:color w:val="000000"/>
          <w:szCs w:val="28"/>
        </w:rPr>
        <w:t>h</w:t>
      </w:r>
      <w:r w:rsidRPr="00320A86">
        <w:rPr>
          <w:rFonts w:eastAsia="Calibri"/>
          <w:color w:val="000000"/>
          <w:szCs w:val="28"/>
        </w:rPr>
        <w:t>é</w:t>
      </w:r>
      <w:r w:rsidRPr="00320A86">
        <w:rPr>
          <w:rFonts w:eastAsia="Calibri"/>
          <w:color w:val="000000"/>
          <w:szCs w:val="28"/>
        </w:rPr>
        <w:t>ritant</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assumant</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catholicité</w:t>
      </w:r>
      <w:r w:rsidRPr="00320A86">
        <w:rPr>
          <w:color w:val="000000"/>
          <w:szCs w:val="28"/>
        </w:rPr>
        <w:t xml:space="preserve">  </w:t>
      </w:r>
      <w:r w:rsidRPr="00320A86">
        <w:rPr>
          <w:rFonts w:eastAsia="Calibri"/>
          <w:color w:val="000000"/>
          <w:szCs w:val="28"/>
        </w:rPr>
        <w:t>«</w:t>
      </w:r>
      <w:r w:rsidRPr="00320A86">
        <w:rPr>
          <w:color w:val="000000"/>
          <w:szCs w:val="28"/>
        </w:rPr>
        <w:t xml:space="preserve"> culturelle », </w:t>
      </w:r>
      <w:r w:rsidRPr="00320A86">
        <w:rPr>
          <w:rFonts w:eastAsia="Calibri"/>
          <w:color w:val="000000"/>
          <w:szCs w:val="28"/>
        </w:rPr>
        <w:t>aux</w:t>
      </w:r>
      <w:r w:rsidRPr="00320A86">
        <w:rPr>
          <w:color w:val="000000"/>
          <w:szCs w:val="28"/>
        </w:rPr>
        <w:t xml:space="preserve"> </w:t>
      </w:r>
      <w:r w:rsidRPr="00320A86">
        <w:rPr>
          <w:rFonts w:eastAsia="Calibri"/>
          <w:color w:val="000000"/>
          <w:szCs w:val="28"/>
        </w:rPr>
        <w:t>croyances</w:t>
      </w:r>
      <w:r w:rsidRPr="00320A86">
        <w:rPr>
          <w:color w:val="000000"/>
          <w:szCs w:val="28"/>
        </w:rPr>
        <w:t xml:space="preserve"> </w:t>
      </w:r>
      <w:r w:rsidRPr="00320A86">
        <w:rPr>
          <w:rFonts w:eastAsia="Calibri"/>
          <w:color w:val="000000"/>
          <w:szCs w:val="28"/>
        </w:rPr>
        <w:t>dive</w:t>
      </w:r>
      <w:r w:rsidRPr="00320A86">
        <w:rPr>
          <w:rFonts w:eastAsia="Calibri"/>
          <w:color w:val="000000"/>
          <w:szCs w:val="28"/>
        </w:rPr>
        <w:t>r</w:t>
      </w:r>
      <w:r w:rsidRPr="00320A86">
        <w:rPr>
          <w:rFonts w:eastAsia="Calibri"/>
          <w:color w:val="000000"/>
          <w:szCs w:val="28"/>
        </w:rPr>
        <w:t>ses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fragmentées,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rapprochant</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son</w:t>
      </w:r>
      <w:r w:rsidRPr="00320A86">
        <w:rPr>
          <w:color w:val="000000"/>
          <w:szCs w:val="28"/>
        </w:rPr>
        <w:t xml:space="preserve"> </w:t>
      </w:r>
      <w:r w:rsidRPr="00320A86">
        <w:rPr>
          <w:rFonts w:eastAsia="Calibri"/>
          <w:color w:val="000000"/>
          <w:szCs w:val="28"/>
        </w:rPr>
        <w:t>contre-modèle</w:t>
      </w:r>
      <w:r w:rsidRPr="00320A86">
        <w:rPr>
          <w:color w:val="000000"/>
          <w:szCs w:val="28"/>
        </w:rPr>
        <w:t xml:space="preserve"> </w:t>
      </w:r>
      <w:r w:rsidRPr="00320A86">
        <w:rPr>
          <w:rFonts w:eastAsia="Calibri"/>
          <w:color w:val="000000"/>
          <w:szCs w:val="28"/>
        </w:rPr>
        <w:t>protestant</w:t>
      </w:r>
      <w:r w:rsidRPr="00320A86">
        <w:rPr>
          <w:color w:val="000000"/>
          <w:szCs w:val="28"/>
        </w:rPr>
        <w:t> ?</w:t>
      </w:r>
    </w:p>
    <w:p w14:paraId="13411287" w14:textId="77777777" w:rsidR="00B01930" w:rsidRDefault="00B01930" w:rsidP="00B01930">
      <w:pPr>
        <w:spacing w:before="120" w:after="120"/>
        <w:jc w:val="both"/>
        <w:rPr>
          <w:color w:val="000000"/>
          <w:szCs w:val="28"/>
        </w:rPr>
      </w:pPr>
      <w:r w:rsidRPr="00320A86">
        <w:rPr>
          <w:rFonts w:eastAsia="Calibri"/>
          <w:color w:val="000000"/>
          <w:szCs w:val="28"/>
        </w:rPr>
        <w:t>L</w:t>
      </w:r>
      <w:r w:rsidRPr="00320A86">
        <w:rPr>
          <w:color w:val="000000"/>
          <w:szCs w:val="28"/>
        </w:rPr>
        <w:t>’</w:t>
      </w:r>
      <w:r w:rsidRPr="00320A86">
        <w:rPr>
          <w:rFonts w:eastAsia="Calibri"/>
          <w:color w:val="000000"/>
          <w:szCs w:val="28"/>
        </w:rPr>
        <w:t>Église</w:t>
      </w:r>
      <w:r w:rsidRPr="00320A86">
        <w:rPr>
          <w:color w:val="000000"/>
          <w:szCs w:val="28"/>
        </w:rPr>
        <w:t xml:space="preserve"> </w:t>
      </w:r>
      <w:r w:rsidRPr="00320A86">
        <w:rPr>
          <w:rFonts w:eastAsia="Calibri"/>
          <w:color w:val="000000"/>
          <w:szCs w:val="28"/>
        </w:rPr>
        <w:t>catholique</w:t>
      </w:r>
      <w:r w:rsidRPr="00320A86">
        <w:rPr>
          <w:color w:val="000000"/>
          <w:szCs w:val="28"/>
        </w:rPr>
        <w:t xml:space="preserve"> </w:t>
      </w:r>
      <w:r w:rsidRPr="00320A86">
        <w:rPr>
          <w:rFonts w:eastAsia="Calibri"/>
          <w:color w:val="000000"/>
          <w:szCs w:val="28"/>
        </w:rPr>
        <w:t>elle-même,</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travers</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Papes</w:t>
      </w:r>
      <w:r w:rsidRPr="00320A86">
        <w:rPr>
          <w:color w:val="000000"/>
          <w:szCs w:val="28"/>
        </w:rPr>
        <w:t xml:space="preserve"> </w:t>
      </w:r>
      <w:r w:rsidRPr="00320A86">
        <w:rPr>
          <w:rFonts w:eastAsia="Calibri"/>
          <w:color w:val="000000"/>
          <w:szCs w:val="28"/>
        </w:rPr>
        <w:t>exceptionnels</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sont</w:t>
      </w:r>
      <w:r w:rsidRPr="00320A86">
        <w:rPr>
          <w:color w:val="000000"/>
          <w:szCs w:val="28"/>
        </w:rPr>
        <w:t xml:space="preserve"> </w:t>
      </w:r>
      <w:r w:rsidRPr="00320A86">
        <w:rPr>
          <w:rFonts w:eastAsia="Calibri"/>
          <w:color w:val="000000"/>
          <w:szCs w:val="28"/>
        </w:rPr>
        <w:t>succedés,</w:t>
      </w:r>
      <w:r w:rsidRPr="00320A86">
        <w:rPr>
          <w:color w:val="000000"/>
          <w:szCs w:val="28"/>
        </w:rPr>
        <w:t xml:space="preserve"> </w:t>
      </w:r>
      <w:r w:rsidRPr="00320A86">
        <w:rPr>
          <w:rFonts w:eastAsia="Calibri"/>
          <w:color w:val="000000"/>
          <w:szCs w:val="28"/>
        </w:rPr>
        <w:t>depuis</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 xml:space="preserve">Concile de </w:t>
      </w:r>
      <w:r>
        <w:rPr>
          <w:rFonts w:eastAsia="Calibri"/>
          <w:color w:val="000000"/>
          <w:szCs w:val="28"/>
        </w:rPr>
        <w:t>Vatican II</w:t>
      </w:r>
      <w:r w:rsidRPr="00320A86">
        <w:rPr>
          <w:rFonts w:eastAsia="Calibri"/>
          <w:color w:val="000000"/>
          <w:szCs w:val="28"/>
        </w:rPr>
        <w:t>,</w:t>
      </w:r>
      <w:r w:rsidRPr="00320A86">
        <w:rPr>
          <w:color w:val="000000"/>
          <w:szCs w:val="28"/>
        </w:rPr>
        <w:t xml:space="preserve"> </w:t>
      </w:r>
      <w:r w:rsidRPr="00320A86">
        <w:rPr>
          <w:rFonts w:eastAsia="Calibri"/>
          <w:color w:val="000000"/>
          <w:szCs w:val="28"/>
        </w:rPr>
        <w:t>a</w:t>
      </w:r>
      <w:r w:rsidRPr="00320A86">
        <w:rPr>
          <w:color w:val="000000"/>
          <w:szCs w:val="28"/>
        </w:rPr>
        <w:t xml:space="preserve"> </w:t>
      </w:r>
      <w:r w:rsidRPr="00320A86">
        <w:rPr>
          <w:rFonts w:eastAsia="Calibri"/>
          <w:color w:val="000000"/>
          <w:szCs w:val="28"/>
        </w:rPr>
        <w:t>adapté</w:t>
      </w:r>
      <w:r w:rsidRPr="00320A86">
        <w:rPr>
          <w:color w:val="000000"/>
          <w:szCs w:val="28"/>
        </w:rPr>
        <w:t xml:space="preserve"> </w:t>
      </w:r>
      <w:r w:rsidRPr="00320A86">
        <w:rPr>
          <w:rFonts w:eastAsia="Calibri"/>
          <w:color w:val="000000"/>
          <w:szCs w:val="28"/>
        </w:rPr>
        <w:t>sa</w:t>
      </w:r>
      <w:r w:rsidRPr="00320A86">
        <w:rPr>
          <w:color w:val="000000"/>
          <w:szCs w:val="28"/>
        </w:rPr>
        <w:t xml:space="preserve"> </w:t>
      </w:r>
      <w:r w:rsidRPr="00320A86">
        <w:rPr>
          <w:rFonts w:eastAsia="Calibri"/>
          <w:color w:val="000000"/>
          <w:szCs w:val="28"/>
        </w:rPr>
        <w:t>pa</w:t>
      </w:r>
      <w:r w:rsidRPr="00320A86">
        <w:rPr>
          <w:rFonts w:eastAsia="Calibri"/>
          <w:color w:val="000000"/>
          <w:szCs w:val="28"/>
        </w:rPr>
        <w:t>s</w:t>
      </w:r>
      <w:r w:rsidRPr="00320A86">
        <w:rPr>
          <w:rFonts w:eastAsia="Calibri"/>
          <w:color w:val="000000"/>
          <w:szCs w:val="28"/>
        </w:rPr>
        <w:t>torale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cette</w:t>
      </w:r>
      <w:r w:rsidRPr="00320A86">
        <w:rPr>
          <w:color w:val="000000"/>
          <w:szCs w:val="28"/>
        </w:rPr>
        <w:t xml:space="preserve"> </w:t>
      </w:r>
      <w:r w:rsidRPr="00320A86">
        <w:rPr>
          <w:rFonts w:eastAsia="Calibri"/>
          <w:color w:val="000000"/>
          <w:szCs w:val="28"/>
        </w:rPr>
        <w:t>s</w:t>
      </w:r>
      <w:r w:rsidRPr="00320A86">
        <w:rPr>
          <w:rFonts w:eastAsia="Calibri"/>
          <w:color w:val="000000"/>
          <w:szCs w:val="28"/>
        </w:rPr>
        <w:t>i</w:t>
      </w:r>
      <w:r w:rsidRPr="00320A86">
        <w:rPr>
          <w:rFonts w:eastAsia="Calibri"/>
          <w:color w:val="000000"/>
          <w:szCs w:val="28"/>
        </w:rPr>
        <w:t>tuation</w:t>
      </w:r>
      <w:r w:rsidRPr="00320A86">
        <w:rPr>
          <w:color w:val="000000"/>
          <w:szCs w:val="28"/>
        </w:rPr>
        <w:t xml:space="preserve"> </w:t>
      </w:r>
      <w:r w:rsidRPr="00320A86">
        <w:rPr>
          <w:rFonts w:eastAsia="Calibri"/>
          <w:color w:val="000000"/>
          <w:szCs w:val="28"/>
        </w:rPr>
        <w:t>inédite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dangereuse,</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moins</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Occident.</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médiatisation</w:t>
      </w:r>
      <w:r w:rsidRPr="00320A86">
        <w:rPr>
          <w:color w:val="000000"/>
          <w:szCs w:val="28"/>
        </w:rPr>
        <w:t xml:space="preserve"> </w:t>
      </w:r>
      <w:r w:rsidRPr="00320A86">
        <w:rPr>
          <w:rFonts w:eastAsia="Calibri"/>
          <w:color w:val="000000"/>
          <w:szCs w:val="28"/>
        </w:rPr>
        <w:t>lui</w:t>
      </w:r>
      <w:r w:rsidRPr="00320A86">
        <w:rPr>
          <w:color w:val="000000"/>
          <w:szCs w:val="28"/>
        </w:rPr>
        <w:t xml:space="preserve"> </w:t>
      </w:r>
      <w:r w:rsidRPr="00320A86">
        <w:rPr>
          <w:rFonts w:eastAsia="Calibri"/>
          <w:color w:val="000000"/>
          <w:szCs w:val="28"/>
        </w:rPr>
        <w:t>a</w:t>
      </w:r>
      <w:r w:rsidRPr="00320A86">
        <w:rPr>
          <w:color w:val="000000"/>
          <w:szCs w:val="28"/>
        </w:rPr>
        <w:t xml:space="preserve"> </w:t>
      </w:r>
      <w:r w:rsidRPr="00320A86">
        <w:rPr>
          <w:rFonts w:eastAsia="Calibri"/>
          <w:color w:val="000000"/>
          <w:szCs w:val="28"/>
        </w:rPr>
        <w:t>été</w:t>
      </w:r>
      <w:r w:rsidRPr="00320A86">
        <w:rPr>
          <w:color w:val="000000"/>
          <w:szCs w:val="28"/>
        </w:rPr>
        <w:t xml:space="preserve"> </w:t>
      </w:r>
      <w:r w:rsidRPr="00320A86">
        <w:rPr>
          <w:rFonts w:eastAsia="Calibri"/>
          <w:color w:val="000000"/>
          <w:szCs w:val="28"/>
        </w:rPr>
        <w:t>globalement</w:t>
      </w:r>
      <w:r w:rsidRPr="00320A86">
        <w:rPr>
          <w:color w:val="000000"/>
          <w:szCs w:val="28"/>
        </w:rPr>
        <w:t xml:space="preserve"> </w:t>
      </w:r>
      <w:r w:rsidRPr="00320A86">
        <w:rPr>
          <w:rFonts w:eastAsia="Calibri"/>
          <w:color w:val="000000"/>
          <w:szCs w:val="28"/>
        </w:rPr>
        <w:t>favorable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grands</w:t>
      </w:r>
      <w:r w:rsidRPr="00320A86">
        <w:rPr>
          <w:color w:val="000000"/>
          <w:szCs w:val="28"/>
        </w:rPr>
        <w:t xml:space="preserve"> </w:t>
      </w:r>
      <w:r w:rsidRPr="00320A86">
        <w:rPr>
          <w:rFonts w:eastAsia="Calibri"/>
          <w:color w:val="000000"/>
          <w:szCs w:val="28"/>
        </w:rPr>
        <w:t>rasse</w:t>
      </w:r>
      <w:r w:rsidRPr="00320A86">
        <w:rPr>
          <w:rFonts w:eastAsia="Calibri"/>
          <w:color w:val="000000"/>
          <w:szCs w:val="28"/>
        </w:rPr>
        <w:t>m</w:t>
      </w:r>
      <w:r w:rsidRPr="00320A86">
        <w:rPr>
          <w:rFonts w:eastAsia="Calibri"/>
          <w:color w:val="000000"/>
          <w:szCs w:val="28"/>
        </w:rPr>
        <w:t>blements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jeunes</w:t>
      </w:r>
      <w:r w:rsidRPr="00320A86">
        <w:rPr>
          <w:color w:val="000000"/>
          <w:szCs w:val="28"/>
        </w:rPr>
        <w:t xml:space="preserve"> </w:t>
      </w:r>
      <w:r w:rsidRPr="00320A86">
        <w:rPr>
          <w:rFonts w:eastAsia="Calibri"/>
          <w:color w:val="000000"/>
          <w:szCs w:val="28"/>
        </w:rPr>
        <w:t>(</w:t>
      </w:r>
      <w:r w:rsidRPr="00320A86">
        <w:rPr>
          <w:rFonts w:eastAsia="Calibri"/>
          <w:smallCaps/>
          <w:color w:val="000000"/>
          <w:szCs w:val="28"/>
        </w:rPr>
        <w:t>Jmj</w:t>
      </w:r>
      <w:r w:rsidRPr="00320A86">
        <w:rPr>
          <w:rFonts w:eastAsia="Calibri"/>
          <w:color w:val="000000"/>
          <w:szCs w:val="28"/>
        </w:rPr>
        <w:t>)</w:t>
      </w:r>
      <w:r w:rsidRPr="00320A86">
        <w:rPr>
          <w:color w:val="000000"/>
          <w:szCs w:val="28"/>
        </w:rPr>
        <w:t xml:space="preserve"> </w:t>
      </w:r>
      <w:r w:rsidRPr="00320A86">
        <w:rPr>
          <w:rFonts w:eastAsia="Calibri"/>
          <w:color w:val="000000"/>
          <w:szCs w:val="28"/>
        </w:rPr>
        <w:t>initiés</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Jean</w:t>
      </w:r>
      <w:r w:rsidRPr="00320A86">
        <w:rPr>
          <w:color w:val="000000"/>
          <w:szCs w:val="28"/>
        </w:rPr>
        <w:t xml:space="preserve"> </w:t>
      </w:r>
      <w:r w:rsidRPr="00320A86">
        <w:rPr>
          <w:rFonts w:eastAsia="Calibri"/>
          <w:color w:val="000000"/>
          <w:szCs w:val="28"/>
        </w:rPr>
        <w:t>Paul</w:t>
      </w:r>
      <w:r w:rsidRPr="00320A86">
        <w:rPr>
          <w:color w:val="000000"/>
          <w:szCs w:val="28"/>
        </w:rPr>
        <w:t xml:space="preserve"> </w:t>
      </w:r>
      <w:r w:rsidRPr="00320A86">
        <w:rPr>
          <w:rFonts w:eastAsia="Calibri"/>
          <w:color w:val="000000"/>
          <w:szCs w:val="28"/>
        </w:rPr>
        <w:t>II</w:t>
      </w:r>
      <w:r w:rsidRPr="00320A86">
        <w:rPr>
          <w:color w:val="000000"/>
          <w:szCs w:val="28"/>
        </w:rPr>
        <w:t xml:space="preserve">  </w:t>
      </w:r>
      <w:r w:rsidRPr="00320A86">
        <w:rPr>
          <w:rFonts w:eastAsia="Calibri"/>
          <w:color w:val="000000"/>
          <w:szCs w:val="28"/>
        </w:rPr>
        <w:t>ont</w:t>
      </w:r>
      <w:r w:rsidRPr="00320A86">
        <w:rPr>
          <w:color w:val="000000"/>
          <w:szCs w:val="28"/>
        </w:rPr>
        <w:t xml:space="preserve"> </w:t>
      </w:r>
      <w:r w:rsidRPr="00320A86">
        <w:rPr>
          <w:rFonts w:eastAsia="Calibri"/>
          <w:color w:val="000000"/>
          <w:szCs w:val="28"/>
        </w:rPr>
        <w:t>confirmé</w:t>
      </w:r>
      <w:r w:rsidRPr="00320A86">
        <w:rPr>
          <w:color w:val="000000"/>
          <w:szCs w:val="28"/>
        </w:rPr>
        <w:t xml:space="preserve"> </w:t>
      </w:r>
      <w:r w:rsidRPr="00320A86">
        <w:rPr>
          <w:rFonts w:eastAsia="Calibri"/>
          <w:color w:val="000000"/>
          <w:szCs w:val="28"/>
        </w:rPr>
        <w:t>sa</w:t>
      </w:r>
      <w:r w:rsidRPr="00320A86">
        <w:rPr>
          <w:color w:val="000000"/>
          <w:szCs w:val="28"/>
        </w:rPr>
        <w:t xml:space="preserve"> </w:t>
      </w:r>
      <w:r w:rsidRPr="00320A86">
        <w:rPr>
          <w:rFonts w:eastAsia="Calibri"/>
          <w:color w:val="000000"/>
          <w:szCs w:val="28"/>
        </w:rPr>
        <w:t>v</w:t>
      </w:r>
      <w:r w:rsidRPr="00320A86">
        <w:rPr>
          <w:rFonts w:eastAsia="Calibri"/>
          <w:color w:val="000000"/>
          <w:szCs w:val="28"/>
        </w:rPr>
        <w:t>o</w:t>
      </w:r>
      <w:r w:rsidRPr="00320A86">
        <w:rPr>
          <w:rFonts w:eastAsia="Calibri"/>
          <w:color w:val="000000"/>
          <w:szCs w:val="28"/>
        </w:rPr>
        <w:t>cation</w:t>
      </w:r>
      <w:r w:rsidRPr="00320A86">
        <w:rPr>
          <w:color w:val="000000"/>
          <w:szCs w:val="28"/>
        </w:rPr>
        <w:t xml:space="preserve"> </w:t>
      </w:r>
      <w:r w:rsidRPr="00320A86">
        <w:rPr>
          <w:rFonts w:eastAsia="Calibri"/>
          <w:color w:val="000000"/>
          <w:szCs w:val="28"/>
        </w:rPr>
        <w:t>universelle.</w:t>
      </w:r>
      <w:r w:rsidRPr="00320A86">
        <w:rPr>
          <w:color w:val="000000"/>
          <w:szCs w:val="28"/>
        </w:rPr>
        <w:t xml:space="preserve"> </w:t>
      </w:r>
      <w:r w:rsidRPr="00320A86">
        <w:rPr>
          <w:rFonts w:eastAsia="Calibri"/>
          <w:color w:val="000000"/>
          <w:szCs w:val="28"/>
        </w:rPr>
        <w:t>Sur</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plan</w:t>
      </w:r>
      <w:r w:rsidRPr="00320A86">
        <w:rPr>
          <w:color w:val="000000"/>
          <w:szCs w:val="28"/>
        </w:rPr>
        <w:t xml:space="preserve"> </w:t>
      </w:r>
      <w:r w:rsidRPr="00320A86">
        <w:rPr>
          <w:rFonts w:eastAsia="Calibri"/>
          <w:color w:val="000000"/>
          <w:szCs w:val="28"/>
        </w:rPr>
        <w:t>mondial,</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c</w:t>
      </w:r>
      <w:r w:rsidRPr="00320A86">
        <w:rPr>
          <w:color w:val="000000"/>
          <w:szCs w:val="28"/>
        </w:rPr>
        <w:t>’</w:t>
      </w:r>
      <w:r w:rsidRPr="00320A86">
        <w:rPr>
          <w:rFonts w:eastAsia="Calibri"/>
          <w:color w:val="000000"/>
          <w:szCs w:val="28"/>
        </w:rPr>
        <w:t>est</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perspective</w:t>
      </w:r>
      <w:r w:rsidRPr="00320A86">
        <w:rPr>
          <w:color w:val="000000"/>
          <w:szCs w:val="28"/>
        </w:rPr>
        <w:t xml:space="preserve"> </w:t>
      </w:r>
      <w:r w:rsidRPr="00320A86">
        <w:rPr>
          <w:rFonts w:eastAsia="Calibri"/>
          <w:color w:val="000000"/>
          <w:szCs w:val="28"/>
        </w:rPr>
        <w:t>qu</w:t>
      </w:r>
      <w:r w:rsidRPr="00320A86">
        <w:rPr>
          <w:color w:val="000000"/>
          <w:szCs w:val="28"/>
        </w:rPr>
        <w:t>’</w:t>
      </w:r>
      <w:r w:rsidRPr="00320A86">
        <w:rPr>
          <w:rFonts w:eastAsia="Calibri"/>
          <w:color w:val="000000"/>
          <w:szCs w:val="28"/>
        </w:rPr>
        <w:t>il</w:t>
      </w:r>
      <w:r w:rsidRPr="00320A86">
        <w:rPr>
          <w:color w:val="000000"/>
          <w:szCs w:val="28"/>
        </w:rPr>
        <w:t xml:space="preserve"> </w:t>
      </w:r>
      <w:r w:rsidRPr="00320A86">
        <w:rPr>
          <w:rFonts w:eastAsia="Calibri"/>
          <w:color w:val="000000"/>
          <w:szCs w:val="28"/>
        </w:rPr>
        <w:t>convient</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adopter</w:t>
      </w:r>
      <w:r w:rsidRPr="00320A86">
        <w:rPr>
          <w:color w:val="000000"/>
          <w:szCs w:val="28"/>
        </w:rPr>
        <w:t xml:space="preserve"> </w:t>
      </w:r>
      <w:r w:rsidRPr="00320A86">
        <w:rPr>
          <w:rFonts w:eastAsia="Calibri"/>
          <w:color w:val="000000"/>
          <w:szCs w:val="28"/>
        </w:rPr>
        <w:t>aujourd</w:t>
      </w:r>
      <w:r w:rsidRPr="00320A86">
        <w:rPr>
          <w:color w:val="000000"/>
          <w:szCs w:val="28"/>
        </w:rPr>
        <w:t>’</w:t>
      </w:r>
      <w:r w:rsidRPr="00320A86">
        <w:rPr>
          <w:rFonts w:eastAsia="Calibri"/>
          <w:color w:val="000000"/>
          <w:szCs w:val="28"/>
        </w:rPr>
        <w:t>hui,</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catholicisme</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rel</w:t>
      </w:r>
      <w:r w:rsidRPr="00320A86">
        <w:rPr>
          <w:rFonts w:eastAsia="Calibri"/>
          <w:color w:val="000000"/>
          <w:szCs w:val="28"/>
        </w:rPr>
        <w:t>i</w:t>
      </w:r>
      <w:r w:rsidRPr="00320A86">
        <w:rPr>
          <w:rFonts w:eastAsia="Calibri"/>
          <w:color w:val="000000"/>
          <w:szCs w:val="28"/>
        </w:rPr>
        <w:t>gion</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connaît</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fortes</w:t>
      </w:r>
      <w:r w:rsidRPr="00320A86">
        <w:rPr>
          <w:color w:val="000000"/>
          <w:szCs w:val="28"/>
        </w:rPr>
        <w:t xml:space="preserve"> </w:t>
      </w:r>
      <w:r w:rsidRPr="00320A86">
        <w:rPr>
          <w:rFonts w:eastAsia="Calibri"/>
          <w:color w:val="000000"/>
          <w:szCs w:val="28"/>
        </w:rPr>
        <w:t>progressions,</w:t>
      </w:r>
      <w:r w:rsidRPr="00320A86">
        <w:rPr>
          <w:color w:val="000000"/>
          <w:szCs w:val="28"/>
        </w:rPr>
        <w:t xml:space="preserve"> </w:t>
      </w:r>
      <w:r w:rsidRPr="00320A86">
        <w:rPr>
          <w:rFonts w:eastAsia="Calibri"/>
          <w:color w:val="000000"/>
          <w:szCs w:val="28"/>
        </w:rPr>
        <w:t>grâce</w:t>
      </w:r>
      <w:r w:rsidRPr="00320A86">
        <w:rPr>
          <w:color w:val="000000"/>
          <w:szCs w:val="28"/>
        </w:rPr>
        <w:t xml:space="preserve"> </w:t>
      </w:r>
      <w:r w:rsidRPr="00320A86">
        <w:rPr>
          <w:rFonts w:eastAsia="Calibri"/>
          <w:color w:val="000000"/>
          <w:szCs w:val="28"/>
        </w:rPr>
        <w:t>aux</w:t>
      </w:r>
      <w:r w:rsidRPr="00320A86">
        <w:rPr>
          <w:color w:val="000000"/>
          <w:szCs w:val="28"/>
        </w:rPr>
        <w:t xml:space="preserve"> </w:t>
      </w:r>
      <w:r w:rsidRPr="00320A86">
        <w:rPr>
          <w:rFonts w:eastAsia="Calibri"/>
          <w:color w:val="000000"/>
          <w:szCs w:val="28"/>
        </w:rPr>
        <w:t>apports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Afrique</w:t>
      </w:r>
      <w:r w:rsidRPr="00320A86">
        <w:rPr>
          <w:color w:val="000000"/>
          <w:szCs w:val="28"/>
        </w:rPr>
        <w:t xml:space="preserve"> </w:t>
      </w:r>
      <w:r w:rsidRPr="00320A86">
        <w:rPr>
          <w:rFonts w:eastAsia="Calibri"/>
          <w:color w:val="000000"/>
          <w:szCs w:val="28"/>
        </w:rPr>
        <w:t>subsaharienne,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Asie.</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résultats</w:t>
      </w:r>
      <w:r w:rsidRPr="00320A86">
        <w:rPr>
          <w:color w:val="000000"/>
          <w:szCs w:val="28"/>
        </w:rPr>
        <w:t xml:space="preserve"> </w:t>
      </w:r>
      <w:r w:rsidRPr="00320A86">
        <w:rPr>
          <w:rFonts w:eastAsia="Calibri"/>
          <w:color w:val="000000"/>
          <w:szCs w:val="28"/>
        </w:rPr>
        <w:t>sont</w:t>
      </w:r>
      <w:r w:rsidRPr="00320A86">
        <w:rPr>
          <w:color w:val="000000"/>
          <w:szCs w:val="28"/>
        </w:rPr>
        <w:t xml:space="preserve"> </w:t>
      </w:r>
      <w:r w:rsidRPr="00320A86">
        <w:rPr>
          <w:rFonts w:eastAsia="Calibri"/>
          <w:color w:val="000000"/>
          <w:szCs w:val="28"/>
        </w:rPr>
        <w:t>spect</w:t>
      </w:r>
      <w:r w:rsidRPr="00320A86">
        <w:rPr>
          <w:rFonts w:eastAsia="Calibri"/>
          <w:color w:val="000000"/>
          <w:szCs w:val="28"/>
        </w:rPr>
        <w:t>a</w:t>
      </w:r>
      <w:r w:rsidRPr="00320A86">
        <w:rPr>
          <w:rFonts w:eastAsia="Calibri"/>
          <w:color w:val="000000"/>
          <w:szCs w:val="28"/>
        </w:rPr>
        <w:t>culaires</w:t>
      </w:r>
      <w:r w:rsidRPr="00320A86">
        <w:rPr>
          <w:color w:val="000000"/>
          <w:szCs w:val="28"/>
        </w:rPr>
        <w:t xml:space="preserve"> : </w:t>
      </w:r>
      <w:r w:rsidRPr="00320A86">
        <w:rPr>
          <w:rFonts w:eastAsia="Calibri"/>
          <w:color w:val="000000"/>
          <w:szCs w:val="28"/>
        </w:rPr>
        <w:t>en</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320A86">
        <w:rPr>
          <w:rFonts w:eastAsia="Calibri"/>
          <w:color w:val="000000"/>
          <w:szCs w:val="28"/>
        </w:rPr>
        <w:t>siècle,</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nombre</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catholiques</w:t>
      </w:r>
      <w:r w:rsidRPr="00320A86">
        <w:rPr>
          <w:color w:val="000000"/>
          <w:szCs w:val="28"/>
        </w:rPr>
        <w:t xml:space="preserve"> </w:t>
      </w:r>
      <w:r w:rsidRPr="00320A86">
        <w:rPr>
          <w:rFonts w:eastAsia="Calibri"/>
          <w:color w:val="000000"/>
          <w:szCs w:val="28"/>
        </w:rPr>
        <w:t>a</w:t>
      </w:r>
      <w:r w:rsidRPr="00320A86">
        <w:rPr>
          <w:color w:val="000000"/>
          <w:szCs w:val="28"/>
        </w:rPr>
        <w:t xml:space="preserve"> </w:t>
      </w:r>
      <w:r w:rsidRPr="00320A86">
        <w:rPr>
          <w:rFonts w:eastAsia="Calibri"/>
          <w:color w:val="000000"/>
          <w:szCs w:val="28"/>
        </w:rPr>
        <w:t>triplé,</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leur</w:t>
      </w:r>
      <w:r w:rsidRPr="00320A86">
        <w:rPr>
          <w:color w:val="000000"/>
          <w:szCs w:val="28"/>
        </w:rPr>
        <w:t xml:space="preserve"> </w:t>
      </w:r>
      <w:r w:rsidRPr="00320A86">
        <w:rPr>
          <w:rFonts w:eastAsia="Calibri"/>
          <w:color w:val="000000"/>
          <w:szCs w:val="28"/>
        </w:rPr>
        <w:t>pr</w:t>
      </w:r>
      <w:r w:rsidRPr="00320A86">
        <w:rPr>
          <w:rFonts w:eastAsia="Calibri"/>
          <w:color w:val="000000"/>
          <w:szCs w:val="28"/>
        </w:rPr>
        <w:t>o</w:t>
      </w:r>
      <w:r w:rsidRPr="00320A86">
        <w:rPr>
          <w:rFonts w:eastAsia="Calibri"/>
          <w:color w:val="000000"/>
          <w:szCs w:val="28"/>
        </w:rPr>
        <w:t>portion</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popul</w:t>
      </w:r>
      <w:r w:rsidRPr="00320A86">
        <w:rPr>
          <w:rFonts w:eastAsia="Calibri"/>
          <w:color w:val="000000"/>
          <w:szCs w:val="28"/>
        </w:rPr>
        <w:t>a</w:t>
      </w:r>
      <w:r w:rsidRPr="00320A86">
        <w:rPr>
          <w:rFonts w:eastAsia="Calibri"/>
          <w:color w:val="000000"/>
          <w:szCs w:val="28"/>
        </w:rPr>
        <w:t>tion</w:t>
      </w:r>
      <w:r w:rsidRPr="00320A86">
        <w:rPr>
          <w:color w:val="000000"/>
          <w:szCs w:val="28"/>
        </w:rPr>
        <w:t xml:space="preserve"> </w:t>
      </w:r>
      <w:r w:rsidRPr="00320A86">
        <w:rPr>
          <w:rFonts w:eastAsia="Calibri"/>
          <w:color w:val="000000"/>
          <w:szCs w:val="28"/>
        </w:rPr>
        <w:t>totale</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restée</w:t>
      </w:r>
      <w:r w:rsidRPr="00320A86">
        <w:rPr>
          <w:color w:val="000000"/>
          <w:szCs w:val="28"/>
        </w:rPr>
        <w:t xml:space="preserve"> </w:t>
      </w:r>
      <w:r w:rsidRPr="00320A86">
        <w:rPr>
          <w:rFonts w:eastAsia="Calibri"/>
          <w:color w:val="000000"/>
          <w:szCs w:val="28"/>
        </w:rPr>
        <w:t>stable</w:t>
      </w:r>
      <w:r w:rsidRPr="00320A86">
        <w:rPr>
          <w:color w:val="000000"/>
          <w:szCs w:val="28"/>
        </w:rPr>
        <w:t xml:space="preserve"> </w:t>
      </w:r>
      <w:r w:rsidRPr="00320A86">
        <w:rPr>
          <w:rFonts w:eastAsia="Calibri"/>
          <w:color w:val="000000"/>
          <w:szCs w:val="28"/>
        </w:rPr>
        <w:t>(17 %)</w:t>
      </w:r>
      <w:r>
        <w:rPr>
          <w:rFonts w:eastAsia="Calibri"/>
          <w:color w:val="000000"/>
          <w:szCs w:val="28"/>
        </w:rPr>
        <w:t> </w:t>
      </w:r>
      <w:r>
        <w:rPr>
          <w:rStyle w:val="Appelnotedebasdep"/>
          <w:rFonts w:eastAsia="Calibri"/>
          <w:szCs w:val="28"/>
        </w:rPr>
        <w:footnoteReference w:id="1191"/>
      </w:r>
      <w:r w:rsidRPr="00320A86">
        <w:rPr>
          <w:rFonts w:eastAsia="Calibri"/>
          <w:color w:val="000000"/>
          <w:szCs w:val="28"/>
        </w:rPr>
        <w: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2010,</w:t>
      </w:r>
      <w:r w:rsidRPr="00320A86">
        <w:rPr>
          <w:color w:val="000000"/>
          <w:szCs w:val="28"/>
        </w:rPr>
        <w:t xml:space="preserve"> </w:t>
      </w:r>
      <w:r w:rsidRPr="00320A86">
        <w:rPr>
          <w:rFonts w:eastAsia="Calibri"/>
          <w:color w:val="000000"/>
          <w:szCs w:val="28"/>
        </w:rPr>
        <w:t>on</w:t>
      </w:r>
      <w:r w:rsidRPr="00320A86">
        <w:rPr>
          <w:color w:val="000000"/>
          <w:szCs w:val="28"/>
        </w:rPr>
        <w:t xml:space="preserve"> </w:t>
      </w:r>
      <w:r w:rsidRPr="00320A86">
        <w:rPr>
          <w:rFonts w:eastAsia="Calibri"/>
          <w:color w:val="000000"/>
          <w:szCs w:val="28"/>
        </w:rPr>
        <w:t>enregistrait</w:t>
      </w:r>
      <w:r w:rsidRPr="00320A86">
        <w:rPr>
          <w:color w:val="000000"/>
          <w:szCs w:val="28"/>
        </w:rPr>
        <w:t xml:space="preserve">  </w:t>
      </w:r>
      <w:r w:rsidRPr="00320A86">
        <w:rPr>
          <w:rFonts w:eastAsia="Calibri"/>
          <w:color w:val="000000"/>
          <w:szCs w:val="28"/>
        </w:rPr>
        <w:t>une</w:t>
      </w:r>
      <w:r w:rsidRPr="00320A86">
        <w:rPr>
          <w:color w:val="000000"/>
          <w:szCs w:val="28"/>
        </w:rPr>
        <w:t xml:space="preserve"> croissance </w:t>
      </w:r>
      <w:r w:rsidRPr="00320A86">
        <w:rPr>
          <w:rFonts w:eastAsia="Calibri"/>
          <w:color w:val="000000"/>
          <w:szCs w:val="28"/>
        </w:rPr>
        <w:t>de</w:t>
      </w:r>
      <w:r w:rsidRPr="00320A86">
        <w:rPr>
          <w:color w:val="000000"/>
          <w:szCs w:val="28"/>
        </w:rPr>
        <w:t xml:space="preserve"> </w:t>
      </w:r>
      <w:r w:rsidRPr="00320A86">
        <w:rPr>
          <w:rFonts w:eastAsia="Calibri"/>
          <w:color w:val="000000"/>
          <w:szCs w:val="28"/>
        </w:rPr>
        <w:t>15</w:t>
      </w:r>
      <w:r w:rsidRPr="00320A86">
        <w:rPr>
          <w:color w:val="000000"/>
          <w:szCs w:val="28"/>
        </w:rPr>
        <w:t xml:space="preserve"> </w:t>
      </w:r>
      <w:r w:rsidRPr="00320A86">
        <w:rPr>
          <w:rFonts w:eastAsia="Calibri"/>
          <w:color w:val="000000"/>
          <w:szCs w:val="28"/>
        </w:rPr>
        <w:t>millions</w:t>
      </w:r>
      <w:r w:rsidRPr="00320A86">
        <w:rPr>
          <w:color w:val="000000"/>
          <w:szCs w:val="28"/>
        </w:rPr>
        <w:t xml:space="preserve"> </w:t>
      </w:r>
      <w:r w:rsidRPr="00320A86">
        <w:rPr>
          <w:rFonts w:eastAsia="Calibri"/>
          <w:color w:val="000000"/>
          <w:szCs w:val="28"/>
        </w:rPr>
        <w:t>des croyants,</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voc</w:t>
      </w:r>
      <w:r w:rsidRPr="00320A86">
        <w:rPr>
          <w:rFonts w:eastAsia="Calibri"/>
          <w:color w:val="000000"/>
          <w:szCs w:val="28"/>
        </w:rPr>
        <w:t>a</w:t>
      </w:r>
      <w:r w:rsidRPr="00320A86">
        <w:rPr>
          <w:rFonts w:eastAsia="Calibri"/>
          <w:color w:val="000000"/>
          <w:szCs w:val="28"/>
        </w:rPr>
        <w:t>tions</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augmentation</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14</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15 %</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Afrique,</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Asie,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Océ</w:t>
      </w:r>
      <w:r w:rsidRPr="00320A86">
        <w:rPr>
          <w:rFonts w:eastAsia="Calibri"/>
          <w:color w:val="000000"/>
          <w:szCs w:val="28"/>
        </w:rPr>
        <w:t>a</w:t>
      </w:r>
      <w:r w:rsidRPr="00320A86">
        <w:rPr>
          <w:rFonts w:eastAsia="Calibri"/>
          <w:color w:val="000000"/>
          <w:szCs w:val="28"/>
        </w:rPr>
        <w:t>nie,</w:t>
      </w:r>
      <w:r w:rsidRPr="00320A86">
        <w:rPr>
          <w:color w:val="000000"/>
          <w:szCs w:val="28"/>
        </w:rPr>
        <w:t xml:space="preserve"> </w:t>
      </w:r>
      <w:r w:rsidRPr="00320A86">
        <w:rPr>
          <w:rFonts w:eastAsia="Calibri"/>
          <w:color w:val="000000"/>
          <w:szCs w:val="28"/>
        </w:rPr>
        <w:t>compensant</w:t>
      </w:r>
      <w:r w:rsidRPr="00320A86">
        <w:rPr>
          <w:color w:val="000000"/>
          <w:szCs w:val="28"/>
        </w:rPr>
        <w:t xml:space="preserve"> </w:t>
      </w:r>
      <w:r w:rsidRPr="00320A86">
        <w:rPr>
          <w:rFonts w:eastAsia="Calibri"/>
          <w:color w:val="000000"/>
          <w:szCs w:val="28"/>
        </w:rPr>
        <w:t>largement</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déclins</w:t>
      </w:r>
      <w:r w:rsidRPr="00320A86">
        <w:rPr>
          <w:color w:val="000000"/>
          <w:szCs w:val="28"/>
        </w:rPr>
        <w:t xml:space="preserve"> </w:t>
      </w:r>
      <w:r w:rsidRPr="00320A86">
        <w:rPr>
          <w:rFonts w:eastAsia="Calibri"/>
          <w:color w:val="000000"/>
          <w:szCs w:val="28"/>
        </w:rPr>
        <w:t>observés</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E</w:t>
      </w:r>
      <w:r w:rsidRPr="00320A86">
        <w:rPr>
          <w:rFonts w:eastAsia="Calibri"/>
          <w:color w:val="000000"/>
          <w:szCs w:val="28"/>
        </w:rPr>
        <w:t>u</w:t>
      </w:r>
      <w:r w:rsidRPr="00320A86">
        <w:rPr>
          <w:rFonts w:eastAsia="Calibri"/>
          <w:color w:val="000000"/>
          <w:szCs w:val="28"/>
        </w:rPr>
        <w:t>rope</w:t>
      </w:r>
      <w:r w:rsidRPr="00320A86">
        <w:rPr>
          <w:color w:val="000000"/>
          <w:szCs w:val="28"/>
        </w:rPr>
        <w:t xml:space="preserve"> </w:t>
      </w:r>
      <w:r w:rsidRPr="00320A86">
        <w:rPr>
          <w:rFonts w:eastAsia="Calibri"/>
          <w:color w:val="000000"/>
          <w:szCs w:val="28"/>
        </w:rPr>
        <w:t>(-10,4 %),</w:t>
      </w:r>
      <w:r w:rsidRPr="00320A86">
        <w:rPr>
          <w:color w:val="000000"/>
          <w:szCs w:val="28"/>
        </w:rPr>
        <w:t xml:space="preserve"> </w:t>
      </w:r>
      <w:r w:rsidRPr="00320A86">
        <w:rPr>
          <w:rFonts w:eastAsia="Calibri"/>
          <w:color w:val="000000"/>
          <w:szCs w:val="28"/>
        </w:rPr>
        <w:t>mais</w:t>
      </w:r>
      <w:r w:rsidRPr="00320A86">
        <w:rPr>
          <w:color w:val="000000"/>
          <w:szCs w:val="28"/>
        </w:rPr>
        <w:t xml:space="preserve"> </w:t>
      </w:r>
      <w:r w:rsidRPr="00320A86">
        <w:rPr>
          <w:rFonts w:eastAsia="Calibri"/>
          <w:color w:val="000000"/>
          <w:szCs w:val="28"/>
        </w:rPr>
        <w:t>aussi</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Amérique</w:t>
      </w:r>
      <w:r w:rsidRPr="00320A86">
        <w:rPr>
          <w:color w:val="000000"/>
          <w:szCs w:val="28"/>
        </w:rPr>
        <w:t xml:space="preserve"> </w:t>
      </w:r>
      <w:r w:rsidRPr="00320A86">
        <w:rPr>
          <w:rFonts w:eastAsia="Calibri"/>
          <w:color w:val="000000"/>
          <w:szCs w:val="28"/>
        </w:rPr>
        <w:t>latine</w:t>
      </w:r>
      <w:r w:rsidRPr="00320A86">
        <w:rPr>
          <w:color w:val="000000"/>
          <w:szCs w:val="28"/>
        </w:rPr>
        <w:t xml:space="preserve"> </w:t>
      </w:r>
      <w:r w:rsidRPr="00320A86">
        <w:rPr>
          <w:rFonts w:eastAsia="Calibri"/>
          <w:color w:val="000000"/>
          <w:szCs w:val="28"/>
        </w:rPr>
        <w:t>(-1,1%)</w:t>
      </w:r>
      <w:r>
        <w:rPr>
          <w:rFonts w:eastAsia="Calibri"/>
          <w:color w:val="000000"/>
          <w:szCs w:val="28"/>
        </w:rPr>
        <w:t> </w:t>
      </w:r>
      <w:r>
        <w:rPr>
          <w:rStyle w:val="Appelnotedebasdep"/>
          <w:rFonts w:eastAsia="Calibri"/>
          <w:szCs w:val="28"/>
        </w:rPr>
        <w:footnoteReference w:id="1192"/>
      </w:r>
      <w:r w:rsidRPr="00320A86">
        <w:rPr>
          <w:rFonts w:eastAsia="Calibri"/>
          <w:color w:val="000000"/>
          <w:szCs w:val="28"/>
        </w:rPr>
        <w:t>.</w:t>
      </w:r>
      <w:r w:rsidRPr="00320A86">
        <w:rPr>
          <w:color w:val="000000"/>
          <w:szCs w:val="28"/>
        </w:rPr>
        <w:t xml:space="preserve"> Ainsi, tandis que le cathol</w:t>
      </w:r>
      <w:r w:rsidRPr="00320A86">
        <w:rPr>
          <w:color w:val="000000"/>
          <w:szCs w:val="28"/>
        </w:rPr>
        <w:t>i</w:t>
      </w:r>
      <w:r w:rsidRPr="00320A86">
        <w:rPr>
          <w:color w:val="000000"/>
          <w:szCs w:val="28"/>
        </w:rPr>
        <w:t>cisme européen compte ses ouailles et se divise au sujet de la messe en latin, ce sont des prêtres africains qui viennent majoritair</w:t>
      </w:r>
      <w:r w:rsidRPr="00320A86">
        <w:rPr>
          <w:color w:val="000000"/>
          <w:szCs w:val="28"/>
        </w:rPr>
        <w:t>e</w:t>
      </w:r>
      <w:r w:rsidRPr="00320A86">
        <w:rPr>
          <w:color w:val="000000"/>
          <w:szCs w:val="28"/>
        </w:rPr>
        <w:t>ment en appoint du clergé français vieillissant</w:t>
      </w:r>
      <w:r>
        <w:rPr>
          <w:color w:val="000000"/>
          <w:szCs w:val="28"/>
        </w:rPr>
        <w:t> </w:t>
      </w:r>
      <w:r>
        <w:rPr>
          <w:rStyle w:val="Appelnotedebasdep"/>
          <w:szCs w:val="28"/>
        </w:rPr>
        <w:footnoteReference w:id="1193"/>
      </w:r>
      <w:r w:rsidRPr="00320A86">
        <w:rPr>
          <w:rFonts w:eastAsia="Calibri"/>
          <w:color w:val="000000"/>
          <w:szCs w:val="28"/>
        </w:rPr>
        <w:t>.</w:t>
      </w:r>
      <w:r w:rsidRPr="00320A86">
        <w:rPr>
          <w:color w:val="000000"/>
          <w:szCs w:val="28"/>
        </w:rPr>
        <w:t xml:space="preserve"> Mais au moment où le Vat</w:t>
      </w:r>
      <w:r w:rsidRPr="00320A86">
        <w:rPr>
          <w:color w:val="000000"/>
          <w:szCs w:val="28"/>
        </w:rPr>
        <w:t>i</w:t>
      </w:r>
      <w:r w:rsidRPr="00320A86">
        <w:rPr>
          <w:color w:val="000000"/>
          <w:szCs w:val="28"/>
        </w:rPr>
        <w:t xml:space="preserve">can fait de la </w:t>
      </w:r>
      <w:r w:rsidRPr="00E11556">
        <w:rPr>
          <w:rFonts w:eastAsia="Calibri"/>
          <w:i/>
          <w:color w:val="000000"/>
          <w:szCs w:val="28"/>
        </w:rPr>
        <w:t>nouvelle</w:t>
      </w:r>
      <w:r w:rsidRPr="00E11556">
        <w:rPr>
          <w:i/>
          <w:color w:val="000000"/>
          <w:szCs w:val="28"/>
        </w:rPr>
        <w:t xml:space="preserve"> évangélisation </w:t>
      </w:r>
      <w:r>
        <w:rPr>
          <w:rStyle w:val="Appelnotedebasdep"/>
          <w:szCs w:val="28"/>
        </w:rPr>
        <w:footnoteReference w:id="1194"/>
      </w:r>
      <w:r w:rsidRPr="00320A86">
        <w:rPr>
          <w:color w:val="000000"/>
          <w:szCs w:val="28"/>
        </w:rPr>
        <w:t xml:space="preserve">, </w:t>
      </w:r>
      <w:r w:rsidRPr="00320A86">
        <w:rPr>
          <w:rFonts w:eastAsia="Calibri"/>
          <w:color w:val="000000"/>
          <w:szCs w:val="28"/>
        </w:rPr>
        <w:t>un</w:t>
      </w:r>
      <w:r w:rsidRPr="00320A86">
        <w:rPr>
          <w:color w:val="000000"/>
          <w:szCs w:val="28"/>
        </w:rPr>
        <w:t xml:space="preserve">  mot d’ordre, parce qu’il est conscient du déclin de l’Église en Occident, le catholicisme fra</w:t>
      </w:r>
      <w:r w:rsidRPr="00320A86">
        <w:rPr>
          <w:color w:val="000000"/>
          <w:szCs w:val="28"/>
        </w:rPr>
        <w:t>n</w:t>
      </w:r>
      <w:r w:rsidRPr="00320A86">
        <w:rPr>
          <w:color w:val="000000"/>
          <w:szCs w:val="28"/>
        </w:rPr>
        <w:t>çais n’a toujours pas surmonté ses divisions internes au sujet de la r</w:t>
      </w:r>
      <w:r w:rsidRPr="00320A86">
        <w:rPr>
          <w:color w:val="000000"/>
          <w:szCs w:val="28"/>
        </w:rPr>
        <w:t>é</w:t>
      </w:r>
      <w:r w:rsidRPr="00320A86">
        <w:rPr>
          <w:color w:val="000000"/>
          <w:szCs w:val="28"/>
        </w:rPr>
        <w:t xml:space="preserve">forme liturgique ou de l’interprétation du Concile </w:t>
      </w:r>
      <w:r>
        <w:rPr>
          <w:color w:val="000000"/>
          <w:szCs w:val="28"/>
        </w:rPr>
        <w:t>Vat</w:t>
      </w:r>
      <w:r>
        <w:rPr>
          <w:color w:val="000000"/>
          <w:szCs w:val="28"/>
        </w:rPr>
        <w:t>i</w:t>
      </w:r>
      <w:r>
        <w:rPr>
          <w:color w:val="000000"/>
          <w:szCs w:val="28"/>
        </w:rPr>
        <w:t>can II</w:t>
      </w:r>
      <w:r w:rsidRPr="00320A86">
        <w:rPr>
          <w:color w:val="000000"/>
          <w:szCs w:val="28"/>
        </w:rPr>
        <w:t xml:space="preserve">, </w:t>
      </w:r>
      <w:r w:rsidRPr="00320A86">
        <w:rPr>
          <w:color w:val="000000"/>
          <w:szCs w:val="28"/>
          <w:shd w:val="clear" w:color="auto" w:fill="FFFFFF"/>
        </w:rPr>
        <w:t>tandis que son identité est émiettée, même si, finalement, elle reste réelle, d’une façon d’ailleurs très difficile à comptabiliser</w:t>
      </w:r>
      <w:r w:rsidRPr="00320A86">
        <w:rPr>
          <w:color w:val="000000"/>
          <w:szCs w:val="28"/>
        </w:rPr>
        <w:t>. Comme si une troupe aux objectifs conquérants se disputait sur la couleur de ses un</w:t>
      </w:r>
      <w:r w:rsidRPr="00320A86">
        <w:rPr>
          <w:color w:val="000000"/>
          <w:szCs w:val="28"/>
        </w:rPr>
        <w:t>i</w:t>
      </w:r>
      <w:r w:rsidRPr="00320A86">
        <w:rPr>
          <w:color w:val="000000"/>
          <w:szCs w:val="28"/>
        </w:rPr>
        <w:t>formes ou le dessin de ses bannières ! C’est ce décalage entre les e</w:t>
      </w:r>
      <w:r w:rsidRPr="00320A86">
        <w:rPr>
          <w:color w:val="000000"/>
          <w:szCs w:val="28"/>
        </w:rPr>
        <w:t>n</w:t>
      </w:r>
      <w:r w:rsidRPr="00320A86">
        <w:rPr>
          <w:color w:val="000000"/>
          <w:szCs w:val="28"/>
        </w:rPr>
        <w:t>jeux du catholicisme et sa pratique interne qui frappe l’observateur, alors que paradoxalement il n’hypothèque pas forc</w:t>
      </w:r>
      <w:r w:rsidRPr="00320A86">
        <w:rPr>
          <w:color w:val="000000"/>
          <w:szCs w:val="28"/>
        </w:rPr>
        <w:t>é</w:t>
      </w:r>
      <w:r w:rsidRPr="00320A86">
        <w:rPr>
          <w:color w:val="000000"/>
          <w:szCs w:val="28"/>
        </w:rPr>
        <w:t xml:space="preserve">ment ses chances de reconquête. Entre la  </w:t>
      </w:r>
      <w:r w:rsidRPr="00E11556">
        <w:rPr>
          <w:i/>
          <w:color w:val="000000"/>
          <w:szCs w:val="28"/>
        </w:rPr>
        <w:t>messe de saint Pie V</w:t>
      </w:r>
      <w:r w:rsidRPr="00320A86">
        <w:rPr>
          <w:color w:val="000000"/>
          <w:szCs w:val="28"/>
        </w:rPr>
        <w:t xml:space="preserve"> et les </w:t>
      </w:r>
      <w:r w:rsidRPr="00E11556">
        <w:rPr>
          <w:rFonts w:eastAsia="Calibri"/>
          <w:i/>
          <w:smallCaps/>
          <w:color w:val="000000"/>
          <w:szCs w:val="28"/>
        </w:rPr>
        <w:t>Adap</w:t>
      </w:r>
      <w:r w:rsidRPr="00320A86">
        <w:rPr>
          <w:rFonts w:eastAsia="Calibri"/>
          <w:color w:val="000000"/>
          <w:szCs w:val="28"/>
        </w:rPr>
        <w:t xml:space="preserve"> </w:t>
      </w:r>
      <w:r w:rsidRPr="00320A86">
        <w:rPr>
          <w:color w:val="000000"/>
          <w:szCs w:val="28"/>
        </w:rPr>
        <w:t xml:space="preserve">(Assemblée dominicale en Absence de Prêtre), « l’offre » de pratique religieuse s’est elle-même diversifiée, ce qui est une forme d’adaptation à un public post-moderne, soucieux de ses choix avant tout personnels. Dans ce panorama parfois confus, l’option intégriste apparaît avant tout comme une </w:t>
      </w:r>
      <w:r w:rsidRPr="00E11556">
        <w:rPr>
          <w:rFonts w:eastAsia="Calibri"/>
          <w:i/>
          <w:color w:val="000000"/>
          <w:szCs w:val="28"/>
        </w:rPr>
        <w:t>réaction</w:t>
      </w:r>
      <w:r w:rsidRPr="00E11556">
        <w:rPr>
          <w:i/>
          <w:color w:val="000000"/>
          <w:szCs w:val="28"/>
        </w:rPr>
        <w:t xml:space="preserve"> décalée</w:t>
      </w:r>
      <w:r w:rsidRPr="00320A86">
        <w:rPr>
          <w:color w:val="000000"/>
          <w:szCs w:val="28"/>
        </w:rPr>
        <w:t xml:space="preserve"> – ou un </w:t>
      </w:r>
      <w:r w:rsidRPr="00E11556">
        <w:rPr>
          <w:rFonts w:eastAsia="Calibri"/>
          <w:i/>
          <w:color w:val="000000"/>
          <w:szCs w:val="28"/>
        </w:rPr>
        <w:t>décalage</w:t>
      </w:r>
      <w:r w:rsidRPr="00E11556">
        <w:rPr>
          <w:i/>
          <w:color w:val="000000"/>
          <w:szCs w:val="28"/>
        </w:rPr>
        <w:t xml:space="preserve"> réactionnaire</w:t>
      </w:r>
      <w:r w:rsidRPr="00E11556">
        <w:rPr>
          <w:rFonts w:eastAsia="Calibri"/>
          <w:i/>
          <w:color w:val="000000"/>
          <w:szCs w:val="28"/>
        </w:rPr>
        <w:t> </w:t>
      </w:r>
      <w:r w:rsidRPr="00320A86">
        <w:rPr>
          <w:rFonts w:eastAsia="Calibri"/>
          <w:color w:val="000000"/>
          <w:szCs w:val="28"/>
        </w:rPr>
        <w:t>–</w:t>
      </w:r>
      <w:r w:rsidRPr="00320A86">
        <w:rPr>
          <w:color w:val="000000"/>
          <w:szCs w:val="28"/>
        </w:rPr>
        <w:t xml:space="preserve"> face à la recomposition du catholicisme français à la su</w:t>
      </w:r>
      <w:r w:rsidRPr="00320A86">
        <w:rPr>
          <w:color w:val="000000"/>
          <w:szCs w:val="28"/>
        </w:rPr>
        <w:t>i</w:t>
      </w:r>
      <w:r w:rsidRPr="00320A86">
        <w:rPr>
          <w:color w:val="000000"/>
          <w:szCs w:val="28"/>
        </w:rPr>
        <w:t xml:space="preserve">te du Concile </w:t>
      </w:r>
      <w:r>
        <w:rPr>
          <w:color w:val="000000"/>
          <w:szCs w:val="28"/>
        </w:rPr>
        <w:t>Vatican II</w:t>
      </w:r>
      <w:r w:rsidRPr="00320A86">
        <w:rPr>
          <w:color w:val="000000"/>
          <w:szCs w:val="28"/>
        </w:rPr>
        <w:t>.</w:t>
      </w:r>
    </w:p>
    <w:p w14:paraId="42707BBE" w14:textId="77777777" w:rsidR="00B01930" w:rsidRPr="00320A86" w:rsidRDefault="00B01930" w:rsidP="00B01930">
      <w:pPr>
        <w:spacing w:before="120" w:after="120"/>
        <w:jc w:val="both"/>
        <w:rPr>
          <w:rFonts w:eastAsia="Calibri"/>
          <w:color w:val="000000"/>
          <w:szCs w:val="28"/>
        </w:rPr>
      </w:pPr>
    </w:p>
    <w:p w14:paraId="7047F26D" w14:textId="77777777" w:rsidR="00B01930" w:rsidRPr="00320A86" w:rsidRDefault="00B01930" w:rsidP="00B01930">
      <w:pPr>
        <w:pStyle w:val="planche"/>
        <w:rPr>
          <w:rFonts w:eastAsia="Calibri"/>
        </w:rPr>
      </w:pPr>
      <w:bookmarkStart w:id="219" w:name="Analyser_idees_pol_pt_3_texte_10_II"/>
      <w:r w:rsidRPr="00320A86">
        <w:rPr>
          <w:rFonts w:eastAsia="Calibri"/>
        </w:rPr>
        <w:t>II. Le porte-à-faux intégriste</w:t>
      </w:r>
    </w:p>
    <w:bookmarkEnd w:id="219"/>
    <w:p w14:paraId="132C279A" w14:textId="77777777" w:rsidR="00B01930" w:rsidRDefault="00B01930" w:rsidP="00B01930">
      <w:pPr>
        <w:spacing w:before="120" w:after="120"/>
        <w:jc w:val="both"/>
        <w:rPr>
          <w:rFonts w:eastAsia="Calibri"/>
          <w:color w:val="000000"/>
          <w:szCs w:val="28"/>
        </w:rPr>
      </w:pPr>
    </w:p>
    <w:p w14:paraId="1FF7F6EB"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06C86327" w14:textId="77777777" w:rsidR="00B01930" w:rsidRPr="00320A86" w:rsidRDefault="00B01930" w:rsidP="00B01930">
      <w:pPr>
        <w:spacing w:before="120" w:after="120"/>
        <w:jc w:val="both"/>
        <w:rPr>
          <w:color w:val="000000"/>
          <w:szCs w:val="28"/>
        </w:rPr>
      </w:pPr>
      <w:r w:rsidRPr="00320A86">
        <w:rPr>
          <w:rFonts w:eastAsia="Calibri"/>
          <w:color w:val="000000"/>
          <w:szCs w:val="28"/>
        </w:rPr>
        <w:t>Comme</w:t>
      </w:r>
      <w:r w:rsidRPr="00320A86">
        <w:rPr>
          <w:color w:val="000000"/>
          <w:szCs w:val="28"/>
        </w:rPr>
        <w:t xml:space="preserve"> le rappelle Émile Poulat</w:t>
      </w:r>
      <w:r>
        <w:rPr>
          <w:color w:val="000000"/>
          <w:szCs w:val="28"/>
        </w:rPr>
        <w:t> </w:t>
      </w:r>
      <w:r>
        <w:rPr>
          <w:rStyle w:val="Appelnotedebasdep"/>
          <w:szCs w:val="28"/>
        </w:rPr>
        <w:footnoteReference w:id="1195"/>
      </w:r>
      <w:r w:rsidRPr="00320A86">
        <w:rPr>
          <w:rFonts w:eastAsia="Calibri"/>
          <w:color w:val="000000"/>
          <w:szCs w:val="28"/>
        </w:rPr>
        <w:t>,</w:t>
      </w:r>
      <w:r w:rsidRPr="00320A86">
        <w:rPr>
          <w:color w:val="000000"/>
          <w:szCs w:val="28"/>
        </w:rPr>
        <w:t xml:space="preserve"> le terme d’intégrisme cathol</w:t>
      </w:r>
      <w:r w:rsidRPr="00320A86">
        <w:rPr>
          <w:color w:val="000000"/>
          <w:szCs w:val="28"/>
        </w:rPr>
        <w:t>i</w:t>
      </w:r>
      <w:r w:rsidRPr="00320A86">
        <w:rPr>
          <w:color w:val="000000"/>
          <w:szCs w:val="28"/>
        </w:rPr>
        <w:t>que a une origine historique précise : une branche minoritaire des ca</w:t>
      </w:r>
      <w:r w:rsidRPr="00320A86">
        <w:rPr>
          <w:color w:val="000000"/>
          <w:szCs w:val="28"/>
        </w:rPr>
        <w:t>r</w:t>
      </w:r>
      <w:r w:rsidRPr="00320A86">
        <w:rPr>
          <w:color w:val="000000"/>
          <w:szCs w:val="28"/>
        </w:rPr>
        <w:t>listes espagnols fut animée en 1880 par Ramon Nocedal pour appl</w:t>
      </w:r>
      <w:r w:rsidRPr="00320A86">
        <w:rPr>
          <w:color w:val="000000"/>
          <w:szCs w:val="28"/>
        </w:rPr>
        <w:t>i</w:t>
      </w:r>
      <w:r w:rsidRPr="00320A86">
        <w:rPr>
          <w:color w:val="000000"/>
          <w:szCs w:val="28"/>
        </w:rPr>
        <w:t xml:space="preserve">quer une politique déduite du </w:t>
      </w:r>
      <w:r w:rsidRPr="00E11556">
        <w:rPr>
          <w:i/>
          <w:color w:val="000000"/>
          <w:szCs w:val="28"/>
        </w:rPr>
        <w:t>Syllabus</w:t>
      </w:r>
      <w:r w:rsidRPr="00320A86">
        <w:rPr>
          <w:color w:val="000000"/>
          <w:szCs w:val="28"/>
        </w:rPr>
        <w:t>, et logiquement antilibérale et extrémiste. Cette mouvance fut conda</w:t>
      </w:r>
      <w:r w:rsidRPr="00320A86">
        <w:rPr>
          <w:color w:val="000000"/>
          <w:szCs w:val="28"/>
        </w:rPr>
        <w:t>m</w:t>
      </w:r>
      <w:r w:rsidRPr="00320A86">
        <w:rPr>
          <w:color w:val="000000"/>
          <w:szCs w:val="28"/>
        </w:rPr>
        <w:t xml:space="preserve">née à deux reprises par le Pape saint </w:t>
      </w:r>
      <w:r>
        <w:rPr>
          <w:color w:val="000000"/>
          <w:szCs w:val="28"/>
        </w:rPr>
        <w:t>Pie </w:t>
      </w:r>
      <w:r w:rsidRPr="00320A86">
        <w:rPr>
          <w:color w:val="000000"/>
          <w:szCs w:val="28"/>
        </w:rPr>
        <w:t xml:space="preserve">X qui, tout en incarnant </w:t>
      </w:r>
      <w:r w:rsidRPr="00320A86">
        <w:rPr>
          <w:rFonts w:eastAsia="Calibri"/>
          <w:color w:val="000000"/>
          <w:szCs w:val="28"/>
        </w:rPr>
        <w:t>l’intransigeantisme</w:t>
      </w:r>
      <w:r w:rsidRPr="00320A86">
        <w:rPr>
          <w:color w:val="000000"/>
          <w:szCs w:val="28"/>
        </w:rPr>
        <w:t xml:space="preserve"> catholique fut le premier pourfendeur de l’intégrisme ! Néanmoins en déclarant en 1907 que le modernisme est le </w:t>
      </w:r>
      <w:r w:rsidRPr="00320A86">
        <w:rPr>
          <w:rFonts w:eastAsia="Calibri"/>
          <w:color w:val="000000"/>
          <w:szCs w:val="28"/>
        </w:rPr>
        <w:t>«</w:t>
      </w:r>
      <w:r w:rsidRPr="00320A86">
        <w:rPr>
          <w:color w:val="000000"/>
          <w:szCs w:val="28"/>
        </w:rPr>
        <w:t xml:space="preserve"> </w:t>
      </w:r>
      <w:r w:rsidRPr="00E11556">
        <w:rPr>
          <w:i/>
          <w:color w:val="000000"/>
          <w:szCs w:val="28"/>
        </w:rPr>
        <w:t>carrefour de toutes les hérésies </w:t>
      </w:r>
      <w:r w:rsidRPr="00320A86">
        <w:rPr>
          <w:color w:val="000000"/>
          <w:szCs w:val="28"/>
        </w:rPr>
        <w:t>»</w:t>
      </w:r>
      <w:r>
        <w:rPr>
          <w:color w:val="000000"/>
          <w:szCs w:val="28"/>
        </w:rPr>
        <w:t> </w:t>
      </w:r>
      <w:r>
        <w:rPr>
          <w:rStyle w:val="Appelnotedebasdep"/>
          <w:szCs w:val="28"/>
        </w:rPr>
        <w:footnoteReference w:id="1196"/>
      </w:r>
      <w:r w:rsidRPr="00320A86">
        <w:rPr>
          <w:color w:val="000000"/>
          <w:szCs w:val="28"/>
        </w:rPr>
        <w:t>, et en procédant à de nombreuses excommunications</w:t>
      </w:r>
      <w:r>
        <w:rPr>
          <w:color w:val="000000"/>
          <w:szCs w:val="28"/>
        </w:rPr>
        <w:t> </w:t>
      </w:r>
      <w:r>
        <w:rPr>
          <w:rStyle w:val="Appelnotedebasdep"/>
          <w:szCs w:val="28"/>
        </w:rPr>
        <w:footnoteReference w:id="1197"/>
      </w:r>
      <w:r w:rsidRPr="00320A86">
        <w:rPr>
          <w:rFonts w:eastAsia="Calibri"/>
          <w:color w:val="000000"/>
          <w:szCs w:val="28"/>
        </w:rPr>
        <w:t>,</w:t>
      </w:r>
      <w:r w:rsidRPr="00320A86">
        <w:rPr>
          <w:color w:val="000000"/>
          <w:szCs w:val="28"/>
        </w:rPr>
        <w:t xml:space="preserve"> le même Pape promût, face aux agressions anti-cléricales, un </w:t>
      </w:r>
      <w:r w:rsidRPr="00E11556">
        <w:rPr>
          <w:rFonts w:eastAsia="Calibri"/>
          <w:i/>
          <w:color w:val="000000"/>
          <w:szCs w:val="28"/>
        </w:rPr>
        <w:t>catholicisme</w:t>
      </w:r>
      <w:r w:rsidRPr="00E11556">
        <w:rPr>
          <w:i/>
          <w:color w:val="000000"/>
          <w:szCs w:val="28"/>
        </w:rPr>
        <w:t xml:space="preserve"> int</w:t>
      </w:r>
      <w:r w:rsidRPr="00E11556">
        <w:rPr>
          <w:i/>
          <w:color w:val="000000"/>
          <w:szCs w:val="28"/>
        </w:rPr>
        <w:t>é</w:t>
      </w:r>
      <w:r w:rsidRPr="00E11556">
        <w:rPr>
          <w:i/>
          <w:color w:val="000000"/>
          <w:szCs w:val="28"/>
        </w:rPr>
        <w:t>gral</w:t>
      </w:r>
      <w:r w:rsidRPr="00320A86">
        <w:rPr>
          <w:color w:val="000000"/>
          <w:szCs w:val="28"/>
        </w:rPr>
        <w:t xml:space="preserve"> qui, cette fois, fut l’ancêtre de l’intégrisme contemp</w:t>
      </w:r>
      <w:r w:rsidRPr="00320A86">
        <w:rPr>
          <w:color w:val="000000"/>
          <w:szCs w:val="28"/>
        </w:rPr>
        <w:t>o</w:t>
      </w:r>
      <w:r w:rsidRPr="00320A86">
        <w:rPr>
          <w:color w:val="000000"/>
          <w:szCs w:val="28"/>
        </w:rPr>
        <w:t>rain.</w:t>
      </w:r>
    </w:p>
    <w:p w14:paraId="5090711C" w14:textId="77777777" w:rsidR="00B01930" w:rsidRDefault="00B01930" w:rsidP="00B01930">
      <w:pPr>
        <w:pStyle w:val="citation"/>
        <w:rPr>
          <w:szCs w:val="28"/>
        </w:rPr>
      </w:pPr>
    </w:p>
    <w:p w14:paraId="505023E0" w14:textId="77777777" w:rsidR="00B01930" w:rsidRDefault="00B01930" w:rsidP="00B01930">
      <w:pPr>
        <w:pStyle w:val="citation"/>
        <w:rPr>
          <w:szCs w:val="28"/>
        </w:rPr>
      </w:pPr>
      <w:r w:rsidRPr="00320A86">
        <w:rPr>
          <w:szCs w:val="28"/>
        </w:rPr>
        <w:t>« </w:t>
      </w:r>
      <w:r w:rsidRPr="00320A86">
        <w:t xml:space="preserve">Le catholicisme intégral </w:t>
      </w:r>
      <w:r w:rsidRPr="00320A86">
        <w:rPr>
          <w:rFonts w:eastAsia="Calibri"/>
        </w:rPr>
        <w:t>œuvre</w:t>
      </w:r>
      <w:r w:rsidRPr="00320A86">
        <w:t xml:space="preserve"> pour le maintien des vérités cathol</w:t>
      </w:r>
      <w:r w:rsidRPr="00320A86">
        <w:t>i</w:t>
      </w:r>
      <w:r w:rsidRPr="00320A86">
        <w:t>ques te</w:t>
      </w:r>
      <w:r w:rsidRPr="00320A86">
        <w:t>l</w:t>
      </w:r>
      <w:r w:rsidRPr="00320A86">
        <w:t>les qu’elles ont toujours été enseignées, sans concession, et pour l’avènement d’une société  entièrement catholique. Il récuse les idées m</w:t>
      </w:r>
      <w:r w:rsidRPr="00320A86">
        <w:t>o</w:t>
      </w:r>
      <w:r w:rsidRPr="00320A86">
        <w:t>dernistes ainsi que toute forme de libéralisme séparant le public du privé et qui tendrait à repousser la religion dans le pr</w:t>
      </w:r>
      <w:r w:rsidRPr="00320A86">
        <w:t>i</w:t>
      </w:r>
      <w:r w:rsidRPr="00320A86">
        <w:t>vé</w:t>
      </w:r>
      <w:r>
        <w:t> </w:t>
      </w:r>
      <w:r w:rsidRPr="003F485F">
        <w:rPr>
          <w:rStyle w:val="Appelnotedebasdep"/>
          <w:i/>
        </w:rPr>
        <w:footnoteReference w:id="1198"/>
      </w:r>
      <w:r w:rsidRPr="00320A86">
        <w:rPr>
          <w:rFonts w:eastAsia="Calibri"/>
          <w:szCs w:val="28"/>
        </w:rPr>
        <w:t>. </w:t>
      </w:r>
      <w:r w:rsidRPr="00320A86">
        <w:rPr>
          <w:szCs w:val="28"/>
        </w:rPr>
        <w:t>»</w:t>
      </w:r>
    </w:p>
    <w:p w14:paraId="2D7D2703" w14:textId="77777777" w:rsidR="00B01930" w:rsidRPr="00320A86" w:rsidRDefault="00B01930" w:rsidP="00B01930">
      <w:pPr>
        <w:pStyle w:val="citation"/>
        <w:rPr>
          <w:szCs w:val="28"/>
        </w:rPr>
      </w:pPr>
    </w:p>
    <w:p w14:paraId="354E6160" w14:textId="77777777" w:rsidR="00B01930" w:rsidRPr="00320A86" w:rsidRDefault="00B01930" w:rsidP="00B01930">
      <w:pPr>
        <w:spacing w:before="120" w:after="120"/>
        <w:jc w:val="both"/>
        <w:rPr>
          <w:color w:val="000000"/>
        </w:rPr>
      </w:pPr>
      <w:r w:rsidRPr="00320A86">
        <w:rPr>
          <w:color w:val="000000"/>
          <w:szCs w:val="28"/>
        </w:rPr>
        <w:t xml:space="preserve"> C’est donc d’une fidélité romaine que se réclame l’intégrisme c</w:t>
      </w:r>
      <w:r w:rsidRPr="00320A86">
        <w:rPr>
          <w:color w:val="000000"/>
          <w:szCs w:val="28"/>
        </w:rPr>
        <w:t>a</w:t>
      </w:r>
      <w:r w:rsidRPr="00320A86">
        <w:rPr>
          <w:color w:val="000000"/>
          <w:szCs w:val="28"/>
        </w:rPr>
        <w:t xml:space="preserve">tholique au point de l’opposer aux évolutions tardives du Magistère, au travers du Concile </w:t>
      </w:r>
      <w:r>
        <w:rPr>
          <w:color w:val="000000"/>
          <w:szCs w:val="28"/>
        </w:rPr>
        <w:t>Vatican II</w:t>
      </w:r>
      <w:r w:rsidRPr="00320A86">
        <w:rPr>
          <w:color w:val="000000"/>
          <w:szCs w:val="28"/>
        </w:rPr>
        <w:t>, et au partage de l’idéologie des Droits de l’homme et de la démocr</w:t>
      </w:r>
      <w:r w:rsidRPr="00320A86">
        <w:rPr>
          <w:color w:val="000000"/>
          <w:szCs w:val="28"/>
        </w:rPr>
        <w:t>a</w:t>
      </w:r>
      <w:r w:rsidRPr="00320A86">
        <w:rPr>
          <w:color w:val="000000"/>
          <w:szCs w:val="28"/>
        </w:rPr>
        <w:t>tie, manifesté par le Pape Jean Paul</w:t>
      </w:r>
      <w:r>
        <w:rPr>
          <w:color w:val="000000"/>
          <w:szCs w:val="28"/>
        </w:rPr>
        <w:t> </w:t>
      </w:r>
      <w:r w:rsidRPr="00320A86">
        <w:rPr>
          <w:color w:val="000000"/>
          <w:szCs w:val="28"/>
        </w:rPr>
        <w:t>II. Cette fidélité « incomplète », parce que refusant les « compromis » avec la « modernité », aboutit chez les plus extr</w:t>
      </w:r>
      <w:r w:rsidRPr="00320A86">
        <w:rPr>
          <w:color w:val="000000"/>
          <w:szCs w:val="28"/>
        </w:rPr>
        <w:t>ê</w:t>
      </w:r>
      <w:r w:rsidRPr="00320A86">
        <w:rPr>
          <w:color w:val="000000"/>
          <w:szCs w:val="28"/>
        </w:rPr>
        <w:t xml:space="preserve">mes, à récuser toute légitimité aux papes qui se sont succédés depuis </w:t>
      </w:r>
      <w:r>
        <w:rPr>
          <w:color w:val="000000"/>
          <w:szCs w:val="28"/>
        </w:rPr>
        <w:t>Jean X</w:t>
      </w:r>
      <w:r w:rsidRPr="00320A86">
        <w:rPr>
          <w:color w:val="000000"/>
          <w:szCs w:val="28"/>
        </w:rPr>
        <w:t xml:space="preserve">XIII, incluant bien entendu l’initiateur de </w:t>
      </w:r>
      <w:r>
        <w:rPr>
          <w:color w:val="000000"/>
          <w:szCs w:val="28"/>
        </w:rPr>
        <w:t>Vatican II</w:t>
      </w:r>
      <w:r w:rsidRPr="00320A86">
        <w:rPr>
          <w:color w:val="000000"/>
          <w:szCs w:val="28"/>
        </w:rPr>
        <w:t>. Regro</w:t>
      </w:r>
      <w:r w:rsidRPr="00320A86">
        <w:rPr>
          <w:color w:val="000000"/>
          <w:szCs w:val="28"/>
        </w:rPr>
        <w:t>u</w:t>
      </w:r>
      <w:r w:rsidRPr="00320A86">
        <w:rPr>
          <w:color w:val="000000"/>
          <w:szCs w:val="28"/>
        </w:rPr>
        <w:t>pée sous le terme de « sédévacantisme », cette branche sectaire et m</w:t>
      </w:r>
      <w:r w:rsidRPr="00320A86">
        <w:rPr>
          <w:color w:val="000000"/>
          <w:szCs w:val="28"/>
        </w:rPr>
        <w:t>i</w:t>
      </w:r>
      <w:r w:rsidRPr="00320A86">
        <w:rPr>
          <w:color w:val="000000"/>
          <w:szCs w:val="28"/>
        </w:rPr>
        <w:t xml:space="preserve">noritaire </w:t>
      </w:r>
      <w:r w:rsidRPr="00320A86">
        <w:rPr>
          <w:rFonts w:eastAsia="Calibri"/>
          <w:color w:val="000000"/>
          <w:szCs w:val="28"/>
        </w:rPr>
        <w:t>de</w:t>
      </w:r>
      <w:r w:rsidRPr="00320A86">
        <w:rPr>
          <w:color w:val="000000"/>
          <w:szCs w:val="28"/>
        </w:rPr>
        <w:t xml:space="preserve"> l’intégrisme, dont le clergé est souvent issu de la Fratern</w:t>
      </w:r>
      <w:r w:rsidRPr="00320A86">
        <w:rPr>
          <w:color w:val="000000"/>
          <w:szCs w:val="28"/>
        </w:rPr>
        <w:t>i</w:t>
      </w:r>
      <w:r w:rsidRPr="00320A86">
        <w:rPr>
          <w:color w:val="000000"/>
          <w:szCs w:val="28"/>
        </w:rPr>
        <w:t xml:space="preserve">té saint </w:t>
      </w:r>
      <w:r>
        <w:rPr>
          <w:color w:val="000000"/>
          <w:szCs w:val="28"/>
        </w:rPr>
        <w:t>Pie </w:t>
      </w:r>
      <w:r w:rsidRPr="00320A86">
        <w:rPr>
          <w:color w:val="000000"/>
          <w:szCs w:val="28"/>
        </w:rPr>
        <w:t>X avant d’en avoir été exclu, considère que les papes contemporains sont fauteurs d’hérésie et que le siège de Pierre est en conséquence vacant. Les arguments qui justifient cette position rad</w:t>
      </w:r>
      <w:r w:rsidRPr="00320A86">
        <w:rPr>
          <w:color w:val="000000"/>
          <w:szCs w:val="28"/>
        </w:rPr>
        <w:t>i</w:t>
      </w:r>
      <w:r w:rsidRPr="00320A86">
        <w:rPr>
          <w:color w:val="000000"/>
          <w:szCs w:val="28"/>
        </w:rPr>
        <w:t>cale se réclament de la Tradition, et curieusement de l’infaillibilité pontificale promulguée par le concile Vatican I (1870), selon le syll</w:t>
      </w:r>
      <w:r w:rsidRPr="00320A86">
        <w:rPr>
          <w:color w:val="000000"/>
          <w:szCs w:val="28"/>
        </w:rPr>
        <w:t>o</w:t>
      </w:r>
      <w:r w:rsidRPr="00320A86">
        <w:rPr>
          <w:color w:val="000000"/>
          <w:szCs w:val="28"/>
        </w:rPr>
        <w:t>gisme suivant : le pape est infaillible, mais certains papes profèrent des h</w:t>
      </w:r>
      <w:r w:rsidRPr="00320A86">
        <w:rPr>
          <w:color w:val="000000"/>
          <w:szCs w:val="28"/>
        </w:rPr>
        <w:t>é</w:t>
      </w:r>
      <w:r w:rsidRPr="00320A86">
        <w:rPr>
          <w:color w:val="000000"/>
          <w:szCs w:val="28"/>
        </w:rPr>
        <w:t>résies, donc ces papes-là sont des imposteurs ! La défense d’un héritage historiquement situé, et fixé définit</w:t>
      </w:r>
      <w:r w:rsidRPr="00320A86">
        <w:rPr>
          <w:color w:val="000000"/>
          <w:szCs w:val="28"/>
        </w:rPr>
        <w:t>i</w:t>
      </w:r>
      <w:r w:rsidRPr="00320A86">
        <w:rPr>
          <w:color w:val="000000"/>
          <w:szCs w:val="28"/>
        </w:rPr>
        <w:t>vement dans les formes d’une époque précise, sert de socle commun à toutes les nuances de l’intégrisme, même si le terme lui-même</w:t>
      </w:r>
      <w:r>
        <w:rPr>
          <w:color w:val="000000"/>
          <w:szCs w:val="28"/>
        </w:rPr>
        <w:t xml:space="preserve"> lui-même </w:t>
      </w:r>
      <w:r w:rsidRPr="00320A86">
        <w:rPr>
          <w:color w:val="000000"/>
          <w:szCs w:val="28"/>
        </w:rPr>
        <w:t>n’est jamais r</w:t>
      </w:r>
      <w:r w:rsidRPr="00320A86">
        <w:rPr>
          <w:color w:val="000000"/>
          <w:szCs w:val="28"/>
        </w:rPr>
        <w:t>e</w:t>
      </w:r>
      <w:r w:rsidRPr="00320A86">
        <w:rPr>
          <w:color w:val="000000"/>
          <w:szCs w:val="28"/>
        </w:rPr>
        <w:t xml:space="preserve">vendiqué par ceux qui se qualifient de </w:t>
      </w:r>
      <w:r w:rsidRPr="00320A86">
        <w:rPr>
          <w:rFonts w:eastAsia="Calibri"/>
          <w:color w:val="000000"/>
          <w:szCs w:val="28"/>
        </w:rPr>
        <w:t>tradito</w:t>
      </w:r>
      <w:r w:rsidRPr="00320A86">
        <w:rPr>
          <w:rFonts w:eastAsia="Calibri"/>
          <w:color w:val="000000"/>
          <w:szCs w:val="28"/>
        </w:rPr>
        <w:t>n</w:t>
      </w:r>
      <w:r w:rsidRPr="00320A86">
        <w:rPr>
          <w:rFonts w:eastAsia="Calibri"/>
          <w:color w:val="000000"/>
          <w:szCs w:val="28"/>
        </w:rPr>
        <w:t>nalistes</w:t>
      </w:r>
      <w:r w:rsidRPr="00320A86">
        <w:rPr>
          <w:color w:val="000000"/>
          <w:szCs w:val="28"/>
        </w:rPr>
        <w:t xml:space="preserve"> par rapport aux </w:t>
      </w:r>
      <w:r w:rsidRPr="00320A86">
        <w:rPr>
          <w:rFonts w:eastAsia="Calibri"/>
          <w:color w:val="000000"/>
          <w:szCs w:val="28"/>
        </w:rPr>
        <w:t>progressistes,</w:t>
      </w:r>
      <w:r w:rsidRPr="00320A86">
        <w:rPr>
          <w:color w:val="000000"/>
          <w:szCs w:val="28"/>
        </w:rPr>
        <w:t xml:space="preserve"> </w:t>
      </w:r>
      <w:r w:rsidRPr="00320A86">
        <w:rPr>
          <w:rFonts w:eastAsia="Calibri"/>
          <w:color w:val="000000"/>
          <w:szCs w:val="28"/>
        </w:rPr>
        <w:t>ce</w:t>
      </w:r>
      <w:r w:rsidRPr="00320A86">
        <w:rPr>
          <w:color w:val="000000"/>
          <w:szCs w:val="28"/>
        </w:rPr>
        <w:t xml:space="preserve"> qui se rapproche d’un clivage politique à première vue hors sujet. Le premier « porte-à-faux » de l’intégrisme cathol</w:t>
      </w:r>
      <w:r w:rsidRPr="00320A86">
        <w:rPr>
          <w:color w:val="000000"/>
          <w:szCs w:val="28"/>
        </w:rPr>
        <w:t>i</w:t>
      </w:r>
      <w:r w:rsidRPr="00320A86">
        <w:rPr>
          <w:color w:val="000000"/>
          <w:szCs w:val="28"/>
        </w:rPr>
        <w:t>que est d’abord sémantique :</w:t>
      </w:r>
    </w:p>
    <w:p w14:paraId="1AFA7E10" w14:textId="77777777" w:rsidR="00B01930" w:rsidRDefault="00B01930" w:rsidP="00B01930">
      <w:pPr>
        <w:pStyle w:val="citation"/>
        <w:rPr>
          <w:rFonts w:eastAsia="Calibri"/>
        </w:rPr>
      </w:pPr>
    </w:p>
    <w:p w14:paraId="16C2EBA7" w14:textId="77777777" w:rsidR="00B01930" w:rsidRDefault="00B01930" w:rsidP="00B01930">
      <w:pPr>
        <w:pStyle w:val="citation"/>
      </w:pPr>
      <w:r w:rsidRPr="00320A86">
        <w:rPr>
          <w:rFonts w:eastAsia="Calibri"/>
        </w:rPr>
        <w:t>«</w:t>
      </w:r>
      <w:r w:rsidRPr="00320A86">
        <w:t> Si les intégriste</w:t>
      </w:r>
      <w:r>
        <w:t>s</w:t>
      </w:r>
      <w:r w:rsidRPr="00320A86">
        <w:t xml:space="preserve"> se définissent comme “anti-modernistes”, appelant “modernistes” ceux qui privilégient la modernité contre la Trad</w:t>
      </w:r>
      <w:r w:rsidRPr="00320A86">
        <w:t>i</w:t>
      </w:r>
      <w:r w:rsidRPr="00320A86">
        <w:t>tion, les “modernistes”, de leur côté, désignent d’“intégristes” les catholiques int</w:t>
      </w:r>
      <w:r w:rsidRPr="00320A86">
        <w:t>é</w:t>
      </w:r>
      <w:r w:rsidRPr="00320A86">
        <w:t>graux. S’affrontent ainsi les catholiques dits “de progrès” et les cathol</w:t>
      </w:r>
      <w:r w:rsidRPr="00320A86">
        <w:t>i</w:t>
      </w:r>
      <w:r w:rsidRPr="00320A86">
        <w:t>ques dits “de tradition”, sans qu’aucun des deux camps ne revendique, ni n’assume, l’appellation de “moderniste” ou d’“</w:t>
      </w:r>
      <w:r w:rsidRPr="00320A86">
        <w:rPr>
          <w:rFonts w:eastAsia="Calibri"/>
        </w:rPr>
        <w:t>intégriste</w:t>
      </w:r>
      <w:r w:rsidRPr="00320A86">
        <w:t>” dont l’affuble le camp adverse, n’y voyant que stigmatisation. Fait significatif, le te</w:t>
      </w:r>
      <w:r w:rsidRPr="00320A86">
        <w:t>r</w:t>
      </w:r>
      <w:r w:rsidRPr="00320A86">
        <w:t>me d’“intégriste” restera d’ailleurs qu</w:t>
      </w:r>
      <w:r w:rsidRPr="00320A86">
        <w:t>a</w:t>
      </w:r>
      <w:r w:rsidRPr="00320A86">
        <w:t>siment absent du discours officiel de l’Église</w:t>
      </w:r>
      <w:r>
        <w:t> </w:t>
      </w:r>
      <w:r w:rsidRPr="003C29C2">
        <w:rPr>
          <w:rStyle w:val="Appelnotedebasdep"/>
          <w:i/>
        </w:rPr>
        <w:footnoteReference w:id="1199"/>
      </w:r>
      <w:r w:rsidRPr="00320A86">
        <w:rPr>
          <w:rFonts w:eastAsia="Calibri"/>
        </w:rPr>
        <w:t>. </w:t>
      </w:r>
      <w:r w:rsidRPr="00320A86">
        <w:t>»</w:t>
      </w:r>
    </w:p>
    <w:p w14:paraId="4ED73637" w14:textId="77777777" w:rsidR="00B01930" w:rsidRPr="00320A86" w:rsidRDefault="00B01930" w:rsidP="00B01930">
      <w:pPr>
        <w:pStyle w:val="citation"/>
        <w:rPr>
          <w:szCs w:val="28"/>
        </w:rPr>
      </w:pPr>
    </w:p>
    <w:p w14:paraId="3147BFF0" w14:textId="77777777" w:rsidR="00B01930" w:rsidRPr="00320A86" w:rsidRDefault="00B01930" w:rsidP="00B01930">
      <w:pPr>
        <w:spacing w:before="120" w:after="120"/>
        <w:jc w:val="both"/>
        <w:rPr>
          <w:color w:val="000000"/>
          <w:szCs w:val="28"/>
        </w:rPr>
      </w:pPr>
      <w:r w:rsidRPr="00320A86">
        <w:rPr>
          <w:color w:val="000000"/>
          <w:szCs w:val="28"/>
        </w:rPr>
        <w:t>Ces précisions sémantiques méritent cependant  d’être affinées, et – sans doute – corrigées. Le « catholicisme intégral » s’est détaché aujourd’hui d’une définition politico-religieuse, datant du XIX</w:t>
      </w:r>
      <w:r w:rsidRPr="00320A86">
        <w:rPr>
          <w:color w:val="000000"/>
          <w:szCs w:val="28"/>
          <w:vertAlign w:val="superscript"/>
        </w:rPr>
        <w:t>e</w:t>
      </w:r>
      <w:r w:rsidRPr="00320A86">
        <w:rPr>
          <w:color w:val="000000"/>
          <w:szCs w:val="28"/>
        </w:rPr>
        <w:t xml:space="preserve"> siècle, où le catholicisme rigo</w:t>
      </w:r>
      <w:r w:rsidRPr="00320A86">
        <w:rPr>
          <w:color w:val="000000"/>
          <w:szCs w:val="28"/>
        </w:rPr>
        <w:t>u</w:t>
      </w:r>
      <w:r w:rsidRPr="00320A86">
        <w:rPr>
          <w:color w:val="000000"/>
          <w:szCs w:val="28"/>
        </w:rPr>
        <w:t>reux, la préférence monarchique, et le refus de l’héritage révolutionnaire comp</w:t>
      </w:r>
      <w:r w:rsidRPr="00320A86">
        <w:rPr>
          <w:color w:val="000000"/>
          <w:szCs w:val="28"/>
        </w:rPr>
        <w:t>o</w:t>
      </w:r>
      <w:r w:rsidRPr="00320A86">
        <w:rPr>
          <w:color w:val="000000"/>
          <w:szCs w:val="28"/>
        </w:rPr>
        <w:t>saient un bloc homogène. D’un point de vue religieux, le « catholicisme int</w:t>
      </w:r>
      <w:r w:rsidRPr="00320A86">
        <w:rPr>
          <w:color w:val="000000"/>
          <w:szCs w:val="28"/>
        </w:rPr>
        <w:t>é</w:t>
      </w:r>
      <w:r w:rsidRPr="00320A86">
        <w:rPr>
          <w:color w:val="000000"/>
          <w:szCs w:val="28"/>
        </w:rPr>
        <w:t>gral » correspond aujourd’hui au respect de la discipline de l’Église catholique, manifesté par l’observance  des « commandements de l’Église » (pratique des s</w:t>
      </w:r>
      <w:r w:rsidRPr="00320A86">
        <w:rPr>
          <w:color w:val="000000"/>
          <w:szCs w:val="28"/>
        </w:rPr>
        <w:t>a</w:t>
      </w:r>
      <w:r w:rsidRPr="00320A86">
        <w:rPr>
          <w:color w:val="000000"/>
          <w:szCs w:val="28"/>
        </w:rPr>
        <w:t>crements et de la messe dominicale, ainsi que des messes « d’obligation » prévues par le calendrier liturgique) mais aussi par la « communion » avec la hiérarchie de l’Église, Pape et évêques, en tout premier lieu. Défini ainsi, le « catholicisme intégral » conserve toute sa pertinence, car il se distingue du « catholicisme à la carte », dont se réclame toutefois la majorité de ceux qui se déclarent catholiques</w:t>
      </w:r>
      <w:r>
        <w:rPr>
          <w:color w:val="000000"/>
          <w:szCs w:val="28"/>
        </w:rPr>
        <w:t> </w:t>
      </w:r>
      <w:r>
        <w:rPr>
          <w:rStyle w:val="Appelnotedebasdep"/>
          <w:szCs w:val="28"/>
        </w:rPr>
        <w:footnoteReference w:id="1200"/>
      </w:r>
      <w:r w:rsidRPr="00320A86">
        <w:rPr>
          <w:color w:val="000000"/>
          <w:szCs w:val="28"/>
        </w:rPr>
        <w:t>. Mais s’il regroupe les catholiques pratiquants, en union avec le M</w:t>
      </w:r>
      <w:r w:rsidRPr="00320A86">
        <w:rPr>
          <w:color w:val="000000"/>
          <w:szCs w:val="28"/>
        </w:rPr>
        <w:t>a</w:t>
      </w:r>
      <w:r w:rsidRPr="00320A86">
        <w:rPr>
          <w:color w:val="000000"/>
          <w:szCs w:val="28"/>
        </w:rPr>
        <w:t>gistère – ce qui exclut les intégristes –, ce catholicisme peut mettre côte à côte, partisans de la Tradition et adeptes de la modernité, aux origines s</w:t>
      </w:r>
      <w:r w:rsidRPr="00320A86">
        <w:rPr>
          <w:color w:val="000000"/>
          <w:szCs w:val="28"/>
        </w:rPr>
        <w:t>o</w:t>
      </w:r>
      <w:r w:rsidRPr="00320A86">
        <w:rPr>
          <w:color w:val="000000"/>
          <w:szCs w:val="28"/>
        </w:rPr>
        <w:t>ciales et aux préférences politiques variées. Les analyses sociologiques révèlent seulement que ce public pratiquant est plutôt âgé et conservateur. Mais est-il conservateur (et donc de droite) parce qu’il est âgé et de surcroît féminin, ou parce qu’il est pratiquant ? Le débat n’est pas tranché, même si la corrélation entre pratique religie</w:t>
      </w:r>
      <w:r w:rsidRPr="00320A86">
        <w:rPr>
          <w:color w:val="000000"/>
          <w:szCs w:val="28"/>
        </w:rPr>
        <w:t>u</w:t>
      </w:r>
      <w:r w:rsidRPr="00320A86">
        <w:rPr>
          <w:color w:val="000000"/>
          <w:szCs w:val="28"/>
        </w:rPr>
        <w:t xml:space="preserve">se et vote à droite (mais non extrême droite) semble être bien établie : </w:t>
      </w:r>
    </w:p>
    <w:p w14:paraId="289B1981" w14:textId="77777777" w:rsidR="00B01930" w:rsidRDefault="00B01930" w:rsidP="00B01930">
      <w:pPr>
        <w:pStyle w:val="citation"/>
      </w:pPr>
    </w:p>
    <w:p w14:paraId="612E2FFF" w14:textId="77777777" w:rsidR="00B01930" w:rsidRDefault="00B01930" w:rsidP="00B01930">
      <w:pPr>
        <w:pStyle w:val="citation"/>
      </w:pPr>
      <w:r w:rsidRPr="00320A86">
        <w:t>« La pratique religieuse reste la variable la plus prédictive en m</w:t>
      </w:r>
      <w:r w:rsidRPr="00320A86">
        <w:t>a</w:t>
      </w:r>
      <w:r w:rsidRPr="00320A86">
        <w:t>tière de choix ou d’appartenance politique</w:t>
      </w:r>
      <w:r>
        <w:t> </w:t>
      </w:r>
      <w:r w:rsidRPr="003C29C2">
        <w:rPr>
          <w:rStyle w:val="Appelnotedebasdep"/>
          <w:i/>
        </w:rPr>
        <w:footnoteReference w:id="1201"/>
      </w:r>
      <w:r w:rsidRPr="00320A86">
        <w:t>. »</w:t>
      </w:r>
    </w:p>
    <w:p w14:paraId="43F42413" w14:textId="77777777" w:rsidR="00B01930" w:rsidRPr="00320A86" w:rsidRDefault="00B01930" w:rsidP="00B01930">
      <w:pPr>
        <w:pStyle w:val="citation"/>
        <w:rPr>
          <w:rFonts w:eastAsia="Calibri"/>
        </w:rPr>
      </w:pPr>
    </w:p>
    <w:p w14:paraId="0818CFF6" w14:textId="77777777" w:rsidR="00B01930" w:rsidRPr="00320A86" w:rsidRDefault="00B01930" w:rsidP="00B01930">
      <w:pPr>
        <w:spacing w:before="120" w:after="120"/>
        <w:jc w:val="both"/>
        <w:rPr>
          <w:color w:val="000000"/>
          <w:szCs w:val="28"/>
        </w:rPr>
      </w:pPr>
      <w:r w:rsidRPr="00320A86">
        <w:rPr>
          <w:rFonts w:eastAsia="Calibri"/>
          <w:color w:val="000000"/>
          <w:szCs w:val="28"/>
        </w:rPr>
        <w:t>En</w:t>
      </w:r>
      <w:r w:rsidRPr="00320A86">
        <w:rPr>
          <w:color w:val="000000"/>
          <w:szCs w:val="28"/>
        </w:rPr>
        <w:t xml:space="preserve"> s’appuyant sur la Tradition, et en revendiquant l’héritage du « catholicisme intégral », l’intégrisme catholique doit faire face à pl</w:t>
      </w:r>
      <w:r w:rsidRPr="00320A86">
        <w:rPr>
          <w:color w:val="000000"/>
          <w:szCs w:val="28"/>
        </w:rPr>
        <w:t>u</w:t>
      </w:r>
      <w:r w:rsidRPr="00320A86">
        <w:rPr>
          <w:color w:val="000000"/>
          <w:szCs w:val="28"/>
        </w:rPr>
        <w:t xml:space="preserve">sieurs contradictions, d’ordre ecclésial, mais aussi théologique. La prétention de figer la Tradition de l’Église au moment du Concile de Trente et du catéchisme de saint </w:t>
      </w:r>
      <w:r>
        <w:rPr>
          <w:color w:val="000000"/>
          <w:szCs w:val="28"/>
        </w:rPr>
        <w:t>Pie </w:t>
      </w:r>
      <w:r w:rsidRPr="00320A86">
        <w:rPr>
          <w:color w:val="000000"/>
          <w:szCs w:val="28"/>
        </w:rPr>
        <w:t>V est en soi une dénaturation du sens catholique de la Tradition. Celle-ci ne se conçoit que comme pr</w:t>
      </w:r>
      <w:r w:rsidRPr="00320A86">
        <w:rPr>
          <w:color w:val="000000"/>
          <w:szCs w:val="28"/>
        </w:rPr>
        <w:t>o</w:t>
      </w:r>
      <w:r w:rsidRPr="00320A86">
        <w:rPr>
          <w:color w:val="000000"/>
          <w:szCs w:val="28"/>
        </w:rPr>
        <w:t>longement et approfondissement des Écritures, sous la conduite de l’Esprit Saint, jusqu’à  l’avènement glorieux du Christ. C’est ici la seule justification des dogmes qui ne sont que des explicitations direct</w:t>
      </w:r>
      <w:r w:rsidRPr="00320A86">
        <w:rPr>
          <w:color w:val="000000"/>
          <w:szCs w:val="28"/>
        </w:rPr>
        <w:t>e</w:t>
      </w:r>
      <w:r w:rsidRPr="00320A86">
        <w:rPr>
          <w:color w:val="000000"/>
          <w:szCs w:val="28"/>
        </w:rPr>
        <w:t>ment reliées aux révélations scripturales : ils sont immuables dans leur contenu, mais objet de formulations qui les dévoile et les enr</w:t>
      </w:r>
      <w:r w:rsidRPr="00320A86">
        <w:rPr>
          <w:color w:val="000000"/>
          <w:szCs w:val="28"/>
        </w:rPr>
        <w:t>i</w:t>
      </w:r>
      <w:r w:rsidRPr="00320A86">
        <w:rPr>
          <w:color w:val="000000"/>
          <w:szCs w:val="28"/>
        </w:rPr>
        <w:t>chissent en sens et en précision, par accumulation et non par retra</w:t>
      </w:r>
      <w:r w:rsidRPr="00320A86">
        <w:rPr>
          <w:color w:val="000000"/>
          <w:szCs w:val="28"/>
        </w:rPr>
        <w:t>n</w:t>
      </w:r>
      <w:r w:rsidRPr="00320A86">
        <w:rPr>
          <w:color w:val="000000"/>
          <w:szCs w:val="28"/>
        </w:rPr>
        <w:t>chement. Une Tradition n’est jamais donc définitivement fixée. Vo</w:t>
      </w:r>
      <w:r w:rsidRPr="00320A86">
        <w:rPr>
          <w:color w:val="000000"/>
          <w:szCs w:val="28"/>
        </w:rPr>
        <w:t>u</w:t>
      </w:r>
      <w:r w:rsidRPr="00320A86">
        <w:rPr>
          <w:color w:val="000000"/>
          <w:szCs w:val="28"/>
        </w:rPr>
        <w:t>loir l’interrompre à une période historique et à une formulation qui n’est plus contemporaine, c’est se condamner à vivre en porte-à-faux, à la fois avec le sens réel de la Tradition et avec la mission confiée à l’Église, qui est justement d’annoncer la Bonne Nouvelle de l’Évangile à to</w:t>
      </w:r>
      <w:r w:rsidRPr="00320A86">
        <w:rPr>
          <w:color w:val="000000"/>
          <w:szCs w:val="28"/>
        </w:rPr>
        <w:t>u</w:t>
      </w:r>
      <w:r w:rsidRPr="00320A86">
        <w:rPr>
          <w:color w:val="000000"/>
          <w:szCs w:val="28"/>
        </w:rPr>
        <w:t>tes les nations à condition de s’en faire comprendre. Cette critique est remarqu</w:t>
      </w:r>
      <w:r w:rsidRPr="00320A86">
        <w:rPr>
          <w:color w:val="000000"/>
          <w:szCs w:val="28"/>
        </w:rPr>
        <w:t>a</w:t>
      </w:r>
      <w:r w:rsidRPr="00320A86">
        <w:rPr>
          <w:color w:val="000000"/>
          <w:szCs w:val="28"/>
        </w:rPr>
        <w:t xml:space="preserve">blement formulée par l’abbé </w:t>
      </w:r>
      <w:r w:rsidRPr="00320A86">
        <w:rPr>
          <w:rFonts w:eastAsia="Calibri"/>
          <w:color w:val="000000"/>
          <w:szCs w:val="28"/>
        </w:rPr>
        <w:t>Guillaume</w:t>
      </w:r>
      <w:r w:rsidRPr="00320A86">
        <w:rPr>
          <w:color w:val="000000"/>
          <w:szCs w:val="28"/>
        </w:rPr>
        <w:t xml:space="preserve"> de Tanouärn,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fois</w:t>
      </w:r>
      <w:r w:rsidRPr="00320A86">
        <w:rPr>
          <w:color w:val="000000"/>
          <w:szCs w:val="28"/>
        </w:rPr>
        <w:t xml:space="preserve"> </w:t>
      </w:r>
      <w:r w:rsidRPr="00320A86">
        <w:rPr>
          <w:rFonts w:eastAsia="Calibri"/>
          <w:color w:val="000000"/>
          <w:szCs w:val="28"/>
        </w:rPr>
        <w:t>traditionnaliste</w:t>
      </w:r>
      <w:r w:rsidRPr="00320A86">
        <w:rPr>
          <w:color w:val="000000"/>
          <w:szCs w:val="28"/>
        </w:rPr>
        <w:t xml:space="preserve"> </w:t>
      </w:r>
      <w:r w:rsidRPr="00320A86">
        <w:rPr>
          <w:rFonts w:eastAsia="Calibri"/>
          <w:color w:val="000000"/>
          <w:szCs w:val="28"/>
        </w:rPr>
        <w:t>convaincu</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dissident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Frate</w:t>
      </w:r>
      <w:r w:rsidRPr="00320A86">
        <w:rPr>
          <w:rFonts w:eastAsia="Calibri"/>
          <w:color w:val="000000"/>
          <w:szCs w:val="28"/>
        </w:rPr>
        <w:t>r</w:t>
      </w:r>
      <w:r w:rsidRPr="00320A86">
        <w:rPr>
          <w:rFonts w:eastAsia="Calibri"/>
          <w:color w:val="000000"/>
          <w:szCs w:val="28"/>
        </w:rPr>
        <w:t>nité</w:t>
      </w:r>
      <w:r w:rsidRPr="00320A86">
        <w:rPr>
          <w:color w:val="000000"/>
          <w:szCs w:val="28"/>
        </w:rPr>
        <w:t xml:space="preserve"> </w:t>
      </w:r>
      <w:r w:rsidRPr="00320A86">
        <w:rPr>
          <w:rFonts w:eastAsia="Calibri"/>
          <w:color w:val="000000"/>
          <w:szCs w:val="28"/>
        </w:rPr>
        <w:t>saint</w:t>
      </w:r>
      <w:r w:rsidRPr="00320A86">
        <w:rPr>
          <w:color w:val="000000"/>
          <w:szCs w:val="28"/>
        </w:rPr>
        <w:t xml:space="preserve"> </w:t>
      </w:r>
      <w:r>
        <w:rPr>
          <w:rFonts w:eastAsia="Calibri"/>
          <w:color w:val="000000"/>
          <w:szCs w:val="28"/>
        </w:rPr>
        <w:t>Pie </w:t>
      </w:r>
      <w:r w:rsidRPr="00320A86">
        <w:rPr>
          <w:rFonts w:eastAsia="Calibri"/>
          <w:color w:val="000000"/>
          <w:szCs w:val="28"/>
        </w:rPr>
        <w:t>X,</w:t>
      </w:r>
      <w:r w:rsidRPr="00320A86">
        <w:rPr>
          <w:color w:val="000000"/>
          <w:szCs w:val="28"/>
        </w:rPr>
        <w:t xml:space="preserve"> </w:t>
      </w:r>
      <w:r w:rsidRPr="00320A86">
        <w:rPr>
          <w:rFonts w:eastAsia="Calibri"/>
          <w:color w:val="000000"/>
          <w:szCs w:val="28"/>
        </w:rPr>
        <w:t>quand</w:t>
      </w:r>
      <w:r w:rsidRPr="00320A86">
        <w:rPr>
          <w:color w:val="000000"/>
          <w:szCs w:val="28"/>
        </w:rPr>
        <w:t xml:space="preserve"> </w:t>
      </w:r>
      <w:r w:rsidRPr="00320A86">
        <w:rPr>
          <w:rFonts w:eastAsia="Calibri"/>
          <w:color w:val="000000"/>
          <w:szCs w:val="28"/>
        </w:rPr>
        <w:t>il</w:t>
      </w:r>
      <w:r w:rsidRPr="00320A86">
        <w:rPr>
          <w:color w:val="000000"/>
          <w:szCs w:val="28"/>
        </w:rPr>
        <w:t xml:space="preserve"> </w:t>
      </w:r>
      <w:r w:rsidRPr="00320A86">
        <w:rPr>
          <w:rFonts w:eastAsia="Calibri"/>
          <w:color w:val="000000"/>
          <w:szCs w:val="28"/>
        </w:rPr>
        <w:t>déclare</w:t>
      </w:r>
      <w:r w:rsidRPr="00320A86">
        <w:rPr>
          <w:color w:val="000000"/>
          <w:szCs w:val="28"/>
        </w:rPr>
        <w:t xml:space="preserve"> </w:t>
      </w:r>
      <w:r w:rsidRPr="00320A86">
        <w:rPr>
          <w:rFonts w:eastAsia="Calibri"/>
          <w:color w:val="000000"/>
          <w:szCs w:val="28"/>
        </w:rPr>
        <w:t>dès</w:t>
      </w:r>
      <w:r w:rsidRPr="00320A86">
        <w:rPr>
          <w:color w:val="000000"/>
          <w:szCs w:val="28"/>
        </w:rPr>
        <w:t xml:space="preserve"> </w:t>
      </w:r>
      <w:r w:rsidRPr="00320A86">
        <w:rPr>
          <w:rFonts w:eastAsia="Calibri"/>
          <w:color w:val="000000"/>
          <w:szCs w:val="28"/>
        </w:rPr>
        <w:t>2001</w:t>
      </w:r>
      <w:r w:rsidRPr="00320A86">
        <w:rPr>
          <w:color w:val="000000"/>
          <w:szCs w:val="28"/>
        </w:rPr>
        <w:t> </w:t>
      </w:r>
      <w:r w:rsidRPr="00320A86">
        <w:rPr>
          <w:rFonts w:eastAsia="Calibri"/>
          <w:color w:val="000000"/>
          <w:szCs w:val="28"/>
        </w:rPr>
        <w:t>:</w:t>
      </w:r>
    </w:p>
    <w:p w14:paraId="3AEEC8CA" w14:textId="77777777" w:rsidR="00B01930" w:rsidRDefault="00B01930" w:rsidP="00B01930">
      <w:pPr>
        <w:pStyle w:val="citation"/>
        <w:rPr>
          <w:szCs w:val="28"/>
        </w:rPr>
      </w:pPr>
    </w:p>
    <w:p w14:paraId="7599BE9A" w14:textId="77777777" w:rsidR="00B01930" w:rsidRDefault="00B01930" w:rsidP="00B01930">
      <w:pPr>
        <w:pStyle w:val="citation"/>
      </w:pPr>
      <w:r w:rsidRPr="00320A86">
        <w:rPr>
          <w:szCs w:val="28"/>
        </w:rPr>
        <w:t xml:space="preserve"> </w:t>
      </w:r>
      <w:r w:rsidRPr="00320A86">
        <w:t>« On pourrait donc distinguer très clairement l’intégrisme et l’intransigeantisme en montrant que c’est l’absence du souci pastoral pour les gens auxquels l’Église doit s’adresser, pour l’époque où elle év</w:t>
      </w:r>
      <w:r w:rsidRPr="00320A86">
        <w:t>o</w:t>
      </w:r>
      <w:r w:rsidRPr="00320A86">
        <w:t>lue, qui enferme l’intégrisme dans les plumes du perroquet, sentencieux et v</w:t>
      </w:r>
      <w:r w:rsidRPr="00320A86">
        <w:t>a</w:t>
      </w:r>
      <w:r w:rsidRPr="00320A86">
        <w:t>guement dérisoire à force de répéter les mêmes choses sans jamais che</w:t>
      </w:r>
      <w:r w:rsidRPr="00320A86">
        <w:t>r</w:t>
      </w:r>
      <w:r w:rsidRPr="00320A86">
        <w:t>cher à s’adresser à que</w:t>
      </w:r>
      <w:r w:rsidRPr="00320A86">
        <w:t>l</w:t>
      </w:r>
      <w:r w:rsidRPr="00320A86">
        <w:t>qu’un</w:t>
      </w:r>
      <w:r>
        <w:t> </w:t>
      </w:r>
      <w:r w:rsidRPr="003C29C2">
        <w:rPr>
          <w:rStyle w:val="Appelnotedebasdep"/>
          <w:i/>
        </w:rPr>
        <w:footnoteReference w:id="1202"/>
      </w:r>
      <w:r w:rsidRPr="00320A86">
        <w:t>. »</w:t>
      </w:r>
    </w:p>
    <w:p w14:paraId="26321641" w14:textId="77777777" w:rsidR="00B01930" w:rsidRPr="00320A86" w:rsidRDefault="00B01930" w:rsidP="00B01930">
      <w:pPr>
        <w:pStyle w:val="citation"/>
        <w:rPr>
          <w:szCs w:val="28"/>
        </w:rPr>
      </w:pPr>
    </w:p>
    <w:p w14:paraId="6A8C7C46" w14:textId="77777777" w:rsidR="00B01930" w:rsidRPr="00320A86" w:rsidRDefault="00B01930" w:rsidP="00B01930">
      <w:pPr>
        <w:spacing w:before="120" w:after="120"/>
        <w:jc w:val="both"/>
        <w:rPr>
          <w:rFonts w:eastAsia="Calibri"/>
          <w:color w:val="000000"/>
          <w:szCs w:val="28"/>
        </w:rPr>
      </w:pPr>
      <w:r w:rsidRPr="00320A86">
        <w:rPr>
          <w:color w:val="000000"/>
          <w:szCs w:val="28"/>
        </w:rPr>
        <w:t xml:space="preserve"> Ceci </w:t>
      </w:r>
      <w:r w:rsidRPr="00320A86">
        <w:rPr>
          <w:rFonts w:eastAsia="Calibri"/>
          <w:color w:val="000000"/>
          <w:szCs w:val="28"/>
        </w:rPr>
        <w:t>conduit</w:t>
      </w:r>
      <w:r w:rsidRPr="00320A86">
        <w:rPr>
          <w:color w:val="000000"/>
          <w:szCs w:val="28"/>
        </w:rPr>
        <w:t xml:space="preserve"> </w:t>
      </w:r>
      <w:r w:rsidRPr="00320A86">
        <w:rPr>
          <w:rFonts w:eastAsia="Calibri"/>
          <w:color w:val="000000"/>
          <w:szCs w:val="28"/>
        </w:rPr>
        <w:t>l’intégrisme</w:t>
      </w:r>
      <w:r w:rsidRPr="00320A86">
        <w:rPr>
          <w:color w:val="000000"/>
          <w:szCs w:val="28"/>
        </w:rPr>
        <w:t xml:space="preserve"> </w:t>
      </w:r>
      <w:r w:rsidRPr="00320A86">
        <w:rPr>
          <w:rFonts w:eastAsia="Calibri"/>
          <w:color w:val="000000"/>
          <w:szCs w:val="28"/>
        </w:rPr>
        <w:t>catholique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recruter</w:t>
      </w:r>
      <w:r w:rsidRPr="00320A86">
        <w:rPr>
          <w:color w:val="000000"/>
          <w:szCs w:val="28"/>
        </w:rPr>
        <w:t xml:space="preserve"> </w:t>
      </w:r>
      <w:r w:rsidRPr="00320A86">
        <w:rPr>
          <w:rFonts w:eastAsia="Calibri"/>
          <w:color w:val="000000"/>
          <w:szCs w:val="28"/>
        </w:rPr>
        <w:t>ses</w:t>
      </w:r>
      <w:r w:rsidRPr="00320A86">
        <w:rPr>
          <w:color w:val="000000"/>
          <w:szCs w:val="28"/>
        </w:rPr>
        <w:t xml:space="preserve"> </w:t>
      </w:r>
      <w:r w:rsidRPr="00320A86">
        <w:rPr>
          <w:rFonts w:eastAsia="Calibri"/>
          <w:color w:val="000000"/>
          <w:szCs w:val="28"/>
        </w:rPr>
        <w:t>partisans</w:t>
      </w:r>
      <w:r w:rsidRPr="00320A86">
        <w:rPr>
          <w:color w:val="000000"/>
          <w:szCs w:val="28"/>
        </w:rPr>
        <w:t xml:space="preserve"> </w:t>
      </w:r>
      <w:r w:rsidRPr="00320A86">
        <w:rPr>
          <w:rFonts w:eastAsia="Calibri"/>
          <w:color w:val="000000"/>
          <w:szCs w:val="28"/>
        </w:rPr>
        <w:t>bien</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parmi</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320A86">
        <w:rPr>
          <w:rFonts w:eastAsia="Calibri"/>
          <w:color w:val="000000"/>
          <w:szCs w:val="28"/>
        </w:rPr>
        <w:t>public</w:t>
      </w:r>
      <w:r w:rsidRPr="00320A86">
        <w:rPr>
          <w:color w:val="000000"/>
          <w:szCs w:val="28"/>
        </w:rPr>
        <w:t xml:space="preserve"> </w:t>
      </w:r>
      <w:r w:rsidRPr="00320A86">
        <w:rPr>
          <w:rFonts w:eastAsia="Calibri"/>
          <w:color w:val="000000"/>
          <w:szCs w:val="28"/>
        </w:rPr>
        <w:t>déjà</w:t>
      </w:r>
      <w:r w:rsidRPr="00320A86">
        <w:rPr>
          <w:color w:val="000000"/>
          <w:szCs w:val="28"/>
        </w:rPr>
        <w:t xml:space="preserve"> </w:t>
      </w:r>
      <w:r w:rsidRPr="00320A86">
        <w:rPr>
          <w:rFonts w:eastAsia="Calibri"/>
          <w:color w:val="000000"/>
          <w:szCs w:val="28"/>
        </w:rPr>
        <w:t>christianisé</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sur</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w:t>
      </w:r>
      <w:r w:rsidRPr="00320A86">
        <w:rPr>
          <w:color w:val="000000"/>
          <w:szCs w:val="28"/>
        </w:rPr>
        <w:t> </w:t>
      </w:r>
      <w:r w:rsidRPr="00320A86">
        <w:rPr>
          <w:rFonts w:eastAsia="Calibri"/>
          <w:color w:val="000000"/>
          <w:szCs w:val="28"/>
        </w:rPr>
        <w:t>marges</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sont</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souci</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l’actuel</w:t>
      </w:r>
      <w:r w:rsidRPr="00320A86">
        <w:rPr>
          <w:color w:val="000000"/>
          <w:szCs w:val="28"/>
        </w:rPr>
        <w:t xml:space="preserve"> </w:t>
      </w:r>
      <w:r w:rsidRPr="00320A86">
        <w:rPr>
          <w:rFonts w:eastAsia="Calibri"/>
          <w:color w:val="000000"/>
          <w:szCs w:val="28"/>
        </w:rPr>
        <w:t>Pape</w:t>
      </w:r>
      <w:r w:rsidRPr="00320A86">
        <w:rPr>
          <w:color w:val="000000"/>
          <w:szCs w:val="28"/>
        </w:rPr>
        <w:t xml:space="preserve"> </w:t>
      </w:r>
      <w:r w:rsidRPr="00320A86">
        <w:rPr>
          <w:rFonts w:eastAsia="Calibri"/>
          <w:color w:val="000000"/>
          <w:szCs w:val="28"/>
        </w:rPr>
        <w:t>François,</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cultivant</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facteurs</w:t>
      </w:r>
      <w:r w:rsidRPr="00320A86">
        <w:rPr>
          <w:color w:val="000000"/>
          <w:szCs w:val="28"/>
        </w:rPr>
        <w:t xml:space="preserve"> </w:t>
      </w:r>
      <w:r w:rsidRPr="00320A86">
        <w:rPr>
          <w:rFonts w:eastAsia="Calibri"/>
          <w:color w:val="000000"/>
          <w:szCs w:val="28"/>
        </w:rPr>
        <w:t>d’attraction</w:t>
      </w:r>
      <w:r w:rsidRPr="00320A86">
        <w:rPr>
          <w:color w:val="000000"/>
          <w:szCs w:val="28"/>
        </w:rPr>
        <w:t xml:space="preserve"> </w:t>
      </w:r>
      <w:r w:rsidRPr="00320A86">
        <w:rPr>
          <w:rFonts w:eastAsia="Calibri"/>
          <w:color w:val="000000"/>
          <w:szCs w:val="28"/>
        </w:rPr>
        <w:t>parfois</w:t>
      </w:r>
      <w:r w:rsidRPr="00320A86">
        <w:rPr>
          <w:color w:val="000000"/>
          <w:szCs w:val="28"/>
        </w:rPr>
        <w:t xml:space="preserve"> </w:t>
      </w:r>
      <w:r w:rsidRPr="00320A86">
        <w:rPr>
          <w:rFonts w:eastAsia="Calibri"/>
          <w:color w:val="000000"/>
          <w:szCs w:val="28"/>
        </w:rPr>
        <w:t>bien</w:t>
      </w:r>
      <w:r w:rsidRPr="00320A86">
        <w:rPr>
          <w:color w:val="000000"/>
          <w:szCs w:val="28"/>
        </w:rPr>
        <w:t xml:space="preserve"> </w:t>
      </w:r>
      <w:r w:rsidRPr="00320A86">
        <w:rPr>
          <w:rFonts w:eastAsia="Calibri"/>
          <w:color w:val="000000"/>
          <w:szCs w:val="28"/>
        </w:rPr>
        <w:t>minces</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no</w:t>
      </w:r>
      <w:r w:rsidRPr="00320A86">
        <w:rPr>
          <w:rFonts w:eastAsia="Calibri"/>
          <w:color w:val="000000"/>
          <w:szCs w:val="28"/>
        </w:rPr>
        <w:t>s</w:t>
      </w:r>
      <w:r w:rsidRPr="00320A86">
        <w:rPr>
          <w:rFonts w:eastAsia="Calibri"/>
          <w:color w:val="000000"/>
          <w:szCs w:val="28"/>
        </w:rPr>
        <w:t>talgie</w:t>
      </w:r>
      <w:r w:rsidRPr="00320A86">
        <w:rPr>
          <w:color w:val="000000"/>
          <w:szCs w:val="28"/>
        </w:rPr>
        <w:t xml:space="preserve"> </w:t>
      </w:r>
      <w:r w:rsidRPr="00320A86">
        <w:rPr>
          <w:rFonts w:eastAsia="Calibri"/>
          <w:color w:val="000000"/>
          <w:szCs w:val="28"/>
        </w:rPr>
        <w:t>d’une</w:t>
      </w:r>
      <w:r w:rsidRPr="00320A86">
        <w:rPr>
          <w:color w:val="000000"/>
          <w:szCs w:val="28"/>
        </w:rPr>
        <w:t xml:space="preserve"> </w:t>
      </w:r>
      <w:r w:rsidRPr="00320A86">
        <w:rPr>
          <w:rFonts w:eastAsia="Calibri"/>
          <w:color w:val="000000"/>
          <w:szCs w:val="28"/>
        </w:rPr>
        <w:t>messe</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latin</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a</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relents</w:t>
      </w:r>
      <w:r w:rsidRPr="00320A86">
        <w:rPr>
          <w:color w:val="000000"/>
          <w:szCs w:val="28"/>
        </w:rPr>
        <w:t xml:space="preserve"> </w:t>
      </w:r>
      <w:r w:rsidRPr="00320A86">
        <w:rPr>
          <w:rFonts w:eastAsia="Calibri"/>
          <w:color w:val="000000"/>
          <w:szCs w:val="28"/>
        </w:rPr>
        <w:t>d’enfance,</w:t>
      </w:r>
      <w:r w:rsidRPr="00320A86">
        <w:rPr>
          <w:color w:val="000000"/>
          <w:szCs w:val="28"/>
        </w:rPr>
        <w:t xml:space="preserve"> </w:t>
      </w:r>
      <w:r w:rsidRPr="00320A86">
        <w:rPr>
          <w:rFonts w:eastAsia="Calibri"/>
          <w:color w:val="000000"/>
          <w:szCs w:val="28"/>
        </w:rPr>
        <w:t>critique</w:t>
      </w:r>
      <w:r w:rsidRPr="00320A86">
        <w:rPr>
          <w:color w:val="000000"/>
          <w:szCs w:val="28"/>
        </w:rPr>
        <w:t xml:space="preserve"> </w:t>
      </w:r>
      <w:r w:rsidRPr="00320A86">
        <w:rPr>
          <w:rFonts w:eastAsia="Calibri"/>
          <w:color w:val="000000"/>
          <w:szCs w:val="28"/>
        </w:rPr>
        <w:t>«</w:t>
      </w:r>
      <w:r w:rsidRPr="00320A86">
        <w:rPr>
          <w:color w:val="000000"/>
          <w:szCs w:val="28"/>
        </w:rPr>
        <w:t> </w:t>
      </w:r>
      <w:r w:rsidRPr="00320A86">
        <w:rPr>
          <w:rFonts w:eastAsia="Calibri"/>
          <w:color w:val="000000"/>
          <w:szCs w:val="28"/>
        </w:rPr>
        <w:t>consumériste</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souvent</w:t>
      </w:r>
      <w:r w:rsidRPr="00320A86">
        <w:rPr>
          <w:color w:val="000000"/>
          <w:szCs w:val="28"/>
        </w:rPr>
        <w:t xml:space="preserve"> </w:t>
      </w:r>
      <w:r w:rsidRPr="00320A86">
        <w:rPr>
          <w:rFonts w:eastAsia="Calibri"/>
          <w:color w:val="000000"/>
          <w:szCs w:val="28"/>
        </w:rPr>
        <w:t>justifiée,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liturgies</w:t>
      </w:r>
      <w:r w:rsidRPr="00320A86">
        <w:rPr>
          <w:color w:val="000000"/>
          <w:szCs w:val="28"/>
        </w:rPr>
        <w:t xml:space="preserve"> </w:t>
      </w:r>
      <w:r w:rsidRPr="00320A86">
        <w:rPr>
          <w:rFonts w:eastAsia="Calibri"/>
          <w:color w:val="000000"/>
          <w:szCs w:val="28"/>
        </w:rPr>
        <w:t>post-conciliaires</w:t>
      </w:r>
      <w:r w:rsidRPr="00320A86">
        <w:rPr>
          <w:color w:val="000000"/>
          <w:szCs w:val="28"/>
        </w:rPr>
        <w:t xml:space="preserve"> </w:t>
      </w:r>
      <w:r w:rsidRPr="00320A86">
        <w:rPr>
          <w:rFonts w:eastAsia="Calibri"/>
          <w:color w:val="000000"/>
          <w:szCs w:val="28"/>
        </w:rPr>
        <w:t>parfois</w:t>
      </w:r>
      <w:r w:rsidRPr="00320A86">
        <w:rPr>
          <w:color w:val="000000"/>
          <w:szCs w:val="28"/>
        </w:rPr>
        <w:t xml:space="preserve"> </w:t>
      </w:r>
      <w:r w:rsidRPr="00320A86">
        <w:rPr>
          <w:rFonts w:eastAsia="Calibri"/>
          <w:color w:val="000000"/>
          <w:szCs w:val="28"/>
        </w:rPr>
        <w:t>fa</w:t>
      </w:r>
      <w:r w:rsidRPr="00320A86">
        <w:rPr>
          <w:rFonts w:eastAsia="Calibri"/>
          <w:color w:val="000000"/>
          <w:szCs w:val="28"/>
        </w:rPr>
        <w:t>n</w:t>
      </w:r>
      <w:r w:rsidRPr="00320A86">
        <w:rPr>
          <w:rFonts w:eastAsia="Calibri"/>
          <w:color w:val="000000"/>
          <w:szCs w:val="28"/>
        </w:rPr>
        <w:t>taisistes,</w:t>
      </w:r>
      <w:r w:rsidRPr="00320A86">
        <w:rPr>
          <w:color w:val="000000"/>
          <w:szCs w:val="28"/>
        </w:rPr>
        <w:t xml:space="preserve"> </w:t>
      </w:r>
      <w:r w:rsidRPr="00320A86">
        <w:rPr>
          <w:rFonts w:eastAsia="Calibri"/>
          <w:color w:val="000000"/>
          <w:szCs w:val="28"/>
        </w:rPr>
        <w:t>assimilation</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sacré</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mystère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décorum</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offrant</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pr</w:t>
      </w:r>
      <w:r w:rsidRPr="00320A86">
        <w:rPr>
          <w:rFonts w:eastAsia="Calibri"/>
          <w:color w:val="000000"/>
          <w:szCs w:val="28"/>
        </w:rPr>
        <w:t>a</w:t>
      </w:r>
      <w:r w:rsidRPr="00320A86">
        <w:rPr>
          <w:rFonts w:eastAsia="Calibri"/>
          <w:color w:val="000000"/>
          <w:szCs w:val="28"/>
        </w:rPr>
        <w:t>tique</w:t>
      </w:r>
      <w:r w:rsidRPr="00320A86">
        <w:rPr>
          <w:color w:val="000000"/>
          <w:szCs w:val="28"/>
        </w:rPr>
        <w:t xml:space="preserve"> </w:t>
      </w:r>
      <w:r w:rsidRPr="00320A86">
        <w:rPr>
          <w:rFonts w:eastAsia="Calibri"/>
          <w:color w:val="000000"/>
          <w:szCs w:val="28"/>
        </w:rPr>
        <w:t>religieuse</w:t>
      </w:r>
      <w:r w:rsidRPr="00320A86">
        <w:rPr>
          <w:color w:val="000000"/>
          <w:szCs w:val="28"/>
        </w:rPr>
        <w:t xml:space="preserve"> </w:t>
      </w:r>
      <w:r w:rsidRPr="00320A86">
        <w:rPr>
          <w:rFonts w:eastAsia="Calibri"/>
          <w:color w:val="000000"/>
          <w:szCs w:val="28"/>
        </w:rPr>
        <w:t>«</w:t>
      </w:r>
      <w:r w:rsidRPr="00320A86">
        <w:rPr>
          <w:color w:val="000000"/>
          <w:szCs w:val="28"/>
        </w:rPr>
        <w:t> </w:t>
      </w:r>
      <w:r w:rsidRPr="00320A86">
        <w:rPr>
          <w:rFonts w:eastAsia="Calibri"/>
          <w:color w:val="000000"/>
          <w:szCs w:val="28"/>
        </w:rPr>
        <w:t>ordinaire</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alternative</w:t>
      </w:r>
      <w:r w:rsidRPr="00320A86">
        <w:rPr>
          <w:color w:val="000000"/>
          <w:szCs w:val="28"/>
        </w:rPr>
        <w:t xml:space="preserve"> </w:t>
      </w:r>
      <w:r w:rsidRPr="00320A86">
        <w:rPr>
          <w:rFonts w:eastAsia="Calibri"/>
          <w:color w:val="000000"/>
          <w:szCs w:val="28"/>
        </w:rPr>
        <w:t>nettement</w:t>
      </w:r>
      <w:r w:rsidRPr="00320A86">
        <w:rPr>
          <w:color w:val="000000"/>
          <w:szCs w:val="28"/>
        </w:rPr>
        <w:t xml:space="preserve"> </w:t>
      </w:r>
      <w:r w:rsidRPr="00320A86">
        <w:rPr>
          <w:rFonts w:eastAsia="Calibri"/>
          <w:color w:val="000000"/>
          <w:szCs w:val="28"/>
        </w:rPr>
        <w:t>caractérisée</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w:t>
      </w:r>
      <w:r w:rsidRPr="00320A86">
        <w:rPr>
          <w:color w:val="000000"/>
          <w:szCs w:val="28"/>
        </w:rPr>
        <w:t> </w:t>
      </w:r>
      <w:r w:rsidRPr="00320A86">
        <w:rPr>
          <w:rFonts w:eastAsia="Calibri"/>
          <w:color w:val="000000"/>
          <w:szCs w:val="28"/>
        </w:rPr>
        <w:t>rite</w:t>
      </w:r>
      <w:r w:rsidRPr="00320A86">
        <w:rPr>
          <w:color w:val="000000"/>
          <w:szCs w:val="28"/>
        </w:rPr>
        <w:t xml:space="preserve"> </w:t>
      </w:r>
      <w:r w:rsidRPr="00320A86">
        <w:rPr>
          <w:rFonts w:eastAsia="Calibri"/>
          <w:color w:val="000000"/>
          <w:szCs w:val="28"/>
        </w:rPr>
        <w:t>extr</w:t>
      </w:r>
      <w:r w:rsidRPr="00320A86">
        <w:rPr>
          <w:rFonts w:eastAsia="Calibri"/>
          <w:color w:val="000000"/>
          <w:szCs w:val="28"/>
        </w:rPr>
        <w:t>a</w:t>
      </w:r>
      <w:r w:rsidRPr="00320A86">
        <w:rPr>
          <w:rFonts w:eastAsia="Calibri"/>
          <w:color w:val="000000"/>
          <w:szCs w:val="28"/>
        </w:rPr>
        <w:t>ordinaire</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l’intégrisme</w:t>
      </w:r>
      <w:r w:rsidRPr="00320A86">
        <w:rPr>
          <w:color w:val="000000"/>
          <w:szCs w:val="28"/>
        </w:rPr>
        <w:t xml:space="preserve"> </w:t>
      </w:r>
      <w:r w:rsidRPr="00320A86">
        <w:rPr>
          <w:rFonts w:eastAsia="Calibri"/>
          <w:color w:val="000000"/>
          <w:szCs w:val="28"/>
        </w:rPr>
        <w:t>catholique</w:t>
      </w:r>
      <w:r w:rsidRPr="00320A86">
        <w:rPr>
          <w:color w:val="000000"/>
          <w:szCs w:val="28"/>
        </w:rPr>
        <w:t xml:space="preserve"> </w:t>
      </w:r>
      <w:r w:rsidRPr="00320A86">
        <w:rPr>
          <w:rFonts w:eastAsia="Calibri"/>
          <w:color w:val="000000"/>
          <w:szCs w:val="28"/>
        </w:rPr>
        <w:t>pactise</w:t>
      </w:r>
      <w:r w:rsidRPr="00320A86">
        <w:rPr>
          <w:color w:val="000000"/>
          <w:szCs w:val="28"/>
        </w:rPr>
        <w:t xml:space="preserve"> </w:t>
      </w:r>
      <w:r w:rsidRPr="00320A86">
        <w:rPr>
          <w:rFonts w:eastAsia="Calibri"/>
          <w:color w:val="000000"/>
          <w:szCs w:val="28"/>
        </w:rPr>
        <w:t>inévitablement</w:t>
      </w:r>
      <w:r w:rsidRPr="00320A86">
        <w:rPr>
          <w:color w:val="000000"/>
          <w:szCs w:val="28"/>
        </w:rPr>
        <w:t xml:space="preserve"> </w:t>
      </w:r>
      <w:r w:rsidRPr="00320A86">
        <w:rPr>
          <w:rFonts w:eastAsia="Calibri"/>
          <w:color w:val="000000"/>
          <w:szCs w:val="28"/>
        </w:rPr>
        <w:t>avec</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culture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dissidence,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condition</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sa</w:t>
      </w:r>
      <w:r w:rsidRPr="00320A86">
        <w:rPr>
          <w:color w:val="000000"/>
          <w:szCs w:val="28"/>
        </w:rPr>
        <w:t xml:space="preserve"> </w:t>
      </w:r>
      <w:r w:rsidRPr="00320A86">
        <w:rPr>
          <w:rFonts w:eastAsia="Calibri"/>
          <w:color w:val="000000"/>
          <w:szCs w:val="28"/>
        </w:rPr>
        <w:t>survie.</w:t>
      </w:r>
      <w:r w:rsidRPr="00320A86">
        <w:rPr>
          <w:color w:val="000000"/>
          <w:szCs w:val="28"/>
        </w:rPr>
        <w:t xml:space="preserve"> </w:t>
      </w:r>
      <w:r w:rsidRPr="00320A86">
        <w:rPr>
          <w:rFonts w:eastAsia="Calibri"/>
          <w:color w:val="000000"/>
          <w:szCs w:val="28"/>
        </w:rPr>
        <w:t>Revendiquant</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320A86">
        <w:rPr>
          <w:rFonts w:eastAsia="Calibri"/>
          <w:color w:val="000000"/>
          <w:szCs w:val="28"/>
        </w:rPr>
        <w:t>catholicisme</w:t>
      </w:r>
      <w:r w:rsidRPr="00320A86">
        <w:rPr>
          <w:color w:val="000000"/>
          <w:szCs w:val="28"/>
        </w:rPr>
        <w:t xml:space="preserve"> </w:t>
      </w:r>
      <w:r w:rsidRPr="00320A86">
        <w:rPr>
          <w:rFonts w:eastAsia="Calibri"/>
          <w:color w:val="000000"/>
          <w:szCs w:val="28"/>
        </w:rPr>
        <w:t>authentique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dévalorise</w:t>
      </w:r>
      <w:r w:rsidRPr="00320A86">
        <w:rPr>
          <w:color w:val="000000"/>
          <w:szCs w:val="28"/>
        </w:rPr>
        <w:t xml:space="preserve"> </w:t>
      </w:r>
      <w:r w:rsidRPr="00320A86">
        <w:rPr>
          <w:rFonts w:eastAsia="Calibri"/>
          <w:color w:val="000000"/>
          <w:szCs w:val="28"/>
        </w:rPr>
        <w:t>celui</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l’Église</w:t>
      </w:r>
      <w:r w:rsidRPr="00320A86">
        <w:rPr>
          <w:color w:val="000000"/>
          <w:szCs w:val="28"/>
        </w:rPr>
        <w:t xml:space="preserve"> </w:t>
      </w:r>
      <w:r w:rsidRPr="00320A86">
        <w:rPr>
          <w:rFonts w:eastAsia="Calibri"/>
          <w:color w:val="000000"/>
          <w:szCs w:val="28"/>
        </w:rPr>
        <w:t>officielle,</w:t>
      </w:r>
      <w:r w:rsidRPr="00320A86">
        <w:rPr>
          <w:color w:val="000000"/>
          <w:szCs w:val="28"/>
        </w:rPr>
        <w:t xml:space="preserve"> </w:t>
      </w:r>
      <w:r w:rsidRPr="00320A86">
        <w:rPr>
          <w:rFonts w:eastAsia="Calibri"/>
          <w:color w:val="000000"/>
          <w:szCs w:val="28"/>
        </w:rPr>
        <w:t>il</w:t>
      </w:r>
      <w:r w:rsidRPr="00320A86">
        <w:rPr>
          <w:color w:val="000000"/>
          <w:szCs w:val="28"/>
        </w:rPr>
        <w:t xml:space="preserve"> </w:t>
      </w:r>
      <w:r w:rsidRPr="00320A86">
        <w:rPr>
          <w:rFonts w:eastAsia="Calibri"/>
          <w:color w:val="000000"/>
          <w:szCs w:val="28"/>
        </w:rPr>
        <w:t>tend</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bras</w:t>
      </w:r>
      <w:r w:rsidRPr="00320A86">
        <w:rPr>
          <w:color w:val="000000"/>
          <w:szCs w:val="28"/>
        </w:rPr>
        <w:t xml:space="preserve"> </w:t>
      </w:r>
      <w:r w:rsidRPr="00320A86">
        <w:rPr>
          <w:rFonts w:eastAsia="Calibri"/>
          <w:color w:val="000000"/>
          <w:szCs w:val="28"/>
        </w:rPr>
        <w:t>aux</w:t>
      </w:r>
      <w:r w:rsidRPr="00320A86">
        <w:rPr>
          <w:color w:val="000000"/>
          <w:szCs w:val="28"/>
        </w:rPr>
        <w:t xml:space="preserve"> </w:t>
      </w:r>
      <w:r w:rsidRPr="00320A86">
        <w:rPr>
          <w:rFonts w:eastAsia="Calibri"/>
          <w:color w:val="000000"/>
          <w:szCs w:val="28"/>
        </w:rPr>
        <w:t>incl</w:t>
      </w:r>
      <w:r w:rsidRPr="00320A86">
        <w:rPr>
          <w:rFonts w:eastAsia="Calibri"/>
          <w:color w:val="000000"/>
          <w:szCs w:val="28"/>
        </w:rPr>
        <w:t>i</w:t>
      </w:r>
      <w:r w:rsidRPr="00320A86">
        <w:rPr>
          <w:rFonts w:eastAsia="Calibri"/>
          <w:color w:val="000000"/>
          <w:szCs w:val="28"/>
        </w:rPr>
        <w:t>nations</w:t>
      </w:r>
      <w:r w:rsidRPr="00320A86">
        <w:rPr>
          <w:color w:val="000000"/>
          <w:szCs w:val="28"/>
        </w:rPr>
        <w:t xml:space="preserve"> </w:t>
      </w:r>
      <w:r w:rsidRPr="00320A86">
        <w:rPr>
          <w:rFonts w:eastAsia="Calibri"/>
          <w:color w:val="000000"/>
          <w:szCs w:val="28"/>
        </w:rPr>
        <w:t>critiques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brebis</w:t>
      </w:r>
      <w:r w:rsidRPr="00320A86">
        <w:rPr>
          <w:color w:val="000000"/>
          <w:szCs w:val="28"/>
        </w:rPr>
        <w:t xml:space="preserve"> </w:t>
      </w:r>
      <w:r w:rsidRPr="00320A86">
        <w:rPr>
          <w:rFonts w:eastAsia="Calibri"/>
          <w:color w:val="000000"/>
          <w:szCs w:val="28"/>
        </w:rPr>
        <w:t>sans</w:t>
      </w:r>
      <w:r w:rsidRPr="00320A86">
        <w:rPr>
          <w:color w:val="000000"/>
          <w:szCs w:val="28"/>
        </w:rPr>
        <w:t xml:space="preserve"> </w:t>
      </w:r>
      <w:r w:rsidRPr="00320A86">
        <w:rPr>
          <w:rFonts w:eastAsia="Calibri"/>
          <w:color w:val="000000"/>
          <w:szCs w:val="28"/>
        </w:rPr>
        <w:t>doute</w:t>
      </w:r>
      <w:r w:rsidRPr="00320A86">
        <w:rPr>
          <w:color w:val="000000"/>
          <w:szCs w:val="28"/>
        </w:rPr>
        <w:t xml:space="preserve"> </w:t>
      </w:r>
      <w:r w:rsidRPr="00320A86">
        <w:rPr>
          <w:rFonts w:eastAsia="Calibri"/>
          <w:color w:val="000000"/>
          <w:szCs w:val="28"/>
        </w:rPr>
        <w:t>convaincues</w:t>
      </w:r>
      <w:r w:rsidRPr="00320A86">
        <w:rPr>
          <w:color w:val="000000"/>
          <w:szCs w:val="28"/>
        </w:rPr>
        <w:t xml:space="preserve"> </w:t>
      </w:r>
      <w:r w:rsidRPr="00320A86">
        <w:rPr>
          <w:rFonts w:eastAsia="Calibri"/>
          <w:color w:val="000000"/>
          <w:szCs w:val="28"/>
        </w:rPr>
        <w:t>mais</w:t>
      </w:r>
      <w:r w:rsidRPr="00320A86">
        <w:rPr>
          <w:color w:val="000000"/>
          <w:szCs w:val="28"/>
        </w:rPr>
        <w:t xml:space="preserve"> </w:t>
      </w:r>
      <w:r w:rsidRPr="00320A86">
        <w:rPr>
          <w:rFonts w:eastAsia="Calibri"/>
          <w:color w:val="000000"/>
          <w:szCs w:val="28"/>
        </w:rPr>
        <w:t>surtout</w:t>
      </w:r>
      <w:r w:rsidRPr="00320A86">
        <w:rPr>
          <w:color w:val="000000"/>
          <w:szCs w:val="28"/>
        </w:rPr>
        <w:t xml:space="preserve"> </w:t>
      </w:r>
      <w:r w:rsidRPr="00320A86">
        <w:rPr>
          <w:rFonts w:eastAsia="Calibri"/>
          <w:color w:val="000000"/>
          <w:szCs w:val="28"/>
        </w:rPr>
        <w:t>pointillistes.</w:t>
      </w:r>
      <w:r w:rsidRPr="00320A86">
        <w:rPr>
          <w:color w:val="000000"/>
          <w:szCs w:val="28"/>
        </w:rPr>
        <w:t xml:space="preserve"> </w:t>
      </w:r>
      <w:r w:rsidRPr="00320A86">
        <w:rPr>
          <w:rFonts w:eastAsia="Calibri"/>
          <w:color w:val="000000"/>
          <w:szCs w:val="28"/>
        </w:rPr>
        <w:t>P</w:t>
      </w:r>
      <w:r w:rsidRPr="00320A86">
        <w:rPr>
          <w:rFonts w:eastAsia="Calibri"/>
          <w:color w:val="000000"/>
          <w:szCs w:val="28"/>
        </w:rPr>
        <w:t>a</w:t>
      </w:r>
      <w:r w:rsidRPr="00320A86">
        <w:rPr>
          <w:rFonts w:eastAsia="Calibri"/>
          <w:color w:val="000000"/>
          <w:szCs w:val="28"/>
        </w:rPr>
        <w:t>radoxalement,</w:t>
      </w:r>
      <w:r w:rsidRPr="00320A86">
        <w:rPr>
          <w:color w:val="000000"/>
          <w:szCs w:val="28"/>
        </w:rPr>
        <w:t xml:space="preserve"> </w:t>
      </w:r>
      <w:r w:rsidRPr="00320A86">
        <w:rPr>
          <w:rFonts w:eastAsia="Calibri"/>
          <w:color w:val="000000"/>
          <w:szCs w:val="28"/>
        </w:rPr>
        <w:t>il</w:t>
      </w:r>
      <w:r w:rsidRPr="00320A86">
        <w:rPr>
          <w:color w:val="000000"/>
          <w:szCs w:val="28"/>
        </w:rPr>
        <w:t xml:space="preserve"> </w:t>
      </w:r>
      <w:r w:rsidRPr="00320A86">
        <w:rPr>
          <w:rFonts w:eastAsia="Calibri"/>
          <w:color w:val="000000"/>
          <w:szCs w:val="28"/>
        </w:rPr>
        <w:t>puise</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modernité,</w:t>
      </w:r>
      <w:r w:rsidRPr="00320A86">
        <w:rPr>
          <w:color w:val="000000"/>
          <w:szCs w:val="28"/>
        </w:rPr>
        <w:t xml:space="preserve"> </w:t>
      </w:r>
      <w:r w:rsidRPr="00320A86">
        <w:rPr>
          <w:rFonts w:eastAsia="Calibri"/>
          <w:color w:val="000000"/>
          <w:szCs w:val="28"/>
        </w:rPr>
        <w:t>qu’il</w:t>
      </w:r>
      <w:r w:rsidRPr="00320A86">
        <w:rPr>
          <w:color w:val="000000"/>
          <w:szCs w:val="28"/>
        </w:rPr>
        <w:t xml:space="preserve"> </w:t>
      </w:r>
      <w:r w:rsidRPr="00320A86">
        <w:rPr>
          <w:rFonts w:eastAsia="Calibri"/>
          <w:color w:val="000000"/>
          <w:szCs w:val="28"/>
        </w:rPr>
        <w:t>tient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horreur,</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outils</w:t>
      </w:r>
      <w:r w:rsidRPr="00320A86">
        <w:rPr>
          <w:color w:val="000000"/>
          <w:szCs w:val="28"/>
        </w:rPr>
        <w:t xml:space="preserve"> </w:t>
      </w:r>
      <w:r w:rsidRPr="00320A86">
        <w:rPr>
          <w:rFonts w:eastAsia="Calibri"/>
          <w:color w:val="000000"/>
          <w:szCs w:val="28"/>
        </w:rPr>
        <w:t>tact</w:t>
      </w:r>
      <w:r w:rsidRPr="00320A86">
        <w:rPr>
          <w:rFonts w:eastAsia="Calibri"/>
          <w:color w:val="000000"/>
          <w:szCs w:val="28"/>
        </w:rPr>
        <w:t>i</w:t>
      </w:r>
      <w:r w:rsidRPr="00320A86">
        <w:rPr>
          <w:rFonts w:eastAsia="Calibri"/>
          <w:color w:val="000000"/>
          <w:szCs w:val="28"/>
        </w:rPr>
        <w:t>ques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son</w:t>
      </w:r>
      <w:r w:rsidRPr="00320A86">
        <w:rPr>
          <w:color w:val="000000"/>
          <w:szCs w:val="28"/>
        </w:rPr>
        <w:t xml:space="preserve"> </w:t>
      </w:r>
      <w:r w:rsidRPr="00320A86">
        <w:rPr>
          <w:rFonts w:eastAsia="Calibri"/>
          <w:color w:val="000000"/>
          <w:szCs w:val="28"/>
        </w:rPr>
        <w:t>succès</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lui</w:t>
      </w:r>
      <w:r w:rsidRPr="00320A86">
        <w:rPr>
          <w:color w:val="000000"/>
          <w:szCs w:val="28"/>
        </w:rPr>
        <w:t xml:space="preserve"> </w:t>
      </w:r>
      <w:r w:rsidRPr="00320A86">
        <w:rPr>
          <w:rFonts w:eastAsia="Calibri"/>
          <w:color w:val="000000"/>
          <w:szCs w:val="28"/>
        </w:rPr>
        <w:t>proposant</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religion</w:t>
      </w:r>
      <w:r w:rsidRPr="00320A86">
        <w:rPr>
          <w:color w:val="000000"/>
          <w:szCs w:val="28"/>
        </w:rPr>
        <w:t xml:space="preserve"> </w:t>
      </w:r>
      <w:r w:rsidRPr="00320A86">
        <w:rPr>
          <w:rFonts w:eastAsia="Calibri"/>
          <w:color w:val="000000"/>
          <w:szCs w:val="28"/>
        </w:rPr>
        <w:t>formellement</w:t>
      </w:r>
      <w:r w:rsidRPr="00320A86">
        <w:rPr>
          <w:color w:val="000000"/>
          <w:szCs w:val="28"/>
        </w:rPr>
        <w:t xml:space="preserve"> </w:t>
      </w:r>
      <w:r w:rsidRPr="00320A86">
        <w:rPr>
          <w:rFonts w:eastAsia="Calibri"/>
          <w:color w:val="000000"/>
          <w:szCs w:val="28"/>
        </w:rPr>
        <w:t>exigeante,</w:t>
      </w:r>
      <w:r w:rsidRPr="00320A86">
        <w:rPr>
          <w:color w:val="000000"/>
          <w:szCs w:val="28"/>
        </w:rPr>
        <w:t xml:space="preserve"> </w:t>
      </w:r>
      <w:r w:rsidRPr="00320A86">
        <w:rPr>
          <w:rFonts w:eastAsia="Calibri"/>
          <w:color w:val="000000"/>
          <w:szCs w:val="28"/>
        </w:rPr>
        <w:t>il</w:t>
      </w:r>
      <w:r w:rsidRPr="00320A86">
        <w:rPr>
          <w:color w:val="000000"/>
          <w:szCs w:val="28"/>
        </w:rPr>
        <w:t xml:space="preserve"> </w:t>
      </w:r>
      <w:r w:rsidRPr="00320A86">
        <w:rPr>
          <w:rFonts w:eastAsia="Calibri"/>
          <w:color w:val="000000"/>
          <w:szCs w:val="28"/>
        </w:rPr>
        <w:t>offre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je</w:t>
      </w:r>
      <w:r w:rsidRPr="00320A86">
        <w:rPr>
          <w:rFonts w:eastAsia="Calibri"/>
          <w:color w:val="000000"/>
          <w:szCs w:val="28"/>
        </w:rPr>
        <w:t>u</w:t>
      </w:r>
      <w:r w:rsidRPr="00320A86">
        <w:rPr>
          <w:rFonts w:eastAsia="Calibri"/>
          <w:color w:val="000000"/>
          <w:szCs w:val="28"/>
        </w:rPr>
        <w:t>nesse</w:t>
      </w:r>
      <w:r w:rsidRPr="00320A86">
        <w:rPr>
          <w:color w:val="000000"/>
          <w:szCs w:val="28"/>
        </w:rPr>
        <w:t xml:space="preserve"> </w:t>
      </w:r>
      <w:r w:rsidRPr="00320A86">
        <w:rPr>
          <w:rFonts w:eastAsia="Calibri"/>
          <w:color w:val="000000"/>
          <w:szCs w:val="28"/>
        </w:rPr>
        <w:t>post-moderne</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forme</w:t>
      </w:r>
      <w:r w:rsidRPr="00320A86">
        <w:rPr>
          <w:color w:val="000000"/>
          <w:szCs w:val="28"/>
        </w:rPr>
        <w:t xml:space="preserve"> </w:t>
      </w:r>
      <w:r w:rsidRPr="00320A86">
        <w:rPr>
          <w:rFonts w:eastAsia="Calibri"/>
          <w:color w:val="000000"/>
          <w:szCs w:val="28"/>
        </w:rPr>
        <w:t>d’idéalisme</w:t>
      </w:r>
      <w:r w:rsidRPr="00320A86">
        <w:rPr>
          <w:color w:val="000000"/>
          <w:szCs w:val="28"/>
        </w:rPr>
        <w:t xml:space="preserve"> </w:t>
      </w:r>
      <w:r w:rsidRPr="00320A86">
        <w:rPr>
          <w:rFonts w:eastAsia="Calibri"/>
          <w:color w:val="000000"/>
          <w:szCs w:val="28"/>
        </w:rPr>
        <w:t>dont</w:t>
      </w:r>
      <w:r w:rsidRPr="00320A86">
        <w:rPr>
          <w:color w:val="000000"/>
          <w:szCs w:val="28"/>
        </w:rPr>
        <w:t xml:space="preserve"> </w:t>
      </w:r>
      <w:r w:rsidRPr="00320A86">
        <w:rPr>
          <w:rFonts w:eastAsia="Calibri"/>
          <w:color w:val="000000"/>
          <w:szCs w:val="28"/>
        </w:rPr>
        <w:t>elle</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friande</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parant</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label</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l’authenticité</w:t>
      </w:r>
      <w:r w:rsidRPr="00320A86">
        <w:rPr>
          <w:color w:val="000000"/>
          <w:szCs w:val="28"/>
        </w:rPr>
        <w:t xml:space="preserve"> </w:t>
      </w:r>
      <w:r w:rsidRPr="00320A86">
        <w:rPr>
          <w:rFonts w:eastAsia="Calibri"/>
          <w:color w:val="000000"/>
          <w:szCs w:val="28"/>
        </w:rPr>
        <w:t>il</w:t>
      </w:r>
      <w:r w:rsidRPr="00320A86">
        <w:rPr>
          <w:color w:val="000000"/>
          <w:szCs w:val="28"/>
        </w:rPr>
        <w:t xml:space="preserve"> </w:t>
      </w:r>
      <w:r w:rsidRPr="00320A86">
        <w:rPr>
          <w:rFonts w:eastAsia="Calibri"/>
          <w:color w:val="000000"/>
          <w:szCs w:val="28"/>
        </w:rPr>
        <w:t>rejoint</w:t>
      </w:r>
      <w:r w:rsidRPr="00320A86">
        <w:rPr>
          <w:color w:val="000000"/>
          <w:szCs w:val="28"/>
        </w:rPr>
        <w:t xml:space="preserve"> </w:t>
      </w:r>
      <w:r w:rsidRPr="00320A86">
        <w:rPr>
          <w:rFonts w:eastAsia="Calibri"/>
          <w:color w:val="000000"/>
          <w:szCs w:val="28"/>
        </w:rPr>
        <w:t>l’aspiration</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sincérité,</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fait</w:t>
      </w:r>
      <w:r w:rsidRPr="00320A86">
        <w:rPr>
          <w:color w:val="000000"/>
          <w:szCs w:val="28"/>
        </w:rPr>
        <w:t xml:space="preserve"> </w:t>
      </w:r>
      <w:r w:rsidRPr="00320A86">
        <w:rPr>
          <w:rFonts w:eastAsia="Calibri"/>
          <w:color w:val="000000"/>
          <w:szCs w:val="28"/>
        </w:rPr>
        <w:t>partie</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catalogue</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idées</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mode</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permettant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vivre</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w:t>
      </w:r>
      <w:r w:rsidRPr="00320A86">
        <w:rPr>
          <w:color w:val="000000"/>
          <w:szCs w:val="28"/>
        </w:rPr>
        <w:t> </w:t>
      </w:r>
      <w:r w:rsidRPr="00320A86">
        <w:rPr>
          <w:rFonts w:eastAsia="Calibri"/>
          <w:color w:val="000000"/>
          <w:szCs w:val="28"/>
        </w:rPr>
        <w:t>différence</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sein</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tout,</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fois</w:t>
      </w:r>
      <w:r w:rsidRPr="00320A86">
        <w:rPr>
          <w:color w:val="000000"/>
          <w:szCs w:val="28"/>
        </w:rPr>
        <w:t xml:space="preserve"> </w:t>
      </w:r>
      <w:r w:rsidRPr="00320A86">
        <w:rPr>
          <w:rFonts w:eastAsia="Calibri"/>
          <w:color w:val="000000"/>
          <w:szCs w:val="28"/>
        </w:rPr>
        <w:t>«</w:t>
      </w:r>
      <w:r w:rsidRPr="00320A86">
        <w:rPr>
          <w:color w:val="000000"/>
          <w:szCs w:val="28"/>
        </w:rPr>
        <w:t> </w:t>
      </w:r>
      <w:r w:rsidRPr="00320A86">
        <w:rPr>
          <w:rFonts w:eastAsia="Calibri"/>
          <w:color w:val="000000"/>
          <w:szCs w:val="28"/>
        </w:rPr>
        <w:t>persécutée</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mais</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v</w:t>
      </w:r>
      <w:r w:rsidRPr="00320A86">
        <w:rPr>
          <w:rFonts w:eastAsia="Calibri"/>
          <w:color w:val="000000"/>
          <w:szCs w:val="28"/>
        </w:rPr>
        <w:t>o</w:t>
      </w:r>
      <w:r w:rsidRPr="00320A86">
        <w:rPr>
          <w:rFonts w:eastAsia="Calibri"/>
          <w:color w:val="000000"/>
          <w:szCs w:val="28"/>
        </w:rPr>
        <w:t>cation</w:t>
      </w:r>
      <w:r w:rsidRPr="00320A86">
        <w:rPr>
          <w:color w:val="000000"/>
          <w:szCs w:val="28"/>
        </w:rPr>
        <w:t xml:space="preserve"> </w:t>
      </w:r>
      <w:r w:rsidRPr="00320A86">
        <w:rPr>
          <w:rFonts w:eastAsia="Calibri"/>
          <w:color w:val="000000"/>
          <w:szCs w:val="28"/>
        </w:rPr>
        <w:t>hégémonique,</w:t>
      </w:r>
      <w:r w:rsidRPr="00320A86">
        <w:rPr>
          <w:color w:val="000000"/>
          <w:szCs w:val="28"/>
        </w:rPr>
        <w:t xml:space="preserve"> </w:t>
      </w:r>
      <w:r w:rsidRPr="00320A86">
        <w:rPr>
          <w:rFonts w:eastAsia="Calibri"/>
          <w:color w:val="000000"/>
          <w:szCs w:val="28"/>
        </w:rPr>
        <w:t>il</w:t>
      </w:r>
      <w:r w:rsidRPr="00320A86">
        <w:rPr>
          <w:color w:val="000000"/>
          <w:szCs w:val="28"/>
        </w:rPr>
        <w:t xml:space="preserve"> </w:t>
      </w:r>
      <w:r w:rsidRPr="00320A86">
        <w:rPr>
          <w:rFonts w:eastAsia="Calibri"/>
          <w:color w:val="000000"/>
          <w:szCs w:val="28"/>
        </w:rPr>
        <w:t>ne</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départit</w:t>
      </w:r>
      <w:r w:rsidRPr="00320A86">
        <w:rPr>
          <w:color w:val="000000"/>
          <w:szCs w:val="28"/>
        </w:rPr>
        <w:t xml:space="preserve"> </w:t>
      </w:r>
      <w:r w:rsidRPr="00320A86">
        <w:rPr>
          <w:rFonts w:eastAsia="Calibri"/>
          <w:color w:val="000000"/>
          <w:szCs w:val="28"/>
        </w:rPr>
        <w:t>pas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l’esprit</w:t>
      </w:r>
      <w:r w:rsidRPr="00320A86">
        <w:rPr>
          <w:color w:val="000000"/>
          <w:szCs w:val="28"/>
        </w:rPr>
        <w:t xml:space="preserve"> </w:t>
      </w:r>
      <w:r w:rsidRPr="00320A86">
        <w:rPr>
          <w:rFonts w:eastAsia="Calibri"/>
          <w:color w:val="000000"/>
          <w:szCs w:val="28"/>
        </w:rPr>
        <w:t>– bien</w:t>
      </w:r>
      <w:r w:rsidRPr="00320A86">
        <w:rPr>
          <w:color w:val="000000"/>
          <w:szCs w:val="28"/>
        </w:rPr>
        <w:t xml:space="preserve"> </w:t>
      </w:r>
      <w:r w:rsidRPr="00320A86">
        <w:rPr>
          <w:rFonts w:eastAsia="Calibri"/>
          <w:color w:val="000000"/>
          <w:szCs w:val="28"/>
        </w:rPr>
        <w:t>français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bien</w:t>
      </w:r>
      <w:r w:rsidRPr="00320A86">
        <w:rPr>
          <w:color w:val="000000"/>
          <w:szCs w:val="28"/>
        </w:rPr>
        <w:t xml:space="preserve"> </w:t>
      </w:r>
      <w:r w:rsidRPr="00320A86">
        <w:rPr>
          <w:rFonts w:eastAsia="Calibri"/>
          <w:color w:val="000000"/>
          <w:szCs w:val="28"/>
        </w:rPr>
        <w:t>moderne –</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donne</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prime</w:t>
      </w:r>
      <w:r w:rsidRPr="00320A86">
        <w:rPr>
          <w:color w:val="000000"/>
          <w:szCs w:val="28"/>
        </w:rPr>
        <w:t xml:space="preserve"> </w:t>
      </w:r>
      <w:r w:rsidRPr="00320A86">
        <w:rPr>
          <w:rFonts w:eastAsia="Calibri"/>
          <w:color w:val="000000"/>
          <w:szCs w:val="28"/>
        </w:rPr>
        <w:t>aux</w:t>
      </w:r>
      <w:r w:rsidRPr="00320A86">
        <w:rPr>
          <w:color w:val="000000"/>
          <w:szCs w:val="28"/>
        </w:rPr>
        <w:t xml:space="preserve"> </w:t>
      </w:r>
      <w:r w:rsidRPr="00320A86">
        <w:rPr>
          <w:rFonts w:eastAsia="Calibri"/>
          <w:color w:val="000000"/>
          <w:szCs w:val="28"/>
        </w:rPr>
        <w:t>«</w:t>
      </w:r>
      <w:r w:rsidRPr="00320A86">
        <w:rPr>
          <w:color w:val="000000"/>
          <w:szCs w:val="28"/>
        </w:rPr>
        <w:t> </w:t>
      </w:r>
      <w:r w:rsidRPr="00320A86">
        <w:rPr>
          <w:rFonts w:eastAsia="Calibri"/>
          <w:color w:val="000000"/>
          <w:szCs w:val="28"/>
        </w:rPr>
        <w:t>minorités</w:t>
      </w:r>
      <w:r w:rsidRPr="00320A86">
        <w:rPr>
          <w:color w:val="000000"/>
          <w:szCs w:val="28"/>
        </w:rPr>
        <w:t xml:space="preserve"> </w:t>
      </w:r>
      <w:r w:rsidRPr="00320A86">
        <w:rPr>
          <w:rFonts w:eastAsia="Calibri"/>
          <w:color w:val="000000"/>
          <w:szCs w:val="28"/>
        </w:rPr>
        <w:t>agissantes</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Elles</w:t>
      </w:r>
      <w:r w:rsidRPr="00320A86">
        <w:rPr>
          <w:color w:val="000000"/>
          <w:szCs w:val="28"/>
        </w:rPr>
        <w:t xml:space="preserve"> </w:t>
      </w:r>
      <w:r w:rsidRPr="00320A86">
        <w:rPr>
          <w:rFonts w:eastAsia="Calibri"/>
          <w:color w:val="000000"/>
          <w:szCs w:val="28"/>
        </w:rPr>
        <w:t>sont</w:t>
      </w:r>
      <w:r w:rsidRPr="00320A86">
        <w:rPr>
          <w:color w:val="000000"/>
          <w:szCs w:val="28"/>
        </w:rPr>
        <w:t xml:space="preserve"> </w:t>
      </w:r>
      <w:r w:rsidRPr="00320A86">
        <w:rPr>
          <w:rFonts w:eastAsia="Calibri"/>
          <w:color w:val="000000"/>
          <w:szCs w:val="28"/>
        </w:rPr>
        <w:t>toujours</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ferments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division</w:t>
      </w:r>
      <w:r w:rsidRPr="00320A86">
        <w:rPr>
          <w:color w:val="000000"/>
          <w:szCs w:val="28"/>
        </w:rPr>
        <w:t xml:space="preserve"> </w:t>
      </w:r>
      <w:r w:rsidRPr="00320A86">
        <w:rPr>
          <w:rFonts w:eastAsia="Calibri"/>
          <w:color w:val="000000"/>
          <w:szCs w:val="28"/>
        </w:rPr>
        <w:t>vit</w:t>
      </w:r>
      <w:r w:rsidRPr="00320A86">
        <w:rPr>
          <w:rFonts w:eastAsia="Calibri"/>
          <w:color w:val="000000"/>
          <w:szCs w:val="28"/>
        </w:rPr>
        <w:t>a</w:t>
      </w:r>
      <w:r w:rsidRPr="00320A86">
        <w:rPr>
          <w:rFonts w:eastAsia="Calibri"/>
          <w:color w:val="000000"/>
          <w:szCs w:val="28"/>
        </w:rPr>
        <w:t>minés</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ce</w:t>
      </w:r>
      <w:r w:rsidRPr="00320A86">
        <w:rPr>
          <w:color w:val="000000"/>
          <w:szCs w:val="28"/>
        </w:rPr>
        <w:t xml:space="preserve"> </w:t>
      </w:r>
      <w:r w:rsidRPr="00320A86">
        <w:rPr>
          <w:rFonts w:eastAsia="Calibri"/>
          <w:color w:val="000000"/>
          <w:szCs w:val="28"/>
        </w:rPr>
        <w:t>qu’elles</w:t>
      </w:r>
      <w:r w:rsidRPr="00320A86">
        <w:rPr>
          <w:color w:val="000000"/>
          <w:szCs w:val="28"/>
        </w:rPr>
        <w:t xml:space="preserve"> </w:t>
      </w:r>
      <w:r w:rsidRPr="00320A86">
        <w:rPr>
          <w:rFonts w:eastAsia="Calibri"/>
          <w:color w:val="000000"/>
          <w:szCs w:val="28"/>
        </w:rPr>
        <w:t>conjuguent</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compassion</w:t>
      </w:r>
      <w:r w:rsidRPr="00320A86">
        <w:rPr>
          <w:color w:val="000000"/>
          <w:szCs w:val="28"/>
        </w:rPr>
        <w:t xml:space="preserve"> </w:t>
      </w:r>
      <w:r w:rsidRPr="00320A86">
        <w:rPr>
          <w:rFonts w:eastAsia="Calibri"/>
          <w:color w:val="000000"/>
          <w:szCs w:val="28"/>
        </w:rPr>
        <w:t>(l’émotion)</w:t>
      </w:r>
      <w:r w:rsidRPr="00320A86">
        <w:rPr>
          <w:color w:val="000000"/>
          <w:szCs w:val="28"/>
        </w:rPr>
        <w:t xml:space="preserve"> </w:t>
      </w:r>
      <w:r w:rsidRPr="00320A86">
        <w:rPr>
          <w:rFonts w:eastAsia="Calibri"/>
          <w:color w:val="000000"/>
          <w:szCs w:val="28"/>
        </w:rPr>
        <w:t>pour</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minorités</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défin</w:t>
      </w:r>
      <w:r w:rsidRPr="00320A86">
        <w:rPr>
          <w:rFonts w:eastAsia="Calibri"/>
          <w:color w:val="000000"/>
          <w:szCs w:val="28"/>
        </w:rPr>
        <w:t>i</w:t>
      </w:r>
      <w:r w:rsidRPr="00320A86">
        <w:rPr>
          <w:rFonts w:eastAsia="Calibri"/>
          <w:color w:val="000000"/>
          <w:szCs w:val="28"/>
        </w:rPr>
        <w:t>tion</w:t>
      </w:r>
      <w:r w:rsidRPr="00320A86">
        <w:rPr>
          <w:color w:val="000000"/>
          <w:szCs w:val="28"/>
        </w:rPr>
        <w:t xml:space="preserve"> </w:t>
      </w:r>
      <w:r w:rsidRPr="00320A86">
        <w:rPr>
          <w:rFonts w:eastAsia="Calibri"/>
          <w:color w:val="000000"/>
          <w:szCs w:val="28"/>
        </w:rPr>
        <w:t>réprimées,</w:t>
      </w:r>
      <w:r w:rsidRPr="00320A86">
        <w:rPr>
          <w:color w:val="000000"/>
          <w:szCs w:val="28"/>
        </w:rPr>
        <w:t xml:space="preserve"> </w:t>
      </w:r>
      <w:r w:rsidRPr="00320A86">
        <w:rPr>
          <w:rFonts w:eastAsia="Calibri"/>
          <w:color w:val="000000"/>
          <w:szCs w:val="28"/>
        </w:rPr>
        <w:t>tout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prétendant</w:t>
      </w:r>
      <w:r w:rsidRPr="00320A86">
        <w:rPr>
          <w:color w:val="000000"/>
          <w:szCs w:val="28"/>
        </w:rPr>
        <w:t xml:space="preserve"> </w:t>
      </w:r>
      <w:r w:rsidRPr="00320A86">
        <w:rPr>
          <w:rFonts w:eastAsia="Calibri"/>
          <w:color w:val="000000"/>
          <w:szCs w:val="28"/>
        </w:rPr>
        <w:t>servir</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référence</w:t>
      </w:r>
      <w:r w:rsidRPr="00320A86">
        <w:rPr>
          <w:color w:val="000000"/>
          <w:szCs w:val="28"/>
        </w:rPr>
        <w:t xml:space="preserve"> </w:t>
      </w:r>
      <w:r w:rsidRPr="00320A86">
        <w:rPr>
          <w:rFonts w:eastAsia="Calibri"/>
          <w:color w:val="000000"/>
          <w:szCs w:val="28"/>
        </w:rPr>
        <w:t>pour</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totalité</w:t>
      </w:r>
      <w:r w:rsidRPr="00320A86">
        <w:rPr>
          <w:color w:val="000000"/>
          <w:szCs w:val="28"/>
        </w:rPr>
        <w:t xml:space="preserve"> </w:t>
      </w:r>
      <w:r w:rsidRPr="00320A86">
        <w:rPr>
          <w:rFonts w:eastAsia="Calibri"/>
          <w:color w:val="000000"/>
          <w:szCs w:val="28"/>
        </w:rPr>
        <w:t>– ici</w:t>
      </w:r>
      <w:r w:rsidRPr="00320A86">
        <w:rPr>
          <w:color w:val="000000"/>
          <w:szCs w:val="28"/>
        </w:rPr>
        <w:t xml:space="preserve"> </w:t>
      </w:r>
      <w:r w:rsidRPr="00320A86">
        <w:rPr>
          <w:rFonts w:eastAsia="Calibri"/>
          <w:color w:val="000000"/>
          <w:szCs w:val="28"/>
        </w:rPr>
        <w:t>ecclésiale –</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laquelle</w:t>
      </w:r>
      <w:r w:rsidRPr="00320A86">
        <w:rPr>
          <w:color w:val="000000"/>
          <w:szCs w:val="28"/>
        </w:rPr>
        <w:t xml:space="preserve"> </w:t>
      </w:r>
      <w:r w:rsidRPr="00320A86">
        <w:rPr>
          <w:rFonts w:eastAsia="Calibri"/>
          <w:color w:val="000000"/>
          <w:szCs w:val="28"/>
        </w:rPr>
        <w:t>il</w:t>
      </w:r>
      <w:r w:rsidRPr="00320A86">
        <w:rPr>
          <w:color w:val="000000"/>
          <w:szCs w:val="28"/>
        </w:rPr>
        <w:t xml:space="preserve"> </w:t>
      </w:r>
      <w:r w:rsidRPr="00320A86">
        <w:rPr>
          <w:rFonts w:eastAsia="Calibri"/>
          <w:color w:val="000000"/>
          <w:szCs w:val="28"/>
        </w:rPr>
        <w:t>s’agit</w:t>
      </w:r>
      <w:r w:rsidRPr="00320A86">
        <w:rPr>
          <w:color w:val="000000"/>
          <w:szCs w:val="28"/>
        </w:rPr>
        <w:t xml:space="preserve"> </w:t>
      </w:r>
      <w:r w:rsidRPr="00320A86">
        <w:rPr>
          <w:rFonts w:eastAsia="Calibri"/>
          <w:color w:val="000000"/>
          <w:szCs w:val="28"/>
        </w:rPr>
        <w:t>d’offrir</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320A86">
        <w:rPr>
          <w:rFonts w:eastAsia="Calibri"/>
          <w:color w:val="000000"/>
          <w:szCs w:val="28"/>
        </w:rPr>
        <w:t>modèle</w:t>
      </w:r>
      <w:r w:rsidRPr="00320A86">
        <w:rPr>
          <w:color w:val="000000"/>
          <w:szCs w:val="28"/>
        </w:rPr>
        <w:t xml:space="preserve"> </w:t>
      </w:r>
      <w:r w:rsidRPr="00320A86">
        <w:rPr>
          <w:rFonts w:eastAsia="Calibri"/>
          <w:color w:val="000000"/>
          <w:szCs w:val="28"/>
        </w:rPr>
        <w:t>alternatif.</w:t>
      </w:r>
      <w:r w:rsidRPr="00320A86">
        <w:rPr>
          <w:color w:val="000000"/>
          <w:szCs w:val="28"/>
        </w:rPr>
        <w:t xml:space="preserve"> </w:t>
      </w:r>
      <w:r w:rsidRPr="00320A86">
        <w:rPr>
          <w:rFonts w:eastAsia="Calibri"/>
          <w:color w:val="000000"/>
          <w:szCs w:val="28"/>
        </w:rPr>
        <w:t>Cette</w:t>
      </w:r>
      <w:r w:rsidRPr="00320A86">
        <w:rPr>
          <w:color w:val="000000"/>
          <w:szCs w:val="28"/>
        </w:rPr>
        <w:t xml:space="preserve"> </w:t>
      </w:r>
      <w:r w:rsidRPr="00320A86">
        <w:rPr>
          <w:rFonts w:eastAsia="Calibri"/>
          <w:color w:val="000000"/>
          <w:szCs w:val="28"/>
        </w:rPr>
        <w:t>dialectique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w:t>
      </w:r>
      <w:r w:rsidRPr="00320A86">
        <w:rPr>
          <w:color w:val="000000"/>
          <w:szCs w:val="28"/>
        </w:rPr>
        <w:t> </w:t>
      </w:r>
      <w:r w:rsidRPr="00320A86">
        <w:rPr>
          <w:rFonts w:eastAsia="Calibri"/>
          <w:color w:val="000000"/>
          <w:szCs w:val="28"/>
        </w:rPr>
        <w:t>victime</w:t>
      </w:r>
      <w:r w:rsidRPr="00320A86">
        <w:rPr>
          <w:color w:val="000000"/>
          <w:szCs w:val="28"/>
        </w:rPr>
        <w:t xml:space="preserve"> </w:t>
      </w:r>
      <w:r w:rsidRPr="00320A86">
        <w:rPr>
          <w:rFonts w:eastAsia="Calibri"/>
          <w:color w:val="000000"/>
          <w:szCs w:val="28"/>
        </w:rPr>
        <w:t>incomprise</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issue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l’activisme</w:t>
      </w:r>
      <w:r w:rsidRPr="00320A86">
        <w:rPr>
          <w:color w:val="000000"/>
          <w:szCs w:val="28"/>
        </w:rPr>
        <w:t xml:space="preserve"> </w:t>
      </w:r>
      <w:r w:rsidRPr="00320A86">
        <w:rPr>
          <w:rFonts w:eastAsia="Calibri"/>
          <w:color w:val="000000"/>
          <w:szCs w:val="28"/>
        </w:rPr>
        <w:t>polit</w:t>
      </w:r>
      <w:r w:rsidRPr="00320A86">
        <w:rPr>
          <w:rFonts w:eastAsia="Calibri"/>
          <w:color w:val="000000"/>
          <w:szCs w:val="28"/>
        </w:rPr>
        <w:t>i</w:t>
      </w:r>
      <w:r w:rsidRPr="00320A86">
        <w:rPr>
          <w:rFonts w:eastAsia="Calibri"/>
          <w:color w:val="000000"/>
          <w:szCs w:val="28"/>
        </w:rPr>
        <w:t>que,</w:t>
      </w:r>
      <w:r w:rsidRPr="00320A86">
        <w:rPr>
          <w:color w:val="000000"/>
          <w:szCs w:val="28"/>
        </w:rPr>
        <w:t xml:space="preserve"> </w:t>
      </w:r>
      <w:r w:rsidRPr="00320A86">
        <w:rPr>
          <w:rFonts w:eastAsia="Calibri"/>
          <w:color w:val="000000"/>
          <w:szCs w:val="28"/>
        </w:rPr>
        <w:t>nourrit</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suite</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justifications</w:t>
      </w:r>
      <w:r w:rsidRPr="00320A86">
        <w:rPr>
          <w:color w:val="000000"/>
          <w:szCs w:val="28"/>
        </w:rPr>
        <w:t xml:space="preserve"> </w:t>
      </w:r>
      <w:r w:rsidRPr="00320A86">
        <w:rPr>
          <w:rFonts w:eastAsia="Calibri"/>
          <w:color w:val="000000"/>
          <w:szCs w:val="28"/>
        </w:rPr>
        <w:t>incessantes,</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surenchères,</w:t>
      </w:r>
      <w:r w:rsidRPr="00320A86">
        <w:rPr>
          <w:color w:val="000000"/>
          <w:szCs w:val="28"/>
        </w:rPr>
        <w:t xml:space="preserve"> </w:t>
      </w:r>
      <w:r w:rsidRPr="00320A86">
        <w:rPr>
          <w:rFonts w:eastAsia="Calibri"/>
          <w:color w:val="000000"/>
          <w:szCs w:val="28"/>
        </w:rPr>
        <w:t>nécessaires</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survie</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groupe</w:t>
      </w:r>
      <w:r w:rsidRPr="00320A86">
        <w:rPr>
          <w:color w:val="000000"/>
          <w:szCs w:val="28"/>
        </w:rPr>
        <w:t xml:space="preserve"> </w:t>
      </w:r>
      <w:r w:rsidRPr="00320A86">
        <w:rPr>
          <w:rFonts w:eastAsia="Calibri"/>
          <w:color w:val="000000"/>
          <w:szCs w:val="28"/>
        </w:rPr>
        <w:t>dissident.</w:t>
      </w:r>
      <w:r w:rsidRPr="00320A86">
        <w:rPr>
          <w:color w:val="000000"/>
          <w:szCs w:val="28"/>
        </w:rPr>
        <w:t xml:space="preserve"> </w:t>
      </w:r>
      <w:r w:rsidRPr="00320A86">
        <w:rPr>
          <w:rFonts w:eastAsia="Calibri"/>
          <w:color w:val="000000"/>
          <w:szCs w:val="28"/>
        </w:rPr>
        <w:t>Celles-ci</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manifestent</w:t>
      </w:r>
      <w:r w:rsidRPr="00320A86">
        <w:rPr>
          <w:color w:val="000000"/>
          <w:szCs w:val="28"/>
        </w:rPr>
        <w:t xml:space="preserve"> </w:t>
      </w:r>
      <w:r w:rsidRPr="00320A86">
        <w:rPr>
          <w:rFonts w:eastAsia="Calibri"/>
          <w:color w:val="000000"/>
          <w:szCs w:val="28"/>
        </w:rPr>
        <w:t>logiquement</w:t>
      </w:r>
      <w:r w:rsidRPr="00320A86">
        <w:rPr>
          <w:color w:val="000000"/>
          <w:szCs w:val="28"/>
        </w:rPr>
        <w:t xml:space="preserve"> </w:t>
      </w:r>
      <w:r w:rsidRPr="00320A86">
        <w:rPr>
          <w:rFonts w:eastAsia="Calibri"/>
          <w:color w:val="000000"/>
          <w:szCs w:val="28"/>
        </w:rPr>
        <w:t>lorsque</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motifs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division</w:t>
      </w:r>
      <w:r w:rsidRPr="00320A86">
        <w:rPr>
          <w:color w:val="000000"/>
          <w:szCs w:val="28"/>
        </w:rPr>
        <w:t xml:space="preserve"> </w:t>
      </w:r>
      <w:r w:rsidRPr="00320A86">
        <w:rPr>
          <w:rFonts w:eastAsia="Calibri"/>
          <w:color w:val="000000"/>
          <w:szCs w:val="28"/>
        </w:rPr>
        <w:t>sont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voie</w:t>
      </w:r>
      <w:r w:rsidRPr="00320A86">
        <w:rPr>
          <w:color w:val="000000"/>
          <w:szCs w:val="28"/>
        </w:rPr>
        <w:t xml:space="preserve"> </w:t>
      </w:r>
      <w:r w:rsidRPr="00320A86">
        <w:rPr>
          <w:rFonts w:eastAsia="Calibri"/>
          <w:color w:val="000000"/>
          <w:szCs w:val="28"/>
        </w:rPr>
        <w:t>d’apaisement.</w:t>
      </w:r>
    </w:p>
    <w:p w14:paraId="2A888045" w14:textId="77777777" w:rsidR="00B01930" w:rsidRPr="00320A86" w:rsidRDefault="00B01930" w:rsidP="00B01930">
      <w:pPr>
        <w:spacing w:before="120" w:after="120"/>
        <w:jc w:val="both"/>
      </w:pPr>
      <w:r w:rsidRPr="00320A86">
        <w:t>C’est exactement ce qui s’est produit à propos de la querelle des r</w:t>
      </w:r>
      <w:r w:rsidRPr="00320A86">
        <w:t>i</w:t>
      </w:r>
      <w:r w:rsidRPr="00320A86">
        <w:t>tes – ordinaire ou extraordinaire – dont on aurait pu penser que sa s</w:t>
      </w:r>
      <w:r w:rsidRPr="00320A86">
        <w:t>o</w:t>
      </w:r>
      <w:r w:rsidRPr="00320A86">
        <w:t xml:space="preserve">lution signifiait la réintégration de la Fraternité saint </w:t>
      </w:r>
      <w:r>
        <w:t>Pie </w:t>
      </w:r>
      <w:r w:rsidRPr="00320A86">
        <w:t xml:space="preserve">X dans la « pleine communion » avec l’Église. Le Pape </w:t>
      </w:r>
      <w:r>
        <w:t>Benoît XVI</w:t>
      </w:r>
      <w:r w:rsidRPr="00320A86">
        <w:t xml:space="preserve"> y a  pou</w:t>
      </w:r>
      <w:r w:rsidRPr="00320A86">
        <w:t>r</w:t>
      </w:r>
      <w:r w:rsidRPr="00320A86">
        <w:t xml:space="preserve">tant consacré des efforts incessants : dès 2007, par le </w:t>
      </w:r>
      <w:r w:rsidRPr="00E11556">
        <w:rPr>
          <w:i/>
        </w:rPr>
        <w:t>motu proprio</w:t>
      </w:r>
      <w:r w:rsidRPr="00320A86">
        <w:t xml:space="preserve"> « </w:t>
      </w:r>
      <w:r w:rsidRPr="00E11556">
        <w:rPr>
          <w:i/>
        </w:rPr>
        <w:t>Summorum Pontificum </w:t>
      </w:r>
      <w:r w:rsidRPr="00320A86">
        <w:t>», il a pleinement réhabilité le rite extraord</w:t>
      </w:r>
      <w:r w:rsidRPr="00320A86">
        <w:t>i</w:t>
      </w:r>
      <w:r w:rsidRPr="00320A86">
        <w:t>naire et, début 2009, il a levé les excommunications qui fra</w:t>
      </w:r>
      <w:r w:rsidRPr="00320A86">
        <w:t>p</w:t>
      </w:r>
      <w:r w:rsidRPr="00320A86">
        <w:t>paient depuis 1988 les évêques consacrés par M</w:t>
      </w:r>
      <w:r w:rsidRPr="00320A86">
        <w:rPr>
          <w:vertAlign w:val="superscript"/>
        </w:rPr>
        <w:t>gr</w:t>
      </w:r>
      <w:r w:rsidRPr="00320A86">
        <w:t xml:space="preserve"> Lefevbre, non sans remous dans l’épiscopat</w:t>
      </w:r>
      <w:r>
        <w:t> </w:t>
      </w:r>
      <w:r>
        <w:rPr>
          <w:rStyle w:val="Appelnotedebasdep"/>
        </w:rPr>
        <w:footnoteReference w:id="1203"/>
      </w:r>
      <w:r w:rsidRPr="00320A86">
        <w:t>. Mais les pourparlers avec Rome se poursuivirent et achoppèrent en 2012 à propos d’un préambule reconnaissant la valid</w:t>
      </w:r>
      <w:r w:rsidRPr="00320A86">
        <w:t>i</w:t>
      </w:r>
      <w:r w:rsidRPr="00320A86">
        <w:t xml:space="preserve">té des « enseignements » du Concile </w:t>
      </w:r>
      <w:r>
        <w:t>Vatican II</w:t>
      </w:r>
      <w:r w:rsidRPr="00320A86">
        <w:t xml:space="preserve"> que le Supérieur de la Fraternité saint </w:t>
      </w:r>
      <w:r>
        <w:t>Pie </w:t>
      </w:r>
      <w:r w:rsidRPr="00320A86">
        <w:t>X, M</w:t>
      </w:r>
      <w:r w:rsidRPr="00320A86">
        <w:rPr>
          <w:vertAlign w:val="superscript"/>
        </w:rPr>
        <w:t>gr</w:t>
      </w:r>
      <w:r w:rsidRPr="00320A86">
        <w:t xml:space="preserve"> Fellay, refusa de signer. Cette longue confrontation, si elle ne permit pas de surmonter le schisme, eut au moins le mérite de clarifier le fondement de la dissidence intégriste, dont la pratique liturgique n’est que l’expression la plus voyante. Ai</w:t>
      </w:r>
      <w:r w:rsidRPr="00320A86">
        <w:t>n</w:t>
      </w:r>
      <w:r w:rsidRPr="00320A86">
        <w:t>si le refus des déclarations conciliaires, en particulier sur l’œcuménisme et la liberté de conscience, exprime le désaccord sur les points de doctrine jugés inacceptables par les défenseurs de la « Tradition ». Il est assimilé à la victoire du « camp progressiste, m</w:t>
      </w:r>
      <w:r w:rsidRPr="00320A86">
        <w:t>o</w:t>
      </w:r>
      <w:r w:rsidRPr="00320A86">
        <w:t>derniste, et libéral », l’emportant dans les débats conciliaires, sur celui des défenseurs de la permanence catholique, fixée définitivement s</w:t>
      </w:r>
      <w:r w:rsidRPr="00320A86">
        <w:t>e</w:t>
      </w:r>
      <w:r w:rsidRPr="00320A86">
        <w:t>lon eux par le concile de Trente.</w:t>
      </w:r>
    </w:p>
    <w:p w14:paraId="51AD8DB0" w14:textId="77777777" w:rsidR="00B01930" w:rsidRPr="00320A86" w:rsidRDefault="00B01930" w:rsidP="00B01930">
      <w:pPr>
        <w:spacing w:before="120" w:after="120"/>
        <w:jc w:val="both"/>
        <w:rPr>
          <w:color w:val="000000"/>
          <w:szCs w:val="28"/>
        </w:rPr>
      </w:pPr>
      <w:r w:rsidRPr="00320A86">
        <w:rPr>
          <w:rFonts w:eastAsia="Calibri"/>
          <w:color w:val="000000"/>
          <w:szCs w:val="28"/>
        </w:rPr>
        <w:t>C’est</w:t>
      </w:r>
      <w:r w:rsidRPr="00320A86">
        <w:rPr>
          <w:color w:val="000000"/>
          <w:szCs w:val="28"/>
        </w:rPr>
        <w:t xml:space="preserve"> </w:t>
      </w:r>
      <w:r w:rsidRPr="00320A86">
        <w:rPr>
          <w:rFonts w:eastAsia="Calibri"/>
          <w:color w:val="000000"/>
          <w:szCs w:val="28"/>
        </w:rPr>
        <w:t>donc</w:t>
      </w:r>
      <w:r w:rsidRPr="00320A86">
        <w:rPr>
          <w:color w:val="000000"/>
          <w:szCs w:val="28"/>
        </w:rPr>
        <w:t xml:space="preserve"> </w:t>
      </w:r>
      <w:r w:rsidRPr="00320A86">
        <w:rPr>
          <w:rFonts w:eastAsia="Calibri"/>
          <w:color w:val="000000"/>
          <w:szCs w:val="28"/>
        </w:rPr>
        <w:t>bien</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situation</w:t>
      </w:r>
      <w:r w:rsidRPr="00320A86">
        <w:rPr>
          <w:color w:val="000000"/>
          <w:szCs w:val="28"/>
        </w:rPr>
        <w:t xml:space="preserve"> </w:t>
      </w:r>
      <w:r w:rsidRPr="00320A86">
        <w:rPr>
          <w:rFonts w:eastAsia="Calibri"/>
          <w:color w:val="000000"/>
          <w:szCs w:val="28"/>
        </w:rPr>
        <w:t>politique</w:t>
      </w:r>
      <w:r w:rsidRPr="00320A86">
        <w:rPr>
          <w:color w:val="000000"/>
          <w:szCs w:val="28"/>
        </w:rPr>
        <w:t xml:space="preserve"> </w:t>
      </w:r>
      <w:r w:rsidRPr="00320A86">
        <w:rPr>
          <w:rFonts w:eastAsia="Calibri"/>
          <w:color w:val="000000"/>
          <w:szCs w:val="28"/>
        </w:rPr>
        <w:t>– la</w:t>
      </w:r>
      <w:r w:rsidRPr="00320A86">
        <w:rPr>
          <w:color w:val="000000"/>
          <w:szCs w:val="28"/>
        </w:rPr>
        <w:t xml:space="preserve"> </w:t>
      </w:r>
      <w:r w:rsidRPr="00320A86">
        <w:rPr>
          <w:rFonts w:eastAsia="Calibri"/>
          <w:color w:val="000000"/>
          <w:szCs w:val="28"/>
        </w:rPr>
        <w:t>mise</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minorité</w:t>
      </w:r>
      <w:r w:rsidRPr="00320A86">
        <w:rPr>
          <w:color w:val="000000"/>
          <w:szCs w:val="28"/>
        </w:rPr>
        <w:t xml:space="preserve"> </w:t>
      </w:r>
      <w:r w:rsidRPr="00320A86">
        <w:rPr>
          <w:rFonts w:eastAsia="Calibri"/>
          <w:color w:val="000000"/>
          <w:szCs w:val="28"/>
        </w:rPr>
        <w:t>d’un</w:t>
      </w:r>
      <w:r w:rsidRPr="00320A86">
        <w:rPr>
          <w:color w:val="000000"/>
          <w:szCs w:val="28"/>
        </w:rPr>
        <w:t xml:space="preserve"> </w:t>
      </w:r>
      <w:r w:rsidRPr="00320A86">
        <w:rPr>
          <w:rFonts w:eastAsia="Calibri"/>
          <w:color w:val="000000"/>
          <w:szCs w:val="28"/>
        </w:rPr>
        <w:t>courant</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l’issue</w:t>
      </w:r>
      <w:r w:rsidRPr="00320A86">
        <w:rPr>
          <w:color w:val="000000"/>
          <w:szCs w:val="28"/>
        </w:rPr>
        <w:t xml:space="preserve"> </w:t>
      </w:r>
      <w:r w:rsidRPr="00320A86">
        <w:rPr>
          <w:rFonts w:eastAsia="Calibri"/>
          <w:color w:val="000000"/>
          <w:szCs w:val="28"/>
        </w:rPr>
        <w:t>d’un</w:t>
      </w:r>
      <w:r w:rsidRPr="00320A86">
        <w:rPr>
          <w:color w:val="000000"/>
          <w:szCs w:val="28"/>
        </w:rPr>
        <w:t xml:space="preserve"> </w:t>
      </w:r>
      <w:r w:rsidRPr="00320A86">
        <w:rPr>
          <w:rFonts w:eastAsia="Calibri"/>
          <w:color w:val="000000"/>
          <w:szCs w:val="28"/>
        </w:rPr>
        <w:t>débat</w:t>
      </w:r>
      <w:r w:rsidRPr="00320A86">
        <w:rPr>
          <w:color w:val="000000"/>
          <w:szCs w:val="28"/>
        </w:rPr>
        <w:t xml:space="preserve"> </w:t>
      </w:r>
      <w:r w:rsidRPr="00320A86">
        <w:rPr>
          <w:rFonts w:eastAsia="Calibri"/>
          <w:color w:val="000000"/>
          <w:szCs w:val="28"/>
        </w:rPr>
        <w:t>approfondi –</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va</w:t>
      </w:r>
      <w:r w:rsidRPr="00320A86">
        <w:rPr>
          <w:color w:val="000000"/>
          <w:szCs w:val="28"/>
        </w:rPr>
        <w:t xml:space="preserve"> </w:t>
      </w:r>
      <w:r w:rsidRPr="00320A86">
        <w:rPr>
          <w:rFonts w:eastAsia="Calibri"/>
          <w:color w:val="000000"/>
          <w:szCs w:val="28"/>
        </w:rPr>
        <w:t>contaminer</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que</w:t>
      </w:r>
      <w:r w:rsidRPr="00320A86">
        <w:rPr>
          <w:rFonts w:eastAsia="Calibri"/>
          <w:color w:val="000000"/>
          <w:szCs w:val="28"/>
        </w:rPr>
        <w:t>s</w:t>
      </w:r>
      <w:r w:rsidRPr="00320A86">
        <w:rPr>
          <w:rFonts w:eastAsia="Calibri"/>
          <w:color w:val="000000"/>
          <w:szCs w:val="28"/>
        </w:rPr>
        <w:t>tions</w:t>
      </w:r>
      <w:r w:rsidRPr="00320A86">
        <w:rPr>
          <w:color w:val="000000"/>
          <w:szCs w:val="28"/>
        </w:rPr>
        <w:t xml:space="preserve"> </w:t>
      </w:r>
      <w:r w:rsidRPr="00320A86">
        <w:rPr>
          <w:rFonts w:eastAsia="Calibri"/>
          <w:color w:val="000000"/>
          <w:szCs w:val="28"/>
        </w:rPr>
        <w:t>théologiques,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même</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derrière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défense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w:t>
      </w:r>
      <w:r w:rsidRPr="00320A86">
        <w:rPr>
          <w:color w:val="000000"/>
          <w:szCs w:val="28"/>
        </w:rPr>
        <w:t> </w:t>
      </w:r>
      <w:r w:rsidRPr="00320A86">
        <w:rPr>
          <w:rFonts w:eastAsia="Calibri"/>
          <w:color w:val="000000"/>
          <w:szCs w:val="28"/>
        </w:rPr>
        <w:t>Tradition</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dissimule</w:t>
      </w:r>
      <w:r w:rsidRPr="00320A86">
        <w:rPr>
          <w:color w:val="000000"/>
          <w:szCs w:val="28"/>
        </w:rPr>
        <w:t xml:space="preserve"> </w:t>
      </w:r>
      <w:r w:rsidRPr="00320A86">
        <w:rPr>
          <w:rFonts w:eastAsia="Calibri"/>
          <w:color w:val="000000"/>
          <w:szCs w:val="28"/>
        </w:rPr>
        <w:t>un</w:t>
      </w:r>
      <w:r w:rsidRPr="00320A86">
        <w:rPr>
          <w:color w:val="000000"/>
          <w:szCs w:val="28"/>
        </w:rPr>
        <w:t xml:space="preserve"> </w:t>
      </w:r>
      <w:r w:rsidRPr="00320A86">
        <w:rPr>
          <w:rFonts w:eastAsia="Calibri"/>
          <w:color w:val="000000"/>
          <w:szCs w:val="28"/>
        </w:rPr>
        <w:t>bloc</w:t>
      </w:r>
      <w:r w:rsidRPr="00320A86">
        <w:rPr>
          <w:color w:val="000000"/>
          <w:szCs w:val="28"/>
        </w:rPr>
        <w:t xml:space="preserve"> </w:t>
      </w:r>
      <w:r w:rsidRPr="00320A86">
        <w:rPr>
          <w:rFonts w:eastAsia="Calibri"/>
          <w:color w:val="000000"/>
          <w:szCs w:val="28"/>
        </w:rPr>
        <w:t>idéolog</w:t>
      </w:r>
      <w:r w:rsidRPr="00320A86">
        <w:rPr>
          <w:rFonts w:eastAsia="Calibri"/>
          <w:color w:val="000000"/>
          <w:szCs w:val="28"/>
        </w:rPr>
        <w:t>i</w:t>
      </w:r>
      <w:r w:rsidRPr="00320A86">
        <w:rPr>
          <w:rFonts w:eastAsia="Calibri"/>
          <w:color w:val="000000"/>
          <w:szCs w:val="28"/>
        </w:rPr>
        <w:t>que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nature</w:t>
      </w:r>
      <w:r w:rsidRPr="00320A86">
        <w:rPr>
          <w:color w:val="000000"/>
          <w:szCs w:val="28"/>
        </w:rPr>
        <w:t xml:space="preserve"> </w:t>
      </w:r>
      <w:r w:rsidRPr="00320A86">
        <w:rPr>
          <w:rFonts w:eastAsia="Calibri"/>
          <w:color w:val="000000"/>
          <w:szCs w:val="28"/>
        </w:rPr>
        <w:t>éminemment</w:t>
      </w:r>
      <w:r w:rsidRPr="00320A86">
        <w:rPr>
          <w:color w:val="000000"/>
          <w:szCs w:val="28"/>
        </w:rPr>
        <w:t xml:space="preserve"> </w:t>
      </w:r>
      <w:r w:rsidRPr="00320A86">
        <w:rPr>
          <w:rFonts w:eastAsia="Calibri"/>
          <w:color w:val="000000"/>
          <w:szCs w:val="28"/>
        </w:rPr>
        <w:t>politique</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pouvoir</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l’Église</w:t>
      </w:r>
      <w:r w:rsidRPr="00320A86">
        <w:rPr>
          <w:color w:val="000000"/>
          <w:szCs w:val="28"/>
        </w:rPr>
        <w:t xml:space="preserve"> </w:t>
      </w:r>
      <w:r w:rsidRPr="00320A86">
        <w:rPr>
          <w:rFonts w:eastAsia="Calibri"/>
          <w:color w:val="000000"/>
          <w:szCs w:val="28"/>
        </w:rPr>
        <w:t>sur</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monde.</w:t>
      </w:r>
      <w:r w:rsidRPr="00320A86">
        <w:rPr>
          <w:color w:val="000000"/>
          <w:szCs w:val="28"/>
        </w:rPr>
        <w:t xml:space="preserve"> </w:t>
      </w:r>
      <w:r w:rsidRPr="00320A86">
        <w:rPr>
          <w:rFonts w:eastAsia="Calibri"/>
          <w:color w:val="000000"/>
          <w:szCs w:val="28"/>
        </w:rPr>
        <w:t>C’est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effet</w:t>
      </w:r>
      <w:r w:rsidRPr="00320A86">
        <w:rPr>
          <w:color w:val="000000"/>
          <w:szCs w:val="28"/>
        </w:rPr>
        <w:t xml:space="preserve"> </w:t>
      </w:r>
      <w:r w:rsidRPr="00320A86">
        <w:rPr>
          <w:rFonts w:eastAsia="Calibri"/>
          <w:color w:val="000000"/>
          <w:szCs w:val="28"/>
        </w:rPr>
        <w:t>cette</w:t>
      </w:r>
      <w:r w:rsidRPr="00320A86">
        <w:rPr>
          <w:color w:val="000000"/>
          <w:szCs w:val="28"/>
        </w:rPr>
        <w:t xml:space="preserve"> </w:t>
      </w:r>
      <w:r w:rsidRPr="00320A86">
        <w:rPr>
          <w:rFonts w:eastAsia="Calibri"/>
          <w:color w:val="000000"/>
          <w:szCs w:val="28"/>
        </w:rPr>
        <w:t>question</w:t>
      </w:r>
      <w:r w:rsidRPr="00320A86">
        <w:rPr>
          <w:color w:val="000000"/>
          <w:szCs w:val="28"/>
        </w:rPr>
        <w:t xml:space="preserve"> </w:t>
      </w:r>
      <w:r w:rsidRPr="00320A86">
        <w:rPr>
          <w:rFonts w:eastAsia="Calibri"/>
          <w:color w:val="000000"/>
          <w:szCs w:val="28"/>
        </w:rPr>
        <w:t>centrale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clef</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malentendus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divergences</w:t>
      </w:r>
      <w:r w:rsidRPr="00320A86">
        <w:rPr>
          <w:color w:val="000000"/>
          <w:szCs w:val="28"/>
        </w:rPr>
        <w:t xml:space="preserve"> </w:t>
      </w:r>
      <w:r w:rsidRPr="00320A86">
        <w:rPr>
          <w:rFonts w:eastAsia="Calibri"/>
          <w:color w:val="000000"/>
          <w:szCs w:val="28"/>
        </w:rPr>
        <w:t>entre</w:t>
      </w:r>
      <w:r w:rsidRPr="00320A86">
        <w:rPr>
          <w:color w:val="000000"/>
          <w:szCs w:val="28"/>
        </w:rPr>
        <w:t xml:space="preserve"> </w:t>
      </w:r>
      <w:r w:rsidRPr="00320A86">
        <w:rPr>
          <w:rFonts w:eastAsia="Calibri"/>
          <w:color w:val="000000"/>
          <w:szCs w:val="28"/>
        </w:rPr>
        <w:t>traditionnalistes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progressistes</w:t>
      </w:r>
      <w:r w:rsidRPr="00320A86">
        <w:rPr>
          <w:color w:val="000000"/>
          <w:szCs w:val="28"/>
        </w:rPr>
        <w:t xml:space="preserve"> </w:t>
      </w:r>
      <w:r w:rsidRPr="00320A86">
        <w:rPr>
          <w:rFonts w:eastAsia="Calibri"/>
          <w:color w:val="000000"/>
          <w:szCs w:val="28"/>
        </w:rPr>
        <w:t>tout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étant</w:t>
      </w:r>
      <w:r w:rsidRPr="00320A86">
        <w:rPr>
          <w:color w:val="000000"/>
          <w:szCs w:val="28"/>
        </w:rPr>
        <w:t xml:space="preserve"> </w:t>
      </w:r>
      <w:r w:rsidRPr="00320A86">
        <w:rPr>
          <w:rFonts w:eastAsia="Calibri"/>
          <w:color w:val="000000"/>
          <w:szCs w:val="28"/>
        </w:rPr>
        <w:t>historiquement</w:t>
      </w:r>
      <w:r w:rsidRPr="00320A86">
        <w:rPr>
          <w:color w:val="000000"/>
          <w:szCs w:val="28"/>
        </w:rPr>
        <w:t xml:space="preserve"> </w:t>
      </w:r>
      <w:r w:rsidRPr="00320A86">
        <w:rPr>
          <w:rFonts w:eastAsia="Calibri"/>
          <w:color w:val="000000"/>
          <w:szCs w:val="28"/>
        </w:rPr>
        <w:t>l’un</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m</w:t>
      </w:r>
      <w:r w:rsidRPr="00320A86">
        <w:rPr>
          <w:rFonts w:eastAsia="Calibri"/>
          <w:color w:val="000000"/>
          <w:szCs w:val="28"/>
        </w:rPr>
        <w:t>o</w:t>
      </w:r>
      <w:r w:rsidRPr="00320A86">
        <w:rPr>
          <w:rFonts w:eastAsia="Calibri"/>
          <w:color w:val="000000"/>
          <w:szCs w:val="28"/>
        </w:rPr>
        <w:t>teurs</w:t>
      </w:r>
      <w:r w:rsidRPr="00320A86">
        <w:rPr>
          <w:color w:val="000000"/>
          <w:szCs w:val="28"/>
        </w:rPr>
        <w:t xml:space="preserve"> </w:t>
      </w:r>
      <w:r w:rsidRPr="00320A86">
        <w:rPr>
          <w:rFonts w:eastAsia="Calibri"/>
          <w:color w:val="000000"/>
          <w:szCs w:val="28"/>
        </w:rPr>
        <w:t>essentiels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l’Occident.</w:t>
      </w:r>
      <w:r w:rsidRPr="00320A86">
        <w:rPr>
          <w:color w:val="000000"/>
          <w:szCs w:val="28"/>
        </w:rPr>
        <w:t xml:space="preserve"> </w:t>
      </w:r>
      <w:r w:rsidRPr="00320A86">
        <w:rPr>
          <w:rFonts w:eastAsia="Calibri"/>
          <w:color w:val="000000"/>
          <w:szCs w:val="28"/>
        </w:rPr>
        <w:t>Depuis</w:t>
      </w:r>
      <w:r w:rsidRPr="00320A86">
        <w:rPr>
          <w:color w:val="000000"/>
          <w:szCs w:val="28"/>
        </w:rPr>
        <w:t xml:space="preserve"> </w:t>
      </w:r>
      <w:r w:rsidRPr="00320A86">
        <w:rPr>
          <w:rFonts w:eastAsia="Calibri"/>
          <w:color w:val="000000"/>
          <w:szCs w:val="28"/>
        </w:rPr>
        <w:t>l’édit</w:t>
      </w:r>
      <w:r w:rsidRPr="00320A86">
        <w:rPr>
          <w:color w:val="000000"/>
          <w:szCs w:val="28"/>
        </w:rPr>
        <w:t xml:space="preserve"> </w:t>
      </w:r>
      <w:r w:rsidRPr="00320A86">
        <w:rPr>
          <w:rFonts w:eastAsia="Calibri"/>
          <w:color w:val="000000"/>
          <w:szCs w:val="28"/>
        </w:rPr>
        <w:t>de</w:t>
      </w:r>
      <w:r w:rsidRPr="00320A86">
        <w:rPr>
          <w:color w:val="000000"/>
          <w:szCs w:val="28"/>
        </w:rPr>
        <w:t xml:space="preserve"> Milan </w:t>
      </w:r>
      <w:r w:rsidRPr="00320A86">
        <w:rPr>
          <w:rFonts w:eastAsia="Calibri"/>
          <w:color w:val="000000"/>
          <w:szCs w:val="28"/>
        </w:rPr>
        <w:t>(313),</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Chrétienté</w:t>
      </w:r>
      <w:r w:rsidRPr="00320A86">
        <w:rPr>
          <w:color w:val="000000"/>
          <w:szCs w:val="28"/>
        </w:rPr>
        <w:t xml:space="preserve"> </w:t>
      </w:r>
      <w:r w:rsidRPr="00320A86">
        <w:rPr>
          <w:rFonts w:eastAsia="Calibri"/>
          <w:color w:val="000000"/>
          <w:szCs w:val="28"/>
        </w:rPr>
        <w:t>a</w:t>
      </w:r>
      <w:r w:rsidRPr="00320A86">
        <w:rPr>
          <w:color w:val="000000"/>
          <w:szCs w:val="28"/>
        </w:rPr>
        <w:t xml:space="preserve"> </w:t>
      </w:r>
      <w:r w:rsidRPr="00320A86">
        <w:rPr>
          <w:rFonts w:eastAsia="Calibri"/>
          <w:color w:val="000000"/>
          <w:szCs w:val="28"/>
        </w:rPr>
        <w:t>progressivement</w:t>
      </w:r>
      <w:r w:rsidRPr="00320A86">
        <w:rPr>
          <w:color w:val="000000"/>
          <w:szCs w:val="28"/>
        </w:rPr>
        <w:t xml:space="preserve"> </w:t>
      </w:r>
      <w:r w:rsidRPr="00320A86">
        <w:rPr>
          <w:rFonts w:eastAsia="Calibri"/>
          <w:color w:val="000000"/>
          <w:szCs w:val="28"/>
        </w:rPr>
        <w:t>pénétré</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sociétés</w:t>
      </w:r>
      <w:r w:rsidRPr="00320A86">
        <w:rPr>
          <w:color w:val="000000"/>
          <w:szCs w:val="28"/>
        </w:rPr>
        <w:t xml:space="preserve"> </w:t>
      </w:r>
      <w:r w:rsidRPr="00320A86">
        <w:rPr>
          <w:rFonts w:eastAsia="Calibri"/>
          <w:color w:val="000000"/>
          <w:szCs w:val="28"/>
        </w:rPr>
        <w:t>europée</w:t>
      </w:r>
      <w:r w:rsidRPr="00320A86">
        <w:rPr>
          <w:rFonts w:eastAsia="Calibri"/>
          <w:color w:val="000000"/>
          <w:szCs w:val="28"/>
        </w:rPr>
        <w:t>n</w:t>
      </w:r>
      <w:r w:rsidRPr="00320A86">
        <w:rPr>
          <w:rFonts w:eastAsia="Calibri"/>
          <w:color w:val="000000"/>
          <w:szCs w:val="28"/>
        </w:rPr>
        <w:t>nes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réussi</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fixer</w:t>
      </w:r>
      <w:r w:rsidRPr="00320A86">
        <w:rPr>
          <w:color w:val="000000"/>
          <w:szCs w:val="28"/>
        </w:rPr>
        <w:t xml:space="preserve"> </w:t>
      </w:r>
      <w:r w:rsidRPr="00320A86">
        <w:rPr>
          <w:rFonts w:eastAsia="Calibri"/>
          <w:color w:val="000000"/>
          <w:szCs w:val="28"/>
        </w:rPr>
        <w:t>leur</w:t>
      </w:r>
      <w:r w:rsidRPr="00320A86">
        <w:rPr>
          <w:color w:val="000000"/>
          <w:szCs w:val="28"/>
        </w:rPr>
        <w:t xml:space="preserve"> </w:t>
      </w:r>
      <w:r w:rsidRPr="00320A86">
        <w:rPr>
          <w:rFonts w:eastAsia="Calibri"/>
          <w:color w:val="000000"/>
          <w:szCs w:val="28"/>
        </w:rPr>
        <w:t>rapport</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temps,</w:t>
      </w:r>
      <w:r w:rsidRPr="00320A86">
        <w:rPr>
          <w:color w:val="000000"/>
          <w:szCs w:val="28"/>
        </w:rPr>
        <w:t xml:space="preserve"> </w:t>
      </w:r>
      <w:r w:rsidRPr="00320A86">
        <w:rPr>
          <w:rFonts w:eastAsia="Calibri"/>
          <w:color w:val="000000"/>
          <w:szCs w:val="28"/>
        </w:rPr>
        <w:t>leurs</w:t>
      </w:r>
      <w:r w:rsidRPr="00320A86">
        <w:rPr>
          <w:color w:val="000000"/>
          <w:szCs w:val="28"/>
        </w:rPr>
        <w:t xml:space="preserve"> </w:t>
      </w:r>
      <w:r w:rsidRPr="00320A86">
        <w:rPr>
          <w:rFonts w:eastAsia="Calibri"/>
          <w:color w:val="000000"/>
          <w:szCs w:val="28"/>
        </w:rPr>
        <w:t>pratiques</w:t>
      </w:r>
      <w:r w:rsidRPr="00320A86">
        <w:rPr>
          <w:color w:val="000000"/>
          <w:szCs w:val="28"/>
        </w:rPr>
        <w:t xml:space="preserve"> </w:t>
      </w:r>
      <w:r w:rsidRPr="00320A86">
        <w:rPr>
          <w:rFonts w:eastAsia="Calibri"/>
          <w:color w:val="000000"/>
          <w:szCs w:val="28"/>
        </w:rPr>
        <w:t>familiales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sociales,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l’Église,</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son</w:t>
      </w:r>
      <w:r w:rsidRPr="00320A86">
        <w:rPr>
          <w:color w:val="000000"/>
          <w:szCs w:val="28"/>
        </w:rPr>
        <w:t xml:space="preserve"> </w:t>
      </w:r>
      <w:r w:rsidRPr="00320A86">
        <w:rPr>
          <w:rFonts w:eastAsia="Calibri"/>
          <w:color w:val="000000"/>
          <w:szCs w:val="28"/>
        </w:rPr>
        <w:t>influence,</w:t>
      </w:r>
      <w:r w:rsidRPr="00320A86">
        <w:rPr>
          <w:color w:val="000000"/>
          <w:szCs w:val="28"/>
        </w:rPr>
        <w:t xml:space="preserve"> </w:t>
      </w:r>
      <w:r w:rsidRPr="00320A86">
        <w:rPr>
          <w:rFonts w:eastAsia="Calibri"/>
          <w:color w:val="000000"/>
          <w:szCs w:val="28"/>
        </w:rPr>
        <w:t>a</w:t>
      </w:r>
      <w:r w:rsidRPr="00320A86">
        <w:rPr>
          <w:color w:val="000000"/>
          <w:szCs w:val="28"/>
        </w:rPr>
        <w:t xml:space="preserve"> </w:t>
      </w:r>
      <w:r w:rsidRPr="00320A86">
        <w:rPr>
          <w:rFonts w:eastAsia="Calibri"/>
          <w:color w:val="000000"/>
          <w:szCs w:val="28"/>
        </w:rPr>
        <w:t>pu</w:t>
      </w:r>
      <w:r w:rsidRPr="00320A86">
        <w:rPr>
          <w:color w:val="000000"/>
          <w:szCs w:val="28"/>
        </w:rPr>
        <w:t xml:space="preserve"> </w:t>
      </w:r>
      <w:r w:rsidRPr="00320A86">
        <w:rPr>
          <w:rFonts w:eastAsia="Calibri"/>
          <w:color w:val="000000"/>
          <w:szCs w:val="28"/>
        </w:rPr>
        <w:t>discipliner</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pouvoirs</w:t>
      </w:r>
      <w:r w:rsidRPr="00320A86">
        <w:rPr>
          <w:color w:val="000000"/>
          <w:szCs w:val="28"/>
        </w:rPr>
        <w:t xml:space="preserve"> </w:t>
      </w:r>
      <w:r w:rsidRPr="00320A86">
        <w:rPr>
          <w:rFonts w:eastAsia="Calibri"/>
          <w:color w:val="000000"/>
          <w:szCs w:val="28"/>
        </w:rPr>
        <w:t>temporels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mœurs</w:t>
      </w:r>
      <w:r w:rsidRPr="00320A86">
        <w:rPr>
          <w:color w:val="000000"/>
          <w:szCs w:val="28"/>
        </w:rPr>
        <w:t xml:space="preserve"> </w:t>
      </w:r>
      <w:r w:rsidRPr="00320A86">
        <w:rPr>
          <w:rFonts w:eastAsia="Calibri"/>
          <w:color w:val="000000"/>
          <w:szCs w:val="28"/>
        </w:rPr>
        <w:t>communes.</w:t>
      </w:r>
      <w:r w:rsidRPr="00320A86">
        <w:rPr>
          <w:color w:val="000000"/>
          <w:szCs w:val="28"/>
        </w:rPr>
        <w:t xml:space="preserve"> </w:t>
      </w:r>
      <w:r w:rsidRPr="00320A86">
        <w:rPr>
          <w:rFonts w:eastAsia="Calibri"/>
          <w:color w:val="000000"/>
          <w:szCs w:val="28"/>
        </w:rPr>
        <w:t>Ce</w:t>
      </w:r>
      <w:r w:rsidRPr="00320A86">
        <w:rPr>
          <w:color w:val="000000"/>
          <w:szCs w:val="28"/>
        </w:rPr>
        <w:t xml:space="preserve"> </w:t>
      </w:r>
      <w:r w:rsidRPr="00320A86">
        <w:rPr>
          <w:rFonts w:eastAsia="Calibri"/>
          <w:color w:val="000000"/>
          <w:szCs w:val="28"/>
        </w:rPr>
        <w:t>combat</w:t>
      </w:r>
      <w:r w:rsidRPr="00320A86">
        <w:rPr>
          <w:color w:val="000000"/>
          <w:szCs w:val="28"/>
        </w:rPr>
        <w:t xml:space="preserve"> </w:t>
      </w:r>
      <w:r w:rsidRPr="00320A86">
        <w:rPr>
          <w:rFonts w:eastAsia="Calibri"/>
          <w:color w:val="000000"/>
          <w:szCs w:val="28"/>
        </w:rPr>
        <w:t>perm</w:t>
      </w:r>
      <w:r w:rsidRPr="00320A86">
        <w:rPr>
          <w:rFonts w:eastAsia="Calibri"/>
          <w:color w:val="000000"/>
          <w:szCs w:val="28"/>
        </w:rPr>
        <w:t>a</w:t>
      </w:r>
      <w:r w:rsidRPr="00320A86">
        <w:rPr>
          <w:rFonts w:eastAsia="Calibri"/>
          <w:color w:val="000000"/>
          <w:szCs w:val="28"/>
        </w:rPr>
        <w:t>nent,</w:t>
      </w:r>
      <w:r w:rsidRPr="00320A86">
        <w:rPr>
          <w:color w:val="000000"/>
          <w:szCs w:val="28"/>
        </w:rPr>
        <w:t xml:space="preserve"> </w:t>
      </w:r>
      <w:r w:rsidRPr="00320A86">
        <w:rPr>
          <w:rFonts w:eastAsia="Calibri"/>
          <w:color w:val="000000"/>
          <w:szCs w:val="28"/>
        </w:rPr>
        <w:t>marqué</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excès,</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échecs,</w:t>
      </w:r>
      <w:r w:rsidRPr="00320A86">
        <w:rPr>
          <w:color w:val="000000"/>
          <w:szCs w:val="28"/>
        </w:rPr>
        <w:t xml:space="preserve"> </w:t>
      </w:r>
      <w:r w:rsidRPr="00320A86">
        <w:rPr>
          <w:rFonts w:eastAsia="Calibri"/>
          <w:color w:val="000000"/>
          <w:szCs w:val="28"/>
        </w:rPr>
        <w:t>mais</w:t>
      </w:r>
      <w:r w:rsidRPr="00320A86">
        <w:rPr>
          <w:color w:val="000000"/>
          <w:szCs w:val="28"/>
        </w:rPr>
        <w:t xml:space="preserve"> </w:t>
      </w:r>
      <w:r w:rsidRPr="00320A86">
        <w:rPr>
          <w:rFonts w:eastAsia="Calibri"/>
          <w:color w:val="000000"/>
          <w:szCs w:val="28"/>
        </w:rPr>
        <w:t>aussi</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progrès</w:t>
      </w:r>
      <w:r w:rsidRPr="00320A86">
        <w:rPr>
          <w:color w:val="000000"/>
          <w:szCs w:val="28"/>
        </w:rPr>
        <w:t xml:space="preserve"> </w:t>
      </w:r>
      <w:r w:rsidRPr="00320A86">
        <w:rPr>
          <w:rFonts w:eastAsia="Calibri"/>
          <w:color w:val="000000"/>
          <w:szCs w:val="28"/>
        </w:rPr>
        <w:t>sublimes,</w:t>
      </w:r>
      <w:r w:rsidRPr="00320A86">
        <w:rPr>
          <w:color w:val="000000"/>
          <w:szCs w:val="28"/>
        </w:rPr>
        <w:t xml:space="preserve"> </w:t>
      </w:r>
      <w:r w:rsidRPr="00320A86">
        <w:rPr>
          <w:rFonts w:eastAsia="Calibri"/>
          <w:color w:val="000000"/>
          <w:szCs w:val="28"/>
        </w:rPr>
        <w:t>avait</w:t>
      </w:r>
      <w:r w:rsidRPr="00320A86">
        <w:rPr>
          <w:color w:val="000000"/>
          <w:szCs w:val="28"/>
        </w:rPr>
        <w:t xml:space="preserve"> </w:t>
      </w:r>
      <w:r w:rsidRPr="00320A86">
        <w:rPr>
          <w:rFonts w:eastAsia="Calibri"/>
          <w:color w:val="000000"/>
          <w:szCs w:val="28"/>
        </w:rPr>
        <w:t>réussi</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installer</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Occident</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anthropologie</w:t>
      </w:r>
      <w:r w:rsidRPr="00320A86">
        <w:rPr>
          <w:color w:val="000000"/>
          <w:szCs w:val="28"/>
        </w:rPr>
        <w:t xml:space="preserve"> </w:t>
      </w:r>
      <w:r w:rsidRPr="00320A86">
        <w:rPr>
          <w:rFonts w:eastAsia="Calibri"/>
          <w:color w:val="000000"/>
          <w:szCs w:val="28"/>
        </w:rPr>
        <w:t>chrétienne</w:t>
      </w:r>
      <w:r w:rsidRPr="00320A86">
        <w:rPr>
          <w:color w:val="000000"/>
          <w:szCs w:val="28"/>
        </w:rPr>
        <w:t xml:space="preserve"> </w:t>
      </w:r>
      <w:r w:rsidRPr="00320A86">
        <w:rPr>
          <w:rFonts w:eastAsia="Calibri"/>
          <w:color w:val="000000"/>
          <w:szCs w:val="28"/>
        </w:rPr>
        <w:t>aujourd’hui</w:t>
      </w:r>
      <w:r w:rsidRPr="00320A86">
        <w:rPr>
          <w:color w:val="000000"/>
          <w:szCs w:val="28"/>
        </w:rPr>
        <w:t xml:space="preserve"> </w:t>
      </w:r>
      <w:r w:rsidRPr="00320A86">
        <w:rPr>
          <w:rFonts w:eastAsia="Calibri"/>
          <w:color w:val="000000"/>
          <w:szCs w:val="28"/>
        </w:rPr>
        <w:t>remise</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question</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la</w:t>
      </w:r>
      <w:r w:rsidRPr="00320A86">
        <w:rPr>
          <w:color w:val="000000"/>
          <w:szCs w:val="28"/>
        </w:rPr>
        <w:t xml:space="preserve"> sécularisation. </w:t>
      </w:r>
    </w:p>
    <w:p w14:paraId="0A2182BD" w14:textId="77777777" w:rsidR="00B01930" w:rsidRPr="00320A86" w:rsidRDefault="00B01930" w:rsidP="00B01930">
      <w:pPr>
        <w:spacing w:before="120" w:after="120"/>
        <w:jc w:val="both"/>
        <w:rPr>
          <w:rFonts w:eastAsia="Calibri"/>
          <w:color w:val="000000"/>
          <w:szCs w:val="28"/>
        </w:rPr>
      </w:pPr>
      <w:r w:rsidRPr="00320A86">
        <w:rPr>
          <w:rFonts w:eastAsia="Calibri"/>
          <w:color w:val="000000"/>
          <w:szCs w:val="28"/>
        </w:rPr>
        <w:t>Sous</w:t>
      </w:r>
      <w:r w:rsidRPr="00320A86">
        <w:rPr>
          <w:color w:val="000000"/>
          <w:szCs w:val="28"/>
        </w:rPr>
        <w:t xml:space="preserve"> </w:t>
      </w:r>
      <w:r w:rsidRPr="00320A86">
        <w:rPr>
          <w:rFonts w:eastAsia="Calibri"/>
          <w:color w:val="000000"/>
          <w:szCs w:val="28"/>
        </w:rPr>
        <w:t>ce</w:t>
      </w:r>
      <w:r w:rsidRPr="00320A86">
        <w:rPr>
          <w:color w:val="000000"/>
          <w:szCs w:val="28"/>
        </w:rPr>
        <w:t xml:space="preserve"> </w:t>
      </w:r>
      <w:r w:rsidRPr="00320A86">
        <w:rPr>
          <w:rFonts w:eastAsia="Calibri"/>
          <w:color w:val="000000"/>
          <w:szCs w:val="28"/>
        </w:rPr>
        <w:t>vocable</w:t>
      </w:r>
      <w:r w:rsidRPr="00320A86">
        <w:rPr>
          <w:color w:val="000000"/>
          <w:szCs w:val="28"/>
        </w:rPr>
        <w:t xml:space="preserve"> </w:t>
      </w:r>
      <w:r w:rsidRPr="00320A86">
        <w:rPr>
          <w:rFonts w:eastAsia="Calibri"/>
          <w:color w:val="000000"/>
          <w:szCs w:val="28"/>
        </w:rPr>
        <w:t>imprécis</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cachent,</w:t>
      </w:r>
      <w:r w:rsidRPr="00320A86">
        <w:rPr>
          <w:color w:val="000000"/>
          <w:szCs w:val="28"/>
        </w:rPr>
        <w:t xml:space="preserve"> </w:t>
      </w:r>
      <w:r w:rsidRPr="00320A86">
        <w:rPr>
          <w:rFonts w:eastAsia="Calibri"/>
          <w:color w:val="000000"/>
          <w:szCs w:val="28"/>
        </w:rPr>
        <w:t>avec</w:t>
      </w:r>
      <w:r w:rsidRPr="00320A86">
        <w:rPr>
          <w:color w:val="000000"/>
          <w:szCs w:val="28"/>
        </w:rPr>
        <w:t xml:space="preserve"> </w:t>
      </w:r>
      <w:r w:rsidRPr="00320A86">
        <w:rPr>
          <w:rFonts w:eastAsia="Calibri"/>
          <w:color w:val="000000"/>
          <w:szCs w:val="28"/>
        </w:rPr>
        <w:t>l’apparence</w:t>
      </w:r>
      <w:r w:rsidRPr="00320A86">
        <w:rPr>
          <w:color w:val="000000"/>
          <w:szCs w:val="28"/>
        </w:rPr>
        <w:t xml:space="preserve"> </w:t>
      </w:r>
      <w:r w:rsidRPr="00320A86">
        <w:rPr>
          <w:rFonts w:eastAsia="Calibri"/>
          <w:color w:val="000000"/>
          <w:szCs w:val="28"/>
        </w:rPr>
        <w:t>d’un</w:t>
      </w:r>
      <w:r w:rsidRPr="00320A86">
        <w:rPr>
          <w:color w:val="000000"/>
          <w:szCs w:val="28"/>
        </w:rPr>
        <w:t xml:space="preserve"> </w:t>
      </w:r>
      <w:r w:rsidRPr="00320A86">
        <w:rPr>
          <w:rFonts w:eastAsia="Calibri"/>
          <w:color w:val="000000"/>
          <w:szCs w:val="28"/>
        </w:rPr>
        <w:t>laïci</w:t>
      </w:r>
      <w:r w:rsidRPr="00320A86">
        <w:rPr>
          <w:rFonts w:eastAsia="Calibri"/>
          <w:color w:val="000000"/>
          <w:szCs w:val="28"/>
        </w:rPr>
        <w:t>s</w:t>
      </w:r>
      <w:r w:rsidRPr="00320A86">
        <w:rPr>
          <w:rFonts w:eastAsia="Calibri"/>
          <w:color w:val="000000"/>
          <w:szCs w:val="28"/>
        </w:rPr>
        <w:t>me</w:t>
      </w:r>
      <w:r w:rsidRPr="00320A86">
        <w:rPr>
          <w:color w:val="000000"/>
          <w:szCs w:val="28"/>
        </w:rPr>
        <w:t xml:space="preserve"> </w:t>
      </w:r>
      <w:r w:rsidRPr="00320A86">
        <w:rPr>
          <w:rFonts w:eastAsia="Calibri"/>
          <w:color w:val="000000"/>
          <w:szCs w:val="28"/>
        </w:rPr>
        <w:t>froid</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neutre,</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refus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toute</w:t>
      </w:r>
      <w:r w:rsidRPr="00320A86">
        <w:rPr>
          <w:color w:val="000000"/>
          <w:szCs w:val="28"/>
        </w:rPr>
        <w:t xml:space="preserve"> </w:t>
      </w:r>
      <w:r w:rsidRPr="00320A86">
        <w:rPr>
          <w:rFonts w:eastAsia="Calibri"/>
          <w:color w:val="000000"/>
          <w:szCs w:val="28"/>
        </w:rPr>
        <w:t>transcendance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l’hégémonie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l’horizontalité.</w:t>
      </w:r>
      <w:r w:rsidRPr="00320A86">
        <w:rPr>
          <w:color w:val="000000"/>
          <w:szCs w:val="28"/>
        </w:rPr>
        <w:t xml:space="preserve"> </w:t>
      </w:r>
      <w:r w:rsidRPr="00320A86">
        <w:rPr>
          <w:rFonts w:eastAsia="Calibri"/>
          <w:color w:val="000000"/>
          <w:szCs w:val="28"/>
        </w:rPr>
        <w:t>Dieu</w:t>
      </w:r>
      <w:r w:rsidRPr="00320A86">
        <w:rPr>
          <w:color w:val="000000"/>
          <w:szCs w:val="28"/>
        </w:rPr>
        <w:t xml:space="preserve"> </w:t>
      </w:r>
      <w:r w:rsidRPr="00320A86">
        <w:rPr>
          <w:rFonts w:eastAsia="Calibri"/>
          <w:color w:val="000000"/>
          <w:szCs w:val="28"/>
        </w:rPr>
        <w:t>a</w:t>
      </w:r>
      <w:r w:rsidRPr="00320A86">
        <w:rPr>
          <w:color w:val="000000"/>
          <w:szCs w:val="28"/>
        </w:rPr>
        <w:t xml:space="preserve"> </w:t>
      </w:r>
      <w:r w:rsidRPr="00320A86">
        <w:rPr>
          <w:rFonts w:eastAsia="Calibri"/>
          <w:color w:val="000000"/>
          <w:szCs w:val="28"/>
        </w:rPr>
        <w:t>ainsi</w:t>
      </w:r>
      <w:r w:rsidRPr="00320A86">
        <w:rPr>
          <w:color w:val="000000"/>
          <w:szCs w:val="28"/>
        </w:rPr>
        <w:t xml:space="preserve"> </w:t>
      </w:r>
      <w:r w:rsidRPr="00320A86">
        <w:rPr>
          <w:rFonts w:eastAsia="Calibri"/>
          <w:color w:val="000000"/>
          <w:szCs w:val="28"/>
        </w:rPr>
        <w:t>disparu</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l’univers</w:t>
      </w:r>
      <w:r w:rsidRPr="00320A86">
        <w:rPr>
          <w:color w:val="000000"/>
          <w:szCs w:val="28"/>
        </w:rPr>
        <w:t xml:space="preserve"> </w:t>
      </w:r>
      <w:r w:rsidRPr="00320A86">
        <w:rPr>
          <w:rFonts w:eastAsia="Calibri"/>
          <w:color w:val="000000"/>
          <w:szCs w:val="28"/>
        </w:rPr>
        <w:t>mental</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grand</w:t>
      </w:r>
      <w:r w:rsidRPr="00320A86">
        <w:rPr>
          <w:color w:val="000000"/>
          <w:szCs w:val="28"/>
        </w:rPr>
        <w:t xml:space="preserve"> </w:t>
      </w:r>
      <w:r w:rsidRPr="00320A86">
        <w:rPr>
          <w:rFonts w:eastAsia="Calibri"/>
          <w:color w:val="000000"/>
          <w:szCs w:val="28"/>
        </w:rPr>
        <w:t>nombre,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pensées</w:t>
      </w:r>
      <w:r w:rsidRPr="00320A86">
        <w:rPr>
          <w:color w:val="000000"/>
          <w:szCs w:val="28"/>
        </w:rPr>
        <w:t xml:space="preserve"> </w:t>
      </w:r>
      <w:r w:rsidRPr="00320A86">
        <w:rPr>
          <w:rFonts w:eastAsia="Calibri"/>
          <w:color w:val="000000"/>
          <w:szCs w:val="28"/>
        </w:rPr>
        <w:t>dominantes</w:t>
      </w:r>
      <w:r w:rsidRPr="00320A86">
        <w:rPr>
          <w:color w:val="000000"/>
          <w:szCs w:val="28"/>
        </w:rPr>
        <w:t xml:space="preserve"> </w:t>
      </w:r>
      <w:r w:rsidRPr="00320A86">
        <w:rPr>
          <w:rFonts w:eastAsia="Calibri"/>
          <w:color w:val="000000"/>
          <w:szCs w:val="28"/>
        </w:rPr>
        <w:t>l’excluent,</w:t>
      </w:r>
      <w:r w:rsidRPr="00320A86">
        <w:rPr>
          <w:color w:val="000000"/>
          <w:szCs w:val="28"/>
        </w:rPr>
        <w:t xml:space="preserve"> </w:t>
      </w:r>
      <w:r w:rsidRPr="00320A86">
        <w:rPr>
          <w:rFonts w:eastAsia="Calibri"/>
          <w:color w:val="000000"/>
          <w:szCs w:val="28"/>
        </w:rPr>
        <w:t>même</w:t>
      </w:r>
      <w:r w:rsidRPr="00320A86">
        <w:rPr>
          <w:color w:val="000000"/>
          <w:szCs w:val="28"/>
        </w:rPr>
        <w:t xml:space="preserve"> </w:t>
      </w:r>
      <w:r w:rsidRPr="00320A86">
        <w:rPr>
          <w:rFonts w:eastAsia="Calibri"/>
          <w:color w:val="000000"/>
          <w:szCs w:val="28"/>
        </w:rPr>
        <w:t>comme</w:t>
      </w:r>
      <w:r w:rsidRPr="00320A86">
        <w:rPr>
          <w:color w:val="000000"/>
          <w:szCs w:val="28"/>
        </w:rPr>
        <w:t xml:space="preserve"> </w:t>
      </w:r>
      <w:r w:rsidRPr="00320A86">
        <w:rPr>
          <w:rFonts w:eastAsia="Calibri"/>
          <w:color w:val="000000"/>
          <w:szCs w:val="28"/>
        </w:rPr>
        <w:t>hypoth</w:t>
      </w:r>
      <w:r w:rsidRPr="00320A86">
        <w:rPr>
          <w:rFonts w:eastAsia="Calibri"/>
          <w:color w:val="000000"/>
          <w:szCs w:val="28"/>
        </w:rPr>
        <w:t>è</w:t>
      </w:r>
      <w:r w:rsidRPr="00320A86">
        <w:rPr>
          <w:rFonts w:eastAsia="Calibri"/>
          <w:color w:val="000000"/>
          <w:szCs w:val="28"/>
        </w:rPr>
        <w:t>se,</w:t>
      </w:r>
      <w:r w:rsidRPr="00320A86">
        <w:rPr>
          <w:color w:val="000000"/>
          <w:szCs w:val="28"/>
        </w:rPr>
        <w:t xml:space="preserve"> </w:t>
      </w:r>
      <w:r w:rsidRPr="00320A86">
        <w:rPr>
          <w:rFonts w:eastAsia="Calibri"/>
          <w:color w:val="000000"/>
          <w:szCs w:val="28"/>
        </w:rPr>
        <w:t>y</w:t>
      </w:r>
      <w:r w:rsidRPr="00320A86">
        <w:rPr>
          <w:color w:val="000000"/>
          <w:szCs w:val="28"/>
        </w:rPr>
        <w:t xml:space="preserve"> </w:t>
      </w:r>
      <w:r w:rsidRPr="00320A86">
        <w:rPr>
          <w:rFonts w:eastAsia="Calibri"/>
          <w:color w:val="000000"/>
          <w:szCs w:val="28"/>
        </w:rPr>
        <w:t>compris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surtout</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sciences</w:t>
      </w:r>
      <w:r w:rsidRPr="00320A86">
        <w:rPr>
          <w:color w:val="000000"/>
          <w:szCs w:val="28"/>
        </w:rPr>
        <w:t xml:space="preserve"> </w:t>
      </w:r>
      <w:r w:rsidRPr="00320A86">
        <w:rPr>
          <w:rFonts w:eastAsia="Calibri"/>
          <w:color w:val="000000"/>
          <w:szCs w:val="28"/>
        </w:rPr>
        <w:t>humaines</w:t>
      </w:r>
      <w:r>
        <w:rPr>
          <w:rFonts w:eastAsia="Calibri"/>
          <w:color w:val="000000"/>
          <w:szCs w:val="28"/>
        </w:rPr>
        <w:t> </w:t>
      </w:r>
      <w:r>
        <w:rPr>
          <w:rStyle w:val="Appelnotedebasdep"/>
          <w:rFonts w:eastAsia="Calibri"/>
          <w:szCs w:val="28"/>
        </w:rPr>
        <w:footnoteReference w:id="1204"/>
      </w:r>
      <w:r w:rsidRPr="00320A86">
        <w:rPr>
          <w:color w:val="000000"/>
          <w:szCs w:val="28"/>
        </w:rPr>
        <w:t xml:space="preserve">. </w:t>
      </w:r>
      <w:r w:rsidRPr="00320A86">
        <w:rPr>
          <w:rFonts w:eastAsia="Calibri"/>
          <w:color w:val="000000"/>
          <w:szCs w:val="28"/>
        </w:rPr>
        <w:t>C’est</w:t>
      </w:r>
      <w:r w:rsidRPr="00320A86">
        <w:rPr>
          <w:color w:val="000000"/>
          <w:szCs w:val="28"/>
        </w:rPr>
        <w:t xml:space="preserve"> </w:t>
      </w:r>
      <w:r w:rsidRPr="00320A86">
        <w:rPr>
          <w:rFonts w:eastAsia="Calibri"/>
          <w:color w:val="000000"/>
          <w:szCs w:val="28"/>
        </w:rPr>
        <w:t>ainsi</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w:t>
      </w:r>
      <w:r w:rsidRPr="00320A86">
        <w:rPr>
          <w:color w:val="000000"/>
          <w:szCs w:val="28"/>
        </w:rPr>
        <w:t> </w:t>
      </w:r>
      <w:r w:rsidRPr="00320A86">
        <w:rPr>
          <w:rFonts w:eastAsia="Calibri"/>
          <w:color w:val="000000"/>
          <w:szCs w:val="28"/>
        </w:rPr>
        <w:t>science</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religions</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vise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remplacer</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théologie,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fois</w:t>
      </w:r>
      <w:r w:rsidRPr="00320A86">
        <w:rPr>
          <w:color w:val="000000"/>
          <w:szCs w:val="28"/>
        </w:rPr>
        <w:t xml:space="preserve"> </w:t>
      </w:r>
      <w:r w:rsidRPr="00320A86">
        <w:rPr>
          <w:rFonts w:eastAsia="Calibri"/>
          <w:color w:val="000000"/>
          <w:szCs w:val="28"/>
        </w:rPr>
        <w:t>ca</w:t>
      </w:r>
      <w:r w:rsidRPr="00320A86">
        <w:rPr>
          <w:rFonts w:eastAsia="Calibri"/>
          <w:color w:val="000000"/>
          <w:szCs w:val="28"/>
        </w:rPr>
        <w:t>n</w:t>
      </w:r>
      <w:r w:rsidRPr="00320A86">
        <w:rPr>
          <w:rFonts w:eastAsia="Calibri"/>
          <w:color w:val="000000"/>
          <w:szCs w:val="28"/>
        </w:rPr>
        <w:t>tonnée</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milieux</w:t>
      </w:r>
      <w:r w:rsidRPr="00320A86">
        <w:rPr>
          <w:color w:val="000000"/>
          <w:szCs w:val="28"/>
        </w:rPr>
        <w:t xml:space="preserve"> </w:t>
      </w:r>
      <w:r w:rsidRPr="00320A86">
        <w:rPr>
          <w:rFonts w:eastAsia="Calibri"/>
          <w:color w:val="000000"/>
          <w:szCs w:val="28"/>
        </w:rPr>
        <w:t>cléricaux</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attirante</w:t>
      </w:r>
      <w:r w:rsidRPr="00320A86">
        <w:rPr>
          <w:color w:val="000000"/>
          <w:szCs w:val="28"/>
        </w:rPr>
        <w:t xml:space="preserve"> </w:t>
      </w:r>
      <w:r w:rsidRPr="00320A86">
        <w:rPr>
          <w:rFonts w:eastAsia="Calibri"/>
          <w:color w:val="000000"/>
          <w:szCs w:val="28"/>
        </w:rPr>
        <w:t>pour</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w:t>
      </w:r>
      <w:r w:rsidRPr="00320A86">
        <w:rPr>
          <w:color w:val="000000"/>
          <w:szCs w:val="28"/>
        </w:rPr>
        <w:t> </w:t>
      </w:r>
      <w:r w:rsidRPr="00320A86">
        <w:rPr>
          <w:rFonts w:eastAsia="Calibri"/>
          <w:color w:val="000000"/>
          <w:szCs w:val="28"/>
        </w:rPr>
        <w:t>particuliers</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s’inscrivent</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ses</w:t>
      </w:r>
      <w:r w:rsidRPr="00320A86">
        <w:rPr>
          <w:color w:val="000000"/>
          <w:szCs w:val="28"/>
        </w:rPr>
        <w:t xml:space="preserve"> </w:t>
      </w:r>
      <w:r w:rsidRPr="00320A86">
        <w:rPr>
          <w:rFonts w:eastAsia="Calibri"/>
          <w:color w:val="000000"/>
          <w:szCs w:val="28"/>
        </w:rPr>
        <w:t>rares</w:t>
      </w:r>
      <w:r w:rsidRPr="00320A86">
        <w:rPr>
          <w:color w:val="000000"/>
          <w:szCs w:val="28"/>
        </w:rPr>
        <w:t xml:space="preserve"> </w:t>
      </w:r>
      <w:r w:rsidRPr="00320A86">
        <w:rPr>
          <w:rFonts w:eastAsia="Calibri"/>
          <w:color w:val="000000"/>
          <w:szCs w:val="28"/>
        </w:rPr>
        <w:t>lieux</w:t>
      </w:r>
      <w:r w:rsidRPr="00320A86">
        <w:rPr>
          <w:color w:val="000000"/>
          <w:szCs w:val="28"/>
        </w:rPr>
        <w:t xml:space="preserve"> </w:t>
      </w:r>
      <w:r w:rsidRPr="00320A86">
        <w:rPr>
          <w:rFonts w:eastAsia="Calibri"/>
          <w:color w:val="000000"/>
          <w:szCs w:val="28"/>
        </w:rPr>
        <w:t>d’enseignement.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expu</w:t>
      </w:r>
      <w:r w:rsidRPr="00320A86">
        <w:rPr>
          <w:rFonts w:eastAsia="Calibri"/>
          <w:color w:val="000000"/>
          <w:szCs w:val="28"/>
        </w:rPr>
        <w:t>l</w:t>
      </w:r>
      <w:r w:rsidRPr="00320A86">
        <w:rPr>
          <w:rFonts w:eastAsia="Calibri"/>
          <w:color w:val="000000"/>
          <w:szCs w:val="28"/>
        </w:rPr>
        <w:t>sant</w:t>
      </w:r>
      <w:r w:rsidRPr="00320A86">
        <w:rPr>
          <w:color w:val="000000"/>
          <w:szCs w:val="28"/>
        </w:rPr>
        <w:t xml:space="preserve"> </w:t>
      </w:r>
      <w:r w:rsidRPr="00320A86">
        <w:rPr>
          <w:rFonts w:eastAsia="Calibri"/>
          <w:color w:val="000000"/>
          <w:szCs w:val="28"/>
        </w:rPr>
        <w:t>ainsi</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religion</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w:t>
      </w:r>
      <w:r w:rsidRPr="00320A86">
        <w:rPr>
          <w:color w:val="000000"/>
          <w:szCs w:val="28"/>
        </w:rPr>
        <w:t> </w:t>
      </w:r>
      <w:r w:rsidRPr="00320A86">
        <w:rPr>
          <w:rFonts w:eastAsia="Calibri"/>
          <w:color w:val="000000"/>
          <w:szCs w:val="28"/>
        </w:rPr>
        <w:t>la</w:t>
      </w:r>
      <w:r w:rsidRPr="00320A86">
        <w:rPr>
          <w:color w:val="000000"/>
          <w:szCs w:val="28"/>
        </w:rPr>
        <w:t xml:space="preserve"> </w:t>
      </w:r>
      <w:r w:rsidRPr="00320A86">
        <w:rPr>
          <w:rFonts w:eastAsia="Calibri"/>
          <w:color w:val="000000"/>
          <w:szCs w:val="28"/>
        </w:rPr>
        <w:t>sphère</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privé</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on</w:t>
      </w:r>
      <w:r w:rsidRPr="00320A86">
        <w:rPr>
          <w:color w:val="000000"/>
          <w:szCs w:val="28"/>
        </w:rPr>
        <w:t xml:space="preserve"> </w:t>
      </w:r>
      <w:r w:rsidRPr="00320A86">
        <w:rPr>
          <w:rFonts w:eastAsia="Calibri"/>
          <w:color w:val="000000"/>
          <w:szCs w:val="28"/>
        </w:rPr>
        <w:t>réduit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même</w:t>
      </w:r>
      <w:r w:rsidRPr="00320A86">
        <w:rPr>
          <w:color w:val="000000"/>
          <w:szCs w:val="28"/>
        </w:rPr>
        <w:t xml:space="preserve"> </w:t>
      </w:r>
      <w:r w:rsidRPr="00320A86">
        <w:rPr>
          <w:rFonts w:eastAsia="Calibri"/>
          <w:color w:val="000000"/>
          <w:szCs w:val="28"/>
        </w:rPr>
        <w:t>temps à peu de choses</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w:t>
      </w:r>
      <w:r w:rsidRPr="00320A86">
        <w:rPr>
          <w:color w:val="000000"/>
          <w:szCs w:val="28"/>
        </w:rPr>
        <w:t> </w:t>
      </w:r>
      <w:r w:rsidRPr="00320A86">
        <w:rPr>
          <w:rFonts w:eastAsia="Calibri"/>
          <w:color w:val="000000"/>
          <w:szCs w:val="28"/>
        </w:rPr>
        <w:t>droit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cité</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christianisme,</w:t>
      </w:r>
      <w:r w:rsidRPr="00320A86">
        <w:rPr>
          <w:color w:val="000000"/>
          <w:szCs w:val="28"/>
        </w:rPr>
        <w:t xml:space="preserve"> </w:t>
      </w:r>
      <w:r w:rsidRPr="00320A86">
        <w:rPr>
          <w:rFonts w:eastAsia="Calibri"/>
          <w:color w:val="000000"/>
          <w:szCs w:val="28"/>
        </w:rPr>
        <w:t>vieux</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1700</w:t>
      </w:r>
      <w:r w:rsidRPr="00320A86">
        <w:rPr>
          <w:color w:val="000000"/>
          <w:szCs w:val="28"/>
        </w:rPr>
        <w:t xml:space="preserve"> </w:t>
      </w:r>
      <w:r w:rsidRPr="00320A86">
        <w:rPr>
          <w:rFonts w:eastAsia="Calibri"/>
          <w:color w:val="000000"/>
          <w:szCs w:val="28"/>
        </w:rPr>
        <w:t>ans.</w:t>
      </w:r>
      <w:r w:rsidRPr="00320A86">
        <w:rPr>
          <w:color w:val="000000"/>
          <w:szCs w:val="28"/>
        </w:rPr>
        <w:t xml:space="preserve"> </w:t>
      </w:r>
      <w:r w:rsidRPr="00320A86">
        <w:rPr>
          <w:rFonts w:eastAsia="Calibri"/>
          <w:color w:val="000000"/>
          <w:szCs w:val="28"/>
        </w:rPr>
        <w:t>Cette</w:t>
      </w:r>
      <w:r w:rsidRPr="00320A86">
        <w:rPr>
          <w:color w:val="000000"/>
          <w:szCs w:val="28"/>
        </w:rPr>
        <w:t xml:space="preserve"> </w:t>
      </w:r>
      <w:r w:rsidRPr="00320A86">
        <w:rPr>
          <w:rFonts w:eastAsia="Calibri"/>
          <w:color w:val="000000"/>
          <w:szCs w:val="28"/>
        </w:rPr>
        <w:t>situation,</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peut</w:t>
      </w:r>
      <w:r w:rsidRPr="00320A86">
        <w:rPr>
          <w:color w:val="000000"/>
          <w:szCs w:val="28"/>
        </w:rPr>
        <w:t xml:space="preserve"> </w:t>
      </w:r>
      <w:r w:rsidRPr="00320A86">
        <w:rPr>
          <w:rFonts w:eastAsia="Calibri"/>
          <w:color w:val="000000"/>
          <w:szCs w:val="28"/>
        </w:rPr>
        <w:t>déplorer</w:t>
      </w:r>
      <w:r w:rsidRPr="00320A86">
        <w:rPr>
          <w:color w:val="000000"/>
          <w:szCs w:val="28"/>
        </w:rPr>
        <w:t xml:space="preserve"> </w:t>
      </w:r>
      <w:r w:rsidRPr="00320A86">
        <w:rPr>
          <w:rFonts w:eastAsia="Calibri"/>
          <w:color w:val="000000"/>
          <w:szCs w:val="28"/>
        </w:rPr>
        <w:t>tout</w:t>
      </w:r>
      <w:r w:rsidRPr="00320A86">
        <w:rPr>
          <w:color w:val="000000"/>
          <w:szCs w:val="28"/>
        </w:rPr>
        <w:t xml:space="preserve"> </w:t>
      </w:r>
      <w:r w:rsidRPr="00320A86">
        <w:rPr>
          <w:rFonts w:eastAsia="Calibri"/>
          <w:color w:val="000000"/>
          <w:szCs w:val="28"/>
        </w:rPr>
        <w:t>catholique</w:t>
      </w:r>
      <w:r w:rsidRPr="00320A86">
        <w:rPr>
          <w:color w:val="000000"/>
          <w:szCs w:val="28"/>
        </w:rPr>
        <w:t xml:space="preserve"> </w:t>
      </w:r>
      <w:r w:rsidRPr="00320A86">
        <w:rPr>
          <w:rFonts w:eastAsia="Calibri"/>
          <w:color w:val="000000"/>
          <w:szCs w:val="28"/>
        </w:rPr>
        <w:t>convaincu,</w:t>
      </w:r>
      <w:r w:rsidRPr="00320A86">
        <w:rPr>
          <w:color w:val="000000"/>
          <w:szCs w:val="28"/>
        </w:rPr>
        <w:t xml:space="preserve"> </w:t>
      </w:r>
      <w:r w:rsidRPr="00320A86">
        <w:rPr>
          <w:rFonts w:eastAsia="Calibri"/>
          <w:color w:val="000000"/>
          <w:szCs w:val="28"/>
        </w:rPr>
        <w:t>pr</w:t>
      </w:r>
      <w:r w:rsidRPr="00320A86">
        <w:rPr>
          <w:rFonts w:eastAsia="Calibri"/>
          <w:color w:val="000000"/>
          <w:szCs w:val="28"/>
        </w:rPr>
        <w:t>o</w:t>
      </w:r>
      <w:r w:rsidRPr="00320A86">
        <w:rPr>
          <w:rFonts w:eastAsia="Calibri"/>
          <w:color w:val="000000"/>
          <w:szCs w:val="28"/>
        </w:rPr>
        <w:t>voque</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milieux</w:t>
      </w:r>
      <w:r w:rsidRPr="00320A86">
        <w:rPr>
          <w:color w:val="000000"/>
          <w:szCs w:val="28"/>
        </w:rPr>
        <w:t xml:space="preserve"> </w:t>
      </w:r>
      <w:r w:rsidRPr="00320A86">
        <w:rPr>
          <w:rFonts w:eastAsia="Calibri"/>
          <w:color w:val="000000"/>
          <w:szCs w:val="28"/>
        </w:rPr>
        <w:t>intégristes,</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réactions</w:t>
      </w:r>
      <w:r w:rsidRPr="00320A86">
        <w:rPr>
          <w:color w:val="000000"/>
          <w:szCs w:val="28"/>
        </w:rPr>
        <w:t xml:space="preserve"> </w:t>
      </w:r>
      <w:r w:rsidRPr="00320A86">
        <w:rPr>
          <w:rFonts w:eastAsia="Calibri"/>
          <w:color w:val="000000"/>
          <w:szCs w:val="28"/>
        </w:rPr>
        <w:t>no</w:t>
      </w:r>
      <w:r w:rsidRPr="00320A86">
        <w:rPr>
          <w:rFonts w:eastAsia="Calibri"/>
          <w:color w:val="000000"/>
          <w:szCs w:val="28"/>
        </w:rPr>
        <w:t>s</w:t>
      </w:r>
      <w:r w:rsidRPr="00320A86">
        <w:rPr>
          <w:rFonts w:eastAsia="Calibri"/>
          <w:color w:val="000000"/>
          <w:szCs w:val="28"/>
        </w:rPr>
        <w:t>talgiques,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nouveau</w:t>
      </w:r>
      <w:r w:rsidRPr="00320A86">
        <w:rPr>
          <w:color w:val="000000"/>
          <w:szCs w:val="28"/>
        </w:rPr>
        <w:t xml:space="preserve"> </w:t>
      </w:r>
      <w:r w:rsidRPr="00320A86">
        <w:rPr>
          <w:rFonts w:eastAsia="Calibri"/>
          <w:color w:val="000000"/>
          <w:szCs w:val="28"/>
        </w:rPr>
        <w:t>décalées.</w:t>
      </w:r>
      <w:r w:rsidRPr="00320A86">
        <w:rPr>
          <w:color w:val="000000"/>
          <w:szCs w:val="28"/>
        </w:rPr>
        <w:t xml:space="preserve"> </w:t>
      </w:r>
      <w:r w:rsidRPr="00320A86">
        <w:rPr>
          <w:rFonts w:eastAsia="Calibri"/>
          <w:color w:val="000000"/>
          <w:szCs w:val="28"/>
        </w:rPr>
        <w:t>L’insistance</w:t>
      </w:r>
      <w:r w:rsidRPr="00320A86">
        <w:rPr>
          <w:color w:val="000000"/>
          <w:szCs w:val="28"/>
        </w:rPr>
        <w:t xml:space="preserve"> </w:t>
      </w:r>
      <w:r w:rsidRPr="00320A86">
        <w:rPr>
          <w:rFonts w:eastAsia="Calibri"/>
          <w:color w:val="000000"/>
          <w:szCs w:val="28"/>
        </w:rPr>
        <w:t>sur</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thème</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w:t>
      </w:r>
      <w:r w:rsidRPr="00320A86">
        <w:rPr>
          <w:color w:val="000000"/>
          <w:szCs w:val="28"/>
        </w:rPr>
        <w:t> </w:t>
      </w:r>
      <w:r w:rsidRPr="00320A86">
        <w:rPr>
          <w:rFonts w:eastAsia="Calibri"/>
          <w:color w:val="000000"/>
          <w:szCs w:val="28"/>
        </w:rPr>
        <w:t>Christ-Roi</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s’impose</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plan</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toute</w:t>
      </w:r>
      <w:r w:rsidRPr="00320A86">
        <w:rPr>
          <w:color w:val="000000"/>
          <w:szCs w:val="28"/>
        </w:rPr>
        <w:t xml:space="preserve"> </w:t>
      </w:r>
      <w:r w:rsidRPr="00320A86">
        <w:rPr>
          <w:rFonts w:eastAsia="Calibri"/>
          <w:color w:val="000000"/>
          <w:szCs w:val="28"/>
        </w:rPr>
        <w:t>conscience</w:t>
      </w:r>
      <w:r w:rsidRPr="00320A86">
        <w:rPr>
          <w:color w:val="000000"/>
          <w:szCs w:val="28"/>
        </w:rPr>
        <w:t xml:space="preserve"> </w:t>
      </w:r>
      <w:r w:rsidRPr="00320A86">
        <w:rPr>
          <w:rFonts w:eastAsia="Calibri"/>
          <w:color w:val="000000"/>
          <w:szCs w:val="28"/>
        </w:rPr>
        <w:t>catholique,</w:t>
      </w:r>
      <w:r w:rsidRPr="00320A86">
        <w:rPr>
          <w:color w:val="000000"/>
          <w:szCs w:val="28"/>
        </w:rPr>
        <w:t xml:space="preserve"> </w:t>
      </w:r>
      <w:r w:rsidRPr="00320A86">
        <w:rPr>
          <w:rFonts w:eastAsia="Calibri"/>
          <w:color w:val="000000"/>
          <w:szCs w:val="28"/>
        </w:rPr>
        <w:t>prend</w:t>
      </w:r>
      <w:r w:rsidRPr="00320A86">
        <w:rPr>
          <w:color w:val="000000"/>
          <w:szCs w:val="28"/>
        </w:rPr>
        <w:t xml:space="preserve"> </w:t>
      </w:r>
      <w:r w:rsidRPr="00320A86">
        <w:rPr>
          <w:rFonts w:eastAsia="Calibri"/>
          <w:color w:val="000000"/>
          <w:szCs w:val="28"/>
        </w:rPr>
        <w:t>chez</w:t>
      </w:r>
      <w:r w:rsidRPr="00320A86">
        <w:rPr>
          <w:color w:val="000000"/>
          <w:szCs w:val="28"/>
        </w:rPr>
        <w:t xml:space="preserve"> </w:t>
      </w:r>
      <w:r w:rsidRPr="00320A86">
        <w:rPr>
          <w:rFonts w:eastAsia="Calibri"/>
          <w:color w:val="000000"/>
          <w:szCs w:val="28"/>
        </w:rPr>
        <w:t>eux</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tournure</w:t>
      </w:r>
      <w:r w:rsidRPr="00320A86">
        <w:rPr>
          <w:color w:val="000000"/>
          <w:szCs w:val="28"/>
        </w:rPr>
        <w:t xml:space="preserve"> </w:t>
      </w:r>
      <w:r w:rsidRPr="00320A86">
        <w:rPr>
          <w:rFonts w:eastAsia="Calibri"/>
          <w:color w:val="000000"/>
          <w:szCs w:val="28"/>
        </w:rPr>
        <w:t>séculière.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royauté</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Christ,</w:t>
      </w:r>
      <w:r w:rsidRPr="00320A86">
        <w:rPr>
          <w:color w:val="000000"/>
          <w:szCs w:val="28"/>
        </w:rPr>
        <w:t xml:space="preserve"> </w:t>
      </w:r>
      <w:r w:rsidRPr="00320A86">
        <w:rPr>
          <w:rFonts w:eastAsia="Calibri"/>
          <w:color w:val="000000"/>
          <w:szCs w:val="28"/>
        </w:rPr>
        <w:t>mais</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creux</w:t>
      </w:r>
      <w:r w:rsidRPr="00320A86">
        <w:rPr>
          <w:color w:val="000000"/>
          <w:szCs w:val="28"/>
        </w:rPr>
        <w:t xml:space="preserve"> </w:t>
      </w:r>
      <w:r w:rsidRPr="00320A86">
        <w:rPr>
          <w:rFonts w:eastAsia="Calibri"/>
          <w:color w:val="000000"/>
          <w:szCs w:val="28"/>
        </w:rPr>
        <w:t>celle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l’Église,</w:t>
      </w:r>
      <w:r w:rsidRPr="00320A86">
        <w:rPr>
          <w:color w:val="000000"/>
          <w:szCs w:val="28"/>
        </w:rPr>
        <w:t xml:space="preserve"> </w:t>
      </w:r>
      <w:r w:rsidRPr="00320A86">
        <w:rPr>
          <w:rFonts w:eastAsia="Calibri"/>
          <w:color w:val="000000"/>
          <w:szCs w:val="28"/>
        </w:rPr>
        <w:t>doit</w:t>
      </w:r>
      <w:r w:rsidRPr="00320A86">
        <w:rPr>
          <w:color w:val="000000"/>
          <w:szCs w:val="28"/>
        </w:rPr>
        <w:t xml:space="preserve"> </w:t>
      </w:r>
      <w:r w:rsidRPr="00320A86">
        <w:rPr>
          <w:rFonts w:eastAsia="Calibri"/>
          <w:color w:val="000000"/>
          <w:szCs w:val="28"/>
        </w:rPr>
        <w:t>s’exercer</w:t>
      </w:r>
      <w:r w:rsidRPr="00320A86">
        <w:rPr>
          <w:color w:val="000000"/>
          <w:szCs w:val="28"/>
        </w:rPr>
        <w:t xml:space="preserve"> </w:t>
      </w:r>
      <w:r w:rsidRPr="00320A86">
        <w:rPr>
          <w:rFonts w:eastAsia="Calibri"/>
          <w:color w:val="000000"/>
          <w:szCs w:val="28"/>
        </w:rPr>
        <w:t>sur</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monde,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tous</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n</w:t>
      </w:r>
      <w:r w:rsidRPr="00320A86">
        <w:rPr>
          <w:rFonts w:eastAsia="Calibri"/>
          <w:color w:val="000000"/>
          <w:szCs w:val="28"/>
        </w:rPr>
        <w:t>i</w:t>
      </w:r>
      <w:r w:rsidRPr="00320A86">
        <w:rPr>
          <w:rFonts w:eastAsia="Calibri"/>
          <w:color w:val="000000"/>
          <w:szCs w:val="28"/>
        </w:rPr>
        <w:t>veaux</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l’éducation,</w:t>
      </w:r>
      <w:r w:rsidRPr="00320A86">
        <w:rPr>
          <w:color w:val="000000"/>
          <w:szCs w:val="28"/>
        </w:rPr>
        <w:t xml:space="preserve"> </w:t>
      </w:r>
      <w:r w:rsidRPr="00320A86">
        <w:rPr>
          <w:rFonts w:eastAsia="Calibri"/>
          <w:color w:val="000000"/>
          <w:szCs w:val="28"/>
        </w:rPr>
        <w:t>ce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justifie</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écoles</w:t>
      </w:r>
      <w:r w:rsidRPr="00320A86">
        <w:rPr>
          <w:color w:val="000000"/>
          <w:szCs w:val="28"/>
        </w:rPr>
        <w:t xml:space="preserve"> </w:t>
      </w:r>
      <w:r w:rsidRPr="00320A86">
        <w:rPr>
          <w:rFonts w:eastAsia="Calibri"/>
          <w:color w:val="000000"/>
          <w:szCs w:val="28"/>
        </w:rPr>
        <w:t>«</w:t>
      </w:r>
      <w:r w:rsidRPr="00320A86">
        <w:rPr>
          <w:color w:val="000000"/>
          <w:szCs w:val="28"/>
        </w:rPr>
        <w:t> </w:t>
      </w:r>
      <w:r w:rsidRPr="00320A86">
        <w:rPr>
          <w:rFonts w:eastAsia="Calibri"/>
          <w:color w:val="000000"/>
          <w:szCs w:val="28"/>
        </w:rPr>
        <w:t>hors</w:t>
      </w:r>
      <w:r w:rsidRPr="00320A86">
        <w:rPr>
          <w:color w:val="000000"/>
          <w:szCs w:val="28"/>
        </w:rPr>
        <w:t xml:space="preserve"> </w:t>
      </w:r>
      <w:r w:rsidRPr="00320A86">
        <w:rPr>
          <w:rFonts w:eastAsia="Calibri"/>
          <w:color w:val="000000"/>
          <w:szCs w:val="28"/>
        </w:rPr>
        <w:t>contrat</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pratique</w:t>
      </w:r>
      <w:r w:rsidRPr="00320A86">
        <w:rPr>
          <w:color w:val="000000"/>
          <w:szCs w:val="28"/>
        </w:rPr>
        <w:t xml:space="preserve"> </w:t>
      </w:r>
      <w:r w:rsidRPr="00320A86">
        <w:rPr>
          <w:rFonts w:eastAsia="Calibri"/>
          <w:color w:val="000000"/>
          <w:szCs w:val="28"/>
        </w:rPr>
        <w:t>religieuse,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doit</w:t>
      </w:r>
      <w:r w:rsidRPr="00320A86">
        <w:rPr>
          <w:color w:val="000000"/>
          <w:szCs w:val="28"/>
        </w:rPr>
        <w:t xml:space="preserve"> </w:t>
      </w:r>
      <w:r w:rsidRPr="00320A86">
        <w:rPr>
          <w:rFonts w:eastAsia="Calibri"/>
          <w:color w:val="000000"/>
          <w:szCs w:val="28"/>
        </w:rPr>
        <w:t>donner</w:t>
      </w:r>
      <w:r w:rsidRPr="00320A86">
        <w:rPr>
          <w:color w:val="000000"/>
          <w:szCs w:val="28"/>
        </w:rPr>
        <w:t xml:space="preserve"> </w:t>
      </w:r>
      <w:r w:rsidRPr="00320A86">
        <w:rPr>
          <w:rFonts w:eastAsia="Calibri"/>
          <w:color w:val="000000"/>
          <w:szCs w:val="28"/>
        </w:rPr>
        <w:t>lieu</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manifestations</w:t>
      </w:r>
      <w:r w:rsidRPr="00320A86">
        <w:rPr>
          <w:color w:val="000000"/>
          <w:szCs w:val="28"/>
        </w:rPr>
        <w:t xml:space="preserve"> </w:t>
      </w:r>
      <w:r w:rsidRPr="00320A86">
        <w:rPr>
          <w:rFonts w:eastAsia="Calibri"/>
          <w:color w:val="000000"/>
          <w:szCs w:val="28"/>
        </w:rPr>
        <w:t>publiques</w:t>
      </w:r>
      <w:r w:rsidRPr="00320A86">
        <w:rPr>
          <w:color w:val="000000"/>
          <w:szCs w:val="28"/>
        </w:rPr>
        <w:t xml:space="preserve"> </w:t>
      </w:r>
      <w:r w:rsidRPr="00320A86">
        <w:rPr>
          <w:rFonts w:eastAsia="Calibri"/>
          <w:color w:val="000000"/>
          <w:szCs w:val="28"/>
        </w:rPr>
        <w:t>(pr</w:t>
      </w:r>
      <w:r w:rsidRPr="00320A86">
        <w:rPr>
          <w:rFonts w:eastAsia="Calibri"/>
          <w:color w:val="000000"/>
          <w:szCs w:val="28"/>
        </w:rPr>
        <w:t>o</w:t>
      </w:r>
      <w:r w:rsidRPr="00320A86">
        <w:rPr>
          <w:rFonts w:eastAsia="Calibri"/>
          <w:color w:val="000000"/>
          <w:szCs w:val="28"/>
        </w:rPr>
        <w:t>cessions,</w:t>
      </w:r>
      <w:r w:rsidRPr="00320A86">
        <w:rPr>
          <w:color w:val="000000"/>
          <w:szCs w:val="28"/>
        </w:rPr>
        <w:t xml:space="preserve"> </w:t>
      </w:r>
      <w:r w:rsidRPr="00320A86">
        <w:rPr>
          <w:rFonts w:eastAsia="Calibri"/>
          <w:color w:val="000000"/>
          <w:szCs w:val="28"/>
        </w:rPr>
        <w:t>pèlerinages),</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façon</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s’habiller</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doit</w:t>
      </w:r>
      <w:r w:rsidRPr="00320A86">
        <w:rPr>
          <w:color w:val="000000"/>
          <w:szCs w:val="28"/>
        </w:rPr>
        <w:t xml:space="preserve"> </w:t>
      </w:r>
      <w:r w:rsidRPr="00320A86">
        <w:rPr>
          <w:rFonts w:eastAsia="Calibri"/>
          <w:color w:val="000000"/>
          <w:szCs w:val="28"/>
        </w:rPr>
        <w:t>respecter</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codes</w:t>
      </w:r>
      <w:r w:rsidRPr="00320A86">
        <w:rPr>
          <w:color w:val="000000"/>
          <w:szCs w:val="28"/>
        </w:rPr>
        <w:t xml:space="preserve"> </w:t>
      </w:r>
      <w:r w:rsidRPr="00320A86">
        <w:rPr>
          <w:rFonts w:eastAsia="Calibri"/>
          <w:color w:val="000000"/>
          <w:szCs w:val="28"/>
        </w:rPr>
        <w:t>distincts</w:t>
      </w:r>
      <w:r>
        <w:rPr>
          <w:rFonts w:eastAsia="Calibri"/>
          <w:color w:val="000000"/>
          <w:szCs w:val="28"/>
        </w:rPr>
        <w:t> </w:t>
      </w:r>
      <w:r>
        <w:rPr>
          <w:rStyle w:val="Appelnotedebasdep"/>
          <w:rFonts w:eastAsia="Calibri"/>
          <w:szCs w:val="28"/>
        </w:rPr>
        <w:footnoteReference w:id="1205"/>
      </w:r>
      <w:r w:rsidRPr="00320A86">
        <w:rPr>
          <w:color w:val="000000"/>
          <w:szCs w:val="28"/>
        </w:rPr>
        <w:t xml:space="preserve">. </w:t>
      </w:r>
      <w:r w:rsidRPr="00320A86">
        <w:rPr>
          <w:rFonts w:eastAsia="Calibri"/>
          <w:color w:val="000000"/>
          <w:szCs w:val="28"/>
        </w:rPr>
        <w:t>Cette</w:t>
      </w:r>
      <w:r w:rsidRPr="00320A86">
        <w:rPr>
          <w:color w:val="000000"/>
          <w:szCs w:val="28"/>
        </w:rPr>
        <w:t xml:space="preserve"> </w:t>
      </w:r>
      <w:r w:rsidRPr="00320A86">
        <w:rPr>
          <w:rFonts w:eastAsia="Calibri"/>
          <w:color w:val="000000"/>
          <w:szCs w:val="28"/>
        </w:rPr>
        <w:t>surenchère</w:t>
      </w:r>
      <w:r w:rsidRPr="00320A86">
        <w:rPr>
          <w:color w:val="000000"/>
          <w:szCs w:val="28"/>
        </w:rPr>
        <w:t xml:space="preserve"> </w:t>
      </w:r>
      <w:r w:rsidRPr="00320A86">
        <w:rPr>
          <w:rFonts w:eastAsia="Calibri"/>
          <w:color w:val="000000"/>
          <w:szCs w:val="28"/>
        </w:rPr>
        <w:t>cléricale,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rappelle</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ce</w:t>
      </w:r>
      <w:r w:rsidRPr="00320A86">
        <w:rPr>
          <w:rFonts w:eastAsia="Calibri"/>
          <w:color w:val="000000"/>
          <w:szCs w:val="28"/>
        </w:rPr>
        <w:t>r</w:t>
      </w:r>
      <w:r w:rsidRPr="00320A86">
        <w:rPr>
          <w:rFonts w:eastAsia="Calibri"/>
          <w:color w:val="000000"/>
          <w:szCs w:val="28"/>
        </w:rPr>
        <w:t>taine</w:t>
      </w:r>
      <w:r w:rsidRPr="00320A86">
        <w:rPr>
          <w:color w:val="000000"/>
          <w:szCs w:val="28"/>
        </w:rPr>
        <w:t xml:space="preserve"> </w:t>
      </w:r>
      <w:r w:rsidRPr="00320A86">
        <w:rPr>
          <w:rFonts w:eastAsia="Calibri"/>
          <w:color w:val="000000"/>
          <w:szCs w:val="28"/>
        </w:rPr>
        <w:t>reconquête</w:t>
      </w:r>
      <w:r w:rsidRPr="00320A86">
        <w:rPr>
          <w:color w:val="000000"/>
          <w:szCs w:val="28"/>
        </w:rPr>
        <w:t xml:space="preserve"> </w:t>
      </w:r>
      <w:r w:rsidRPr="00320A86">
        <w:rPr>
          <w:rFonts w:eastAsia="Calibri"/>
          <w:color w:val="000000"/>
          <w:szCs w:val="28"/>
        </w:rPr>
        <w:t>catholique</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France</w:t>
      </w:r>
      <w:r w:rsidRPr="00320A86">
        <w:rPr>
          <w:color w:val="000000"/>
          <w:szCs w:val="28"/>
        </w:rPr>
        <w:t xml:space="preserve"> </w:t>
      </w:r>
      <w:r w:rsidRPr="00320A86">
        <w:rPr>
          <w:rFonts w:eastAsia="Calibri"/>
          <w:color w:val="000000"/>
          <w:szCs w:val="28"/>
        </w:rPr>
        <w:t>après</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guerre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1870</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malheurs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Commune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Paris,</w:t>
      </w:r>
      <w:r w:rsidRPr="00320A86">
        <w:rPr>
          <w:color w:val="000000"/>
          <w:szCs w:val="28"/>
        </w:rPr>
        <w:t xml:space="preserve"> </w:t>
      </w:r>
      <w:r w:rsidRPr="00320A86">
        <w:rPr>
          <w:rFonts w:eastAsia="Calibri"/>
          <w:color w:val="000000"/>
          <w:szCs w:val="28"/>
        </w:rPr>
        <w:t>vise</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effets</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pouvaient</w:t>
      </w:r>
      <w:r w:rsidRPr="00320A86">
        <w:rPr>
          <w:color w:val="000000"/>
          <w:szCs w:val="28"/>
        </w:rPr>
        <w:t xml:space="preserve"> </w:t>
      </w:r>
      <w:r w:rsidRPr="00320A86">
        <w:rPr>
          <w:rFonts w:eastAsia="Calibri"/>
          <w:color w:val="000000"/>
          <w:szCs w:val="28"/>
        </w:rPr>
        <w:t>être</w:t>
      </w:r>
      <w:r w:rsidRPr="00320A86">
        <w:rPr>
          <w:color w:val="000000"/>
          <w:szCs w:val="28"/>
        </w:rPr>
        <w:t xml:space="preserve"> </w:t>
      </w:r>
      <w:r w:rsidRPr="00320A86">
        <w:rPr>
          <w:rFonts w:eastAsia="Calibri"/>
          <w:color w:val="000000"/>
          <w:szCs w:val="28"/>
        </w:rPr>
        <w:t>visibles</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XIX</w:t>
      </w:r>
      <w:r w:rsidRPr="00320A86">
        <w:rPr>
          <w:rFonts w:eastAsia="Calibri"/>
          <w:color w:val="000000"/>
          <w:szCs w:val="28"/>
          <w:vertAlign w:val="superscript"/>
        </w:rPr>
        <w:t>e</w:t>
      </w:r>
      <w:r w:rsidRPr="00320A86">
        <w:rPr>
          <w:color w:val="000000"/>
          <w:szCs w:val="28"/>
        </w:rPr>
        <w:t xml:space="preserve"> </w:t>
      </w:r>
      <w:r w:rsidRPr="00320A86">
        <w:rPr>
          <w:rFonts w:eastAsia="Calibri"/>
          <w:color w:val="000000"/>
          <w:szCs w:val="28"/>
        </w:rPr>
        <w:t>siècle</w:t>
      </w:r>
      <w:r w:rsidRPr="00320A86">
        <w:rPr>
          <w:color w:val="000000"/>
          <w:szCs w:val="28"/>
        </w:rPr>
        <w:t xml:space="preserve"> </w:t>
      </w:r>
      <w:r w:rsidRPr="00320A86">
        <w:rPr>
          <w:rFonts w:eastAsia="Calibri"/>
          <w:color w:val="000000"/>
          <w:szCs w:val="28"/>
        </w:rPr>
        <w:t>mais</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sont</w:t>
      </w:r>
      <w:r w:rsidRPr="00320A86">
        <w:rPr>
          <w:color w:val="000000"/>
          <w:szCs w:val="28"/>
        </w:rPr>
        <w:t xml:space="preserve"> </w:t>
      </w:r>
      <w:r w:rsidRPr="00320A86">
        <w:rPr>
          <w:rFonts w:eastAsia="Calibri"/>
          <w:color w:val="000000"/>
          <w:szCs w:val="28"/>
        </w:rPr>
        <w:t>singulièrement</w:t>
      </w:r>
      <w:r w:rsidRPr="00320A86">
        <w:rPr>
          <w:color w:val="000000"/>
          <w:szCs w:val="28"/>
        </w:rPr>
        <w:t xml:space="preserve"> </w:t>
      </w:r>
      <w:r w:rsidRPr="00320A86">
        <w:rPr>
          <w:rFonts w:eastAsia="Calibri"/>
          <w:color w:val="000000"/>
          <w:szCs w:val="28"/>
        </w:rPr>
        <w:t>isolés</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monde</w:t>
      </w:r>
      <w:r w:rsidRPr="00320A86">
        <w:rPr>
          <w:color w:val="000000"/>
          <w:szCs w:val="28"/>
        </w:rPr>
        <w:t xml:space="preserve"> </w:t>
      </w:r>
      <w:r w:rsidRPr="00320A86">
        <w:rPr>
          <w:rFonts w:eastAsia="Calibri"/>
          <w:color w:val="000000"/>
          <w:szCs w:val="28"/>
        </w:rPr>
        <w:t>d’aujourd’hui.</w:t>
      </w:r>
      <w:r w:rsidRPr="00320A86">
        <w:rPr>
          <w:color w:val="000000"/>
          <w:szCs w:val="28"/>
        </w:rPr>
        <w:t xml:space="preserve"> </w:t>
      </w:r>
      <w:r w:rsidRPr="00320A86">
        <w:rPr>
          <w:rFonts w:eastAsia="Calibri"/>
          <w:color w:val="000000"/>
          <w:szCs w:val="28"/>
        </w:rPr>
        <w:t>Cette</w:t>
      </w:r>
      <w:r w:rsidRPr="00320A86">
        <w:rPr>
          <w:color w:val="000000"/>
          <w:szCs w:val="28"/>
        </w:rPr>
        <w:t xml:space="preserve"> </w:t>
      </w:r>
      <w:r w:rsidRPr="00320A86">
        <w:rPr>
          <w:rFonts w:eastAsia="Calibri"/>
          <w:color w:val="000000"/>
          <w:szCs w:val="28"/>
        </w:rPr>
        <w:t>singularité,</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mesure</w:t>
      </w:r>
      <w:r w:rsidRPr="00320A86">
        <w:rPr>
          <w:color w:val="000000"/>
          <w:szCs w:val="28"/>
        </w:rPr>
        <w:t xml:space="preserve"> </w:t>
      </w:r>
      <w:r w:rsidRPr="00320A86">
        <w:rPr>
          <w:rFonts w:eastAsia="Calibri"/>
          <w:color w:val="000000"/>
          <w:szCs w:val="28"/>
        </w:rPr>
        <w:t>qu’elle</w:t>
      </w:r>
      <w:r w:rsidRPr="00320A86">
        <w:rPr>
          <w:color w:val="000000"/>
          <w:szCs w:val="28"/>
        </w:rPr>
        <w:t xml:space="preserve"> </w:t>
      </w:r>
      <w:r w:rsidRPr="00320A86">
        <w:rPr>
          <w:rFonts w:eastAsia="Calibri"/>
          <w:color w:val="000000"/>
          <w:szCs w:val="28"/>
        </w:rPr>
        <w:t>s’exacerbe,</w:t>
      </w:r>
      <w:r w:rsidRPr="00320A86">
        <w:rPr>
          <w:color w:val="000000"/>
          <w:szCs w:val="28"/>
        </w:rPr>
        <w:t xml:space="preserve"> </w:t>
      </w:r>
      <w:r w:rsidRPr="00320A86">
        <w:rPr>
          <w:rFonts w:eastAsia="Calibri"/>
          <w:color w:val="000000"/>
          <w:szCs w:val="28"/>
        </w:rPr>
        <w:t>ne</w:t>
      </w:r>
      <w:r w:rsidRPr="00320A86">
        <w:rPr>
          <w:color w:val="000000"/>
          <w:szCs w:val="28"/>
        </w:rPr>
        <w:t xml:space="preserve"> </w:t>
      </w:r>
      <w:r w:rsidRPr="00320A86">
        <w:rPr>
          <w:rFonts w:eastAsia="Calibri"/>
          <w:color w:val="000000"/>
          <w:szCs w:val="28"/>
        </w:rPr>
        <w:t>peut</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déboucher</w:t>
      </w:r>
      <w:r w:rsidRPr="00320A86">
        <w:rPr>
          <w:color w:val="000000"/>
          <w:szCs w:val="28"/>
        </w:rPr>
        <w:t xml:space="preserve"> </w:t>
      </w:r>
      <w:r w:rsidRPr="00320A86">
        <w:rPr>
          <w:rFonts w:eastAsia="Calibri"/>
          <w:color w:val="000000"/>
          <w:szCs w:val="28"/>
        </w:rPr>
        <w:t>sur</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visions</w:t>
      </w:r>
      <w:r w:rsidRPr="00320A86">
        <w:rPr>
          <w:color w:val="000000"/>
          <w:szCs w:val="28"/>
        </w:rPr>
        <w:t xml:space="preserve"> </w:t>
      </w:r>
      <w:r w:rsidRPr="00320A86">
        <w:rPr>
          <w:rFonts w:eastAsia="Calibri"/>
          <w:color w:val="000000"/>
          <w:szCs w:val="28"/>
        </w:rPr>
        <w:t>politiques</w:t>
      </w:r>
      <w:r w:rsidRPr="00320A86">
        <w:rPr>
          <w:color w:val="000000"/>
          <w:szCs w:val="28"/>
        </w:rPr>
        <w:t xml:space="preserve"> </w:t>
      </w:r>
      <w:r w:rsidRPr="00320A86">
        <w:rPr>
          <w:rFonts w:eastAsia="Calibri"/>
          <w:color w:val="000000"/>
          <w:szCs w:val="28"/>
        </w:rPr>
        <w:t>autorita</w:t>
      </w:r>
      <w:r w:rsidRPr="00320A86">
        <w:rPr>
          <w:rFonts w:eastAsia="Calibri"/>
          <w:color w:val="000000"/>
          <w:szCs w:val="28"/>
        </w:rPr>
        <w:t>i</w:t>
      </w:r>
      <w:r w:rsidRPr="00320A86">
        <w:rPr>
          <w:rFonts w:eastAsia="Calibri"/>
          <w:color w:val="000000"/>
          <w:szCs w:val="28"/>
        </w:rPr>
        <w:t>res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w:t>
      </w:r>
      <w:r w:rsidRPr="00320A86">
        <w:rPr>
          <w:color w:val="000000"/>
          <w:szCs w:val="28"/>
        </w:rPr>
        <w:t> </w:t>
      </w:r>
      <w:r w:rsidRPr="00320A86">
        <w:rPr>
          <w:rFonts w:eastAsia="Calibri"/>
          <w:color w:val="000000"/>
          <w:szCs w:val="28"/>
        </w:rPr>
        <w:t>holistes</w:t>
      </w:r>
      <w:r w:rsidRPr="00320A86">
        <w:rPr>
          <w:color w:val="000000"/>
          <w:szCs w:val="28"/>
        </w:rPr>
        <w:t> </w:t>
      </w:r>
      <w:r w:rsidRPr="00320A86">
        <w:rPr>
          <w:rFonts w:eastAsia="Calibri"/>
          <w:color w:val="000000"/>
          <w:szCs w:val="28"/>
        </w:rPr>
        <w:t>»,</w:t>
      </w:r>
      <w:r w:rsidRPr="00320A86">
        <w:rPr>
          <w:color w:val="000000"/>
          <w:szCs w:val="28"/>
        </w:rPr>
        <w:t xml:space="preserve"> </w:t>
      </w:r>
      <w:r w:rsidRPr="00320A86">
        <w:rPr>
          <w:rFonts w:eastAsia="Calibri"/>
          <w:color w:val="000000"/>
          <w:szCs w:val="28"/>
        </w:rPr>
        <w:t>d’où</w:t>
      </w:r>
      <w:r w:rsidRPr="00320A86">
        <w:rPr>
          <w:color w:val="000000"/>
          <w:szCs w:val="28"/>
        </w:rPr>
        <w:t xml:space="preserve"> </w:t>
      </w:r>
      <w:r w:rsidRPr="00320A86">
        <w:rPr>
          <w:rFonts w:eastAsia="Calibri"/>
          <w:color w:val="000000"/>
          <w:szCs w:val="28"/>
        </w:rPr>
        <w:t>l’exclusion</w:t>
      </w:r>
      <w:r w:rsidRPr="00320A86">
        <w:rPr>
          <w:color w:val="000000"/>
          <w:szCs w:val="28"/>
        </w:rPr>
        <w:t xml:space="preserve"> </w:t>
      </w:r>
      <w:r w:rsidRPr="00320A86">
        <w:rPr>
          <w:rFonts w:eastAsia="Calibri"/>
          <w:color w:val="000000"/>
          <w:szCs w:val="28"/>
        </w:rPr>
        <w:t>concomitante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l’œcuménisme,</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pl</w:t>
      </w:r>
      <w:r w:rsidRPr="00320A86">
        <w:rPr>
          <w:rFonts w:eastAsia="Calibri"/>
          <w:color w:val="000000"/>
          <w:szCs w:val="28"/>
        </w:rPr>
        <w:t>u</w:t>
      </w:r>
      <w:r w:rsidRPr="00320A86">
        <w:rPr>
          <w:rFonts w:eastAsia="Calibri"/>
          <w:color w:val="000000"/>
          <w:szCs w:val="28"/>
        </w:rPr>
        <w:t>ralisme,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démocratie.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cette</w:t>
      </w:r>
      <w:r w:rsidRPr="00320A86">
        <w:rPr>
          <w:color w:val="000000"/>
          <w:szCs w:val="28"/>
        </w:rPr>
        <w:t xml:space="preserve"> </w:t>
      </w:r>
      <w:r w:rsidRPr="00320A86">
        <w:rPr>
          <w:rFonts w:eastAsia="Calibri"/>
          <w:color w:val="000000"/>
          <w:szCs w:val="28"/>
        </w:rPr>
        <w:t>contradiction</w:t>
      </w:r>
      <w:r w:rsidRPr="00320A86">
        <w:rPr>
          <w:color w:val="000000"/>
          <w:szCs w:val="28"/>
        </w:rPr>
        <w:t xml:space="preserve"> </w:t>
      </w:r>
      <w:r w:rsidRPr="00320A86">
        <w:rPr>
          <w:rFonts w:eastAsia="Calibri"/>
          <w:color w:val="000000"/>
          <w:szCs w:val="28"/>
        </w:rPr>
        <w:t>ne</w:t>
      </w:r>
      <w:r w:rsidRPr="00320A86">
        <w:rPr>
          <w:color w:val="000000"/>
          <w:szCs w:val="28"/>
        </w:rPr>
        <w:t xml:space="preserve"> </w:t>
      </w:r>
      <w:r w:rsidRPr="00320A86">
        <w:rPr>
          <w:rFonts w:eastAsia="Calibri"/>
          <w:color w:val="000000"/>
          <w:szCs w:val="28"/>
        </w:rPr>
        <w:t>peut</w:t>
      </w:r>
      <w:r w:rsidRPr="00320A86">
        <w:rPr>
          <w:color w:val="000000"/>
          <w:szCs w:val="28"/>
        </w:rPr>
        <w:t xml:space="preserve"> </w:t>
      </w:r>
      <w:r w:rsidRPr="00320A86">
        <w:rPr>
          <w:rFonts w:eastAsia="Calibri"/>
          <w:color w:val="000000"/>
          <w:szCs w:val="28"/>
        </w:rPr>
        <w:t>être</w:t>
      </w:r>
      <w:r w:rsidRPr="00320A86">
        <w:rPr>
          <w:color w:val="000000"/>
          <w:szCs w:val="28"/>
        </w:rPr>
        <w:t xml:space="preserve"> </w:t>
      </w:r>
      <w:r w:rsidRPr="00320A86">
        <w:rPr>
          <w:rFonts w:eastAsia="Calibri"/>
          <w:color w:val="000000"/>
          <w:szCs w:val="28"/>
        </w:rPr>
        <w:t>su</w:t>
      </w:r>
      <w:r w:rsidRPr="00320A86">
        <w:rPr>
          <w:rFonts w:eastAsia="Calibri"/>
          <w:color w:val="000000"/>
          <w:szCs w:val="28"/>
        </w:rPr>
        <w:t>r</w:t>
      </w:r>
      <w:r w:rsidRPr="00320A86">
        <w:rPr>
          <w:rFonts w:eastAsia="Calibri"/>
          <w:color w:val="000000"/>
          <w:szCs w:val="28"/>
        </w:rPr>
        <w:t>montée,</w:t>
      </w:r>
      <w:r w:rsidRPr="00320A86">
        <w:rPr>
          <w:color w:val="000000"/>
          <w:szCs w:val="28"/>
        </w:rPr>
        <w:t xml:space="preserve"> </w:t>
      </w:r>
      <w:r w:rsidRPr="00320A86">
        <w:rPr>
          <w:rFonts w:eastAsia="Calibri"/>
          <w:color w:val="000000"/>
          <w:szCs w:val="28"/>
        </w:rPr>
        <w:t>comme</w:t>
      </w:r>
      <w:r w:rsidRPr="00320A86">
        <w:rPr>
          <w:color w:val="000000"/>
          <w:szCs w:val="28"/>
        </w:rPr>
        <w:t xml:space="preserve"> </w:t>
      </w:r>
      <w:r w:rsidRPr="00320A86">
        <w:rPr>
          <w:rFonts w:eastAsia="Calibri"/>
          <w:color w:val="000000"/>
          <w:szCs w:val="28"/>
        </w:rPr>
        <w:t>l’avait</w:t>
      </w:r>
      <w:r w:rsidRPr="00320A86">
        <w:rPr>
          <w:color w:val="000000"/>
          <w:szCs w:val="28"/>
        </w:rPr>
        <w:t xml:space="preserve"> </w:t>
      </w:r>
      <w:r w:rsidRPr="00320A86">
        <w:rPr>
          <w:rFonts w:eastAsia="Calibri"/>
          <w:color w:val="000000"/>
          <w:szCs w:val="28"/>
        </w:rPr>
        <w:t>repéré</w:t>
      </w:r>
      <w:r w:rsidRPr="00320A86">
        <w:rPr>
          <w:color w:val="000000"/>
          <w:szCs w:val="28"/>
        </w:rPr>
        <w:t xml:space="preserve"> </w:t>
      </w:r>
      <w:r w:rsidRPr="00320A86">
        <w:rPr>
          <w:rFonts w:eastAsia="Calibri"/>
          <w:color w:val="000000"/>
          <w:szCs w:val="28"/>
        </w:rPr>
        <w:t>Étienne</w:t>
      </w:r>
      <w:r w:rsidRPr="00320A86">
        <w:rPr>
          <w:color w:val="000000"/>
          <w:szCs w:val="28"/>
        </w:rPr>
        <w:t xml:space="preserve"> </w:t>
      </w:r>
      <w:r w:rsidRPr="00320A86">
        <w:rPr>
          <w:rFonts w:eastAsia="Calibri"/>
          <w:color w:val="000000"/>
          <w:szCs w:val="28"/>
        </w:rPr>
        <w:t>Borne</w:t>
      </w:r>
      <w:r w:rsidRPr="00320A86">
        <w:rPr>
          <w:color w:val="000000"/>
          <w:szCs w:val="28"/>
        </w:rPr>
        <w:t xml:space="preserve"> </w:t>
      </w:r>
      <w:r w:rsidRPr="00320A86">
        <w:rPr>
          <w:rFonts w:eastAsia="Calibri"/>
          <w:color w:val="000000"/>
          <w:szCs w:val="28"/>
        </w:rPr>
        <w:t>dès</w:t>
      </w:r>
      <w:r w:rsidRPr="00320A86">
        <w:rPr>
          <w:color w:val="000000"/>
          <w:szCs w:val="28"/>
        </w:rPr>
        <w:t xml:space="preserve"> </w:t>
      </w:r>
      <w:r w:rsidRPr="00320A86">
        <w:rPr>
          <w:rFonts w:eastAsia="Calibri"/>
          <w:color w:val="000000"/>
          <w:szCs w:val="28"/>
        </w:rPr>
        <w:t>1964</w:t>
      </w:r>
      <w:r w:rsidRPr="00320A86">
        <w:rPr>
          <w:color w:val="000000"/>
          <w:szCs w:val="28"/>
        </w:rPr>
        <w:t xml:space="preserve"> </w:t>
      </w:r>
      <w:r w:rsidRPr="00320A86">
        <w:rPr>
          <w:rFonts w:eastAsia="Calibri"/>
          <w:color w:val="000000"/>
          <w:szCs w:val="28"/>
        </w:rPr>
        <w:t>:</w:t>
      </w:r>
    </w:p>
    <w:p w14:paraId="42A1526B" w14:textId="77777777" w:rsidR="00B01930" w:rsidRDefault="00B01930" w:rsidP="00B01930">
      <w:pPr>
        <w:pStyle w:val="citation"/>
        <w:rPr>
          <w:szCs w:val="28"/>
        </w:rPr>
      </w:pPr>
    </w:p>
    <w:p w14:paraId="41E3B0D5" w14:textId="77777777" w:rsidR="00B01930" w:rsidRDefault="00B01930" w:rsidP="00B01930">
      <w:pPr>
        <w:pStyle w:val="citation"/>
        <w:rPr>
          <w:szCs w:val="28"/>
        </w:rPr>
      </w:pPr>
      <w:r w:rsidRPr="00320A86">
        <w:rPr>
          <w:szCs w:val="28"/>
        </w:rPr>
        <w:t>« </w:t>
      </w:r>
      <w:r w:rsidRPr="00320A86">
        <w:t>L’intégrisme se réclame de l’intégrité et de l’intégralité d’un ordre; et pou</w:t>
      </w:r>
      <w:r w:rsidRPr="00320A86">
        <w:t>r</w:t>
      </w:r>
      <w:r w:rsidRPr="00320A86">
        <w:t>tant on discernera aisément deux ordres dans cet ordre ; d’un côté l’intégrisme est un surnaturalisme qui déduit une politique de la dogmat</w:t>
      </w:r>
      <w:r w:rsidRPr="00320A86">
        <w:t>i</w:t>
      </w:r>
      <w:r w:rsidRPr="00320A86">
        <w:t>que, cherche le salut temporel des cités dans une reco</w:t>
      </w:r>
      <w:r w:rsidRPr="00320A86">
        <w:t>n</w:t>
      </w:r>
      <w:r w:rsidRPr="00320A86">
        <w:t>naissance publique dans ce qu’il appelle les droits de Dieu et de l’Église puisque, à l’entendre, en dehors de l’obéissance qui est due au prince chr</w:t>
      </w:r>
      <w:r w:rsidRPr="00320A86">
        <w:t>é</w:t>
      </w:r>
      <w:r w:rsidRPr="00320A86">
        <w:t>tien et aux principes chrétiens, il ne saurait y avoir que chaos et malheur ; d’un autre côté ce même intégrisme est un naturalisme qui affirme la valeur d’une politique positive, séparable de la religion comme la nature est distincte de la surn</w:t>
      </w:r>
      <w:r w:rsidRPr="00320A86">
        <w:t>a</w:t>
      </w:r>
      <w:r w:rsidRPr="00320A86">
        <w:t>ture, et selon laquelle le gouvernement des hommes se ramène à une tec</w:t>
      </w:r>
      <w:r w:rsidRPr="00320A86">
        <w:t>h</w:t>
      </w:r>
      <w:r w:rsidRPr="00320A86">
        <w:t>nique de répression de l’anarchie individualiste : d’où alors la complaisa</w:t>
      </w:r>
      <w:r w:rsidRPr="00320A86">
        <w:t>n</w:t>
      </w:r>
      <w:r w:rsidRPr="00320A86">
        <w:t>ce de l’intégrisme pour des formes de nationalisme et de fa</w:t>
      </w:r>
      <w:r w:rsidRPr="00320A86">
        <w:t>s</w:t>
      </w:r>
      <w:r w:rsidRPr="00320A86">
        <w:t>cisme qui ne relèvent guère de l’inspiration chrétienne. Que l’intégrisme  s’interroge peu sur cette contradiction n’empêche pas qu’il ne la s</w:t>
      </w:r>
      <w:r w:rsidRPr="00320A86">
        <w:t>u</w:t>
      </w:r>
      <w:r w:rsidRPr="00320A86">
        <w:t>bisse comme un destin et qu’elle ne se traduise par nombre d’incohérences dans son action, cette doctrine absolutiste de l’autorité fabriquant curieusement des révoltés contre l’autorité politique et rel</w:t>
      </w:r>
      <w:r w:rsidRPr="00320A86">
        <w:t>i</w:t>
      </w:r>
      <w:r w:rsidRPr="00320A86">
        <w:t>gieuse</w:t>
      </w:r>
      <w:r>
        <w:t> </w:t>
      </w:r>
      <w:r>
        <w:rPr>
          <w:rStyle w:val="Appelnotedebasdep"/>
        </w:rPr>
        <w:footnoteReference w:id="1206"/>
      </w:r>
      <w:r w:rsidRPr="00320A86">
        <w:t>.</w:t>
      </w:r>
      <w:r w:rsidRPr="00320A86">
        <w:rPr>
          <w:szCs w:val="28"/>
        </w:rPr>
        <w:t> »</w:t>
      </w:r>
    </w:p>
    <w:p w14:paraId="5703ACAD" w14:textId="77777777" w:rsidR="00B01930" w:rsidRPr="00320A86" w:rsidRDefault="00B01930" w:rsidP="00B01930">
      <w:pPr>
        <w:pStyle w:val="citation"/>
        <w:rPr>
          <w:szCs w:val="28"/>
        </w:rPr>
      </w:pPr>
    </w:p>
    <w:p w14:paraId="430445C2" w14:textId="77777777" w:rsidR="00B01930" w:rsidRPr="00320A86" w:rsidRDefault="00B01930" w:rsidP="00B01930">
      <w:pPr>
        <w:spacing w:before="120" w:after="120"/>
        <w:jc w:val="both"/>
        <w:rPr>
          <w:rFonts w:eastAsia="Calibri"/>
          <w:color w:val="000000"/>
          <w:szCs w:val="28"/>
        </w:rPr>
      </w:pPr>
      <w:r w:rsidRPr="00320A86">
        <w:rPr>
          <w:rFonts w:eastAsia="Calibri"/>
          <w:color w:val="000000"/>
          <w:szCs w:val="28"/>
        </w:rPr>
        <w:t>La</w:t>
      </w:r>
      <w:r w:rsidRPr="00320A86">
        <w:rPr>
          <w:color w:val="000000"/>
          <w:szCs w:val="28"/>
        </w:rPr>
        <w:t xml:space="preserve"> </w:t>
      </w:r>
      <w:r w:rsidRPr="00320A86">
        <w:rPr>
          <w:rFonts w:eastAsia="Calibri"/>
          <w:color w:val="000000"/>
          <w:szCs w:val="28"/>
        </w:rPr>
        <w:t>lecture</w:t>
      </w:r>
      <w:r w:rsidRPr="00320A86">
        <w:rPr>
          <w:color w:val="000000"/>
          <w:szCs w:val="28"/>
        </w:rPr>
        <w:t xml:space="preserve"> </w:t>
      </w:r>
      <w:r w:rsidRPr="00320A86">
        <w:rPr>
          <w:rFonts w:eastAsia="Calibri"/>
          <w:color w:val="000000"/>
          <w:szCs w:val="28"/>
        </w:rPr>
        <w:t>temporelle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royauté</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Christ,</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partir</w:t>
      </w:r>
      <w:r w:rsidRPr="00320A86">
        <w:rPr>
          <w:color w:val="000000"/>
          <w:szCs w:val="28"/>
        </w:rPr>
        <w:t xml:space="preserve"> </w:t>
      </w:r>
      <w:r w:rsidRPr="00320A86">
        <w:rPr>
          <w:rFonts w:eastAsia="Calibri"/>
          <w:color w:val="000000"/>
          <w:szCs w:val="28"/>
        </w:rPr>
        <w:t>d’intentions</w:t>
      </w:r>
      <w:r w:rsidRPr="00320A86">
        <w:rPr>
          <w:color w:val="000000"/>
          <w:szCs w:val="28"/>
        </w:rPr>
        <w:t xml:space="preserve"> </w:t>
      </w:r>
      <w:r w:rsidRPr="00320A86">
        <w:rPr>
          <w:rFonts w:eastAsia="Calibri"/>
          <w:color w:val="000000"/>
          <w:szCs w:val="28"/>
        </w:rPr>
        <w:t>louables,</w:t>
      </w:r>
      <w:r w:rsidRPr="00320A86">
        <w:rPr>
          <w:color w:val="000000"/>
          <w:szCs w:val="28"/>
        </w:rPr>
        <w:t xml:space="preserve"> </w:t>
      </w:r>
      <w:r w:rsidRPr="00320A86">
        <w:rPr>
          <w:rFonts w:eastAsia="Calibri"/>
          <w:color w:val="000000"/>
          <w:szCs w:val="28"/>
        </w:rPr>
        <w:t>débouche</w:t>
      </w:r>
      <w:r w:rsidRPr="00320A86">
        <w:rPr>
          <w:color w:val="000000"/>
          <w:szCs w:val="28"/>
        </w:rPr>
        <w:t xml:space="preserve"> </w:t>
      </w:r>
      <w:r w:rsidRPr="00320A86">
        <w:rPr>
          <w:rFonts w:eastAsia="Calibri"/>
          <w:color w:val="000000"/>
          <w:szCs w:val="28"/>
        </w:rPr>
        <w:t>donc</w:t>
      </w:r>
      <w:r w:rsidRPr="00320A86">
        <w:rPr>
          <w:color w:val="000000"/>
          <w:szCs w:val="28"/>
        </w:rPr>
        <w:t xml:space="preserve"> </w:t>
      </w:r>
      <w:r w:rsidRPr="00320A86">
        <w:rPr>
          <w:rFonts w:eastAsia="Calibri"/>
          <w:color w:val="000000"/>
          <w:szCs w:val="28"/>
        </w:rPr>
        <w:t>sur</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conséquences</w:t>
      </w:r>
      <w:r w:rsidRPr="00320A86">
        <w:rPr>
          <w:color w:val="000000"/>
          <w:szCs w:val="28"/>
        </w:rPr>
        <w:t xml:space="preserve"> </w:t>
      </w:r>
      <w:r w:rsidRPr="00320A86">
        <w:rPr>
          <w:rFonts w:eastAsia="Calibri"/>
          <w:color w:val="000000"/>
          <w:szCs w:val="28"/>
        </w:rPr>
        <w:t>politiques</w:t>
      </w:r>
      <w:r w:rsidRPr="00320A86">
        <w:rPr>
          <w:color w:val="000000"/>
          <w:szCs w:val="28"/>
        </w:rPr>
        <w:t xml:space="preserve"> </w:t>
      </w:r>
      <w:r w:rsidRPr="00320A86">
        <w:rPr>
          <w:rFonts w:eastAsia="Calibri"/>
          <w:color w:val="000000"/>
          <w:szCs w:val="28"/>
        </w:rPr>
        <w:t>difficilement</w:t>
      </w:r>
      <w:r w:rsidRPr="00320A86">
        <w:rPr>
          <w:color w:val="000000"/>
          <w:szCs w:val="28"/>
        </w:rPr>
        <w:t xml:space="preserve"> </w:t>
      </w:r>
      <w:r w:rsidRPr="00320A86">
        <w:rPr>
          <w:rFonts w:eastAsia="Calibri"/>
          <w:color w:val="000000"/>
          <w:szCs w:val="28"/>
        </w:rPr>
        <w:t>conciliables avec son message.</w:t>
      </w:r>
      <w:r w:rsidRPr="00320A86">
        <w:rPr>
          <w:color w:val="000000"/>
          <w:szCs w:val="28"/>
        </w:rPr>
        <w:t xml:space="preserve"> </w:t>
      </w:r>
      <w:r w:rsidRPr="00320A86">
        <w:rPr>
          <w:rFonts w:eastAsia="Calibri"/>
          <w:color w:val="000000"/>
          <w:szCs w:val="28"/>
        </w:rPr>
        <w:t>Son</w:t>
      </w:r>
      <w:r w:rsidRPr="00320A86">
        <w:rPr>
          <w:color w:val="000000"/>
          <w:szCs w:val="28"/>
        </w:rPr>
        <w:t xml:space="preserve"> </w:t>
      </w:r>
      <w:r w:rsidRPr="00320A86">
        <w:rPr>
          <w:rFonts w:eastAsia="Calibri"/>
          <w:color w:val="000000"/>
          <w:szCs w:val="28"/>
        </w:rPr>
        <w:t>application</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cohérente</w:t>
      </w:r>
      <w:r w:rsidRPr="00320A86">
        <w:rPr>
          <w:color w:val="000000"/>
          <w:szCs w:val="28"/>
        </w:rPr>
        <w:t xml:space="preserve"> </w:t>
      </w:r>
      <w:r w:rsidRPr="00320A86">
        <w:rPr>
          <w:rFonts w:eastAsia="Calibri"/>
          <w:color w:val="000000"/>
          <w:szCs w:val="28"/>
        </w:rPr>
        <w:t>n’est</w:t>
      </w:r>
      <w:r w:rsidRPr="00320A86">
        <w:rPr>
          <w:color w:val="000000"/>
          <w:szCs w:val="28"/>
        </w:rPr>
        <w:t xml:space="preserve"> </w:t>
      </w:r>
      <w:r w:rsidRPr="00320A86">
        <w:rPr>
          <w:rFonts w:eastAsia="Calibri"/>
          <w:color w:val="000000"/>
          <w:szCs w:val="28"/>
        </w:rPr>
        <w:t>autre</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théocratie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n’a</w:t>
      </w:r>
      <w:r w:rsidRPr="00320A86">
        <w:rPr>
          <w:color w:val="000000"/>
          <w:szCs w:val="28"/>
        </w:rPr>
        <w:t xml:space="preserve"> </w:t>
      </w:r>
      <w:r w:rsidRPr="00320A86">
        <w:rPr>
          <w:rFonts w:eastAsia="Calibri"/>
          <w:color w:val="000000"/>
          <w:szCs w:val="28"/>
        </w:rPr>
        <w:t>jamais</w:t>
      </w:r>
      <w:r w:rsidRPr="00320A86">
        <w:rPr>
          <w:color w:val="000000"/>
          <w:szCs w:val="28"/>
        </w:rPr>
        <w:t xml:space="preserve"> </w:t>
      </w:r>
      <w:r w:rsidRPr="00320A86">
        <w:rPr>
          <w:rFonts w:eastAsia="Calibri"/>
          <w:color w:val="000000"/>
          <w:szCs w:val="28"/>
        </w:rPr>
        <w:t>pu</w:t>
      </w:r>
      <w:r w:rsidRPr="00320A86">
        <w:rPr>
          <w:color w:val="000000"/>
          <w:szCs w:val="28"/>
        </w:rPr>
        <w:t xml:space="preserve"> </w:t>
      </w:r>
      <w:r w:rsidRPr="00320A86">
        <w:rPr>
          <w:rFonts w:eastAsia="Calibri"/>
          <w:color w:val="000000"/>
          <w:szCs w:val="28"/>
        </w:rPr>
        <w:t>aboutir</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Occident,</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paroles</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Christ</w:t>
      </w:r>
      <w:r w:rsidRPr="00320A86">
        <w:rPr>
          <w:color w:val="000000"/>
          <w:szCs w:val="28"/>
        </w:rPr>
        <w:t xml:space="preserve"> </w:t>
      </w:r>
      <w:r w:rsidRPr="00320A86">
        <w:rPr>
          <w:rFonts w:eastAsia="Calibri"/>
          <w:color w:val="000000"/>
          <w:szCs w:val="28"/>
        </w:rPr>
        <w:t>réfutent</w:t>
      </w:r>
      <w:r w:rsidRPr="00320A86">
        <w:rPr>
          <w:color w:val="000000"/>
          <w:szCs w:val="28"/>
        </w:rPr>
        <w:t xml:space="preserve"> </w:t>
      </w:r>
      <w:r w:rsidRPr="00320A86">
        <w:rPr>
          <w:rFonts w:eastAsia="Calibri"/>
          <w:color w:val="000000"/>
          <w:szCs w:val="28"/>
        </w:rPr>
        <w:t>explic</w:t>
      </w:r>
      <w:r w:rsidRPr="00320A86">
        <w:rPr>
          <w:rFonts w:eastAsia="Calibri"/>
          <w:color w:val="000000"/>
          <w:szCs w:val="28"/>
        </w:rPr>
        <w:t>i</w:t>
      </w:r>
      <w:r w:rsidRPr="00320A86">
        <w:rPr>
          <w:rFonts w:eastAsia="Calibri"/>
          <w:color w:val="000000"/>
          <w:szCs w:val="28"/>
        </w:rPr>
        <w:t xml:space="preserve">tement : </w:t>
      </w:r>
    </w:p>
    <w:p w14:paraId="15F5064F" w14:textId="77777777" w:rsidR="00B01930" w:rsidRDefault="00B01930" w:rsidP="00B01930">
      <w:pPr>
        <w:pStyle w:val="citation"/>
      </w:pPr>
    </w:p>
    <w:p w14:paraId="73FFCE93" w14:textId="77777777" w:rsidR="00B01930" w:rsidRDefault="00B01930" w:rsidP="00B01930">
      <w:pPr>
        <w:pStyle w:val="citation"/>
        <w:rPr>
          <w:szCs w:val="20"/>
        </w:rPr>
      </w:pPr>
      <w:r w:rsidRPr="007250CB">
        <w:t>« Mon royaume n’est pas de ce monde, si mon royaume était de ce monde,  mes serviteurs auraient empêché qu’on me livre aux Juifs (Jean 14-36). </w:t>
      </w:r>
      <w:r w:rsidRPr="007250CB">
        <w:rPr>
          <w:szCs w:val="20"/>
        </w:rPr>
        <w:t>»</w:t>
      </w:r>
    </w:p>
    <w:p w14:paraId="37A4E15A" w14:textId="77777777" w:rsidR="00B01930" w:rsidRPr="007250CB" w:rsidRDefault="00B01930" w:rsidP="00B01930">
      <w:pPr>
        <w:pStyle w:val="citation"/>
      </w:pPr>
    </w:p>
    <w:p w14:paraId="4B660E97" w14:textId="77777777" w:rsidR="00B01930" w:rsidRPr="00320A86" w:rsidRDefault="00B01930" w:rsidP="00B01930">
      <w:pPr>
        <w:spacing w:before="120" w:after="120"/>
        <w:jc w:val="both"/>
      </w:pPr>
      <w:r w:rsidRPr="00320A86">
        <w:t>Cette exclusion de toute théocratie temporelle est soulignée à maintes repr</w:t>
      </w:r>
      <w:r w:rsidRPr="00320A86">
        <w:t>i</w:t>
      </w:r>
      <w:r w:rsidRPr="00320A86">
        <w:t>ses dans d’autres passages des Évangiles, elle s’adresse en tout premier lieu à l’Église, corps et épouse du Christ, qui devra désormais assumer ce paradoxe : étendre le règne du Christ à toutes les nations sans jamais se confondre avec C</w:t>
      </w:r>
      <w:r w:rsidRPr="00320A86">
        <w:t>é</w:t>
      </w:r>
      <w:r w:rsidRPr="00320A86">
        <w:t>sar. Mission périlleuse entre toutes, qui ne peut réussir qu’en restant distinct des pouvoirs sans s’en affranchir, comme le recommande saint Paul, et qui doit étendre son empire par les seuls moyens de la faiblesse… comme l’ont tellement compris saint François d’Assise et saint Dominique, alors qu'au même moment le pape  Innocent</w:t>
      </w:r>
      <w:r>
        <w:t> </w:t>
      </w:r>
      <w:r w:rsidRPr="00320A86">
        <w:t>III se targuait d'être « </w:t>
      </w:r>
      <w:r w:rsidRPr="00E11556">
        <w:rPr>
          <w:i/>
        </w:rPr>
        <w:t>le vicaire de Celui dont le royaume n'a pas de limites </w:t>
      </w:r>
      <w:r w:rsidRPr="00320A86">
        <w:t>», « </w:t>
      </w:r>
      <w:r w:rsidRPr="00E11556">
        <w:rPr>
          <w:i/>
        </w:rPr>
        <w:t>le vicaire de Celui à qui appartiennent la Terre, tout ce qu'e</w:t>
      </w:r>
      <w:r w:rsidRPr="00E11556">
        <w:rPr>
          <w:i/>
        </w:rPr>
        <w:t>l</w:t>
      </w:r>
      <w:r w:rsidRPr="00E11556">
        <w:rPr>
          <w:i/>
        </w:rPr>
        <w:t>le contient et tous ceux qui l'habitent </w:t>
      </w:r>
      <w:r w:rsidRPr="00320A86">
        <w:t>»</w:t>
      </w:r>
      <w:r>
        <w:t> </w:t>
      </w:r>
      <w:r>
        <w:rPr>
          <w:rStyle w:val="Appelnotedebasdep"/>
        </w:rPr>
        <w:footnoteReference w:id="1207"/>
      </w:r>
      <w:r w:rsidRPr="00320A86">
        <w:t>. Pourtant, « </w:t>
      </w:r>
      <w:r w:rsidRPr="00E11556">
        <w:rPr>
          <w:i/>
        </w:rPr>
        <w:t>l'idéal de pauvreté, associé à l'h</w:t>
      </w:r>
      <w:r w:rsidRPr="00E11556">
        <w:rPr>
          <w:i/>
        </w:rPr>
        <w:t>u</w:t>
      </w:r>
      <w:r w:rsidRPr="00E11556">
        <w:rPr>
          <w:i/>
        </w:rPr>
        <w:t>milité et à la pénitence, est la caractéristique première des ordres  mendiants </w:t>
      </w:r>
      <w:r>
        <w:rPr>
          <w:rStyle w:val="Appelnotedebasdep"/>
        </w:rPr>
        <w:footnoteReference w:id="1208"/>
      </w:r>
      <w:r w:rsidRPr="00320A86">
        <w:t> ». Nous sommes donc bien éloignés du cléricalisme trio</w:t>
      </w:r>
      <w:r w:rsidRPr="00320A86">
        <w:t>m</w:t>
      </w:r>
      <w:r w:rsidRPr="00320A86">
        <w:t>phant. Mais l’Église, qui a pour mission de régner sur les âmes, loin de s’adresser  à des fa</w:t>
      </w:r>
      <w:r w:rsidRPr="00320A86">
        <w:t>n</w:t>
      </w:r>
      <w:r w:rsidRPr="00320A86">
        <w:t>tômes, doit rejoindre des êtres de chair imme</w:t>
      </w:r>
      <w:r w:rsidRPr="00320A86">
        <w:t>r</w:t>
      </w:r>
      <w:r w:rsidRPr="00320A86">
        <w:t>gés dans le monde et soumis à ses « </w:t>
      </w:r>
      <w:r w:rsidRPr="00E11556">
        <w:rPr>
          <w:i/>
        </w:rPr>
        <w:t>principautés </w:t>
      </w:r>
      <w:r w:rsidRPr="00320A86">
        <w:t>». Puissances du mal, puissances des hommes, tout dans le monde terrestre est so</w:t>
      </w:r>
      <w:r w:rsidRPr="00320A86">
        <w:t>u</w:t>
      </w:r>
      <w:r w:rsidRPr="00320A86">
        <w:t>mis à rapport de force – c’est le « </w:t>
      </w:r>
      <w:r w:rsidRPr="00E11556">
        <w:rPr>
          <w:i/>
        </w:rPr>
        <w:t>tout est politique </w:t>
      </w:r>
      <w:r w:rsidRPr="00320A86">
        <w:t>» – et l’Église doit aussi convertir ce monde-là, sans pouvoir échapper à ses règles. Et c’est ici que réside l’intuition d’un saint Ignace de Loyola qui vise à convertir le monde en utilisant les armes qui sont en son sein, en les retournant vers Dieu, ad majorem dei gloriam, ce qui est sensiblement éloigné de l’approche des Ordres mendiants… L'oscillation entre le temporel et le spirituel est ainsi accrochée au destin du christianisme et place l'Église catholique dans une posture « méta-politique » aux ambitions plus vastes que la politique ordinaire, puisqu’elle vise le salut, et le salut éternel. C’est ce que confirme la redécouverte du Moyen-Age initiée par Jacques Le Goff et Georges Duby, prolongée par une nouvelle gén</w:t>
      </w:r>
      <w:r w:rsidRPr="00320A86">
        <w:t>é</w:t>
      </w:r>
      <w:r w:rsidRPr="00320A86">
        <w:t>ration d’historiens</w:t>
      </w:r>
      <w:r>
        <w:t> </w:t>
      </w:r>
      <w:r>
        <w:rPr>
          <w:rStyle w:val="Appelnotedebasdep"/>
        </w:rPr>
        <w:footnoteReference w:id="1209"/>
      </w:r>
      <w:r w:rsidRPr="00320A86">
        <w:t>, qui ont  remis en valeur la place centrale de l’Église au m</w:t>
      </w:r>
      <w:r w:rsidRPr="00320A86">
        <w:t>i</w:t>
      </w:r>
      <w:r w:rsidRPr="00320A86">
        <w:t>lieu des sociétés féodales et de leurs institutions, entre l’an mil et la Renaissa</w:t>
      </w:r>
      <w:r w:rsidRPr="00320A86">
        <w:t>n</w:t>
      </w:r>
      <w:r w:rsidRPr="00320A86">
        <w:t>ce. Loin d’être un concept flou, la chrétienté apparaît désormais comme la matrice des chang</w:t>
      </w:r>
      <w:r w:rsidRPr="00320A86">
        <w:t>e</w:t>
      </w:r>
      <w:r w:rsidRPr="00320A86">
        <w:t>ments s</w:t>
      </w:r>
      <w:r w:rsidRPr="00320A86">
        <w:t>o</w:t>
      </w:r>
      <w:r w:rsidRPr="00320A86">
        <w:t>ciaux</w:t>
      </w:r>
      <w:r>
        <w:t> </w:t>
      </w:r>
      <w:r>
        <w:rPr>
          <w:rStyle w:val="Appelnotedebasdep"/>
        </w:rPr>
        <w:footnoteReference w:id="1210"/>
      </w:r>
      <w:r w:rsidRPr="00320A86">
        <w:t>, mais aussi politiques, sur lesquels s’est édifié le monde moderne. On sera presque surpris de découvrir dans les r</w:t>
      </w:r>
      <w:r w:rsidRPr="00320A86">
        <w:t>e</w:t>
      </w:r>
      <w:r w:rsidRPr="00320A86">
        <w:t>cherches d’Alain Boureau</w:t>
      </w:r>
      <w:r>
        <w:t> </w:t>
      </w:r>
      <w:r>
        <w:rPr>
          <w:rStyle w:val="Appelnotedebasdep"/>
        </w:rPr>
        <w:footnoteReference w:id="1211"/>
      </w:r>
      <w:r w:rsidRPr="00320A86">
        <w:t xml:space="preserve"> le lien entre les querelles scolastiques à propos du dogme de l’Immaculée Conception et l’apparition du concept de souveraineté, au  destin prometteur. C’est, en effet, le ca</w:t>
      </w:r>
      <w:r w:rsidRPr="00320A86">
        <w:t>r</w:t>
      </w:r>
      <w:r w:rsidRPr="00320A86">
        <w:t>me John Baconthorpe (vers 1290-1348) qui met fin aux querelles do</w:t>
      </w:r>
      <w:r w:rsidRPr="00320A86">
        <w:t>c</w:t>
      </w:r>
      <w:r w:rsidRPr="00320A86">
        <w:t>trinales o</w:t>
      </w:r>
      <w:r w:rsidRPr="00320A86">
        <w:t>p</w:t>
      </w:r>
      <w:r w:rsidRPr="00320A86">
        <w:t>posant sur ce sujet franciscains (favorables), et dominicains (hostiles) en faisant appel au « </w:t>
      </w:r>
      <w:r w:rsidRPr="00E11556">
        <w:rPr>
          <w:i/>
        </w:rPr>
        <w:t>privilège providentiel </w:t>
      </w:r>
      <w:r w:rsidRPr="00320A86">
        <w:t>» dont la Vierge Marie a bénéficié en étant exempte du péché originel. Or seul un so</w:t>
      </w:r>
      <w:r w:rsidRPr="00320A86">
        <w:t>u</w:t>
      </w:r>
      <w:r w:rsidRPr="00320A86">
        <w:t>verain – divin en l’ocurrence – peut faire qu’un droit privé, ou partic</w:t>
      </w:r>
      <w:r w:rsidRPr="00320A86">
        <w:t>u</w:t>
      </w:r>
      <w:r w:rsidRPr="00320A86">
        <w:t>lier, puisse être supérieur à la loi commune, même si elle est aussi unive</w:t>
      </w:r>
      <w:r w:rsidRPr="00320A86">
        <w:t>r</w:t>
      </w:r>
      <w:r w:rsidRPr="00320A86">
        <w:t>selle que la faute originelle. On pressent déjà l’architecture de l'État moderne : si la seule justification du privilège est divine, la so</w:t>
      </w:r>
      <w:r w:rsidRPr="00320A86">
        <w:t>u</w:t>
      </w:r>
      <w:r w:rsidRPr="00320A86">
        <w:t>vera</w:t>
      </w:r>
      <w:r w:rsidRPr="00320A86">
        <w:t>i</w:t>
      </w:r>
      <w:r w:rsidRPr="00320A86">
        <w:t>neté est absolue ; et si Dieu disparaît du paysage, le totalitarisme est à l’horizon. On peut également trouver dans les écrits du domin</w:t>
      </w:r>
      <w:r w:rsidRPr="00320A86">
        <w:t>i</w:t>
      </w:r>
      <w:r w:rsidRPr="00320A86">
        <w:t>cain Jean Quidort</w:t>
      </w:r>
      <w:r>
        <w:t> </w:t>
      </w:r>
      <w:r>
        <w:rPr>
          <w:rStyle w:val="Appelnotedebasdep"/>
        </w:rPr>
        <w:footnoteReference w:id="1212"/>
      </w:r>
      <w:r w:rsidRPr="00320A86">
        <w:t xml:space="preserve"> une définition de la royauté (regnum) qui devrait s’appliquer à nos régimes présidentiels contemporains : « </w:t>
      </w:r>
      <w:r w:rsidRPr="00E11556">
        <w:rPr>
          <w:i/>
        </w:rPr>
        <w:t>Le mode de gestion d’une pluralité parachevée, qui est dirigée par un seul homme en vue du bien commun </w:t>
      </w:r>
      <w:r w:rsidRPr="00320A86">
        <w:t>»</w:t>
      </w:r>
      <w:r>
        <w:t> </w:t>
      </w:r>
      <w:r>
        <w:rPr>
          <w:rStyle w:val="Appelnotedebasdep"/>
        </w:rPr>
        <w:footnoteReference w:id="1213"/>
      </w:r>
      <w:r w:rsidRPr="00320A86">
        <w:t>. Il est ainsi aisé de déduire de la réflexion des clercs les ferments de la « politique moderne », alors que, rema</w:t>
      </w:r>
      <w:r w:rsidRPr="00320A86">
        <w:t>r</w:t>
      </w:r>
      <w:r w:rsidRPr="00320A86">
        <w:t>que Alain Boureau :</w:t>
      </w:r>
    </w:p>
    <w:p w14:paraId="254A88FB" w14:textId="77777777" w:rsidR="00B01930" w:rsidRDefault="00B01930" w:rsidP="00B01930">
      <w:pPr>
        <w:pStyle w:val="citation"/>
      </w:pPr>
    </w:p>
    <w:p w14:paraId="3775BBA8" w14:textId="77777777" w:rsidR="00B01930" w:rsidRDefault="00B01930" w:rsidP="00B01930">
      <w:pPr>
        <w:pStyle w:val="citation"/>
      </w:pPr>
      <w:r w:rsidRPr="00320A86">
        <w:t>« La construction intellectuelle de l’idée d’État-nation passe par une critique de la théocratie, de l’absolue domination de l’Église comme r</w:t>
      </w:r>
      <w:r w:rsidRPr="00320A86">
        <w:t>e</w:t>
      </w:r>
      <w:r w:rsidRPr="00320A86">
        <w:t>présentante du pouvoir d</w:t>
      </w:r>
      <w:r w:rsidRPr="00320A86">
        <w:t>i</w:t>
      </w:r>
      <w:r w:rsidRPr="00320A86">
        <w:t>vin</w:t>
      </w:r>
      <w:r>
        <w:t> </w:t>
      </w:r>
      <w:r w:rsidRPr="003C29C2">
        <w:rPr>
          <w:rStyle w:val="Appelnotedebasdep"/>
          <w:i/>
        </w:rPr>
        <w:footnoteReference w:id="1214"/>
      </w:r>
      <w:r w:rsidRPr="00320A86">
        <w:t>. »</w:t>
      </w:r>
    </w:p>
    <w:p w14:paraId="3AACF7E5" w14:textId="77777777" w:rsidR="00B01930" w:rsidRPr="00320A86" w:rsidRDefault="00B01930" w:rsidP="00B01930">
      <w:pPr>
        <w:pStyle w:val="citation"/>
      </w:pPr>
    </w:p>
    <w:p w14:paraId="18AEDA32" w14:textId="77777777" w:rsidR="00B01930" w:rsidRPr="00320A86" w:rsidRDefault="00B01930" w:rsidP="00B01930">
      <w:pPr>
        <w:spacing w:before="120" w:after="120"/>
        <w:jc w:val="both"/>
        <w:rPr>
          <w:color w:val="000000"/>
          <w:szCs w:val="28"/>
        </w:rPr>
      </w:pPr>
      <w:r w:rsidRPr="00320A86">
        <w:rPr>
          <w:rFonts w:eastAsia="Calibri"/>
          <w:color w:val="000000"/>
          <w:szCs w:val="28"/>
        </w:rPr>
        <w:t>Ainsi, la</w:t>
      </w:r>
      <w:r w:rsidRPr="00320A86">
        <w:rPr>
          <w:color w:val="000000"/>
          <w:szCs w:val="28"/>
        </w:rPr>
        <w:t xml:space="preserve"> </w:t>
      </w:r>
      <w:r w:rsidRPr="00320A86">
        <w:rPr>
          <w:rFonts w:eastAsia="Calibri"/>
          <w:color w:val="000000"/>
          <w:szCs w:val="28"/>
        </w:rPr>
        <w:t>nostalgie</w:t>
      </w:r>
      <w:r w:rsidRPr="00320A86">
        <w:rPr>
          <w:color w:val="000000"/>
          <w:szCs w:val="28"/>
        </w:rPr>
        <w:t xml:space="preserve"> </w:t>
      </w:r>
      <w:r w:rsidRPr="00320A86">
        <w:rPr>
          <w:rFonts w:eastAsia="Calibri"/>
          <w:color w:val="000000"/>
          <w:szCs w:val="28"/>
        </w:rPr>
        <w:t>d’une</w:t>
      </w:r>
      <w:r w:rsidRPr="00320A86">
        <w:rPr>
          <w:color w:val="000000"/>
          <w:szCs w:val="28"/>
        </w:rPr>
        <w:t xml:space="preserve"> </w:t>
      </w:r>
      <w:r w:rsidRPr="00320A86">
        <w:rPr>
          <w:rFonts w:eastAsia="Calibri"/>
          <w:color w:val="000000"/>
          <w:szCs w:val="28"/>
        </w:rPr>
        <w:t>période</w:t>
      </w:r>
      <w:r w:rsidRPr="00320A86">
        <w:rPr>
          <w:color w:val="000000"/>
          <w:szCs w:val="28"/>
        </w:rPr>
        <w:t xml:space="preserve"> </w:t>
      </w:r>
      <w:r w:rsidRPr="00320A86">
        <w:rPr>
          <w:rFonts w:eastAsia="Calibri"/>
          <w:color w:val="000000"/>
          <w:szCs w:val="28"/>
        </w:rPr>
        <w:t>historique</w:t>
      </w:r>
      <w:r w:rsidRPr="00320A86">
        <w:rPr>
          <w:color w:val="000000"/>
          <w:szCs w:val="28"/>
        </w:rPr>
        <w:t xml:space="preserve"> </w:t>
      </w:r>
      <w:r w:rsidRPr="00320A86">
        <w:rPr>
          <w:rFonts w:eastAsia="Calibri"/>
          <w:color w:val="000000"/>
          <w:szCs w:val="28"/>
        </w:rPr>
        <w:t>où</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chrétienté</w:t>
      </w:r>
      <w:r w:rsidRPr="00320A86">
        <w:rPr>
          <w:color w:val="000000"/>
          <w:szCs w:val="28"/>
        </w:rPr>
        <w:t xml:space="preserve"> </w:t>
      </w:r>
      <w:r w:rsidRPr="00320A86">
        <w:rPr>
          <w:rFonts w:eastAsia="Calibri"/>
          <w:color w:val="000000"/>
          <w:szCs w:val="28"/>
        </w:rPr>
        <w:t>imb</w:t>
      </w:r>
      <w:r w:rsidRPr="00320A86">
        <w:rPr>
          <w:rFonts w:eastAsia="Calibri"/>
          <w:color w:val="000000"/>
          <w:szCs w:val="28"/>
        </w:rPr>
        <w:t>i</w:t>
      </w:r>
      <w:r w:rsidRPr="00320A86">
        <w:rPr>
          <w:rFonts w:eastAsia="Calibri"/>
          <w:color w:val="000000"/>
          <w:szCs w:val="28"/>
        </w:rPr>
        <w:t>bait</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mo</w:t>
      </w:r>
      <w:r w:rsidRPr="00320A86">
        <w:rPr>
          <w:rFonts w:eastAsia="Calibri"/>
          <w:color w:val="000000"/>
          <w:szCs w:val="28"/>
        </w:rPr>
        <w:t>n</w:t>
      </w:r>
      <w:r w:rsidRPr="00320A86">
        <w:rPr>
          <w:rFonts w:eastAsia="Calibri"/>
          <w:color w:val="000000"/>
          <w:szCs w:val="28"/>
        </w:rPr>
        <w:t>de,</w:t>
      </w:r>
      <w:r w:rsidRPr="00320A86">
        <w:rPr>
          <w:color w:val="000000"/>
          <w:szCs w:val="28"/>
        </w:rPr>
        <w:t xml:space="preserve"> </w:t>
      </w:r>
      <w:r w:rsidRPr="00320A86">
        <w:rPr>
          <w:rFonts w:eastAsia="Calibri"/>
          <w:color w:val="000000"/>
          <w:szCs w:val="28"/>
        </w:rPr>
        <w:t>si</w:t>
      </w:r>
      <w:r w:rsidRPr="00320A86">
        <w:rPr>
          <w:color w:val="000000"/>
          <w:szCs w:val="28"/>
        </w:rPr>
        <w:t xml:space="preserve"> </w:t>
      </w:r>
      <w:r w:rsidRPr="00320A86">
        <w:rPr>
          <w:rFonts w:eastAsia="Calibri"/>
          <w:color w:val="000000"/>
          <w:szCs w:val="28"/>
        </w:rPr>
        <w:t>elle</w:t>
      </w:r>
      <w:r w:rsidRPr="00320A86">
        <w:rPr>
          <w:color w:val="000000"/>
          <w:szCs w:val="28"/>
        </w:rPr>
        <w:t xml:space="preserve"> </w:t>
      </w:r>
      <w:r w:rsidRPr="00320A86">
        <w:rPr>
          <w:rFonts w:eastAsia="Calibri"/>
          <w:color w:val="000000"/>
          <w:szCs w:val="28"/>
        </w:rPr>
        <w:t>ne</w:t>
      </w:r>
      <w:r w:rsidRPr="00320A86">
        <w:rPr>
          <w:color w:val="000000"/>
          <w:szCs w:val="28"/>
        </w:rPr>
        <w:t xml:space="preserve"> </w:t>
      </w:r>
      <w:r w:rsidRPr="00320A86">
        <w:rPr>
          <w:rFonts w:eastAsia="Calibri"/>
          <w:color w:val="000000"/>
          <w:szCs w:val="28"/>
        </w:rPr>
        <w:t>dérive</w:t>
      </w:r>
      <w:r w:rsidRPr="00320A86">
        <w:rPr>
          <w:color w:val="000000"/>
          <w:szCs w:val="28"/>
        </w:rPr>
        <w:t xml:space="preserve"> </w:t>
      </w:r>
      <w:r w:rsidRPr="00320A86">
        <w:rPr>
          <w:rFonts w:eastAsia="Calibri"/>
          <w:color w:val="000000"/>
          <w:szCs w:val="28"/>
        </w:rPr>
        <w:t>pas</w:t>
      </w:r>
      <w:r w:rsidRPr="00320A86">
        <w:rPr>
          <w:color w:val="000000"/>
          <w:szCs w:val="28"/>
        </w:rPr>
        <w:t xml:space="preserve"> </w:t>
      </w:r>
      <w:r w:rsidRPr="00320A86">
        <w:rPr>
          <w:rFonts w:eastAsia="Calibri"/>
          <w:color w:val="000000"/>
          <w:szCs w:val="28"/>
        </w:rPr>
        <w:t>d’une</w:t>
      </w:r>
      <w:r w:rsidRPr="00320A86">
        <w:rPr>
          <w:color w:val="000000"/>
          <w:szCs w:val="28"/>
        </w:rPr>
        <w:t xml:space="preserve"> </w:t>
      </w:r>
      <w:r w:rsidRPr="00320A86">
        <w:rPr>
          <w:rFonts w:eastAsia="Calibri"/>
          <w:color w:val="000000"/>
          <w:szCs w:val="28"/>
        </w:rPr>
        <w:t>charité</w:t>
      </w:r>
      <w:r w:rsidRPr="00320A86">
        <w:rPr>
          <w:color w:val="000000"/>
          <w:szCs w:val="28"/>
        </w:rPr>
        <w:t xml:space="preserve"> </w:t>
      </w:r>
      <w:r w:rsidRPr="00320A86">
        <w:rPr>
          <w:rFonts w:eastAsia="Calibri"/>
          <w:color w:val="000000"/>
          <w:szCs w:val="28"/>
        </w:rPr>
        <w:t>authentiquement</w:t>
      </w:r>
      <w:r w:rsidRPr="00320A86">
        <w:rPr>
          <w:color w:val="000000"/>
          <w:szCs w:val="28"/>
        </w:rPr>
        <w:t xml:space="preserve"> </w:t>
      </w:r>
      <w:r w:rsidRPr="00320A86">
        <w:rPr>
          <w:rFonts w:eastAsia="Calibri"/>
          <w:color w:val="000000"/>
          <w:szCs w:val="28"/>
        </w:rPr>
        <w:t>chrétienne,</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transforme</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idéologie,</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idéologie</w:t>
      </w:r>
      <w:r w:rsidRPr="00320A86">
        <w:rPr>
          <w:color w:val="000000"/>
          <w:szCs w:val="28"/>
        </w:rPr>
        <w:t xml:space="preserve"> </w:t>
      </w:r>
      <w:r w:rsidRPr="00320A86">
        <w:rPr>
          <w:rFonts w:eastAsia="Calibri"/>
          <w:color w:val="000000"/>
          <w:szCs w:val="28"/>
        </w:rPr>
        <w:t>réactionnaire.</w:t>
      </w:r>
      <w:r w:rsidRPr="00320A86">
        <w:rPr>
          <w:color w:val="000000"/>
          <w:szCs w:val="28"/>
        </w:rPr>
        <w:t xml:space="preserve"> </w:t>
      </w:r>
      <w:r w:rsidRPr="00320A86">
        <w:rPr>
          <w:rFonts w:eastAsia="Calibri"/>
          <w:color w:val="000000"/>
          <w:szCs w:val="28"/>
        </w:rPr>
        <w:t>Or</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réaction,</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l’ordre</w:t>
      </w:r>
      <w:r w:rsidRPr="00320A86">
        <w:rPr>
          <w:color w:val="000000"/>
          <w:szCs w:val="28"/>
        </w:rPr>
        <w:t xml:space="preserve"> </w:t>
      </w:r>
      <w:r w:rsidRPr="00320A86">
        <w:rPr>
          <w:rFonts w:eastAsia="Calibri"/>
          <w:color w:val="000000"/>
          <w:szCs w:val="28"/>
        </w:rPr>
        <w:t>politique</w:t>
      </w:r>
      <w:r w:rsidRPr="00320A86">
        <w:rPr>
          <w:color w:val="000000"/>
          <w:szCs w:val="28"/>
        </w:rPr>
        <w:t xml:space="preserve"> </w:t>
      </w:r>
      <w:r w:rsidRPr="00320A86">
        <w:rPr>
          <w:rFonts w:eastAsia="Calibri"/>
          <w:color w:val="000000"/>
          <w:szCs w:val="28"/>
        </w:rPr>
        <w:t>démocratique,</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frappée</w:t>
      </w:r>
      <w:r w:rsidRPr="00320A86">
        <w:rPr>
          <w:color w:val="000000"/>
          <w:szCs w:val="28"/>
        </w:rPr>
        <w:t xml:space="preserve"> </w:t>
      </w:r>
      <w:r w:rsidRPr="00320A86">
        <w:rPr>
          <w:rFonts w:eastAsia="Calibri"/>
          <w:color w:val="000000"/>
          <w:szCs w:val="28"/>
        </w:rPr>
        <w:t>d</w:t>
      </w:r>
      <w:r w:rsidRPr="00320A86">
        <w:rPr>
          <w:color w:val="000000"/>
          <w:szCs w:val="28"/>
        </w:rPr>
        <w:t>’</w:t>
      </w:r>
      <w:r w:rsidRPr="00320A86">
        <w:rPr>
          <w:rFonts w:eastAsia="Calibri"/>
          <w:color w:val="000000"/>
          <w:szCs w:val="28"/>
        </w:rPr>
        <w:t>une</w:t>
      </w:r>
      <w:r w:rsidRPr="00320A86">
        <w:rPr>
          <w:color w:val="000000"/>
          <w:szCs w:val="28"/>
        </w:rPr>
        <w:t xml:space="preserve"> </w:t>
      </w:r>
      <w:r w:rsidRPr="00320A86">
        <w:rPr>
          <w:rFonts w:eastAsia="Calibri"/>
          <w:color w:val="000000"/>
          <w:szCs w:val="28"/>
        </w:rPr>
        <w:t>disqualification</w:t>
      </w:r>
      <w:r w:rsidRPr="00320A86">
        <w:rPr>
          <w:color w:val="000000"/>
          <w:szCs w:val="28"/>
        </w:rPr>
        <w:t xml:space="preserve"> </w:t>
      </w:r>
      <w:r w:rsidRPr="00320A86">
        <w:rPr>
          <w:rFonts w:eastAsia="Calibri"/>
          <w:color w:val="000000"/>
          <w:szCs w:val="28"/>
        </w:rPr>
        <w:t>intrinsèque,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assimile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ringardise,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obscurantisme,</w:t>
      </w:r>
      <w:r w:rsidRPr="00320A86">
        <w:rPr>
          <w:color w:val="000000"/>
          <w:szCs w:val="28"/>
        </w:rPr>
        <w:t xml:space="preserve"> </w:t>
      </w:r>
      <w:r w:rsidRPr="00320A86">
        <w:rPr>
          <w:rFonts w:eastAsia="Calibri"/>
          <w:color w:val="000000"/>
          <w:szCs w:val="28"/>
        </w:rPr>
        <w:t>voire</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fascisme.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voie</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retour</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arrière</w:t>
      </w:r>
      <w:r w:rsidRPr="00320A86">
        <w:rPr>
          <w:color w:val="000000"/>
          <w:szCs w:val="28"/>
        </w:rPr>
        <w:t xml:space="preserve"> </w:t>
      </w:r>
      <w:r w:rsidRPr="00320A86">
        <w:rPr>
          <w:rFonts w:eastAsia="Calibri"/>
          <w:color w:val="000000"/>
          <w:szCs w:val="28"/>
        </w:rPr>
        <w:t>d</w:t>
      </w:r>
      <w:r w:rsidRPr="00320A86">
        <w:rPr>
          <w:rFonts w:eastAsia="Calibri"/>
          <w:color w:val="000000"/>
          <w:szCs w:val="28"/>
        </w:rPr>
        <w:t>e</w:t>
      </w:r>
      <w:r w:rsidRPr="00320A86">
        <w:rPr>
          <w:rFonts w:eastAsia="Calibri"/>
          <w:color w:val="000000"/>
          <w:szCs w:val="28"/>
        </w:rPr>
        <w:t>vient</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ces</w:t>
      </w:r>
      <w:r w:rsidRPr="00320A86">
        <w:rPr>
          <w:color w:val="000000"/>
          <w:szCs w:val="28"/>
        </w:rPr>
        <w:t xml:space="preserve"> </w:t>
      </w:r>
      <w:r w:rsidRPr="00320A86">
        <w:rPr>
          <w:rFonts w:eastAsia="Calibri"/>
          <w:color w:val="000000"/>
          <w:szCs w:val="28"/>
        </w:rPr>
        <w:t>conditions</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impasse</w:t>
      </w:r>
      <w:r w:rsidRPr="00320A86">
        <w:rPr>
          <w:color w:val="000000"/>
          <w:szCs w:val="28"/>
        </w:rPr>
        <w:t xml:space="preserve"> </w:t>
      </w:r>
      <w:r w:rsidRPr="00320A86">
        <w:rPr>
          <w:rFonts w:eastAsia="Calibri"/>
          <w:color w:val="000000"/>
          <w:szCs w:val="28"/>
        </w:rPr>
        <w:t>politique.</w:t>
      </w:r>
      <w:r w:rsidRPr="00320A86">
        <w:rPr>
          <w:color w:val="000000"/>
          <w:szCs w:val="28"/>
        </w:rPr>
        <w:t xml:space="preserve"> </w:t>
      </w:r>
      <w:r w:rsidRPr="00320A86">
        <w:rPr>
          <w:rFonts w:eastAsia="Calibri"/>
          <w:color w:val="000000"/>
          <w:szCs w:val="28"/>
        </w:rPr>
        <w:t>Faute</w:t>
      </w:r>
      <w:r w:rsidRPr="00320A86">
        <w:rPr>
          <w:color w:val="000000"/>
          <w:szCs w:val="28"/>
        </w:rPr>
        <w:t xml:space="preserve"> </w:t>
      </w:r>
      <w:r w:rsidRPr="00320A86">
        <w:rPr>
          <w:rFonts w:eastAsia="Calibri"/>
          <w:color w:val="000000"/>
          <w:szCs w:val="28"/>
        </w:rPr>
        <w:t>d’acceptabilité,</w:t>
      </w:r>
      <w:r w:rsidRPr="00320A86">
        <w:rPr>
          <w:color w:val="000000"/>
          <w:szCs w:val="28"/>
        </w:rPr>
        <w:t xml:space="preserve"> </w:t>
      </w:r>
      <w:r w:rsidRPr="00320A86">
        <w:rPr>
          <w:rFonts w:eastAsia="Calibri"/>
          <w:color w:val="000000"/>
          <w:szCs w:val="28"/>
        </w:rPr>
        <w:t>elle</w:t>
      </w:r>
      <w:r w:rsidRPr="00320A86">
        <w:rPr>
          <w:color w:val="000000"/>
          <w:szCs w:val="28"/>
        </w:rPr>
        <w:t xml:space="preserve"> </w:t>
      </w:r>
      <w:r w:rsidRPr="00320A86">
        <w:rPr>
          <w:rFonts w:eastAsia="Calibri"/>
          <w:color w:val="000000"/>
          <w:szCs w:val="28"/>
        </w:rPr>
        <w:t>condamne</w:t>
      </w:r>
      <w:r w:rsidRPr="00320A86">
        <w:rPr>
          <w:color w:val="000000"/>
          <w:szCs w:val="28"/>
        </w:rPr>
        <w:t xml:space="preserve"> </w:t>
      </w:r>
      <w:r w:rsidRPr="00320A86">
        <w:rPr>
          <w:rFonts w:eastAsia="Calibri"/>
          <w:color w:val="000000"/>
          <w:szCs w:val="28"/>
        </w:rPr>
        <w:t>ses</w:t>
      </w:r>
      <w:r w:rsidRPr="00320A86">
        <w:rPr>
          <w:color w:val="000000"/>
          <w:szCs w:val="28"/>
        </w:rPr>
        <w:t xml:space="preserve"> </w:t>
      </w:r>
      <w:r w:rsidRPr="00320A86">
        <w:rPr>
          <w:rFonts w:eastAsia="Calibri"/>
          <w:color w:val="000000"/>
          <w:szCs w:val="28"/>
        </w:rPr>
        <w:t>protagonistes</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marginalité,</w:t>
      </w:r>
      <w:r w:rsidRPr="00320A86">
        <w:rPr>
          <w:color w:val="000000"/>
          <w:szCs w:val="28"/>
        </w:rPr>
        <w:t xml:space="preserve"> </w:t>
      </w:r>
      <w:r w:rsidRPr="00320A86">
        <w:rPr>
          <w:rFonts w:eastAsia="Calibri"/>
          <w:color w:val="000000"/>
          <w:szCs w:val="28"/>
        </w:rPr>
        <w:t>laissant</w:t>
      </w:r>
      <w:r w:rsidRPr="00320A86">
        <w:rPr>
          <w:color w:val="000000"/>
          <w:szCs w:val="28"/>
        </w:rPr>
        <w:t xml:space="preserve"> </w:t>
      </w:r>
      <w:r w:rsidRPr="00320A86">
        <w:rPr>
          <w:rFonts w:eastAsia="Calibri"/>
          <w:color w:val="000000"/>
          <w:szCs w:val="28"/>
        </w:rPr>
        <w:t>pour</w:t>
      </w:r>
      <w:r w:rsidRPr="00320A86">
        <w:rPr>
          <w:color w:val="000000"/>
          <w:szCs w:val="28"/>
        </w:rPr>
        <w:t xml:space="preserve"> </w:t>
      </w:r>
      <w:r w:rsidRPr="00320A86">
        <w:rPr>
          <w:rFonts w:eastAsia="Calibri"/>
          <w:color w:val="000000"/>
          <w:szCs w:val="28"/>
        </w:rPr>
        <w:t>seul</w:t>
      </w:r>
      <w:r w:rsidRPr="00320A86">
        <w:rPr>
          <w:color w:val="000000"/>
          <w:szCs w:val="28"/>
        </w:rPr>
        <w:t xml:space="preserve"> </w:t>
      </w:r>
      <w:r w:rsidRPr="00320A86">
        <w:rPr>
          <w:rFonts w:eastAsia="Calibri"/>
          <w:color w:val="000000"/>
          <w:szCs w:val="28"/>
        </w:rPr>
        <w:t>choix</w:t>
      </w:r>
      <w:r w:rsidRPr="00320A86">
        <w:rPr>
          <w:color w:val="000000"/>
          <w:szCs w:val="28"/>
        </w:rPr>
        <w:t xml:space="preserve"> </w:t>
      </w:r>
      <w:r w:rsidRPr="00320A86">
        <w:rPr>
          <w:rFonts w:eastAsia="Calibri"/>
          <w:color w:val="000000"/>
          <w:szCs w:val="28"/>
        </w:rPr>
        <w:t>possible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désespérance</w:t>
      </w:r>
      <w:r w:rsidRPr="00320A86">
        <w:rPr>
          <w:color w:val="000000"/>
          <w:szCs w:val="28"/>
        </w:rPr>
        <w:t xml:space="preserve"> </w:t>
      </w:r>
      <w:r w:rsidRPr="00320A86">
        <w:rPr>
          <w:rFonts w:eastAsia="Calibri"/>
          <w:color w:val="000000"/>
          <w:szCs w:val="28"/>
        </w:rPr>
        <w:t>ou</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violence, voire l’isolement h</w:t>
      </w:r>
      <w:r w:rsidRPr="00320A86">
        <w:rPr>
          <w:rFonts w:eastAsia="Calibri"/>
          <w:color w:val="000000"/>
          <w:szCs w:val="28"/>
        </w:rPr>
        <w:t>u</w:t>
      </w:r>
      <w:r w:rsidRPr="00320A86">
        <w:rPr>
          <w:rFonts w:eastAsia="Calibri"/>
          <w:color w:val="000000"/>
          <w:szCs w:val="28"/>
        </w:rPr>
        <w:t>main,</w:t>
      </w:r>
      <w:r w:rsidRPr="00320A86">
        <w:rPr>
          <w:rFonts w:eastAsia="Calibri"/>
          <w:color w:val="000000"/>
          <w:szCs w:val="28"/>
          <w:shd w:val="clear" w:color="auto" w:fill="FFFFFF"/>
        </w:rPr>
        <w:t xml:space="preserve"> contraire à la logique de l’Église et au message du Christ</w:t>
      </w:r>
      <w:r w:rsidRPr="00320A86">
        <w:rPr>
          <w:rFonts w:eastAsia="Calibri"/>
          <w:color w:val="000000"/>
          <w:szCs w:val="28"/>
        </w:rPr>
        <w:t>.</w:t>
      </w:r>
      <w:r w:rsidRPr="00320A86">
        <w:rPr>
          <w:color w:val="000000"/>
          <w:szCs w:val="28"/>
        </w:rPr>
        <w:t xml:space="preserve"> </w:t>
      </w:r>
      <w:r w:rsidRPr="00320A86">
        <w:rPr>
          <w:rFonts w:eastAsia="Calibri"/>
          <w:color w:val="000000"/>
          <w:szCs w:val="28"/>
        </w:rPr>
        <w:t>Rep</w:t>
      </w:r>
      <w:r w:rsidRPr="00320A86">
        <w:rPr>
          <w:rFonts w:eastAsia="Calibri"/>
          <w:color w:val="000000"/>
          <w:szCs w:val="28"/>
        </w:rPr>
        <w:t>o</w:t>
      </w:r>
      <w:r w:rsidRPr="00320A86">
        <w:rPr>
          <w:rFonts w:eastAsia="Calibri"/>
          <w:color w:val="000000"/>
          <w:szCs w:val="28"/>
        </w:rPr>
        <w:t>sant</w:t>
      </w:r>
      <w:r w:rsidRPr="00320A86">
        <w:rPr>
          <w:color w:val="000000"/>
          <w:szCs w:val="28"/>
        </w:rPr>
        <w:t xml:space="preserve"> </w:t>
      </w:r>
      <w:r w:rsidRPr="00320A86">
        <w:rPr>
          <w:rFonts w:eastAsia="Calibri"/>
          <w:color w:val="000000"/>
          <w:szCs w:val="28"/>
        </w:rPr>
        <w:t>sur</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bases</w:t>
      </w:r>
      <w:r w:rsidRPr="00320A86">
        <w:rPr>
          <w:color w:val="000000"/>
          <w:szCs w:val="28"/>
        </w:rPr>
        <w:t xml:space="preserve"> </w:t>
      </w:r>
      <w:r w:rsidRPr="00320A86">
        <w:rPr>
          <w:rFonts w:eastAsia="Calibri"/>
          <w:color w:val="000000"/>
          <w:szCs w:val="28"/>
        </w:rPr>
        <w:t>théologiques</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discutables</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lui</w:t>
      </w:r>
      <w:r w:rsidRPr="00320A86">
        <w:rPr>
          <w:color w:val="000000"/>
          <w:szCs w:val="28"/>
        </w:rPr>
        <w:t xml:space="preserve"> </w:t>
      </w:r>
      <w:r w:rsidRPr="00320A86">
        <w:rPr>
          <w:rFonts w:eastAsia="Calibri"/>
          <w:color w:val="000000"/>
          <w:szCs w:val="28"/>
        </w:rPr>
        <w:t>servent</w:t>
      </w:r>
      <w:r w:rsidRPr="00320A86">
        <w:rPr>
          <w:color w:val="000000"/>
          <w:szCs w:val="28"/>
        </w:rPr>
        <w:t xml:space="preserve"> </w:t>
      </w:r>
      <w:r w:rsidRPr="00320A86">
        <w:rPr>
          <w:rFonts w:eastAsia="Calibri"/>
          <w:color w:val="000000"/>
          <w:szCs w:val="28"/>
        </w:rPr>
        <w:t>pourtant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support,</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idéologie</w:t>
      </w:r>
      <w:r w:rsidRPr="00320A86">
        <w:rPr>
          <w:color w:val="000000"/>
          <w:szCs w:val="28"/>
        </w:rPr>
        <w:t xml:space="preserve"> </w:t>
      </w:r>
      <w:r w:rsidRPr="00320A86">
        <w:t>« </w:t>
      </w:r>
      <w:r w:rsidRPr="00320A86">
        <w:rPr>
          <w:rFonts w:eastAsia="Calibri"/>
          <w:color w:val="000000"/>
          <w:szCs w:val="28"/>
        </w:rPr>
        <w:t>réactionnaire</w:t>
      </w:r>
      <w:r w:rsidRPr="00320A86">
        <w:rPr>
          <w:color w:val="000000"/>
          <w:szCs w:val="28"/>
          <w:shd w:val="clear" w:color="auto" w:fill="FFFFFF"/>
        </w:rPr>
        <w:t> »</w:t>
      </w:r>
      <w:r w:rsidRPr="00320A86">
        <w:rPr>
          <w:rFonts w:eastAsia="Calibri"/>
          <w:color w:val="000000"/>
          <w:szCs w:val="28"/>
        </w:rPr>
        <w:t xml:space="preserve"> (au sens profond du terme) et </w:t>
      </w:r>
      <w:r w:rsidRPr="00320A86">
        <w:rPr>
          <w:color w:val="000000"/>
          <w:szCs w:val="28"/>
        </w:rPr>
        <w:t xml:space="preserve"> </w:t>
      </w:r>
      <w:r w:rsidRPr="00320A86">
        <w:rPr>
          <w:rFonts w:eastAsia="Calibri"/>
          <w:color w:val="000000"/>
          <w:szCs w:val="28"/>
        </w:rPr>
        <w:t>intégriste</w:t>
      </w:r>
      <w:r w:rsidRPr="00320A86">
        <w:rPr>
          <w:color w:val="000000"/>
          <w:szCs w:val="28"/>
        </w:rPr>
        <w:t xml:space="preserve"> </w:t>
      </w:r>
      <w:r w:rsidRPr="00320A86">
        <w:rPr>
          <w:rFonts w:eastAsia="Calibri"/>
          <w:color w:val="000000"/>
          <w:szCs w:val="28"/>
        </w:rPr>
        <w:t>ne</w:t>
      </w:r>
      <w:r w:rsidRPr="00320A86">
        <w:rPr>
          <w:color w:val="000000"/>
          <w:szCs w:val="28"/>
        </w:rPr>
        <w:t xml:space="preserve"> </w:t>
      </w:r>
      <w:r w:rsidRPr="00320A86">
        <w:rPr>
          <w:rFonts w:eastAsia="Calibri"/>
          <w:color w:val="000000"/>
          <w:szCs w:val="28"/>
        </w:rPr>
        <w:t>peut</w:t>
      </w:r>
      <w:r w:rsidRPr="00320A86">
        <w:rPr>
          <w:color w:val="000000"/>
          <w:szCs w:val="28"/>
        </w:rPr>
        <w:t xml:space="preserve"> </w:t>
      </w:r>
      <w:r w:rsidRPr="00320A86">
        <w:rPr>
          <w:rFonts w:eastAsia="Calibri"/>
          <w:color w:val="000000"/>
          <w:szCs w:val="28"/>
        </w:rPr>
        <w:t>parvenir</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ses</w:t>
      </w:r>
      <w:r w:rsidRPr="00320A86">
        <w:rPr>
          <w:color w:val="000000"/>
          <w:szCs w:val="28"/>
        </w:rPr>
        <w:t xml:space="preserve"> </w:t>
      </w:r>
      <w:r w:rsidRPr="00320A86">
        <w:rPr>
          <w:rFonts w:eastAsia="Calibri"/>
          <w:color w:val="000000"/>
          <w:szCs w:val="28"/>
        </w:rPr>
        <w:t>buts</w:t>
      </w:r>
      <w:r w:rsidRPr="00320A86">
        <w:rPr>
          <w:color w:val="000000"/>
          <w:szCs w:val="28"/>
        </w:rPr>
        <w:t xml:space="preserve"> </w:t>
      </w:r>
      <w:r w:rsidRPr="00320A86">
        <w:rPr>
          <w:rFonts w:eastAsia="Calibri"/>
          <w:color w:val="000000"/>
          <w:szCs w:val="28"/>
        </w:rPr>
        <w:t>temporels,</w:t>
      </w:r>
      <w:r w:rsidRPr="00320A86">
        <w:rPr>
          <w:color w:val="000000"/>
          <w:szCs w:val="28"/>
        </w:rPr>
        <w:t xml:space="preserve"> </w:t>
      </w:r>
      <w:r w:rsidRPr="00320A86">
        <w:rPr>
          <w:rFonts w:eastAsia="Calibri"/>
          <w:color w:val="000000"/>
          <w:szCs w:val="28"/>
        </w:rPr>
        <w:t>tout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nourrissant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l'ardeur</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fidèles</w:t>
      </w:r>
      <w:r w:rsidRPr="00320A86">
        <w:rPr>
          <w:color w:val="000000"/>
          <w:szCs w:val="28"/>
        </w:rPr>
        <w:t xml:space="preserve"> </w:t>
      </w:r>
      <w:r w:rsidRPr="00320A86">
        <w:rPr>
          <w:rFonts w:eastAsia="Calibri"/>
          <w:color w:val="000000"/>
          <w:szCs w:val="28"/>
        </w:rPr>
        <w:t>nostalgiques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souvent</w:t>
      </w:r>
      <w:r w:rsidRPr="00320A86">
        <w:rPr>
          <w:color w:val="000000"/>
          <w:szCs w:val="28"/>
        </w:rPr>
        <w:t xml:space="preserve"> </w:t>
      </w:r>
      <w:r w:rsidRPr="00320A86">
        <w:rPr>
          <w:rFonts w:eastAsia="Calibri"/>
          <w:color w:val="000000"/>
          <w:szCs w:val="28"/>
        </w:rPr>
        <w:t>déclassés</w:t>
      </w:r>
      <w:r w:rsidRPr="00320A86">
        <w:rPr>
          <w:color w:val="000000"/>
          <w:szCs w:val="28"/>
        </w:rPr>
        <w:t xml:space="preserve"> </w:t>
      </w:r>
      <w:r w:rsidRPr="00320A86">
        <w:rPr>
          <w:rFonts w:eastAsia="Calibri"/>
          <w:color w:val="000000"/>
          <w:szCs w:val="28"/>
        </w:rPr>
        <w:t>au</w:t>
      </w:r>
      <w:r w:rsidRPr="00320A86">
        <w:rPr>
          <w:rFonts w:eastAsia="Calibri"/>
          <w:color w:val="000000"/>
          <w:szCs w:val="28"/>
        </w:rPr>
        <w:t>x</w:t>
      </w:r>
      <w:r w:rsidRPr="00320A86">
        <w:rPr>
          <w:rFonts w:eastAsia="Calibri"/>
          <w:color w:val="000000"/>
          <w:szCs w:val="28"/>
        </w:rPr>
        <w:t>quels</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intégrisme</w:t>
      </w:r>
      <w:r w:rsidRPr="00320A86">
        <w:rPr>
          <w:color w:val="000000"/>
          <w:szCs w:val="28"/>
        </w:rPr>
        <w:t xml:space="preserve"> </w:t>
      </w:r>
      <w:r w:rsidRPr="00320A86">
        <w:rPr>
          <w:rFonts w:eastAsia="Calibri"/>
          <w:color w:val="000000"/>
          <w:szCs w:val="28"/>
        </w:rPr>
        <w:t>fournit</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arguments</w:t>
      </w:r>
      <w:r w:rsidRPr="00320A86">
        <w:rPr>
          <w:color w:val="000000"/>
          <w:szCs w:val="28"/>
        </w:rPr>
        <w:t xml:space="preserve"> </w:t>
      </w:r>
      <w:r w:rsidRPr="00320A86">
        <w:rPr>
          <w:rFonts w:eastAsia="Calibri"/>
          <w:color w:val="000000"/>
          <w:szCs w:val="28"/>
        </w:rPr>
        <w:t>aussi</w:t>
      </w:r>
      <w:r w:rsidRPr="00320A86">
        <w:rPr>
          <w:color w:val="000000"/>
          <w:szCs w:val="28"/>
        </w:rPr>
        <w:t xml:space="preserve"> </w:t>
      </w:r>
      <w:r w:rsidRPr="00320A86">
        <w:rPr>
          <w:rFonts w:eastAsia="Calibri"/>
          <w:color w:val="000000"/>
          <w:szCs w:val="28"/>
        </w:rPr>
        <w:t>bien</w:t>
      </w:r>
      <w:r w:rsidRPr="00320A86">
        <w:rPr>
          <w:color w:val="000000"/>
          <w:szCs w:val="28"/>
        </w:rPr>
        <w:t xml:space="preserve"> </w:t>
      </w:r>
      <w:r w:rsidRPr="00320A86">
        <w:rPr>
          <w:rFonts w:eastAsia="Calibri"/>
          <w:color w:val="000000"/>
          <w:szCs w:val="28"/>
        </w:rPr>
        <w:t>religieux</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politiques</w:t>
      </w:r>
      <w:r w:rsidRPr="00320A86">
        <w:rPr>
          <w:color w:val="000000"/>
          <w:szCs w:val="28"/>
        </w:rPr>
        <w:t xml:space="preserve"> </w:t>
      </w:r>
      <w:r w:rsidRPr="00320A86">
        <w:rPr>
          <w:rFonts w:eastAsia="Calibri"/>
          <w:color w:val="000000"/>
          <w:szCs w:val="28"/>
        </w:rPr>
        <w:t>se</w:t>
      </w:r>
      <w:r w:rsidRPr="00320A86">
        <w:rPr>
          <w:rFonts w:eastAsia="Calibri"/>
          <w:color w:val="000000"/>
          <w:szCs w:val="28"/>
        </w:rPr>
        <w:t>r</w:t>
      </w:r>
      <w:r w:rsidRPr="00320A86">
        <w:rPr>
          <w:rFonts w:eastAsia="Calibri"/>
          <w:color w:val="000000"/>
          <w:szCs w:val="28"/>
        </w:rPr>
        <w:t>vant</w:t>
      </w:r>
      <w:r w:rsidRPr="00320A86">
        <w:rPr>
          <w:color w:val="000000"/>
          <w:szCs w:val="28"/>
        </w:rPr>
        <w:t xml:space="preserve"> d</w:t>
      </w:r>
      <w:r w:rsidRPr="00320A86">
        <w:rPr>
          <w:rFonts w:eastAsia="Calibri"/>
          <w:color w:val="000000"/>
          <w:szCs w:val="28"/>
        </w:rPr>
        <w:t>e</w:t>
      </w:r>
      <w:r w:rsidRPr="00320A86">
        <w:rPr>
          <w:color w:val="000000"/>
          <w:szCs w:val="28"/>
        </w:rPr>
        <w:t xml:space="preserve"> </w:t>
      </w:r>
      <w:r w:rsidRPr="00320A86">
        <w:rPr>
          <w:rFonts w:eastAsia="Calibri"/>
          <w:color w:val="000000"/>
          <w:szCs w:val="28"/>
        </w:rPr>
        <w:t>refuge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leur</w:t>
      </w:r>
      <w:r w:rsidRPr="00320A86">
        <w:rPr>
          <w:color w:val="000000"/>
          <w:szCs w:val="28"/>
        </w:rPr>
        <w:t xml:space="preserve"> </w:t>
      </w:r>
      <w:r w:rsidRPr="00320A86">
        <w:rPr>
          <w:rFonts w:eastAsia="Calibri"/>
          <w:color w:val="000000"/>
          <w:szCs w:val="28"/>
        </w:rPr>
        <w:t>inadaptation</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monde</w:t>
      </w:r>
      <w:r w:rsidRPr="00320A86">
        <w:rPr>
          <w:color w:val="000000"/>
          <w:szCs w:val="28"/>
        </w:rPr>
        <w:t xml:space="preserve"> </w:t>
      </w:r>
      <w:r w:rsidRPr="00320A86">
        <w:rPr>
          <w:rFonts w:eastAsia="Calibri"/>
          <w:color w:val="000000"/>
          <w:szCs w:val="28"/>
        </w:rPr>
        <w:t>environnant.</w:t>
      </w:r>
      <w:r w:rsidRPr="00320A86">
        <w:rPr>
          <w:color w:val="000000"/>
          <w:szCs w:val="28"/>
        </w:rPr>
        <w:t xml:space="preserve"> </w:t>
      </w:r>
      <w:r w:rsidRPr="00320A86">
        <w:rPr>
          <w:rFonts w:eastAsia="Calibri"/>
          <w:color w:val="000000"/>
          <w:szCs w:val="28"/>
        </w:rPr>
        <w:t>Il</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résulte</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postures</w:t>
      </w:r>
      <w:r w:rsidRPr="00320A86">
        <w:rPr>
          <w:color w:val="000000"/>
          <w:szCs w:val="28"/>
        </w:rPr>
        <w:t xml:space="preserve"> </w:t>
      </w:r>
      <w:r w:rsidRPr="00320A86">
        <w:rPr>
          <w:rFonts w:eastAsia="Calibri"/>
          <w:color w:val="000000"/>
          <w:szCs w:val="28"/>
        </w:rPr>
        <w:t>héroïques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sacrificielles,</w:t>
      </w:r>
      <w:r w:rsidRPr="00320A86">
        <w:rPr>
          <w:color w:val="000000"/>
          <w:szCs w:val="28"/>
        </w:rPr>
        <w:t xml:space="preserve"> </w:t>
      </w:r>
      <w:r w:rsidRPr="00320A86">
        <w:rPr>
          <w:rFonts w:eastAsia="Calibri"/>
          <w:color w:val="000000"/>
          <w:szCs w:val="28"/>
        </w:rPr>
        <w:t>savamment</w:t>
      </w:r>
      <w:r w:rsidRPr="00320A86">
        <w:rPr>
          <w:color w:val="000000"/>
          <w:szCs w:val="28"/>
        </w:rPr>
        <w:t xml:space="preserve"> </w:t>
      </w:r>
      <w:r w:rsidRPr="00320A86">
        <w:rPr>
          <w:rFonts w:eastAsia="Calibri"/>
          <w:color w:val="000000"/>
          <w:szCs w:val="28"/>
        </w:rPr>
        <w:t>entr</w:t>
      </w:r>
      <w:r w:rsidRPr="00320A86">
        <w:rPr>
          <w:rFonts w:eastAsia="Calibri"/>
          <w:color w:val="000000"/>
          <w:szCs w:val="28"/>
        </w:rPr>
        <w:t>e</w:t>
      </w:r>
      <w:r w:rsidRPr="00320A86">
        <w:rPr>
          <w:rFonts w:eastAsia="Calibri"/>
          <w:color w:val="000000"/>
          <w:szCs w:val="28"/>
        </w:rPr>
        <w:t>tenues</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leurs</w:t>
      </w:r>
      <w:r w:rsidRPr="00320A86">
        <w:rPr>
          <w:color w:val="000000"/>
          <w:szCs w:val="28"/>
        </w:rPr>
        <w:t xml:space="preserve"> </w:t>
      </w:r>
      <w:r w:rsidRPr="00320A86">
        <w:rPr>
          <w:rFonts w:eastAsia="Calibri"/>
          <w:color w:val="000000"/>
          <w:szCs w:val="28"/>
        </w:rPr>
        <w:t>clercs,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dont</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romantisme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façade</w:t>
      </w:r>
      <w:r w:rsidRPr="00320A86">
        <w:rPr>
          <w:color w:val="000000"/>
          <w:szCs w:val="28"/>
        </w:rPr>
        <w:t xml:space="preserve"> </w:t>
      </w:r>
      <w:r w:rsidRPr="00320A86">
        <w:rPr>
          <w:rFonts w:eastAsia="Calibri"/>
          <w:color w:val="000000"/>
          <w:szCs w:val="28"/>
        </w:rPr>
        <w:t>dissimule</w:t>
      </w:r>
      <w:r w:rsidRPr="00320A86">
        <w:rPr>
          <w:color w:val="000000"/>
          <w:szCs w:val="28"/>
        </w:rPr>
        <w:t xml:space="preserve"> </w:t>
      </w:r>
      <w:r w:rsidRPr="00320A86">
        <w:rPr>
          <w:rFonts w:eastAsia="Calibri"/>
          <w:color w:val="000000"/>
          <w:szCs w:val="28"/>
        </w:rPr>
        <w:t>avec</w:t>
      </w:r>
      <w:r w:rsidRPr="00320A86">
        <w:rPr>
          <w:color w:val="000000"/>
          <w:szCs w:val="28"/>
        </w:rPr>
        <w:t xml:space="preserve"> </w:t>
      </w:r>
      <w:r w:rsidRPr="00320A86">
        <w:rPr>
          <w:rFonts w:eastAsia="Calibri"/>
          <w:color w:val="000000"/>
          <w:szCs w:val="28"/>
        </w:rPr>
        <w:t>peine</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culture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dissidence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f</w:t>
      </w:r>
      <w:r w:rsidRPr="00320A86">
        <w:rPr>
          <w:rFonts w:eastAsia="Calibri"/>
          <w:color w:val="000000"/>
          <w:szCs w:val="28"/>
        </w:rPr>
        <w:t>i</w:t>
      </w:r>
      <w:r w:rsidRPr="00320A86">
        <w:rPr>
          <w:rFonts w:eastAsia="Calibri"/>
          <w:color w:val="000000"/>
          <w:szCs w:val="28"/>
        </w:rPr>
        <w:t>nalement</w:t>
      </w:r>
      <w:r w:rsidRPr="00320A86">
        <w:rPr>
          <w:color w:val="000000"/>
          <w:szCs w:val="28"/>
        </w:rPr>
        <w:t xml:space="preserve"> </w:t>
      </w:r>
      <w:r w:rsidRPr="00320A86">
        <w:rPr>
          <w:rFonts w:eastAsia="Calibri"/>
          <w:color w:val="000000"/>
          <w:szCs w:val="28"/>
        </w:rPr>
        <w:t>leur</w:t>
      </w:r>
      <w:r w:rsidRPr="00320A86">
        <w:rPr>
          <w:color w:val="000000"/>
          <w:szCs w:val="28"/>
        </w:rPr>
        <w:t xml:space="preserve"> </w:t>
      </w:r>
      <w:r w:rsidRPr="00320A86">
        <w:rPr>
          <w:rFonts w:eastAsia="Calibri"/>
          <w:color w:val="000000"/>
          <w:szCs w:val="28"/>
        </w:rPr>
        <w:t>seule</w:t>
      </w:r>
      <w:r w:rsidRPr="00320A86">
        <w:rPr>
          <w:color w:val="000000"/>
          <w:szCs w:val="28"/>
        </w:rPr>
        <w:t xml:space="preserve"> </w:t>
      </w:r>
      <w:r w:rsidRPr="00320A86">
        <w:rPr>
          <w:rFonts w:eastAsia="Calibri"/>
          <w:color w:val="000000"/>
          <w:szCs w:val="28"/>
        </w:rPr>
        <w:t>identité,</w:t>
      </w:r>
      <w:r w:rsidRPr="00320A86">
        <w:rPr>
          <w:color w:val="000000"/>
          <w:szCs w:val="28"/>
        </w:rPr>
        <w:t xml:space="preserve"> </w:t>
      </w:r>
      <w:r w:rsidRPr="00320A86">
        <w:rPr>
          <w:rFonts w:eastAsia="Calibri"/>
          <w:color w:val="000000"/>
          <w:szCs w:val="28"/>
        </w:rPr>
        <w:t>sans</w:t>
      </w:r>
      <w:r w:rsidRPr="00320A86">
        <w:rPr>
          <w:color w:val="000000"/>
          <w:szCs w:val="28"/>
        </w:rPr>
        <w:t xml:space="preserve"> </w:t>
      </w:r>
      <w:r w:rsidRPr="00320A86">
        <w:rPr>
          <w:rFonts w:eastAsia="Calibri"/>
          <w:color w:val="000000"/>
          <w:szCs w:val="28"/>
        </w:rPr>
        <w:t>pouvoir</w:t>
      </w:r>
      <w:r w:rsidRPr="00320A86">
        <w:rPr>
          <w:color w:val="000000"/>
          <w:szCs w:val="28"/>
        </w:rPr>
        <w:t xml:space="preserve"> </w:t>
      </w:r>
      <w:r w:rsidRPr="00320A86">
        <w:rPr>
          <w:rFonts w:eastAsia="Calibri"/>
          <w:color w:val="000000"/>
          <w:szCs w:val="28"/>
        </w:rPr>
        <w:t>déboucher</w:t>
      </w:r>
      <w:r w:rsidRPr="00320A86">
        <w:rPr>
          <w:color w:val="000000"/>
          <w:szCs w:val="28"/>
        </w:rPr>
        <w:t xml:space="preserve"> </w:t>
      </w:r>
      <w:r w:rsidRPr="00320A86">
        <w:rPr>
          <w:rFonts w:eastAsia="Calibri"/>
          <w:color w:val="000000"/>
          <w:szCs w:val="28"/>
        </w:rPr>
        <w:t>sur</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critiques</w:t>
      </w:r>
      <w:r w:rsidRPr="00320A86">
        <w:rPr>
          <w:color w:val="000000"/>
          <w:szCs w:val="28"/>
        </w:rPr>
        <w:t xml:space="preserve"> </w:t>
      </w:r>
      <w:r w:rsidRPr="00320A86">
        <w:rPr>
          <w:rFonts w:eastAsia="Calibri"/>
          <w:color w:val="000000"/>
          <w:szCs w:val="28"/>
        </w:rPr>
        <w:t>constructives.</w:t>
      </w:r>
      <w:r w:rsidRPr="00320A86">
        <w:rPr>
          <w:color w:val="000000"/>
          <w:szCs w:val="28"/>
        </w:rPr>
        <w:t xml:space="preserve"> </w:t>
      </w:r>
      <w:r w:rsidRPr="00320A86">
        <w:rPr>
          <w:rFonts w:eastAsia="Calibri"/>
          <w:color w:val="000000"/>
          <w:szCs w:val="28"/>
        </w:rPr>
        <w:t>Paradoxal</w:t>
      </w:r>
      <w:r w:rsidRPr="00320A86">
        <w:rPr>
          <w:rFonts w:eastAsia="Calibri"/>
          <w:color w:val="000000"/>
          <w:szCs w:val="28"/>
        </w:rPr>
        <w:t>e</w:t>
      </w:r>
      <w:r w:rsidRPr="00320A86">
        <w:rPr>
          <w:rFonts w:eastAsia="Calibri"/>
          <w:color w:val="000000"/>
          <w:szCs w:val="28"/>
        </w:rPr>
        <w:t>ment,</w:t>
      </w:r>
      <w:r w:rsidRPr="00320A86">
        <w:rPr>
          <w:color w:val="000000"/>
          <w:szCs w:val="28"/>
        </w:rPr>
        <w:t xml:space="preserve"> </w:t>
      </w:r>
      <w:r w:rsidRPr="00320A86">
        <w:rPr>
          <w:rFonts w:eastAsia="Calibri"/>
          <w:color w:val="000000"/>
          <w:szCs w:val="28"/>
        </w:rPr>
        <w:t>cette</w:t>
      </w:r>
      <w:r w:rsidRPr="00320A86">
        <w:rPr>
          <w:color w:val="000000"/>
          <w:szCs w:val="28"/>
        </w:rPr>
        <w:t xml:space="preserve"> </w:t>
      </w:r>
      <w:r w:rsidRPr="00320A86">
        <w:rPr>
          <w:rFonts w:eastAsia="Calibri"/>
          <w:color w:val="000000"/>
          <w:szCs w:val="28"/>
        </w:rPr>
        <w:t>marginalité</w:t>
      </w:r>
      <w:r w:rsidRPr="00320A86">
        <w:rPr>
          <w:color w:val="000000"/>
          <w:szCs w:val="28"/>
        </w:rPr>
        <w:t xml:space="preserve"> </w:t>
      </w:r>
      <w:r w:rsidRPr="00320A86">
        <w:rPr>
          <w:rFonts w:eastAsia="Calibri"/>
          <w:color w:val="000000"/>
          <w:szCs w:val="28"/>
        </w:rPr>
        <w:t>dissidente</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ainsi</w:t>
      </w:r>
      <w:r w:rsidRPr="00320A86">
        <w:rPr>
          <w:color w:val="000000"/>
          <w:szCs w:val="28"/>
        </w:rPr>
        <w:t xml:space="preserve"> </w:t>
      </w:r>
      <w:r w:rsidRPr="00320A86">
        <w:rPr>
          <w:rFonts w:eastAsia="Calibri"/>
          <w:color w:val="000000"/>
          <w:szCs w:val="28"/>
        </w:rPr>
        <w:t>bien</w:t>
      </w:r>
      <w:r w:rsidRPr="00320A86">
        <w:rPr>
          <w:color w:val="000000"/>
          <w:szCs w:val="28"/>
        </w:rPr>
        <w:t xml:space="preserve"> </w:t>
      </w:r>
      <w:r w:rsidRPr="00320A86">
        <w:rPr>
          <w:rFonts w:eastAsia="Calibri"/>
          <w:color w:val="000000"/>
          <w:szCs w:val="28"/>
        </w:rPr>
        <w:t>tolérée</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sociétés</w:t>
      </w:r>
      <w:r w:rsidRPr="00320A86">
        <w:rPr>
          <w:color w:val="000000"/>
          <w:szCs w:val="28"/>
        </w:rPr>
        <w:t xml:space="preserve"> </w:t>
      </w:r>
      <w:r w:rsidRPr="00320A86">
        <w:rPr>
          <w:rFonts w:eastAsia="Calibri"/>
          <w:color w:val="000000"/>
          <w:szCs w:val="28"/>
        </w:rPr>
        <w:t>post-modernes,</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lui</w:t>
      </w:r>
      <w:r w:rsidRPr="00320A86">
        <w:rPr>
          <w:color w:val="000000"/>
          <w:szCs w:val="28"/>
        </w:rPr>
        <w:t xml:space="preserve"> </w:t>
      </w:r>
      <w:r w:rsidRPr="00320A86">
        <w:rPr>
          <w:rFonts w:eastAsia="Calibri"/>
          <w:color w:val="000000"/>
          <w:szCs w:val="28"/>
        </w:rPr>
        <w:t>font</w:t>
      </w:r>
      <w:r w:rsidRPr="00320A86">
        <w:rPr>
          <w:color w:val="000000"/>
          <w:szCs w:val="28"/>
        </w:rPr>
        <w:t xml:space="preserve"> </w:t>
      </w:r>
      <w:r w:rsidRPr="00320A86">
        <w:rPr>
          <w:rFonts w:eastAsia="Calibri"/>
          <w:color w:val="000000"/>
          <w:szCs w:val="28"/>
        </w:rPr>
        <w:t>horreur,</w:t>
      </w:r>
      <w:r w:rsidRPr="00320A86">
        <w:rPr>
          <w:color w:val="000000"/>
          <w:szCs w:val="28"/>
        </w:rPr>
        <w:t xml:space="preserve"> </w:t>
      </w:r>
      <w:r w:rsidRPr="00320A86">
        <w:rPr>
          <w:rFonts w:eastAsia="Calibri"/>
          <w:color w:val="000000"/>
          <w:szCs w:val="28"/>
        </w:rPr>
        <w:t>mais</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digèrent</w:t>
      </w:r>
      <w:r w:rsidRPr="00320A86">
        <w:rPr>
          <w:color w:val="000000"/>
          <w:szCs w:val="28"/>
        </w:rPr>
        <w:t xml:space="preserve"> </w:t>
      </w:r>
      <w:r w:rsidRPr="00320A86">
        <w:rPr>
          <w:rFonts w:eastAsia="Calibri"/>
          <w:color w:val="000000"/>
          <w:szCs w:val="28"/>
        </w:rPr>
        <w:t>avec</w:t>
      </w:r>
      <w:r w:rsidRPr="00320A86">
        <w:rPr>
          <w:color w:val="000000"/>
          <w:szCs w:val="28"/>
        </w:rPr>
        <w:t xml:space="preserve"> </w:t>
      </w:r>
      <w:r w:rsidRPr="00320A86">
        <w:rPr>
          <w:rFonts w:eastAsia="Calibri"/>
          <w:color w:val="000000"/>
          <w:szCs w:val="28"/>
        </w:rPr>
        <w:t>adresse</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exclusions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toutes</w:t>
      </w:r>
      <w:r w:rsidRPr="00320A86">
        <w:rPr>
          <w:color w:val="000000"/>
          <w:szCs w:val="28"/>
        </w:rPr>
        <w:t xml:space="preserve"> </w:t>
      </w:r>
      <w:r w:rsidRPr="00320A86">
        <w:rPr>
          <w:rFonts w:eastAsia="Calibri"/>
          <w:color w:val="000000"/>
          <w:szCs w:val="28"/>
        </w:rPr>
        <w:t>sortes</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nom</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pluralisme.</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porte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faux</w:t>
      </w:r>
      <w:r w:rsidRPr="00320A86">
        <w:rPr>
          <w:color w:val="000000"/>
          <w:szCs w:val="28"/>
        </w:rPr>
        <w:t xml:space="preserve"> </w:t>
      </w:r>
      <w:r w:rsidRPr="00320A86">
        <w:rPr>
          <w:rFonts w:eastAsia="Calibri"/>
          <w:color w:val="000000"/>
          <w:szCs w:val="28"/>
        </w:rPr>
        <w:t>i</w:t>
      </w:r>
      <w:r w:rsidRPr="00320A86">
        <w:rPr>
          <w:rFonts w:eastAsia="Calibri"/>
          <w:color w:val="000000"/>
          <w:szCs w:val="28"/>
        </w:rPr>
        <w:t>n</w:t>
      </w:r>
      <w:r w:rsidRPr="00320A86">
        <w:rPr>
          <w:rFonts w:eastAsia="Calibri"/>
          <w:color w:val="000000"/>
          <w:szCs w:val="28"/>
        </w:rPr>
        <w:t>tégriste, au delà de sa propre sincérité et de ses convictions respect</w:t>
      </w:r>
      <w:r w:rsidRPr="00320A86">
        <w:rPr>
          <w:rFonts w:eastAsia="Calibri"/>
          <w:color w:val="000000"/>
          <w:szCs w:val="28"/>
        </w:rPr>
        <w:t>a</w:t>
      </w:r>
      <w:r w:rsidRPr="00320A86">
        <w:rPr>
          <w:rFonts w:eastAsia="Calibri"/>
          <w:color w:val="000000"/>
          <w:szCs w:val="28"/>
        </w:rPr>
        <w:t>bles,</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ainsi</w:t>
      </w:r>
      <w:r w:rsidRPr="00320A86">
        <w:rPr>
          <w:color w:val="000000"/>
          <w:szCs w:val="28"/>
        </w:rPr>
        <w:t xml:space="preserve"> issu d’une déformation théologique qui ne peut se pr</w:t>
      </w:r>
      <w:r w:rsidRPr="00320A86">
        <w:rPr>
          <w:color w:val="000000"/>
          <w:szCs w:val="28"/>
        </w:rPr>
        <w:t>o</w:t>
      </w:r>
      <w:r w:rsidRPr="00320A86">
        <w:rPr>
          <w:color w:val="000000"/>
          <w:szCs w:val="28"/>
        </w:rPr>
        <w:t xml:space="preserve">longer qu’en idéologie réactionnaire, </w:t>
      </w:r>
      <w:r w:rsidRPr="00320A86">
        <w:rPr>
          <w:color w:val="000000"/>
          <w:szCs w:val="28"/>
          <w:shd w:val="clear" w:color="auto" w:fill="FFFFFF"/>
        </w:rPr>
        <w:t>et s’étioler en « politique » contre-productive par rapport au déploiement de la foi,</w:t>
      </w:r>
      <w:r w:rsidRPr="00320A86">
        <w:rPr>
          <w:color w:val="000000"/>
          <w:szCs w:val="28"/>
        </w:rPr>
        <w:t xml:space="preserve"> ces deux n</w:t>
      </w:r>
      <w:r w:rsidRPr="00320A86">
        <w:rPr>
          <w:color w:val="000000"/>
          <w:szCs w:val="28"/>
        </w:rPr>
        <w:t>i</w:t>
      </w:r>
      <w:r w:rsidRPr="00320A86">
        <w:rPr>
          <w:color w:val="000000"/>
          <w:szCs w:val="28"/>
        </w:rPr>
        <w:t>veaux se renforçant mutuellement et distillant finalement leur poison au sein de l’Église catholique toute entière.</w:t>
      </w:r>
    </w:p>
    <w:p w14:paraId="06F56704" w14:textId="77777777" w:rsidR="00B01930" w:rsidRPr="00320A86" w:rsidRDefault="00B01930" w:rsidP="00B01930">
      <w:pPr>
        <w:spacing w:before="120" w:after="120"/>
        <w:jc w:val="both"/>
        <w:rPr>
          <w:color w:val="000000"/>
          <w:szCs w:val="28"/>
        </w:rPr>
      </w:pPr>
      <w:r w:rsidRPr="00320A86">
        <w:rPr>
          <w:rFonts w:eastAsia="Calibri"/>
          <w:color w:val="000000"/>
          <w:szCs w:val="28"/>
        </w:rPr>
        <w:t>La</w:t>
      </w:r>
      <w:r w:rsidRPr="00320A86">
        <w:rPr>
          <w:color w:val="000000"/>
          <w:szCs w:val="28"/>
        </w:rPr>
        <w:t xml:space="preserve"> </w:t>
      </w:r>
      <w:r w:rsidRPr="00320A86">
        <w:rPr>
          <w:rFonts w:eastAsia="Calibri"/>
          <w:color w:val="000000"/>
          <w:szCs w:val="28"/>
        </w:rPr>
        <w:t>voie</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retour</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arrière</w:t>
      </w:r>
      <w:r w:rsidRPr="00320A86">
        <w:rPr>
          <w:color w:val="000000"/>
          <w:szCs w:val="28"/>
        </w:rPr>
        <w:t xml:space="preserve"> </w:t>
      </w:r>
      <w:r w:rsidRPr="00320A86">
        <w:rPr>
          <w:rFonts w:eastAsia="Calibri"/>
          <w:color w:val="000000"/>
          <w:szCs w:val="28"/>
        </w:rPr>
        <w:t>devient</w:t>
      </w:r>
      <w:r w:rsidRPr="00320A86">
        <w:rPr>
          <w:color w:val="000000"/>
          <w:szCs w:val="28"/>
        </w:rPr>
        <w:t xml:space="preserve"> </w:t>
      </w:r>
      <w:r w:rsidRPr="00320A86">
        <w:rPr>
          <w:rFonts w:eastAsia="Calibri"/>
          <w:color w:val="000000"/>
          <w:szCs w:val="28"/>
        </w:rPr>
        <w:t>dans</w:t>
      </w:r>
      <w:r w:rsidRPr="00320A86">
        <w:rPr>
          <w:color w:val="000000"/>
          <w:szCs w:val="28"/>
        </w:rPr>
        <w:t xml:space="preserve"> </w:t>
      </w:r>
      <w:r w:rsidRPr="00320A86">
        <w:rPr>
          <w:rFonts w:eastAsia="Calibri"/>
          <w:color w:val="000000"/>
          <w:szCs w:val="28"/>
        </w:rPr>
        <w:t>ces</w:t>
      </w:r>
      <w:r w:rsidRPr="00320A86">
        <w:rPr>
          <w:color w:val="000000"/>
          <w:szCs w:val="28"/>
        </w:rPr>
        <w:t xml:space="preserve"> </w:t>
      </w:r>
      <w:r w:rsidRPr="00320A86">
        <w:rPr>
          <w:rFonts w:eastAsia="Calibri"/>
          <w:color w:val="000000"/>
          <w:szCs w:val="28"/>
        </w:rPr>
        <w:t>conditions</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impa</w:t>
      </w:r>
      <w:r w:rsidRPr="00320A86">
        <w:rPr>
          <w:rFonts w:eastAsia="Calibri"/>
          <w:color w:val="000000"/>
          <w:szCs w:val="28"/>
        </w:rPr>
        <w:t>s</w:t>
      </w:r>
      <w:r w:rsidRPr="00320A86">
        <w:rPr>
          <w:rFonts w:eastAsia="Calibri"/>
          <w:color w:val="000000"/>
          <w:szCs w:val="28"/>
        </w:rPr>
        <w:t>se</w:t>
      </w:r>
      <w:r w:rsidRPr="00320A86">
        <w:rPr>
          <w:color w:val="000000"/>
          <w:szCs w:val="28"/>
        </w:rPr>
        <w:t xml:space="preserve"> </w:t>
      </w:r>
      <w:r w:rsidRPr="00320A86">
        <w:rPr>
          <w:rFonts w:eastAsia="Calibri"/>
          <w:color w:val="000000"/>
          <w:szCs w:val="28"/>
        </w:rPr>
        <w:t>polit</w:t>
      </w:r>
      <w:r w:rsidRPr="00320A86">
        <w:rPr>
          <w:rFonts w:eastAsia="Calibri"/>
          <w:color w:val="000000"/>
          <w:szCs w:val="28"/>
        </w:rPr>
        <w:t>i</w:t>
      </w:r>
      <w:r w:rsidRPr="00320A86">
        <w:rPr>
          <w:rFonts w:eastAsia="Calibri"/>
          <w:color w:val="000000"/>
          <w:szCs w:val="28"/>
        </w:rPr>
        <w:t>que.</w:t>
      </w:r>
      <w:r w:rsidRPr="00320A86">
        <w:rPr>
          <w:color w:val="000000"/>
          <w:szCs w:val="28"/>
        </w:rPr>
        <w:t xml:space="preserve"> </w:t>
      </w:r>
      <w:r w:rsidRPr="00320A86">
        <w:rPr>
          <w:rFonts w:eastAsia="Calibri"/>
          <w:color w:val="000000"/>
          <w:szCs w:val="28"/>
        </w:rPr>
        <w:t>Faute</w:t>
      </w:r>
      <w:r w:rsidRPr="00320A86">
        <w:rPr>
          <w:color w:val="000000"/>
          <w:szCs w:val="28"/>
        </w:rPr>
        <w:t xml:space="preserve"> </w:t>
      </w:r>
      <w:r w:rsidRPr="00320A86">
        <w:rPr>
          <w:rFonts w:eastAsia="Calibri"/>
          <w:color w:val="000000"/>
          <w:szCs w:val="28"/>
        </w:rPr>
        <w:t>d’acceptabilité,</w:t>
      </w:r>
      <w:r w:rsidRPr="00320A86">
        <w:rPr>
          <w:color w:val="000000"/>
          <w:szCs w:val="28"/>
        </w:rPr>
        <w:t xml:space="preserve"> </w:t>
      </w:r>
      <w:r w:rsidRPr="00320A86">
        <w:rPr>
          <w:rFonts w:eastAsia="Calibri"/>
          <w:color w:val="000000"/>
          <w:szCs w:val="28"/>
        </w:rPr>
        <w:t>elle</w:t>
      </w:r>
      <w:r w:rsidRPr="00320A86">
        <w:rPr>
          <w:color w:val="000000"/>
          <w:szCs w:val="28"/>
        </w:rPr>
        <w:t xml:space="preserve"> </w:t>
      </w:r>
      <w:r w:rsidRPr="00320A86">
        <w:rPr>
          <w:rFonts w:eastAsia="Calibri"/>
          <w:color w:val="000000"/>
          <w:szCs w:val="28"/>
        </w:rPr>
        <w:t>condamne</w:t>
      </w:r>
      <w:r w:rsidRPr="00320A86">
        <w:rPr>
          <w:color w:val="000000"/>
          <w:szCs w:val="28"/>
        </w:rPr>
        <w:t xml:space="preserve"> </w:t>
      </w:r>
      <w:r w:rsidRPr="00320A86">
        <w:rPr>
          <w:rFonts w:eastAsia="Calibri"/>
          <w:color w:val="000000"/>
          <w:szCs w:val="28"/>
        </w:rPr>
        <w:t>ses</w:t>
      </w:r>
      <w:r w:rsidRPr="00320A86">
        <w:rPr>
          <w:color w:val="000000"/>
          <w:szCs w:val="28"/>
        </w:rPr>
        <w:t xml:space="preserve"> </w:t>
      </w:r>
      <w:r w:rsidRPr="00320A86">
        <w:rPr>
          <w:rFonts w:eastAsia="Calibri"/>
          <w:color w:val="000000"/>
          <w:szCs w:val="28"/>
        </w:rPr>
        <w:t>protagonistes</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marginalité,</w:t>
      </w:r>
      <w:r w:rsidRPr="00320A86">
        <w:rPr>
          <w:color w:val="000000"/>
          <w:szCs w:val="28"/>
        </w:rPr>
        <w:t xml:space="preserve"> leur </w:t>
      </w:r>
      <w:r w:rsidRPr="00320A86">
        <w:rPr>
          <w:rFonts w:eastAsia="Calibri"/>
          <w:color w:val="000000"/>
          <w:szCs w:val="28"/>
        </w:rPr>
        <w:t>laissant</w:t>
      </w:r>
      <w:r w:rsidRPr="00320A86">
        <w:rPr>
          <w:color w:val="000000"/>
          <w:szCs w:val="28"/>
        </w:rPr>
        <w:t xml:space="preserve"> </w:t>
      </w:r>
      <w:r w:rsidRPr="00320A86">
        <w:rPr>
          <w:rFonts w:eastAsia="Calibri"/>
          <w:color w:val="000000"/>
          <w:szCs w:val="28"/>
        </w:rPr>
        <w:t>pour</w:t>
      </w:r>
      <w:r w:rsidRPr="00320A86">
        <w:rPr>
          <w:color w:val="000000"/>
          <w:szCs w:val="28"/>
        </w:rPr>
        <w:t xml:space="preserve"> </w:t>
      </w:r>
      <w:r w:rsidRPr="00320A86">
        <w:rPr>
          <w:rFonts w:eastAsia="Calibri"/>
          <w:color w:val="000000"/>
          <w:szCs w:val="28"/>
        </w:rPr>
        <w:t>seul</w:t>
      </w:r>
      <w:r w:rsidRPr="00320A86">
        <w:rPr>
          <w:color w:val="000000"/>
          <w:szCs w:val="28"/>
        </w:rPr>
        <w:t xml:space="preserve"> </w:t>
      </w:r>
      <w:r w:rsidRPr="00320A86">
        <w:rPr>
          <w:rFonts w:eastAsia="Calibri"/>
          <w:color w:val="000000"/>
          <w:szCs w:val="28"/>
        </w:rPr>
        <w:t>choix</w:t>
      </w:r>
      <w:r w:rsidRPr="00320A86">
        <w:rPr>
          <w:color w:val="000000"/>
          <w:szCs w:val="28"/>
        </w:rPr>
        <w:t xml:space="preserve"> </w:t>
      </w:r>
      <w:r w:rsidRPr="00320A86">
        <w:rPr>
          <w:rFonts w:eastAsia="Calibri"/>
          <w:color w:val="000000"/>
          <w:szCs w:val="28"/>
        </w:rPr>
        <w:t>possible</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désespérance</w:t>
      </w:r>
      <w:r w:rsidRPr="00320A86">
        <w:rPr>
          <w:color w:val="000000"/>
          <w:szCs w:val="28"/>
        </w:rPr>
        <w:t xml:space="preserve"> </w:t>
      </w:r>
      <w:r w:rsidRPr="00320A86">
        <w:rPr>
          <w:rFonts w:eastAsia="Calibri"/>
          <w:color w:val="000000"/>
          <w:szCs w:val="28"/>
        </w:rPr>
        <w:t>ou</w:t>
      </w:r>
      <w:r w:rsidRPr="00320A86">
        <w:rPr>
          <w:color w:val="000000"/>
          <w:szCs w:val="28"/>
        </w:rPr>
        <w:t xml:space="preserve"> </w:t>
      </w:r>
      <w:r w:rsidRPr="00320A86">
        <w:rPr>
          <w:rFonts w:eastAsia="Calibri"/>
          <w:color w:val="000000"/>
          <w:szCs w:val="28"/>
        </w:rPr>
        <w:t>la</w:t>
      </w:r>
      <w:r w:rsidRPr="00320A86">
        <w:rPr>
          <w:color w:val="000000"/>
          <w:szCs w:val="28"/>
        </w:rPr>
        <w:t xml:space="preserve"> </w:t>
      </w:r>
      <w:r w:rsidRPr="00320A86">
        <w:rPr>
          <w:rFonts w:eastAsia="Calibri"/>
          <w:color w:val="000000"/>
          <w:szCs w:val="28"/>
        </w:rPr>
        <w:t>violence, voire l’isolement humain,</w:t>
      </w:r>
      <w:r w:rsidRPr="00320A86">
        <w:rPr>
          <w:rFonts w:eastAsia="Calibri"/>
          <w:color w:val="000000"/>
          <w:szCs w:val="28"/>
          <w:shd w:val="clear" w:color="auto" w:fill="FFFFFF"/>
        </w:rPr>
        <w:t xml:space="preserve"> contraire à la logique de l’Église et au message du Christ qui se veut universel, de solidarité et de rassemblement</w:t>
      </w:r>
      <w:r w:rsidRPr="00320A86">
        <w:rPr>
          <w:rFonts w:eastAsia="Calibri"/>
          <w:color w:val="000000"/>
          <w:szCs w:val="28"/>
        </w:rPr>
        <w:t>.</w:t>
      </w:r>
      <w:r w:rsidRPr="00320A86">
        <w:rPr>
          <w:color w:val="000000"/>
          <w:szCs w:val="28"/>
        </w:rPr>
        <w:t xml:space="preserve"> </w:t>
      </w:r>
      <w:r w:rsidRPr="00320A86">
        <w:rPr>
          <w:rFonts w:eastAsia="Calibri"/>
          <w:color w:val="000000"/>
          <w:szCs w:val="28"/>
        </w:rPr>
        <w:t>Reposant</w:t>
      </w:r>
      <w:r w:rsidRPr="00320A86">
        <w:rPr>
          <w:color w:val="000000"/>
          <w:szCs w:val="28"/>
        </w:rPr>
        <w:t xml:space="preserve"> </w:t>
      </w:r>
      <w:r w:rsidRPr="00320A86">
        <w:rPr>
          <w:rFonts w:eastAsia="Calibri"/>
          <w:color w:val="000000"/>
          <w:szCs w:val="28"/>
        </w:rPr>
        <w:t>sur</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bases</w:t>
      </w:r>
      <w:r w:rsidRPr="00320A86">
        <w:rPr>
          <w:color w:val="000000"/>
          <w:szCs w:val="28"/>
        </w:rPr>
        <w:t xml:space="preserve"> </w:t>
      </w:r>
      <w:r w:rsidRPr="00320A86">
        <w:rPr>
          <w:rFonts w:eastAsia="Calibri"/>
          <w:color w:val="000000"/>
          <w:szCs w:val="28"/>
        </w:rPr>
        <w:t>théologiques</w:t>
      </w:r>
      <w:r w:rsidRPr="00320A86">
        <w:rPr>
          <w:color w:val="000000"/>
          <w:szCs w:val="28"/>
        </w:rPr>
        <w:t xml:space="preserve"> </w:t>
      </w:r>
      <w:r w:rsidRPr="00320A86">
        <w:rPr>
          <w:rFonts w:eastAsia="Calibri"/>
          <w:color w:val="000000"/>
          <w:szCs w:val="28"/>
        </w:rPr>
        <w:t>plus</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di</w:t>
      </w:r>
      <w:r w:rsidRPr="00320A86">
        <w:rPr>
          <w:rFonts w:eastAsia="Calibri"/>
          <w:color w:val="000000"/>
          <w:szCs w:val="28"/>
        </w:rPr>
        <w:t>s</w:t>
      </w:r>
      <w:r w:rsidRPr="00320A86">
        <w:rPr>
          <w:rFonts w:eastAsia="Calibri"/>
          <w:color w:val="000000"/>
          <w:szCs w:val="28"/>
        </w:rPr>
        <w:t>cutables</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lui</w:t>
      </w:r>
      <w:r w:rsidRPr="00320A86">
        <w:rPr>
          <w:color w:val="000000"/>
          <w:szCs w:val="28"/>
        </w:rPr>
        <w:t xml:space="preserve"> </w:t>
      </w:r>
      <w:r w:rsidRPr="00320A86">
        <w:rPr>
          <w:rFonts w:eastAsia="Calibri"/>
          <w:color w:val="000000"/>
          <w:szCs w:val="28"/>
        </w:rPr>
        <w:t>servent</w:t>
      </w:r>
      <w:r w:rsidRPr="00320A86">
        <w:rPr>
          <w:color w:val="000000"/>
          <w:szCs w:val="28"/>
        </w:rPr>
        <w:t xml:space="preserve"> </w:t>
      </w:r>
      <w:r w:rsidRPr="00320A86">
        <w:rPr>
          <w:rFonts w:eastAsia="Calibri"/>
          <w:color w:val="000000"/>
          <w:szCs w:val="28"/>
        </w:rPr>
        <w:t>pourtant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support,</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idéologie</w:t>
      </w:r>
      <w:r w:rsidRPr="00320A86">
        <w:rPr>
          <w:color w:val="000000"/>
          <w:szCs w:val="28"/>
        </w:rPr>
        <w:t xml:space="preserve"> </w:t>
      </w:r>
      <w:r w:rsidRPr="00320A86">
        <w:rPr>
          <w:color w:val="000000"/>
          <w:szCs w:val="28"/>
          <w:shd w:val="clear" w:color="auto" w:fill="FFFFFF"/>
        </w:rPr>
        <w:t>« </w:t>
      </w:r>
      <w:r w:rsidRPr="00320A86">
        <w:rPr>
          <w:rFonts w:eastAsia="Calibri"/>
          <w:color w:val="000000"/>
          <w:szCs w:val="28"/>
        </w:rPr>
        <w:t>réactionnaire</w:t>
      </w:r>
      <w:r w:rsidRPr="00320A86">
        <w:rPr>
          <w:color w:val="000000"/>
          <w:szCs w:val="28"/>
        </w:rPr>
        <w:t> </w:t>
      </w:r>
      <w:r w:rsidRPr="00320A86">
        <w:rPr>
          <w:rFonts w:eastAsia="Calibri"/>
          <w:color w:val="000000"/>
          <w:szCs w:val="28"/>
        </w:rPr>
        <w:t xml:space="preserve">» (au sens profond du terme) et </w:t>
      </w:r>
      <w:r w:rsidRPr="00320A86">
        <w:rPr>
          <w:color w:val="000000"/>
          <w:szCs w:val="28"/>
        </w:rPr>
        <w:t xml:space="preserve"> </w:t>
      </w:r>
      <w:r w:rsidRPr="00320A86">
        <w:rPr>
          <w:rFonts w:eastAsia="Calibri"/>
          <w:color w:val="000000"/>
          <w:szCs w:val="28"/>
        </w:rPr>
        <w:t>intégriste</w:t>
      </w:r>
      <w:r w:rsidRPr="00320A86">
        <w:rPr>
          <w:color w:val="000000"/>
          <w:szCs w:val="28"/>
        </w:rPr>
        <w:t xml:space="preserve"> </w:t>
      </w:r>
      <w:r w:rsidRPr="00320A86">
        <w:rPr>
          <w:rFonts w:eastAsia="Calibri"/>
          <w:color w:val="000000"/>
          <w:szCs w:val="28"/>
        </w:rPr>
        <w:t>ne</w:t>
      </w:r>
      <w:r w:rsidRPr="00320A86">
        <w:rPr>
          <w:color w:val="000000"/>
          <w:szCs w:val="28"/>
        </w:rPr>
        <w:t xml:space="preserve"> </w:t>
      </w:r>
      <w:r w:rsidRPr="00320A86">
        <w:rPr>
          <w:rFonts w:eastAsia="Calibri"/>
          <w:color w:val="000000"/>
          <w:szCs w:val="28"/>
        </w:rPr>
        <w:t>peut</w:t>
      </w:r>
      <w:r w:rsidRPr="00320A86">
        <w:rPr>
          <w:color w:val="000000"/>
          <w:szCs w:val="28"/>
        </w:rPr>
        <w:t xml:space="preserve"> </w:t>
      </w:r>
      <w:r w:rsidRPr="00320A86">
        <w:rPr>
          <w:rFonts w:eastAsia="Calibri"/>
          <w:color w:val="000000"/>
          <w:szCs w:val="28"/>
        </w:rPr>
        <w:t>pa</w:t>
      </w:r>
      <w:r w:rsidRPr="00320A86">
        <w:rPr>
          <w:rFonts w:eastAsia="Calibri"/>
          <w:color w:val="000000"/>
          <w:szCs w:val="28"/>
        </w:rPr>
        <w:t>r</w:t>
      </w:r>
      <w:r w:rsidRPr="00320A86">
        <w:rPr>
          <w:rFonts w:eastAsia="Calibri"/>
          <w:color w:val="000000"/>
          <w:szCs w:val="28"/>
        </w:rPr>
        <w:t>venir</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ses</w:t>
      </w:r>
      <w:r w:rsidRPr="00320A86">
        <w:rPr>
          <w:color w:val="000000"/>
          <w:szCs w:val="28"/>
        </w:rPr>
        <w:t xml:space="preserve"> </w:t>
      </w:r>
      <w:r w:rsidRPr="00320A86">
        <w:rPr>
          <w:rFonts w:eastAsia="Calibri"/>
          <w:color w:val="000000"/>
          <w:szCs w:val="28"/>
        </w:rPr>
        <w:t>buts</w:t>
      </w:r>
      <w:r w:rsidRPr="00320A86">
        <w:rPr>
          <w:color w:val="000000"/>
          <w:szCs w:val="28"/>
        </w:rPr>
        <w:t xml:space="preserve"> </w:t>
      </w:r>
      <w:r w:rsidRPr="00320A86">
        <w:rPr>
          <w:rFonts w:eastAsia="Calibri"/>
          <w:color w:val="000000"/>
          <w:szCs w:val="28"/>
        </w:rPr>
        <w:t>temporels,</w:t>
      </w:r>
      <w:r w:rsidRPr="00320A86">
        <w:rPr>
          <w:color w:val="000000"/>
          <w:szCs w:val="28"/>
        </w:rPr>
        <w:t xml:space="preserve"> </w:t>
      </w:r>
      <w:r w:rsidRPr="00320A86">
        <w:rPr>
          <w:rFonts w:eastAsia="Calibri"/>
          <w:color w:val="000000"/>
          <w:szCs w:val="28"/>
        </w:rPr>
        <w:t>tout</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se</w:t>
      </w:r>
      <w:r w:rsidRPr="00320A86">
        <w:rPr>
          <w:color w:val="000000"/>
          <w:szCs w:val="28"/>
        </w:rPr>
        <w:t xml:space="preserve"> </w:t>
      </w:r>
      <w:r w:rsidRPr="00320A86">
        <w:rPr>
          <w:rFonts w:eastAsia="Calibri"/>
          <w:color w:val="000000"/>
          <w:szCs w:val="28"/>
        </w:rPr>
        <w:t>nourrissant</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l’ardeur</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fidèles</w:t>
      </w:r>
      <w:r w:rsidRPr="00320A86">
        <w:rPr>
          <w:color w:val="000000"/>
          <w:szCs w:val="28"/>
        </w:rPr>
        <w:t xml:space="preserve"> </w:t>
      </w:r>
      <w:r w:rsidRPr="00320A86">
        <w:rPr>
          <w:rFonts w:eastAsia="Calibri"/>
          <w:color w:val="000000"/>
          <w:szCs w:val="28"/>
        </w:rPr>
        <w:t>nostalgiques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so</w:t>
      </w:r>
      <w:r w:rsidRPr="00320A86">
        <w:rPr>
          <w:rFonts w:eastAsia="Calibri"/>
          <w:color w:val="000000"/>
          <w:szCs w:val="28"/>
        </w:rPr>
        <w:t>u</w:t>
      </w:r>
      <w:r w:rsidRPr="00320A86">
        <w:rPr>
          <w:rFonts w:eastAsia="Calibri"/>
          <w:color w:val="000000"/>
          <w:szCs w:val="28"/>
        </w:rPr>
        <w:t>vent</w:t>
      </w:r>
      <w:r w:rsidRPr="00320A86">
        <w:rPr>
          <w:color w:val="000000"/>
          <w:szCs w:val="28"/>
        </w:rPr>
        <w:t xml:space="preserve"> </w:t>
      </w:r>
      <w:r w:rsidRPr="00320A86">
        <w:rPr>
          <w:rFonts w:eastAsia="Calibri"/>
          <w:color w:val="000000"/>
          <w:szCs w:val="28"/>
        </w:rPr>
        <w:t>déclassés</w:t>
      </w:r>
      <w:r w:rsidRPr="00320A86">
        <w:rPr>
          <w:color w:val="000000"/>
          <w:szCs w:val="28"/>
        </w:rPr>
        <w:t xml:space="preserve"> </w:t>
      </w:r>
      <w:r w:rsidRPr="00320A86">
        <w:rPr>
          <w:rFonts w:eastAsia="Calibri"/>
          <w:color w:val="000000"/>
          <w:szCs w:val="28"/>
        </w:rPr>
        <w:t>auxquels</w:t>
      </w:r>
      <w:r w:rsidRPr="00320A86">
        <w:rPr>
          <w:color w:val="000000"/>
          <w:szCs w:val="28"/>
        </w:rPr>
        <w:t xml:space="preserve"> </w:t>
      </w:r>
      <w:r w:rsidRPr="00320A86">
        <w:rPr>
          <w:rFonts w:eastAsia="Calibri"/>
          <w:color w:val="000000"/>
          <w:szCs w:val="28"/>
        </w:rPr>
        <w:t>l</w:t>
      </w:r>
      <w:r w:rsidRPr="00320A86">
        <w:rPr>
          <w:color w:val="000000"/>
          <w:szCs w:val="28"/>
        </w:rPr>
        <w:t>’</w:t>
      </w:r>
      <w:r w:rsidRPr="00320A86">
        <w:rPr>
          <w:rFonts w:eastAsia="Calibri"/>
          <w:color w:val="000000"/>
          <w:szCs w:val="28"/>
        </w:rPr>
        <w:t>intégrisme</w:t>
      </w:r>
      <w:r w:rsidRPr="00320A86">
        <w:rPr>
          <w:color w:val="000000"/>
          <w:szCs w:val="28"/>
        </w:rPr>
        <w:t xml:space="preserve"> </w:t>
      </w:r>
      <w:r w:rsidRPr="00320A86">
        <w:rPr>
          <w:rFonts w:eastAsia="Calibri"/>
          <w:color w:val="000000"/>
          <w:szCs w:val="28"/>
        </w:rPr>
        <w:t>fournit</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arguments</w:t>
      </w:r>
      <w:r w:rsidRPr="00320A86">
        <w:rPr>
          <w:color w:val="000000"/>
          <w:szCs w:val="28"/>
        </w:rPr>
        <w:t xml:space="preserve"> </w:t>
      </w:r>
      <w:r w:rsidRPr="00320A86">
        <w:rPr>
          <w:rFonts w:eastAsia="Calibri"/>
          <w:color w:val="000000"/>
          <w:szCs w:val="28"/>
        </w:rPr>
        <w:t>aussi</w:t>
      </w:r>
      <w:r w:rsidRPr="00320A86">
        <w:rPr>
          <w:color w:val="000000"/>
          <w:szCs w:val="28"/>
        </w:rPr>
        <w:t xml:space="preserve"> </w:t>
      </w:r>
      <w:r w:rsidRPr="00320A86">
        <w:rPr>
          <w:rFonts w:eastAsia="Calibri"/>
          <w:color w:val="000000"/>
          <w:szCs w:val="28"/>
        </w:rPr>
        <w:t>bien</w:t>
      </w:r>
      <w:r w:rsidRPr="00320A86">
        <w:rPr>
          <w:color w:val="000000"/>
          <w:szCs w:val="28"/>
        </w:rPr>
        <w:t xml:space="preserve"> </w:t>
      </w:r>
      <w:r w:rsidRPr="00320A86">
        <w:rPr>
          <w:rFonts w:eastAsia="Calibri"/>
          <w:color w:val="000000"/>
          <w:szCs w:val="28"/>
        </w:rPr>
        <w:t>religieux</w:t>
      </w:r>
      <w:r w:rsidRPr="00320A86">
        <w:rPr>
          <w:color w:val="000000"/>
          <w:szCs w:val="28"/>
        </w:rPr>
        <w:t xml:space="preserve"> </w:t>
      </w:r>
      <w:r w:rsidRPr="00320A86">
        <w:rPr>
          <w:rFonts w:eastAsia="Calibri"/>
          <w:color w:val="000000"/>
          <w:szCs w:val="28"/>
        </w:rPr>
        <w:t>que</w:t>
      </w:r>
      <w:r w:rsidRPr="00320A86">
        <w:rPr>
          <w:color w:val="000000"/>
          <w:szCs w:val="28"/>
        </w:rPr>
        <w:t xml:space="preserve"> </w:t>
      </w:r>
      <w:r w:rsidRPr="00320A86">
        <w:rPr>
          <w:rFonts w:eastAsia="Calibri"/>
          <w:color w:val="000000"/>
          <w:szCs w:val="28"/>
        </w:rPr>
        <w:t>politiques</w:t>
      </w:r>
      <w:r w:rsidRPr="00320A86">
        <w:rPr>
          <w:color w:val="000000"/>
          <w:szCs w:val="28"/>
        </w:rPr>
        <w:t xml:space="preserve"> </w:t>
      </w:r>
      <w:r w:rsidRPr="00320A86">
        <w:rPr>
          <w:rFonts w:eastAsia="Calibri"/>
          <w:color w:val="000000"/>
          <w:szCs w:val="28"/>
        </w:rPr>
        <w:t>servant</w:t>
      </w:r>
      <w:r w:rsidRPr="00320A86">
        <w:rPr>
          <w:color w:val="000000"/>
          <w:szCs w:val="28"/>
        </w:rPr>
        <w:t xml:space="preserve"> d</w:t>
      </w:r>
      <w:r w:rsidRPr="00320A86">
        <w:rPr>
          <w:rFonts w:eastAsia="Calibri"/>
          <w:color w:val="000000"/>
          <w:szCs w:val="28"/>
        </w:rPr>
        <w:t>e</w:t>
      </w:r>
      <w:r w:rsidRPr="00320A86">
        <w:rPr>
          <w:color w:val="000000"/>
          <w:szCs w:val="28"/>
        </w:rPr>
        <w:t xml:space="preserve"> </w:t>
      </w:r>
      <w:r w:rsidRPr="00320A86">
        <w:rPr>
          <w:rFonts w:eastAsia="Calibri"/>
          <w:color w:val="000000"/>
          <w:szCs w:val="28"/>
        </w:rPr>
        <w:t>refuge</w:t>
      </w:r>
      <w:r w:rsidRPr="00320A86">
        <w:rPr>
          <w:color w:val="000000"/>
          <w:szCs w:val="28"/>
        </w:rPr>
        <w:t xml:space="preserve"> </w:t>
      </w:r>
      <w:r w:rsidRPr="00320A86">
        <w:rPr>
          <w:rFonts w:eastAsia="Calibri"/>
          <w:color w:val="000000"/>
          <w:szCs w:val="28"/>
        </w:rPr>
        <w:t>à</w:t>
      </w:r>
      <w:r w:rsidRPr="00320A86">
        <w:rPr>
          <w:color w:val="000000"/>
          <w:szCs w:val="28"/>
        </w:rPr>
        <w:t xml:space="preserve"> </w:t>
      </w:r>
      <w:r w:rsidRPr="00320A86">
        <w:rPr>
          <w:rFonts w:eastAsia="Calibri"/>
          <w:color w:val="000000"/>
          <w:szCs w:val="28"/>
        </w:rPr>
        <w:t>leur</w:t>
      </w:r>
      <w:r w:rsidRPr="00320A86">
        <w:rPr>
          <w:color w:val="000000"/>
          <w:szCs w:val="28"/>
        </w:rPr>
        <w:t xml:space="preserve"> </w:t>
      </w:r>
      <w:r w:rsidRPr="00320A86">
        <w:rPr>
          <w:rFonts w:eastAsia="Calibri"/>
          <w:color w:val="000000"/>
          <w:szCs w:val="28"/>
        </w:rPr>
        <w:t>inadaptation</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monde</w:t>
      </w:r>
      <w:r w:rsidRPr="00320A86">
        <w:rPr>
          <w:color w:val="000000"/>
          <w:szCs w:val="28"/>
        </w:rPr>
        <w:t xml:space="preserve"> </w:t>
      </w:r>
      <w:r w:rsidRPr="00320A86">
        <w:rPr>
          <w:rFonts w:eastAsia="Calibri"/>
          <w:color w:val="000000"/>
          <w:szCs w:val="28"/>
        </w:rPr>
        <w:t>environnant.</w:t>
      </w:r>
      <w:r w:rsidRPr="00320A86">
        <w:rPr>
          <w:color w:val="000000"/>
          <w:szCs w:val="28"/>
        </w:rPr>
        <w:t xml:space="preserve"> </w:t>
      </w:r>
      <w:r w:rsidRPr="00320A86">
        <w:rPr>
          <w:rFonts w:eastAsia="Calibri"/>
          <w:color w:val="000000"/>
          <w:szCs w:val="28"/>
        </w:rPr>
        <w:t>Il</w:t>
      </w:r>
      <w:r w:rsidRPr="00320A86">
        <w:rPr>
          <w:color w:val="000000"/>
          <w:szCs w:val="28"/>
        </w:rPr>
        <w:t xml:space="preserve"> </w:t>
      </w:r>
      <w:r w:rsidRPr="00320A86">
        <w:rPr>
          <w:rFonts w:eastAsia="Calibri"/>
          <w:color w:val="000000"/>
          <w:szCs w:val="28"/>
        </w:rPr>
        <w:t>en</w:t>
      </w:r>
      <w:r w:rsidRPr="00320A86">
        <w:rPr>
          <w:color w:val="000000"/>
          <w:szCs w:val="28"/>
        </w:rPr>
        <w:t xml:space="preserve"> </w:t>
      </w:r>
      <w:r w:rsidRPr="00320A86">
        <w:rPr>
          <w:rFonts w:eastAsia="Calibri"/>
          <w:color w:val="000000"/>
          <w:szCs w:val="28"/>
        </w:rPr>
        <w:t>résulte</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postures</w:t>
      </w:r>
      <w:r w:rsidRPr="00320A86">
        <w:rPr>
          <w:color w:val="000000"/>
          <w:szCs w:val="28"/>
        </w:rPr>
        <w:t xml:space="preserve"> </w:t>
      </w:r>
      <w:r w:rsidRPr="00320A86">
        <w:rPr>
          <w:rFonts w:eastAsia="Calibri"/>
          <w:color w:val="000000"/>
          <w:szCs w:val="28"/>
        </w:rPr>
        <w:t>héro</w:t>
      </w:r>
      <w:r w:rsidRPr="00320A86">
        <w:rPr>
          <w:rFonts w:eastAsia="Calibri"/>
          <w:color w:val="000000"/>
          <w:szCs w:val="28"/>
        </w:rPr>
        <w:t>ï</w:t>
      </w:r>
      <w:r w:rsidRPr="00320A86">
        <w:rPr>
          <w:rFonts w:eastAsia="Calibri"/>
          <w:color w:val="000000"/>
          <w:szCs w:val="28"/>
        </w:rPr>
        <w:t>ques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sacrificielles,</w:t>
      </w:r>
      <w:r w:rsidRPr="00320A86">
        <w:rPr>
          <w:color w:val="000000"/>
          <w:szCs w:val="28"/>
        </w:rPr>
        <w:t xml:space="preserve"> </w:t>
      </w:r>
      <w:r w:rsidRPr="00320A86">
        <w:rPr>
          <w:rFonts w:eastAsia="Calibri"/>
          <w:color w:val="000000"/>
          <w:szCs w:val="28"/>
        </w:rPr>
        <w:t>savamment</w:t>
      </w:r>
      <w:r w:rsidRPr="00320A86">
        <w:rPr>
          <w:color w:val="000000"/>
          <w:szCs w:val="28"/>
        </w:rPr>
        <w:t xml:space="preserve"> </w:t>
      </w:r>
      <w:r w:rsidRPr="00320A86">
        <w:rPr>
          <w:rFonts w:eastAsia="Calibri"/>
          <w:color w:val="000000"/>
          <w:szCs w:val="28"/>
        </w:rPr>
        <w:t>entretenues</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leurs</w:t>
      </w:r>
      <w:r w:rsidRPr="00320A86">
        <w:rPr>
          <w:color w:val="000000"/>
          <w:szCs w:val="28"/>
        </w:rPr>
        <w:t xml:space="preserve"> </w:t>
      </w:r>
      <w:r w:rsidRPr="00320A86">
        <w:rPr>
          <w:rFonts w:eastAsia="Calibri"/>
          <w:color w:val="000000"/>
          <w:szCs w:val="28"/>
        </w:rPr>
        <w:t>clercs,</w:t>
      </w:r>
      <w:r w:rsidRPr="00320A86">
        <w:rPr>
          <w:color w:val="000000"/>
          <w:szCs w:val="28"/>
        </w:rPr>
        <w:t xml:space="preserve"> </w:t>
      </w:r>
      <w:r w:rsidRPr="00320A86">
        <w:rPr>
          <w:rFonts w:eastAsia="Calibri"/>
          <w:color w:val="000000"/>
          <w:szCs w:val="28"/>
        </w:rPr>
        <w:t>et</w:t>
      </w:r>
      <w:r w:rsidRPr="00320A86">
        <w:rPr>
          <w:color w:val="000000"/>
          <w:szCs w:val="28"/>
        </w:rPr>
        <w:t xml:space="preserve"> </w:t>
      </w:r>
      <w:r w:rsidRPr="00320A86">
        <w:rPr>
          <w:rFonts w:eastAsia="Calibri"/>
          <w:color w:val="000000"/>
          <w:szCs w:val="28"/>
        </w:rPr>
        <w:t>dont</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romantisme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façade</w:t>
      </w:r>
      <w:r w:rsidRPr="00320A86">
        <w:rPr>
          <w:color w:val="000000"/>
          <w:szCs w:val="28"/>
        </w:rPr>
        <w:t xml:space="preserve"> </w:t>
      </w:r>
      <w:r w:rsidRPr="00320A86">
        <w:rPr>
          <w:rFonts w:eastAsia="Calibri"/>
          <w:color w:val="000000"/>
          <w:szCs w:val="28"/>
        </w:rPr>
        <w:t>dissimule</w:t>
      </w:r>
      <w:r w:rsidRPr="00320A86">
        <w:rPr>
          <w:color w:val="000000"/>
          <w:szCs w:val="28"/>
        </w:rPr>
        <w:t xml:space="preserve"> </w:t>
      </w:r>
      <w:r w:rsidRPr="00320A86">
        <w:rPr>
          <w:rFonts w:eastAsia="Calibri"/>
          <w:color w:val="000000"/>
          <w:szCs w:val="28"/>
        </w:rPr>
        <w:t>avec</w:t>
      </w:r>
      <w:r w:rsidRPr="00320A86">
        <w:rPr>
          <w:color w:val="000000"/>
          <w:szCs w:val="28"/>
        </w:rPr>
        <w:t xml:space="preserve"> </w:t>
      </w:r>
      <w:r w:rsidRPr="00320A86">
        <w:rPr>
          <w:rFonts w:eastAsia="Calibri"/>
          <w:color w:val="000000"/>
          <w:szCs w:val="28"/>
        </w:rPr>
        <w:t>peine</w:t>
      </w:r>
      <w:r w:rsidRPr="00320A86">
        <w:rPr>
          <w:color w:val="000000"/>
          <w:szCs w:val="28"/>
        </w:rPr>
        <w:t xml:space="preserve"> </w:t>
      </w:r>
      <w:r w:rsidRPr="00320A86">
        <w:rPr>
          <w:rFonts w:eastAsia="Calibri"/>
          <w:color w:val="000000"/>
          <w:szCs w:val="28"/>
        </w:rPr>
        <w:t>une</w:t>
      </w:r>
      <w:r w:rsidRPr="00320A86">
        <w:rPr>
          <w:color w:val="000000"/>
          <w:szCs w:val="28"/>
        </w:rPr>
        <w:t xml:space="preserve"> </w:t>
      </w:r>
      <w:r w:rsidRPr="00320A86">
        <w:rPr>
          <w:rFonts w:eastAsia="Calibri"/>
          <w:color w:val="000000"/>
          <w:szCs w:val="28"/>
        </w:rPr>
        <w:t>culture</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disside</w:t>
      </w:r>
      <w:r w:rsidRPr="00320A86">
        <w:rPr>
          <w:rFonts w:eastAsia="Calibri"/>
          <w:color w:val="000000"/>
          <w:szCs w:val="28"/>
        </w:rPr>
        <w:t>n</w:t>
      </w:r>
      <w:r w:rsidRPr="00320A86">
        <w:rPr>
          <w:rFonts w:eastAsia="Calibri"/>
          <w:color w:val="000000"/>
          <w:szCs w:val="28"/>
        </w:rPr>
        <w:t>ce</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finalement</w:t>
      </w:r>
      <w:r w:rsidRPr="00320A86">
        <w:rPr>
          <w:color w:val="000000"/>
          <w:szCs w:val="28"/>
        </w:rPr>
        <w:t xml:space="preserve"> </w:t>
      </w:r>
      <w:r w:rsidRPr="00320A86">
        <w:rPr>
          <w:rFonts w:eastAsia="Calibri"/>
          <w:color w:val="000000"/>
          <w:szCs w:val="28"/>
        </w:rPr>
        <w:t>leur</w:t>
      </w:r>
      <w:r w:rsidRPr="00320A86">
        <w:rPr>
          <w:color w:val="000000"/>
          <w:szCs w:val="28"/>
        </w:rPr>
        <w:t xml:space="preserve"> </w:t>
      </w:r>
      <w:r w:rsidRPr="00320A86">
        <w:rPr>
          <w:rFonts w:eastAsia="Calibri"/>
          <w:color w:val="000000"/>
          <w:szCs w:val="28"/>
        </w:rPr>
        <w:t>seule</w:t>
      </w:r>
      <w:r w:rsidRPr="00320A86">
        <w:rPr>
          <w:color w:val="000000"/>
          <w:szCs w:val="28"/>
        </w:rPr>
        <w:t xml:space="preserve"> </w:t>
      </w:r>
      <w:r w:rsidRPr="00320A86">
        <w:rPr>
          <w:rFonts w:eastAsia="Calibri"/>
          <w:color w:val="000000"/>
          <w:szCs w:val="28"/>
        </w:rPr>
        <w:t>identité,</w:t>
      </w:r>
      <w:r w:rsidRPr="00320A86">
        <w:rPr>
          <w:color w:val="000000"/>
          <w:szCs w:val="28"/>
        </w:rPr>
        <w:t xml:space="preserve"> </w:t>
      </w:r>
      <w:r w:rsidRPr="00320A86">
        <w:rPr>
          <w:rFonts w:eastAsia="Calibri"/>
          <w:color w:val="000000"/>
          <w:szCs w:val="28"/>
        </w:rPr>
        <w:t>sans</w:t>
      </w:r>
      <w:r w:rsidRPr="00320A86">
        <w:rPr>
          <w:color w:val="000000"/>
          <w:szCs w:val="28"/>
        </w:rPr>
        <w:t xml:space="preserve"> </w:t>
      </w:r>
      <w:r w:rsidRPr="00320A86">
        <w:rPr>
          <w:rFonts w:eastAsia="Calibri"/>
          <w:color w:val="000000"/>
          <w:szCs w:val="28"/>
        </w:rPr>
        <w:t>pouvoir</w:t>
      </w:r>
      <w:r w:rsidRPr="00320A86">
        <w:rPr>
          <w:color w:val="000000"/>
          <w:szCs w:val="28"/>
        </w:rPr>
        <w:t xml:space="preserve"> </w:t>
      </w:r>
      <w:r w:rsidRPr="00320A86">
        <w:rPr>
          <w:rFonts w:eastAsia="Calibri"/>
          <w:color w:val="000000"/>
          <w:szCs w:val="28"/>
        </w:rPr>
        <w:t>déboucher</w:t>
      </w:r>
      <w:r w:rsidRPr="00320A86">
        <w:rPr>
          <w:color w:val="000000"/>
          <w:szCs w:val="28"/>
        </w:rPr>
        <w:t xml:space="preserve"> </w:t>
      </w:r>
      <w:r w:rsidRPr="00320A86">
        <w:rPr>
          <w:rFonts w:eastAsia="Calibri"/>
          <w:color w:val="000000"/>
          <w:szCs w:val="28"/>
        </w:rPr>
        <w:t>sur</w:t>
      </w:r>
      <w:r w:rsidRPr="00320A86">
        <w:rPr>
          <w:color w:val="000000"/>
          <w:szCs w:val="28"/>
        </w:rPr>
        <w:t xml:space="preserve"> </w:t>
      </w:r>
      <w:r w:rsidRPr="00320A86">
        <w:rPr>
          <w:rFonts w:eastAsia="Calibri"/>
          <w:color w:val="000000"/>
          <w:szCs w:val="28"/>
        </w:rPr>
        <w:t>des</w:t>
      </w:r>
      <w:r w:rsidRPr="00320A86">
        <w:rPr>
          <w:color w:val="000000"/>
          <w:szCs w:val="28"/>
        </w:rPr>
        <w:t xml:space="preserve"> </w:t>
      </w:r>
      <w:r w:rsidRPr="00320A86">
        <w:rPr>
          <w:rFonts w:eastAsia="Calibri"/>
          <w:color w:val="000000"/>
          <w:szCs w:val="28"/>
        </w:rPr>
        <w:t>critiques</w:t>
      </w:r>
      <w:r w:rsidRPr="00320A86">
        <w:rPr>
          <w:color w:val="000000"/>
          <w:szCs w:val="28"/>
        </w:rPr>
        <w:t xml:space="preserve"> </w:t>
      </w:r>
      <w:r w:rsidRPr="00320A86">
        <w:rPr>
          <w:rFonts w:eastAsia="Calibri"/>
          <w:color w:val="000000"/>
          <w:szCs w:val="28"/>
        </w:rPr>
        <w:t>constructives.</w:t>
      </w:r>
      <w:r w:rsidRPr="00320A86">
        <w:rPr>
          <w:color w:val="000000"/>
          <w:szCs w:val="28"/>
        </w:rPr>
        <w:t xml:space="preserve"> </w:t>
      </w:r>
      <w:r w:rsidRPr="00320A86">
        <w:rPr>
          <w:rFonts w:eastAsia="Calibri"/>
          <w:color w:val="000000"/>
          <w:szCs w:val="28"/>
        </w:rPr>
        <w:t>Paradoxalement,</w:t>
      </w:r>
      <w:r w:rsidRPr="00320A86">
        <w:rPr>
          <w:color w:val="000000"/>
          <w:szCs w:val="28"/>
        </w:rPr>
        <w:t xml:space="preserve"> </w:t>
      </w:r>
      <w:r w:rsidRPr="00320A86">
        <w:rPr>
          <w:rFonts w:eastAsia="Calibri"/>
          <w:color w:val="000000"/>
          <w:szCs w:val="28"/>
        </w:rPr>
        <w:t>cette</w:t>
      </w:r>
      <w:r w:rsidRPr="00320A86">
        <w:rPr>
          <w:color w:val="000000"/>
          <w:szCs w:val="28"/>
        </w:rPr>
        <w:t xml:space="preserve"> </w:t>
      </w:r>
      <w:r w:rsidRPr="00320A86">
        <w:rPr>
          <w:rFonts w:eastAsia="Calibri"/>
          <w:color w:val="000000"/>
          <w:szCs w:val="28"/>
        </w:rPr>
        <w:t>marginalité</w:t>
      </w:r>
      <w:r w:rsidRPr="00320A86">
        <w:rPr>
          <w:color w:val="000000"/>
          <w:szCs w:val="28"/>
        </w:rPr>
        <w:t xml:space="preserve"> </w:t>
      </w:r>
      <w:r w:rsidRPr="00320A86">
        <w:rPr>
          <w:rFonts w:eastAsia="Calibri"/>
          <w:color w:val="000000"/>
          <w:szCs w:val="28"/>
        </w:rPr>
        <w:t>diss</w:t>
      </w:r>
      <w:r w:rsidRPr="00320A86">
        <w:rPr>
          <w:rFonts w:eastAsia="Calibri"/>
          <w:color w:val="000000"/>
          <w:szCs w:val="28"/>
        </w:rPr>
        <w:t>i</w:t>
      </w:r>
      <w:r w:rsidRPr="00320A86">
        <w:rPr>
          <w:rFonts w:eastAsia="Calibri"/>
          <w:color w:val="000000"/>
          <w:szCs w:val="28"/>
        </w:rPr>
        <w:t>dente</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ainsi</w:t>
      </w:r>
      <w:r w:rsidRPr="00320A86">
        <w:rPr>
          <w:color w:val="000000"/>
          <w:szCs w:val="28"/>
        </w:rPr>
        <w:t xml:space="preserve"> </w:t>
      </w:r>
      <w:r w:rsidRPr="00320A86">
        <w:rPr>
          <w:rFonts w:eastAsia="Calibri"/>
          <w:color w:val="000000"/>
          <w:szCs w:val="28"/>
        </w:rPr>
        <w:t>bien</w:t>
      </w:r>
      <w:r w:rsidRPr="00320A86">
        <w:rPr>
          <w:color w:val="000000"/>
          <w:szCs w:val="28"/>
        </w:rPr>
        <w:t xml:space="preserve"> </w:t>
      </w:r>
      <w:r w:rsidRPr="00320A86">
        <w:rPr>
          <w:rFonts w:eastAsia="Calibri"/>
          <w:color w:val="000000"/>
          <w:szCs w:val="28"/>
        </w:rPr>
        <w:t>tolérée</w:t>
      </w:r>
      <w:r w:rsidRPr="00320A86">
        <w:rPr>
          <w:color w:val="000000"/>
          <w:szCs w:val="28"/>
        </w:rPr>
        <w:t xml:space="preserve"> </w:t>
      </w:r>
      <w:r w:rsidRPr="00320A86">
        <w:rPr>
          <w:rFonts w:eastAsia="Calibri"/>
          <w:color w:val="000000"/>
          <w:szCs w:val="28"/>
        </w:rPr>
        <w:t>par</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sociétés</w:t>
      </w:r>
      <w:r w:rsidRPr="00320A86">
        <w:rPr>
          <w:color w:val="000000"/>
          <w:szCs w:val="28"/>
        </w:rPr>
        <w:t xml:space="preserve"> </w:t>
      </w:r>
      <w:r w:rsidRPr="00320A86">
        <w:rPr>
          <w:rFonts w:eastAsia="Calibri"/>
          <w:color w:val="000000"/>
          <w:szCs w:val="28"/>
        </w:rPr>
        <w:t>post-modernes,</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lui</w:t>
      </w:r>
      <w:r w:rsidRPr="00320A86">
        <w:rPr>
          <w:color w:val="000000"/>
          <w:szCs w:val="28"/>
        </w:rPr>
        <w:t xml:space="preserve"> </w:t>
      </w:r>
      <w:r w:rsidRPr="00320A86">
        <w:rPr>
          <w:rFonts w:eastAsia="Calibri"/>
          <w:color w:val="000000"/>
          <w:szCs w:val="28"/>
        </w:rPr>
        <w:t>font</w:t>
      </w:r>
      <w:r w:rsidRPr="00320A86">
        <w:rPr>
          <w:color w:val="000000"/>
          <w:szCs w:val="28"/>
        </w:rPr>
        <w:t xml:space="preserve"> </w:t>
      </w:r>
      <w:r w:rsidRPr="00320A86">
        <w:rPr>
          <w:rFonts w:eastAsia="Calibri"/>
          <w:color w:val="000000"/>
          <w:szCs w:val="28"/>
        </w:rPr>
        <w:t>horreur,</w:t>
      </w:r>
      <w:r w:rsidRPr="00320A86">
        <w:rPr>
          <w:color w:val="000000"/>
          <w:szCs w:val="28"/>
        </w:rPr>
        <w:t xml:space="preserve"> </w:t>
      </w:r>
      <w:r w:rsidRPr="00320A86">
        <w:rPr>
          <w:rFonts w:eastAsia="Calibri"/>
          <w:color w:val="000000"/>
          <w:szCs w:val="28"/>
        </w:rPr>
        <w:t>mais</w:t>
      </w:r>
      <w:r w:rsidRPr="00320A86">
        <w:rPr>
          <w:color w:val="000000"/>
          <w:szCs w:val="28"/>
        </w:rPr>
        <w:t xml:space="preserve"> </w:t>
      </w:r>
      <w:r w:rsidRPr="00320A86">
        <w:rPr>
          <w:rFonts w:eastAsia="Calibri"/>
          <w:color w:val="000000"/>
          <w:szCs w:val="28"/>
        </w:rPr>
        <w:t>qui</w:t>
      </w:r>
      <w:r w:rsidRPr="00320A86">
        <w:rPr>
          <w:color w:val="000000"/>
          <w:szCs w:val="28"/>
        </w:rPr>
        <w:t xml:space="preserve"> </w:t>
      </w:r>
      <w:r w:rsidRPr="00320A86">
        <w:rPr>
          <w:rFonts w:eastAsia="Calibri"/>
          <w:color w:val="000000"/>
          <w:szCs w:val="28"/>
        </w:rPr>
        <w:t>dig</w:t>
      </w:r>
      <w:r w:rsidRPr="00320A86">
        <w:rPr>
          <w:rFonts w:eastAsia="Calibri"/>
          <w:color w:val="000000"/>
          <w:szCs w:val="28"/>
        </w:rPr>
        <w:t>è</w:t>
      </w:r>
      <w:r w:rsidRPr="00320A86">
        <w:rPr>
          <w:rFonts w:eastAsia="Calibri"/>
          <w:color w:val="000000"/>
          <w:szCs w:val="28"/>
        </w:rPr>
        <w:t>rent</w:t>
      </w:r>
      <w:r w:rsidRPr="00320A86">
        <w:rPr>
          <w:color w:val="000000"/>
          <w:szCs w:val="28"/>
        </w:rPr>
        <w:t xml:space="preserve"> </w:t>
      </w:r>
      <w:r w:rsidRPr="00320A86">
        <w:rPr>
          <w:rFonts w:eastAsia="Calibri"/>
          <w:color w:val="000000"/>
          <w:szCs w:val="28"/>
        </w:rPr>
        <w:t>avec</w:t>
      </w:r>
      <w:r w:rsidRPr="00320A86">
        <w:rPr>
          <w:color w:val="000000"/>
          <w:szCs w:val="28"/>
        </w:rPr>
        <w:t xml:space="preserve"> </w:t>
      </w:r>
      <w:r w:rsidRPr="00320A86">
        <w:rPr>
          <w:rFonts w:eastAsia="Calibri"/>
          <w:color w:val="000000"/>
          <w:szCs w:val="28"/>
        </w:rPr>
        <w:t>adresse</w:t>
      </w:r>
      <w:r w:rsidRPr="00320A86">
        <w:rPr>
          <w:color w:val="000000"/>
          <w:szCs w:val="28"/>
        </w:rPr>
        <w:t xml:space="preserve"> </w:t>
      </w:r>
      <w:r w:rsidRPr="00320A86">
        <w:rPr>
          <w:rFonts w:eastAsia="Calibri"/>
          <w:color w:val="000000"/>
          <w:szCs w:val="28"/>
        </w:rPr>
        <w:t>les</w:t>
      </w:r>
      <w:r w:rsidRPr="00320A86">
        <w:rPr>
          <w:color w:val="000000"/>
          <w:szCs w:val="28"/>
        </w:rPr>
        <w:t xml:space="preserve"> </w:t>
      </w:r>
      <w:r w:rsidRPr="00320A86">
        <w:rPr>
          <w:rFonts w:eastAsia="Calibri"/>
          <w:color w:val="000000"/>
          <w:szCs w:val="28"/>
        </w:rPr>
        <w:t>exclusions</w:t>
      </w:r>
      <w:r w:rsidRPr="00320A86">
        <w:rPr>
          <w:color w:val="000000"/>
          <w:szCs w:val="28"/>
        </w:rPr>
        <w:t xml:space="preserve"> </w:t>
      </w:r>
      <w:r w:rsidRPr="00320A86">
        <w:rPr>
          <w:rFonts w:eastAsia="Calibri"/>
          <w:color w:val="000000"/>
          <w:szCs w:val="28"/>
        </w:rPr>
        <w:t>de</w:t>
      </w:r>
      <w:r w:rsidRPr="00320A86">
        <w:rPr>
          <w:color w:val="000000"/>
          <w:szCs w:val="28"/>
        </w:rPr>
        <w:t xml:space="preserve"> </w:t>
      </w:r>
      <w:r w:rsidRPr="00320A86">
        <w:rPr>
          <w:rFonts w:eastAsia="Calibri"/>
          <w:color w:val="000000"/>
          <w:szCs w:val="28"/>
        </w:rPr>
        <w:t>toutes</w:t>
      </w:r>
      <w:r w:rsidRPr="00320A86">
        <w:rPr>
          <w:color w:val="000000"/>
          <w:szCs w:val="28"/>
        </w:rPr>
        <w:t xml:space="preserve"> </w:t>
      </w:r>
      <w:r w:rsidRPr="00320A86">
        <w:rPr>
          <w:rFonts w:eastAsia="Calibri"/>
          <w:color w:val="000000"/>
          <w:szCs w:val="28"/>
        </w:rPr>
        <w:t>sortes</w:t>
      </w:r>
      <w:r w:rsidRPr="00320A86">
        <w:rPr>
          <w:color w:val="000000"/>
          <w:szCs w:val="28"/>
        </w:rPr>
        <w:t xml:space="preserve"> </w:t>
      </w:r>
      <w:r w:rsidRPr="00320A86">
        <w:rPr>
          <w:rFonts w:eastAsia="Calibri"/>
          <w:color w:val="000000"/>
          <w:szCs w:val="28"/>
        </w:rPr>
        <w:t>au</w:t>
      </w:r>
      <w:r w:rsidRPr="00320A86">
        <w:rPr>
          <w:color w:val="000000"/>
          <w:szCs w:val="28"/>
        </w:rPr>
        <w:t xml:space="preserve"> </w:t>
      </w:r>
      <w:r w:rsidRPr="00320A86">
        <w:rPr>
          <w:rFonts w:eastAsia="Calibri"/>
          <w:color w:val="000000"/>
          <w:szCs w:val="28"/>
        </w:rPr>
        <w:t>nom</w:t>
      </w:r>
      <w:r w:rsidRPr="00320A86">
        <w:rPr>
          <w:color w:val="000000"/>
          <w:szCs w:val="28"/>
        </w:rPr>
        <w:t xml:space="preserve"> </w:t>
      </w:r>
      <w:r w:rsidRPr="00320A86">
        <w:rPr>
          <w:rFonts w:eastAsia="Calibri"/>
          <w:color w:val="000000"/>
          <w:szCs w:val="28"/>
        </w:rPr>
        <w:t>du</w:t>
      </w:r>
      <w:r w:rsidRPr="00320A86">
        <w:rPr>
          <w:color w:val="000000"/>
          <w:szCs w:val="28"/>
        </w:rPr>
        <w:t xml:space="preserve"> </w:t>
      </w:r>
      <w:r w:rsidRPr="00320A86">
        <w:rPr>
          <w:rFonts w:eastAsia="Calibri"/>
          <w:color w:val="000000"/>
          <w:szCs w:val="28"/>
        </w:rPr>
        <w:t>pluralisme.</w:t>
      </w:r>
      <w:r w:rsidRPr="00320A86">
        <w:rPr>
          <w:color w:val="000000"/>
          <w:szCs w:val="28"/>
        </w:rPr>
        <w:t xml:space="preserve"> </w:t>
      </w:r>
      <w:r w:rsidRPr="00320A86">
        <w:rPr>
          <w:rFonts w:eastAsia="Calibri"/>
          <w:color w:val="000000"/>
          <w:szCs w:val="28"/>
        </w:rPr>
        <w:t>Le</w:t>
      </w:r>
      <w:r w:rsidRPr="00320A86">
        <w:rPr>
          <w:color w:val="000000"/>
          <w:szCs w:val="28"/>
        </w:rPr>
        <w:t xml:space="preserve"> </w:t>
      </w:r>
      <w:r w:rsidRPr="00320A86">
        <w:rPr>
          <w:rFonts w:eastAsia="Calibri"/>
          <w:color w:val="000000"/>
          <w:szCs w:val="28"/>
        </w:rPr>
        <w:t>porte</w:t>
      </w:r>
      <w:r w:rsidRPr="00320A86">
        <w:rPr>
          <w:color w:val="000000"/>
          <w:szCs w:val="28"/>
        </w:rPr>
        <w:t>-</w:t>
      </w:r>
      <w:r w:rsidRPr="00320A86">
        <w:rPr>
          <w:rFonts w:eastAsia="Calibri"/>
          <w:color w:val="000000"/>
          <w:szCs w:val="28"/>
        </w:rPr>
        <w:t>à</w:t>
      </w:r>
      <w:r w:rsidRPr="00320A86">
        <w:rPr>
          <w:color w:val="000000"/>
          <w:szCs w:val="28"/>
        </w:rPr>
        <w:t>-</w:t>
      </w:r>
      <w:r w:rsidRPr="00320A86">
        <w:rPr>
          <w:rFonts w:eastAsia="Calibri"/>
          <w:color w:val="000000"/>
          <w:szCs w:val="28"/>
        </w:rPr>
        <w:t>faux</w:t>
      </w:r>
      <w:r w:rsidRPr="00320A86">
        <w:rPr>
          <w:color w:val="000000"/>
          <w:szCs w:val="28"/>
        </w:rPr>
        <w:t xml:space="preserve"> </w:t>
      </w:r>
      <w:r w:rsidRPr="00320A86">
        <w:rPr>
          <w:rFonts w:eastAsia="Calibri"/>
          <w:color w:val="000000"/>
          <w:szCs w:val="28"/>
        </w:rPr>
        <w:t>intégriste, au delà de sa propre sincérité et de ses convictions respectables,</w:t>
      </w:r>
      <w:r w:rsidRPr="00320A86">
        <w:rPr>
          <w:color w:val="000000"/>
          <w:szCs w:val="28"/>
        </w:rPr>
        <w:t xml:space="preserve"> </w:t>
      </w:r>
      <w:r w:rsidRPr="00320A86">
        <w:rPr>
          <w:rFonts w:eastAsia="Calibri"/>
          <w:color w:val="000000"/>
          <w:szCs w:val="28"/>
        </w:rPr>
        <w:t>est</w:t>
      </w:r>
      <w:r w:rsidRPr="00320A86">
        <w:rPr>
          <w:color w:val="000000"/>
          <w:szCs w:val="28"/>
        </w:rPr>
        <w:t xml:space="preserve"> </w:t>
      </w:r>
      <w:r w:rsidRPr="00320A86">
        <w:rPr>
          <w:rFonts w:eastAsia="Calibri"/>
          <w:color w:val="000000"/>
          <w:szCs w:val="28"/>
        </w:rPr>
        <w:t>ainsi</w:t>
      </w:r>
      <w:r w:rsidRPr="00320A86">
        <w:rPr>
          <w:color w:val="000000"/>
          <w:szCs w:val="28"/>
        </w:rPr>
        <w:t xml:space="preserve"> issu d’une défo</w:t>
      </w:r>
      <w:r w:rsidRPr="00320A86">
        <w:rPr>
          <w:color w:val="000000"/>
          <w:szCs w:val="28"/>
        </w:rPr>
        <w:t>r</w:t>
      </w:r>
      <w:r w:rsidRPr="00320A86">
        <w:rPr>
          <w:color w:val="000000"/>
          <w:szCs w:val="28"/>
        </w:rPr>
        <w:t>mation théologique qui ne peut se prolonger qu’en idéologie réactio</w:t>
      </w:r>
      <w:r w:rsidRPr="00320A86">
        <w:rPr>
          <w:color w:val="000000"/>
          <w:szCs w:val="28"/>
        </w:rPr>
        <w:t>n</w:t>
      </w:r>
      <w:r w:rsidRPr="00320A86">
        <w:rPr>
          <w:color w:val="000000"/>
          <w:szCs w:val="28"/>
        </w:rPr>
        <w:t xml:space="preserve">naire, </w:t>
      </w:r>
      <w:r w:rsidRPr="00320A86">
        <w:rPr>
          <w:color w:val="000000"/>
          <w:szCs w:val="28"/>
          <w:shd w:val="clear" w:color="auto" w:fill="FFFFFF"/>
        </w:rPr>
        <w:t>et s’étioler en « politique » contre-productive par rapport au d</w:t>
      </w:r>
      <w:r w:rsidRPr="00320A86">
        <w:rPr>
          <w:color w:val="000000"/>
          <w:szCs w:val="28"/>
          <w:shd w:val="clear" w:color="auto" w:fill="FFFFFF"/>
        </w:rPr>
        <w:t>é</w:t>
      </w:r>
      <w:r w:rsidRPr="00320A86">
        <w:rPr>
          <w:color w:val="000000"/>
          <w:szCs w:val="28"/>
          <w:shd w:val="clear" w:color="auto" w:fill="FFFFFF"/>
        </w:rPr>
        <w:t>ploiement de la foi,</w:t>
      </w:r>
      <w:r w:rsidRPr="00320A86">
        <w:rPr>
          <w:color w:val="000000"/>
          <w:szCs w:val="28"/>
        </w:rPr>
        <w:t xml:space="preserve"> ces deux niveaux se renforçant mutuellement et distillant finalement leur poison au sein de l’Église catholique toute entière.</w:t>
      </w:r>
    </w:p>
    <w:p w14:paraId="0F7DB66F" w14:textId="77777777" w:rsidR="00B01930" w:rsidRPr="00320A86" w:rsidRDefault="00B01930" w:rsidP="00B01930">
      <w:pPr>
        <w:spacing w:before="120" w:after="120"/>
        <w:jc w:val="both"/>
        <w:rPr>
          <w:color w:val="000000"/>
          <w:szCs w:val="28"/>
        </w:rPr>
      </w:pPr>
    </w:p>
    <w:p w14:paraId="64CC79B8" w14:textId="77777777" w:rsidR="00B01930" w:rsidRDefault="00B01930" w:rsidP="00B01930">
      <w:pPr>
        <w:pStyle w:val="planche"/>
      </w:pPr>
      <w:bookmarkStart w:id="220" w:name="Analyser_idees_pol_pt_3_texte_10_III"/>
      <w:r w:rsidRPr="00320A86">
        <w:t xml:space="preserve">III. </w:t>
      </w:r>
      <w:r>
        <w:t>La dialectique de la dissidence</w:t>
      </w:r>
      <w:r>
        <w:br/>
      </w:r>
      <w:r w:rsidRPr="00320A86">
        <w:t>et ses impasses</w:t>
      </w:r>
    </w:p>
    <w:bookmarkEnd w:id="220"/>
    <w:p w14:paraId="136666EE" w14:textId="77777777" w:rsidR="00B01930" w:rsidRPr="00320A86" w:rsidRDefault="00B01930" w:rsidP="00B01930">
      <w:pPr>
        <w:spacing w:before="120" w:after="120"/>
        <w:jc w:val="both"/>
        <w:rPr>
          <w:color w:val="000000"/>
          <w:szCs w:val="28"/>
        </w:rPr>
      </w:pPr>
    </w:p>
    <w:p w14:paraId="5A877F31"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1B2766A0" w14:textId="77777777" w:rsidR="00B01930" w:rsidRPr="00320A86" w:rsidRDefault="00B01930" w:rsidP="00B01930">
      <w:pPr>
        <w:spacing w:before="120" w:after="120"/>
        <w:jc w:val="both"/>
        <w:rPr>
          <w:color w:val="000000"/>
          <w:szCs w:val="28"/>
        </w:rPr>
      </w:pPr>
      <w:r w:rsidRPr="00320A86">
        <w:rPr>
          <w:color w:val="000000"/>
          <w:szCs w:val="28"/>
        </w:rPr>
        <w:t xml:space="preserve">En dépit d’efforts constants et sincères, le pape émérite </w:t>
      </w:r>
      <w:r>
        <w:rPr>
          <w:color w:val="000000"/>
          <w:szCs w:val="28"/>
        </w:rPr>
        <w:t>B</w:t>
      </w:r>
      <w:r>
        <w:rPr>
          <w:color w:val="000000"/>
          <w:szCs w:val="28"/>
        </w:rPr>
        <w:t>e</w:t>
      </w:r>
      <w:r>
        <w:rPr>
          <w:color w:val="000000"/>
          <w:szCs w:val="28"/>
        </w:rPr>
        <w:t>noît XVI</w:t>
      </w:r>
      <w:r w:rsidRPr="00320A86">
        <w:rPr>
          <w:color w:val="000000"/>
          <w:szCs w:val="28"/>
        </w:rPr>
        <w:t xml:space="preserve"> n’est pas parvenu à  réintégrer dans la </w:t>
      </w:r>
      <w:r w:rsidRPr="00320A86">
        <w:t>« </w:t>
      </w:r>
      <w:r w:rsidRPr="00320A86">
        <w:rPr>
          <w:color w:val="000000"/>
          <w:szCs w:val="28"/>
        </w:rPr>
        <w:t>pleine communion</w:t>
      </w:r>
      <w:r w:rsidRPr="00320A86">
        <w:t> »</w:t>
      </w:r>
      <w:r w:rsidRPr="00320A86">
        <w:rPr>
          <w:color w:val="000000"/>
          <w:szCs w:val="28"/>
        </w:rPr>
        <w:t xml:space="preserve"> la Fraternité saint </w:t>
      </w:r>
      <w:r>
        <w:rPr>
          <w:color w:val="000000"/>
          <w:szCs w:val="28"/>
        </w:rPr>
        <w:t>Pie </w:t>
      </w:r>
      <w:r w:rsidRPr="00320A86">
        <w:rPr>
          <w:color w:val="000000"/>
          <w:szCs w:val="28"/>
        </w:rPr>
        <w:t>X, tout en réhabilitant pleinement le rite extr</w:t>
      </w:r>
      <w:r w:rsidRPr="00320A86">
        <w:rPr>
          <w:color w:val="000000"/>
          <w:szCs w:val="28"/>
        </w:rPr>
        <w:t>a</w:t>
      </w:r>
      <w:r w:rsidRPr="00320A86">
        <w:rPr>
          <w:color w:val="000000"/>
          <w:szCs w:val="28"/>
        </w:rPr>
        <w:t>ordinaire</w:t>
      </w:r>
      <w:r>
        <w:rPr>
          <w:color w:val="000000"/>
          <w:szCs w:val="28"/>
        </w:rPr>
        <w:t> </w:t>
      </w:r>
      <w:r>
        <w:rPr>
          <w:rStyle w:val="Appelnotedebasdep"/>
          <w:szCs w:val="28"/>
        </w:rPr>
        <w:footnoteReference w:id="1215"/>
      </w:r>
      <w:r w:rsidRPr="00320A86">
        <w:rPr>
          <w:color w:val="000000"/>
          <w:szCs w:val="28"/>
        </w:rPr>
        <w:t xml:space="preserve"> et en ouvrant la porte depuis 2007 aux adeptes de cette forme liturgique. De nombreux clercs et fidèles, souvent issus de la Fr</w:t>
      </w:r>
      <w:r w:rsidRPr="00320A86">
        <w:rPr>
          <w:color w:val="000000"/>
          <w:szCs w:val="28"/>
        </w:rPr>
        <w:t>a</w:t>
      </w:r>
      <w:r w:rsidRPr="00320A86">
        <w:rPr>
          <w:color w:val="000000"/>
          <w:szCs w:val="28"/>
        </w:rPr>
        <w:t xml:space="preserve">ternité, se sont regroupés et ont rejoint le bercail. Identifiés sous le terme de </w:t>
      </w:r>
      <w:r w:rsidRPr="00067AA5">
        <w:rPr>
          <w:i/>
          <w:color w:val="000000"/>
          <w:szCs w:val="28"/>
        </w:rPr>
        <w:t>traditionnalistes</w:t>
      </w:r>
      <w:r w:rsidRPr="00320A86">
        <w:rPr>
          <w:color w:val="000000"/>
          <w:szCs w:val="28"/>
        </w:rPr>
        <w:t>, ils constituent des  noyaux  actifs, aux ch</w:t>
      </w:r>
      <w:r w:rsidRPr="00320A86">
        <w:rPr>
          <w:color w:val="000000"/>
          <w:szCs w:val="28"/>
        </w:rPr>
        <w:t>a</w:t>
      </w:r>
      <w:r w:rsidRPr="00320A86">
        <w:rPr>
          <w:color w:val="000000"/>
          <w:szCs w:val="28"/>
        </w:rPr>
        <w:t>rismes et appellations variées, tels que l’Institut du Bon Pasteur (en charge de l’église saint Eloi à Bordeaux), la Fraternité saint Pierre, Les chanoines et ch</w:t>
      </w:r>
      <w:r w:rsidRPr="00320A86">
        <w:rPr>
          <w:color w:val="000000"/>
          <w:szCs w:val="28"/>
        </w:rPr>
        <w:t>a</w:t>
      </w:r>
      <w:r w:rsidRPr="00320A86">
        <w:rPr>
          <w:color w:val="000000"/>
          <w:szCs w:val="28"/>
        </w:rPr>
        <w:t>noinesses réguliers de la mère de Dieu, l’Institut du Christ Roi Souverain Prêtre… Ces communautés présentent la c</w:t>
      </w:r>
      <w:r w:rsidRPr="00320A86">
        <w:rPr>
          <w:color w:val="000000"/>
          <w:szCs w:val="28"/>
        </w:rPr>
        <w:t>a</w:t>
      </w:r>
      <w:r w:rsidRPr="00320A86">
        <w:rPr>
          <w:color w:val="000000"/>
          <w:szCs w:val="28"/>
        </w:rPr>
        <w:t xml:space="preserve">ractéristique habituelle d’être organisées en </w:t>
      </w:r>
      <w:r w:rsidRPr="00067AA5">
        <w:rPr>
          <w:i/>
          <w:color w:val="000000"/>
          <w:szCs w:val="28"/>
        </w:rPr>
        <w:t>Instituts de vie consacrée</w:t>
      </w:r>
      <w:r w:rsidRPr="00320A86">
        <w:rPr>
          <w:color w:val="000000"/>
          <w:szCs w:val="28"/>
        </w:rPr>
        <w:t xml:space="preserve"> rattachés à une instance de la Curie, la commision </w:t>
      </w:r>
      <w:r w:rsidRPr="00067AA5">
        <w:rPr>
          <w:i/>
          <w:color w:val="000000"/>
          <w:szCs w:val="28"/>
        </w:rPr>
        <w:t>ecclesia dei</w:t>
      </w:r>
      <w:r w:rsidRPr="00320A86">
        <w:rPr>
          <w:color w:val="000000"/>
          <w:szCs w:val="28"/>
        </w:rPr>
        <w:t xml:space="preserve"> prés</w:t>
      </w:r>
      <w:r w:rsidRPr="00320A86">
        <w:rPr>
          <w:color w:val="000000"/>
          <w:szCs w:val="28"/>
        </w:rPr>
        <w:t>i</w:t>
      </w:r>
      <w:r w:rsidRPr="00320A86">
        <w:rPr>
          <w:color w:val="000000"/>
          <w:szCs w:val="28"/>
        </w:rPr>
        <w:t>dée par un cardinal. Il leur est généralement reconnu le droit de prat</w:t>
      </w:r>
      <w:r w:rsidRPr="00320A86">
        <w:rPr>
          <w:color w:val="000000"/>
          <w:szCs w:val="28"/>
        </w:rPr>
        <w:t>i</w:t>
      </w:r>
      <w:r w:rsidRPr="00320A86">
        <w:rPr>
          <w:color w:val="000000"/>
          <w:szCs w:val="28"/>
        </w:rPr>
        <w:t>quer exclusivement le rite extraordinaire, mais ils sont en pleine comm</w:t>
      </w:r>
      <w:r w:rsidRPr="00320A86">
        <w:rPr>
          <w:color w:val="000000"/>
          <w:szCs w:val="28"/>
        </w:rPr>
        <w:t>u</w:t>
      </w:r>
      <w:r w:rsidRPr="00320A86">
        <w:rPr>
          <w:color w:val="000000"/>
          <w:szCs w:val="28"/>
        </w:rPr>
        <w:t xml:space="preserve">nion avec le Pape, dont ils reconnaissent l’autorité, ainsi que celle du Magistère de l’Église, ce qui inclut le concile </w:t>
      </w:r>
      <w:r>
        <w:rPr>
          <w:color w:val="000000"/>
          <w:szCs w:val="28"/>
        </w:rPr>
        <w:t>Vatican II</w:t>
      </w:r>
      <w:r w:rsidRPr="00320A86">
        <w:rPr>
          <w:color w:val="000000"/>
          <w:szCs w:val="28"/>
        </w:rPr>
        <w:t xml:space="preserve"> (ceci n’empêche pas l’Institut du Bon Pasteur de se voir reconnaître explic</w:t>
      </w:r>
      <w:r w:rsidRPr="00320A86">
        <w:rPr>
          <w:color w:val="000000"/>
          <w:szCs w:val="28"/>
        </w:rPr>
        <w:t>i</w:t>
      </w:r>
      <w:r w:rsidRPr="00320A86">
        <w:rPr>
          <w:color w:val="000000"/>
          <w:szCs w:val="28"/>
        </w:rPr>
        <w:t>tement un droit de critique construct</w:t>
      </w:r>
      <w:r w:rsidRPr="00320A86">
        <w:rPr>
          <w:color w:val="000000"/>
          <w:szCs w:val="28"/>
        </w:rPr>
        <w:t>i</w:t>
      </w:r>
      <w:r w:rsidRPr="00320A86">
        <w:rPr>
          <w:color w:val="000000"/>
          <w:szCs w:val="28"/>
        </w:rPr>
        <w:t>ve – sic)</w:t>
      </w:r>
      <w:r>
        <w:rPr>
          <w:color w:val="000000"/>
          <w:szCs w:val="28"/>
        </w:rPr>
        <w:t> </w:t>
      </w:r>
      <w:r>
        <w:rPr>
          <w:rStyle w:val="Appelnotedebasdep"/>
          <w:szCs w:val="28"/>
        </w:rPr>
        <w:footnoteReference w:id="1216"/>
      </w:r>
      <w:r w:rsidRPr="00320A86">
        <w:rPr>
          <w:color w:val="000000"/>
          <w:szCs w:val="28"/>
        </w:rPr>
        <w:t>. Ces communautés se sont donc dissociées d’un intégrisme schismatique qui s’était manife</w:t>
      </w:r>
      <w:r w:rsidRPr="00320A86">
        <w:rPr>
          <w:color w:val="000000"/>
          <w:szCs w:val="28"/>
        </w:rPr>
        <w:t>s</w:t>
      </w:r>
      <w:r w:rsidRPr="00320A86">
        <w:rPr>
          <w:color w:val="000000"/>
          <w:szCs w:val="28"/>
        </w:rPr>
        <w:t>té le 30 juin 1988 par  une ordination épiscopale célébrée par M</w:t>
      </w:r>
      <w:r w:rsidRPr="00320A86">
        <w:rPr>
          <w:color w:val="000000"/>
          <w:szCs w:val="28"/>
          <w:vertAlign w:val="superscript"/>
        </w:rPr>
        <w:t>gr</w:t>
      </w:r>
      <w:r w:rsidRPr="00320A86">
        <w:rPr>
          <w:color w:val="000000"/>
          <w:szCs w:val="28"/>
        </w:rPr>
        <w:t xml:space="preserve"> L</w:t>
      </w:r>
      <w:r w:rsidRPr="00320A86">
        <w:rPr>
          <w:color w:val="000000"/>
          <w:szCs w:val="28"/>
        </w:rPr>
        <w:t>e</w:t>
      </w:r>
      <w:r w:rsidRPr="00320A86">
        <w:rPr>
          <w:color w:val="000000"/>
          <w:szCs w:val="28"/>
        </w:rPr>
        <w:t>fevbre sans l’autorisation du Saint Siège ; les formes liturgiques ant</w:t>
      </w:r>
      <w:r w:rsidRPr="00320A86">
        <w:rPr>
          <w:color w:val="000000"/>
          <w:szCs w:val="28"/>
        </w:rPr>
        <w:t>é</w:t>
      </w:r>
      <w:r w:rsidRPr="00320A86">
        <w:rPr>
          <w:color w:val="000000"/>
          <w:szCs w:val="28"/>
        </w:rPr>
        <w:t>rieures au Concile qu’elle pratiquent exclusivement, sont désormais plein</w:t>
      </w:r>
      <w:r w:rsidRPr="00320A86">
        <w:rPr>
          <w:color w:val="000000"/>
          <w:szCs w:val="28"/>
        </w:rPr>
        <w:t>e</w:t>
      </w:r>
      <w:r w:rsidRPr="00320A86">
        <w:rPr>
          <w:color w:val="000000"/>
          <w:szCs w:val="28"/>
        </w:rPr>
        <w:t xml:space="preserve">ment réhabilitées, selon une </w:t>
      </w:r>
      <w:r w:rsidRPr="00320A86">
        <w:t>« </w:t>
      </w:r>
      <w:r w:rsidRPr="00067AA5">
        <w:rPr>
          <w:i/>
          <w:color w:val="000000"/>
          <w:szCs w:val="28"/>
        </w:rPr>
        <w:t>herméneutique</w:t>
      </w:r>
      <w:r w:rsidRPr="00067AA5">
        <w:rPr>
          <w:i/>
        </w:rPr>
        <w:t> </w:t>
      </w:r>
      <w:r w:rsidRPr="00320A86">
        <w:t>»</w:t>
      </w:r>
      <w:r w:rsidRPr="00320A86">
        <w:rPr>
          <w:color w:val="000000"/>
          <w:szCs w:val="28"/>
        </w:rPr>
        <w:t xml:space="preserve"> de la continuité de la Tradition dont le pape </w:t>
      </w:r>
      <w:r>
        <w:rPr>
          <w:color w:val="000000"/>
          <w:szCs w:val="28"/>
        </w:rPr>
        <w:t>Benoît XVI</w:t>
      </w:r>
      <w:r w:rsidRPr="00320A86">
        <w:rPr>
          <w:color w:val="000000"/>
          <w:szCs w:val="28"/>
        </w:rPr>
        <w:t xml:space="preserve"> fut l’ardent défenseur. La </w:t>
      </w:r>
      <w:r w:rsidRPr="00320A86">
        <w:t>« </w:t>
      </w:r>
      <w:r w:rsidRPr="00320A86">
        <w:rPr>
          <w:color w:val="000000"/>
          <w:szCs w:val="28"/>
        </w:rPr>
        <w:t>messe en latin</w:t>
      </w:r>
      <w:r w:rsidRPr="00320A86">
        <w:t> »</w:t>
      </w:r>
      <w:r w:rsidRPr="00320A86">
        <w:rPr>
          <w:color w:val="000000"/>
          <w:szCs w:val="28"/>
        </w:rPr>
        <w:t xml:space="preserve"> est déso</w:t>
      </w:r>
      <w:r w:rsidRPr="00320A86">
        <w:rPr>
          <w:color w:val="000000"/>
          <w:szCs w:val="28"/>
        </w:rPr>
        <w:t>r</w:t>
      </w:r>
      <w:r w:rsidRPr="00320A86">
        <w:rPr>
          <w:color w:val="000000"/>
          <w:szCs w:val="28"/>
        </w:rPr>
        <w:t xml:space="preserve">mais admise et respectée à l’instar de la </w:t>
      </w:r>
      <w:r w:rsidRPr="00320A86">
        <w:t>« </w:t>
      </w:r>
      <w:r w:rsidRPr="00320A86">
        <w:rPr>
          <w:color w:val="000000"/>
          <w:szCs w:val="28"/>
        </w:rPr>
        <w:t xml:space="preserve">messe de </w:t>
      </w:r>
      <w:r>
        <w:rPr>
          <w:color w:val="000000"/>
          <w:szCs w:val="28"/>
        </w:rPr>
        <w:t>Paul VI</w:t>
      </w:r>
      <w:r w:rsidRPr="00320A86">
        <w:t> »</w:t>
      </w:r>
      <w:r w:rsidRPr="00320A86">
        <w:rPr>
          <w:color w:val="000000"/>
          <w:szCs w:val="28"/>
        </w:rPr>
        <w:t xml:space="preserve"> et les évêques ont reçu injonction de ne plus seulement la tolérer mais d’en faciliter les célébrations dans leurs di</w:t>
      </w:r>
      <w:r w:rsidRPr="00320A86">
        <w:rPr>
          <w:color w:val="000000"/>
          <w:szCs w:val="28"/>
        </w:rPr>
        <w:t>o</w:t>
      </w:r>
      <w:r w:rsidRPr="00320A86">
        <w:rPr>
          <w:color w:val="000000"/>
          <w:szCs w:val="28"/>
        </w:rPr>
        <w:t>cèses. Organiquement et canoniquement, le traditionalisme a reg</w:t>
      </w:r>
      <w:r w:rsidRPr="00320A86">
        <w:rPr>
          <w:color w:val="000000"/>
          <w:szCs w:val="28"/>
        </w:rPr>
        <w:t>a</w:t>
      </w:r>
      <w:r w:rsidRPr="00320A86">
        <w:rPr>
          <w:color w:val="000000"/>
          <w:szCs w:val="28"/>
        </w:rPr>
        <w:t xml:space="preserve">gné un plein droit </w:t>
      </w:r>
      <w:r w:rsidRPr="00320A86">
        <w:t>« </w:t>
      </w:r>
      <w:r w:rsidRPr="00067AA5">
        <w:rPr>
          <w:i/>
          <w:color w:val="000000"/>
          <w:szCs w:val="28"/>
        </w:rPr>
        <w:t>d’Église</w:t>
      </w:r>
      <w:r w:rsidRPr="00067AA5">
        <w:rPr>
          <w:i/>
        </w:rPr>
        <w:t> </w:t>
      </w:r>
      <w:r w:rsidRPr="00320A86">
        <w:t>»</w:t>
      </w:r>
      <w:r w:rsidRPr="00320A86">
        <w:rPr>
          <w:color w:val="000000"/>
          <w:szCs w:val="28"/>
        </w:rPr>
        <w:t xml:space="preserve">, au détriment de la Fraternité saint </w:t>
      </w:r>
      <w:r>
        <w:rPr>
          <w:color w:val="000000"/>
          <w:szCs w:val="28"/>
        </w:rPr>
        <w:t>Pie </w:t>
      </w:r>
      <w:r w:rsidRPr="00320A86">
        <w:rPr>
          <w:color w:val="000000"/>
          <w:szCs w:val="28"/>
        </w:rPr>
        <w:t xml:space="preserve">X, dont il a aspiré près de la moitié des ressources en clercs et en fidèles. Tout se passe aujourd’hui comme si l’unité catholique, d’un point de vue liturgique, s’accommodait d’un manteau d’arlequin à la place d’une </w:t>
      </w:r>
      <w:r w:rsidRPr="00320A86">
        <w:t>« </w:t>
      </w:r>
      <w:r w:rsidRPr="00067AA5">
        <w:rPr>
          <w:i/>
          <w:iCs/>
          <w:color w:val="000000"/>
          <w:szCs w:val="28"/>
        </w:rPr>
        <w:t>tunique d’une seule pièce</w:t>
      </w:r>
      <w:r w:rsidRPr="00067AA5">
        <w:rPr>
          <w:i/>
        </w:rPr>
        <w:t> </w:t>
      </w:r>
      <w:r w:rsidRPr="00320A86">
        <w:t>» </w:t>
      </w:r>
      <w:r w:rsidRPr="00320A86">
        <w:rPr>
          <w:color w:val="000000"/>
          <w:szCs w:val="28"/>
        </w:rPr>
        <w:t>; et la cathédrale universelle abrite plus que jamais des chapelles collatérales selon les liturgies prat</w:t>
      </w:r>
      <w:r w:rsidRPr="00320A86">
        <w:rPr>
          <w:color w:val="000000"/>
          <w:szCs w:val="28"/>
        </w:rPr>
        <w:t>i</w:t>
      </w:r>
      <w:r w:rsidRPr="00320A86">
        <w:rPr>
          <w:color w:val="000000"/>
          <w:szCs w:val="28"/>
        </w:rPr>
        <w:t xml:space="preserve">quées. L’Église </w:t>
      </w:r>
      <w:r w:rsidRPr="00320A86">
        <w:rPr>
          <w:color w:val="000000"/>
          <w:szCs w:val="28"/>
          <w:shd w:val="clear" w:color="auto" w:fill="FFFFFF"/>
        </w:rPr>
        <w:t>« </w:t>
      </w:r>
      <w:r w:rsidRPr="00067AA5">
        <w:rPr>
          <w:i/>
          <w:iCs/>
          <w:color w:val="000000"/>
          <w:szCs w:val="28"/>
        </w:rPr>
        <w:t>une, sainte, catholique, apostol</w:t>
      </w:r>
      <w:r w:rsidRPr="00067AA5">
        <w:rPr>
          <w:i/>
          <w:iCs/>
          <w:color w:val="000000"/>
          <w:szCs w:val="28"/>
        </w:rPr>
        <w:t>i</w:t>
      </w:r>
      <w:r w:rsidRPr="00067AA5">
        <w:rPr>
          <w:i/>
          <w:iCs/>
          <w:color w:val="000000"/>
          <w:szCs w:val="28"/>
        </w:rPr>
        <w:t>que</w:t>
      </w:r>
      <w:r w:rsidRPr="00067AA5">
        <w:rPr>
          <w:i/>
        </w:rPr>
        <w:t> </w:t>
      </w:r>
      <w:r w:rsidRPr="00320A86">
        <w:t>»</w:t>
      </w:r>
      <w:r w:rsidRPr="00320A86">
        <w:rPr>
          <w:color w:val="000000"/>
          <w:szCs w:val="28"/>
        </w:rPr>
        <w:t>, selon l’article de foi récité dans le Credo, peut-elle assumer cette cœxistence des r</w:t>
      </w:r>
      <w:r w:rsidRPr="00320A86">
        <w:rPr>
          <w:color w:val="000000"/>
          <w:szCs w:val="28"/>
        </w:rPr>
        <w:t>i</w:t>
      </w:r>
      <w:r w:rsidRPr="00320A86">
        <w:rPr>
          <w:color w:val="000000"/>
          <w:szCs w:val="28"/>
        </w:rPr>
        <w:t>tes liturgiques qui coïncident le plus souvent avec des sensibilités ne</w:t>
      </w:r>
      <w:r w:rsidRPr="00320A86">
        <w:rPr>
          <w:color w:val="000000"/>
          <w:szCs w:val="28"/>
        </w:rPr>
        <w:t>t</w:t>
      </w:r>
      <w:r w:rsidRPr="00320A86">
        <w:rPr>
          <w:color w:val="000000"/>
          <w:szCs w:val="28"/>
        </w:rPr>
        <w:t>tement différentes, sinon opposées ?</w:t>
      </w:r>
    </w:p>
    <w:p w14:paraId="5198CA36" w14:textId="77777777" w:rsidR="00B01930" w:rsidRPr="00320A86" w:rsidRDefault="00B01930" w:rsidP="00B01930">
      <w:pPr>
        <w:spacing w:before="120" w:after="120"/>
        <w:jc w:val="both"/>
        <w:rPr>
          <w:color w:val="000000"/>
          <w:szCs w:val="28"/>
        </w:rPr>
      </w:pPr>
      <w:r w:rsidRPr="00320A86">
        <w:rPr>
          <w:color w:val="000000"/>
          <w:szCs w:val="28"/>
        </w:rPr>
        <w:t>L’expérience historique montre que l’Église a toujours accepté des différe</w:t>
      </w:r>
      <w:r w:rsidRPr="00320A86">
        <w:rPr>
          <w:color w:val="000000"/>
          <w:szCs w:val="28"/>
        </w:rPr>
        <w:t>n</w:t>
      </w:r>
      <w:r w:rsidRPr="00320A86">
        <w:rPr>
          <w:color w:val="000000"/>
          <w:szCs w:val="28"/>
        </w:rPr>
        <w:t>ces dans les pratiques liturgiques, notamment au sein des communautés d’Orient, mais aussi à l’intérieur même de l’Italie. Le rite de saint Ambroise, qui remonte au V</w:t>
      </w:r>
      <w:r w:rsidRPr="00320A86">
        <w:rPr>
          <w:color w:val="000000"/>
          <w:szCs w:val="28"/>
          <w:vertAlign w:val="superscript"/>
        </w:rPr>
        <w:t>e</w:t>
      </w:r>
      <w:r w:rsidRPr="00320A86">
        <w:rPr>
          <w:color w:val="000000"/>
          <w:szCs w:val="28"/>
        </w:rPr>
        <w:t xml:space="preserve"> siècle,  est toujours pratiqué dans plusieurs églises de Milan. Ce pluralisme est présent au sein de l’Église catholique et romaine, héritière de la civilisation du même nom, dont le génie fut d’agréger à l’Empire des peuples aussi diff</w:t>
      </w:r>
      <w:r w:rsidRPr="00320A86">
        <w:rPr>
          <w:color w:val="000000"/>
          <w:szCs w:val="28"/>
        </w:rPr>
        <w:t>é</w:t>
      </w:r>
      <w:r w:rsidRPr="00320A86">
        <w:rPr>
          <w:color w:val="000000"/>
          <w:szCs w:val="28"/>
        </w:rPr>
        <w:t>rents que les Parthes et les Gaulois. Constituée comme corps du Christ, l’Église admet la différenciation et saint Jean Paul</w:t>
      </w:r>
      <w:r>
        <w:rPr>
          <w:color w:val="000000"/>
          <w:szCs w:val="28"/>
        </w:rPr>
        <w:t> </w:t>
      </w:r>
      <w:r w:rsidRPr="00320A86">
        <w:rPr>
          <w:color w:val="000000"/>
          <w:szCs w:val="28"/>
        </w:rPr>
        <w:t>II utilisera cette fo</w:t>
      </w:r>
      <w:r w:rsidRPr="00320A86">
        <w:rPr>
          <w:color w:val="000000"/>
          <w:szCs w:val="28"/>
        </w:rPr>
        <w:t>r</w:t>
      </w:r>
      <w:r w:rsidRPr="00320A86">
        <w:rPr>
          <w:color w:val="000000"/>
          <w:szCs w:val="28"/>
        </w:rPr>
        <w:t xml:space="preserve">mule explicite, à propos des orthodoxes qui sont pourtant des </w:t>
      </w:r>
      <w:r w:rsidRPr="00320A86">
        <w:rPr>
          <w:color w:val="000000"/>
          <w:szCs w:val="28"/>
          <w:shd w:val="clear" w:color="auto" w:fill="FFFFFF"/>
        </w:rPr>
        <w:t>« </w:t>
      </w:r>
      <w:r w:rsidRPr="00067AA5">
        <w:rPr>
          <w:i/>
          <w:color w:val="000000"/>
          <w:szCs w:val="28"/>
        </w:rPr>
        <w:t>frères séparés</w:t>
      </w:r>
      <w:r w:rsidRPr="00067AA5">
        <w:rPr>
          <w:i/>
        </w:rPr>
        <w:t> </w:t>
      </w:r>
      <w:r w:rsidRPr="00320A86">
        <w:t>» </w:t>
      </w:r>
      <w:r w:rsidRPr="00320A86">
        <w:rPr>
          <w:color w:val="000000"/>
          <w:szCs w:val="28"/>
        </w:rPr>
        <w:t xml:space="preserve">: </w:t>
      </w:r>
      <w:r w:rsidRPr="00320A86">
        <w:rPr>
          <w:color w:val="000000"/>
          <w:szCs w:val="28"/>
          <w:shd w:val="clear" w:color="auto" w:fill="FFFFFF"/>
        </w:rPr>
        <w:t>« </w:t>
      </w:r>
      <w:r w:rsidRPr="00067AA5">
        <w:rPr>
          <w:i/>
          <w:color w:val="000000"/>
          <w:szCs w:val="28"/>
        </w:rPr>
        <w:t>l’Église doit respirer avec ses deux po</w:t>
      </w:r>
      <w:r w:rsidRPr="00067AA5">
        <w:rPr>
          <w:i/>
          <w:color w:val="000000"/>
          <w:szCs w:val="28"/>
        </w:rPr>
        <w:t>u</w:t>
      </w:r>
      <w:r w:rsidRPr="00067AA5">
        <w:rPr>
          <w:i/>
          <w:color w:val="000000"/>
          <w:szCs w:val="28"/>
        </w:rPr>
        <w:t>mons</w:t>
      </w:r>
      <w:r w:rsidRPr="00067AA5">
        <w:rPr>
          <w:i/>
        </w:rPr>
        <w:t> </w:t>
      </w:r>
      <w:r w:rsidRPr="00320A86">
        <w:t>»</w:t>
      </w:r>
      <w:r>
        <w:t> </w:t>
      </w:r>
      <w:r>
        <w:rPr>
          <w:rStyle w:val="Appelnotedebasdep"/>
        </w:rPr>
        <w:footnoteReference w:id="1217"/>
      </w:r>
      <w:r w:rsidRPr="00320A86">
        <w:rPr>
          <w:color w:val="000000"/>
          <w:szCs w:val="28"/>
        </w:rPr>
        <w:t>. La formule renvoie aussi, pour l’avenir</w:t>
      </w:r>
      <w:r>
        <w:rPr>
          <w:color w:val="000000"/>
          <w:szCs w:val="28"/>
        </w:rPr>
        <w:t> </w:t>
      </w:r>
      <w:r>
        <w:rPr>
          <w:rStyle w:val="Appelnotedebasdep"/>
          <w:szCs w:val="28"/>
        </w:rPr>
        <w:footnoteReference w:id="1218"/>
      </w:r>
      <w:r w:rsidRPr="00320A86">
        <w:rPr>
          <w:color w:val="000000"/>
          <w:szCs w:val="28"/>
        </w:rPr>
        <w:t>, à une différenciation fon</w:t>
      </w:r>
      <w:r w:rsidRPr="00320A86">
        <w:rPr>
          <w:color w:val="000000"/>
          <w:szCs w:val="28"/>
        </w:rPr>
        <w:t>c</w:t>
      </w:r>
      <w:r w:rsidRPr="00320A86">
        <w:rPr>
          <w:color w:val="000000"/>
          <w:szCs w:val="28"/>
        </w:rPr>
        <w:t>tionnelle : les parties d’un corps co</w:t>
      </w:r>
      <w:r w:rsidRPr="00320A86">
        <w:rPr>
          <w:color w:val="000000"/>
          <w:szCs w:val="28"/>
        </w:rPr>
        <w:t>l</w:t>
      </w:r>
      <w:r w:rsidRPr="00320A86">
        <w:rPr>
          <w:color w:val="000000"/>
          <w:szCs w:val="28"/>
        </w:rPr>
        <w:t>laborent toutes à la conservation du corps tout entier, ce qui suppose leur agrégation étro</w:t>
      </w:r>
      <w:r w:rsidRPr="00320A86">
        <w:rPr>
          <w:color w:val="000000"/>
          <w:szCs w:val="28"/>
        </w:rPr>
        <w:t>i</w:t>
      </w:r>
      <w:r w:rsidRPr="00320A86">
        <w:rPr>
          <w:color w:val="000000"/>
          <w:szCs w:val="28"/>
        </w:rPr>
        <w:t>te au tout et une liaison permanente entre elles, ce qu’Aristote qual</w:t>
      </w:r>
      <w:r w:rsidRPr="00320A86">
        <w:rPr>
          <w:color w:val="000000"/>
          <w:szCs w:val="28"/>
        </w:rPr>
        <w:t>i</w:t>
      </w:r>
      <w:r w:rsidRPr="00320A86">
        <w:rPr>
          <w:color w:val="000000"/>
          <w:szCs w:val="28"/>
        </w:rPr>
        <w:t xml:space="preserve">fiait de </w:t>
      </w:r>
      <w:r w:rsidRPr="00067AA5">
        <w:rPr>
          <w:i/>
          <w:color w:val="000000"/>
          <w:szCs w:val="28"/>
        </w:rPr>
        <w:t>forme</w:t>
      </w:r>
      <w:r w:rsidRPr="00320A86">
        <w:rPr>
          <w:color w:val="000000"/>
          <w:szCs w:val="28"/>
        </w:rPr>
        <w:t xml:space="preserve">, et ce qui, en langage ecclésial, est rendu par le terme de </w:t>
      </w:r>
      <w:r w:rsidRPr="00067AA5">
        <w:rPr>
          <w:i/>
          <w:color w:val="000000"/>
          <w:szCs w:val="28"/>
        </w:rPr>
        <w:t>communion</w:t>
      </w:r>
      <w:r w:rsidRPr="00320A86">
        <w:rPr>
          <w:color w:val="000000"/>
          <w:szCs w:val="28"/>
        </w:rPr>
        <w:t xml:space="preserve"> et dont le sommet est la </w:t>
      </w:r>
      <w:r w:rsidRPr="00067AA5">
        <w:rPr>
          <w:i/>
          <w:color w:val="000000"/>
          <w:szCs w:val="28"/>
        </w:rPr>
        <w:t>communion eucharistique</w:t>
      </w:r>
      <w:r w:rsidRPr="00320A86">
        <w:rPr>
          <w:color w:val="000000"/>
          <w:szCs w:val="28"/>
        </w:rPr>
        <w:t>. Cette caractéri</w:t>
      </w:r>
      <w:r w:rsidRPr="00320A86">
        <w:rPr>
          <w:color w:val="000000"/>
          <w:szCs w:val="28"/>
        </w:rPr>
        <w:t>s</w:t>
      </w:r>
      <w:r w:rsidRPr="00320A86">
        <w:rPr>
          <w:color w:val="000000"/>
          <w:szCs w:val="28"/>
        </w:rPr>
        <w:t xml:space="preserve">tique est l’essence même de l’Église, qui est </w:t>
      </w:r>
      <w:r w:rsidRPr="00067AA5">
        <w:rPr>
          <w:i/>
          <w:color w:val="000000"/>
          <w:szCs w:val="28"/>
        </w:rPr>
        <w:t>ecclesia</w:t>
      </w:r>
      <w:r w:rsidRPr="00320A86">
        <w:rPr>
          <w:color w:val="000000"/>
          <w:szCs w:val="28"/>
        </w:rPr>
        <w:t xml:space="preserve">, c’est à dire </w:t>
      </w:r>
      <w:r w:rsidRPr="00067AA5">
        <w:rPr>
          <w:i/>
          <w:color w:val="000000"/>
          <w:szCs w:val="28"/>
        </w:rPr>
        <w:t>asse</w:t>
      </w:r>
      <w:r w:rsidRPr="00067AA5">
        <w:rPr>
          <w:i/>
          <w:color w:val="000000"/>
          <w:szCs w:val="28"/>
        </w:rPr>
        <w:t>m</w:t>
      </w:r>
      <w:r w:rsidRPr="00067AA5">
        <w:rPr>
          <w:i/>
          <w:color w:val="000000"/>
          <w:szCs w:val="28"/>
        </w:rPr>
        <w:t>blée</w:t>
      </w:r>
      <w:r w:rsidRPr="00320A86">
        <w:rPr>
          <w:color w:val="000000"/>
          <w:szCs w:val="28"/>
        </w:rPr>
        <w:t xml:space="preserve">, </w:t>
      </w:r>
      <w:r w:rsidRPr="00067AA5">
        <w:rPr>
          <w:i/>
          <w:color w:val="000000"/>
          <w:szCs w:val="28"/>
        </w:rPr>
        <w:t>rassemblement</w:t>
      </w:r>
      <w:r w:rsidRPr="00320A86">
        <w:rPr>
          <w:color w:val="000000"/>
          <w:szCs w:val="28"/>
        </w:rPr>
        <w:t>, ce qui est le signe visible de la communion a</w:t>
      </w:r>
      <w:r w:rsidRPr="00320A86">
        <w:rPr>
          <w:color w:val="000000"/>
          <w:szCs w:val="28"/>
        </w:rPr>
        <w:t>u</w:t>
      </w:r>
      <w:r w:rsidRPr="00320A86">
        <w:rPr>
          <w:color w:val="000000"/>
          <w:szCs w:val="28"/>
        </w:rPr>
        <w:t>tant que la cond</w:t>
      </w:r>
      <w:r w:rsidRPr="00320A86">
        <w:rPr>
          <w:color w:val="000000"/>
          <w:szCs w:val="28"/>
        </w:rPr>
        <w:t>i</w:t>
      </w:r>
      <w:r w:rsidRPr="00320A86">
        <w:rPr>
          <w:color w:val="000000"/>
          <w:szCs w:val="28"/>
        </w:rPr>
        <w:t>tion de son exercice. Ainsi, la coexistence des deux rites, ordinaire et extraordinaire, ne peut se concevoir dans le cathol</w:t>
      </w:r>
      <w:r w:rsidRPr="00320A86">
        <w:rPr>
          <w:color w:val="000000"/>
          <w:szCs w:val="28"/>
        </w:rPr>
        <w:t>i</w:t>
      </w:r>
      <w:r w:rsidRPr="00320A86">
        <w:rPr>
          <w:color w:val="000000"/>
          <w:szCs w:val="28"/>
        </w:rPr>
        <w:t>cisme qu’au travers d’un respect réciproque de ces formes l</w:t>
      </w:r>
      <w:r w:rsidRPr="00320A86">
        <w:rPr>
          <w:color w:val="000000"/>
          <w:szCs w:val="28"/>
        </w:rPr>
        <w:t>i</w:t>
      </w:r>
      <w:r w:rsidRPr="00320A86">
        <w:rPr>
          <w:color w:val="000000"/>
          <w:szCs w:val="28"/>
        </w:rPr>
        <w:t>turgiques, faute de quoi la communion est brisée, le Corps est déchiqueté, la Pa</w:t>
      </w:r>
      <w:r w:rsidRPr="00320A86">
        <w:rPr>
          <w:color w:val="000000"/>
          <w:szCs w:val="28"/>
        </w:rPr>
        <w:t>s</w:t>
      </w:r>
      <w:r w:rsidRPr="00320A86">
        <w:rPr>
          <w:color w:val="000000"/>
          <w:szCs w:val="28"/>
        </w:rPr>
        <w:t>sion se prolonge autrement que de manière sacramentelle. Si la préf</w:t>
      </w:r>
      <w:r w:rsidRPr="00320A86">
        <w:rPr>
          <w:color w:val="000000"/>
          <w:szCs w:val="28"/>
        </w:rPr>
        <w:t>é</w:t>
      </w:r>
      <w:r w:rsidRPr="00320A86">
        <w:rPr>
          <w:color w:val="000000"/>
          <w:szCs w:val="28"/>
        </w:rPr>
        <w:t>rence pour l’une ou l’autre liturgie devient exclusive, en ce qu’elle rejetterait celle qu’on se refuserait à pratiquer, cela signifierait que l’observance rituelle prime sur la communion ecclésiale, travers ph</w:t>
      </w:r>
      <w:r w:rsidRPr="00320A86">
        <w:rPr>
          <w:color w:val="000000"/>
          <w:szCs w:val="28"/>
        </w:rPr>
        <w:t>a</w:t>
      </w:r>
      <w:r w:rsidRPr="00320A86">
        <w:rPr>
          <w:color w:val="000000"/>
          <w:szCs w:val="28"/>
        </w:rPr>
        <w:t>risien par excellence, aux conséquences redoutables. Celle de la di</w:t>
      </w:r>
      <w:r w:rsidRPr="00320A86">
        <w:rPr>
          <w:color w:val="000000"/>
          <w:szCs w:val="28"/>
        </w:rPr>
        <w:t>s</w:t>
      </w:r>
      <w:r w:rsidRPr="00320A86">
        <w:rPr>
          <w:color w:val="000000"/>
          <w:szCs w:val="28"/>
        </w:rPr>
        <w:t>qualification des pa</w:t>
      </w:r>
      <w:r w:rsidRPr="00320A86">
        <w:rPr>
          <w:color w:val="000000"/>
          <w:szCs w:val="28"/>
        </w:rPr>
        <w:t>s</w:t>
      </w:r>
      <w:r w:rsidRPr="00320A86">
        <w:rPr>
          <w:color w:val="000000"/>
          <w:szCs w:val="28"/>
        </w:rPr>
        <w:t>teurs et des fidèles qui ne sont pas dans la même ligne d’observance, et du m</w:t>
      </w:r>
      <w:r w:rsidRPr="00320A86">
        <w:rPr>
          <w:color w:val="000000"/>
          <w:szCs w:val="28"/>
        </w:rPr>
        <w:t>é</w:t>
      </w:r>
      <w:r w:rsidRPr="00320A86">
        <w:rPr>
          <w:color w:val="000000"/>
          <w:szCs w:val="28"/>
        </w:rPr>
        <w:t>pris inévitable qui l’accompagne ; celle de la justification permanente de la di</w:t>
      </w:r>
      <w:r w:rsidRPr="00320A86">
        <w:rPr>
          <w:color w:val="000000"/>
          <w:szCs w:val="28"/>
        </w:rPr>
        <w:t>s</w:t>
      </w:r>
      <w:r w:rsidRPr="00320A86">
        <w:rPr>
          <w:color w:val="000000"/>
          <w:szCs w:val="28"/>
        </w:rPr>
        <w:t>sidence, condition même de l’identité et de la survie du groupe minoritaire ; ce</w:t>
      </w:r>
      <w:r w:rsidRPr="00320A86">
        <w:rPr>
          <w:color w:val="000000"/>
          <w:szCs w:val="28"/>
        </w:rPr>
        <w:t>l</w:t>
      </w:r>
      <w:r w:rsidRPr="00320A86">
        <w:rPr>
          <w:color w:val="000000"/>
          <w:szCs w:val="28"/>
        </w:rPr>
        <w:t>le, enfin, de l’impossible retour dans le corps ecclésial, assimilé à la trahison et au reniement. Ces poisons, qui n’ont plus rien de religieux, mais qui sont politiques et mo</w:t>
      </w:r>
      <w:r w:rsidRPr="00320A86">
        <w:rPr>
          <w:color w:val="000000"/>
          <w:szCs w:val="28"/>
        </w:rPr>
        <w:t>n</w:t>
      </w:r>
      <w:r w:rsidRPr="00320A86">
        <w:rPr>
          <w:color w:val="000000"/>
          <w:szCs w:val="28"/>
        </w:rPr>
        <w:t>dains, meurtrissent et défigurent le corps ecclesial, ce qui est une insulte au Christ lui même, puisque l’épouse et l’époux ne font qu’un, par constitution d</w:t>
      </w:r>
      <w:r w:rsidRPr="00320A86">
        <w:rPr>
          <w:color w:val="000000"/>
          <w:szCs w:val="28"/>
        </w:rPr>
        <w:t>i</w:t>
      </w:r>
      <w:r w:rsidRPr="00320A86">
        <w:rPr>
          <w:color w:val="000000"/>
          <w:szCs w:val="28"/>
        </w:rPr>
        <w:t>vine (Genèse). Les ailes de la Charité sont ainsi brisées avant qu’elle puisse prendre son envol puisque la communion ecclésiale est refusée, par ceux là m</w:t>
      </w:r>
      <w:r w:rsidRPr="00320A86">
        <w:rPr>
          <w:color w:val="000000"/>
          <w:szCs w:val="28"/>
        </w:rPr>
        <w:t>ê</w:t>
      </w:r>
      <w:r w:rsidRPr="00320A86">
        <w:rPr>
          <w:color w:val="000000"/>
          <w:szCs w:val="28"/>
        </w:rPr>
        <w:t xml:space="preserve">mes qui invoquent le catholicisme le plus intégral. Or </w:t>
      </w:r>
      <w:r w:rsidRPr="00320A86">
        <w:rPr>
          <w:color w:val="000000"/>
          <w:szCs w:val="28"/>
          <w:shd w:val="clear" w:color="auto" w:fill="FFFFFF"/>
        </w:rPr>
        <w:t>« </w:t>
      </w:r>
      <w:r w:rsidRPr="00067AA5">
        <w:rPr>
          <w:i/>
          <w:iCs/>
          <w:color w:val="000000"/>
          <w:szCs w:val="28"/>
        </w:rPr>
        <w:t>l'amour spirituel de la charité est le lien fondamental qui unit les membres de la chrétienté, à l'égal, disent les exégètes, du ciment qui joint les pierres du bâtiment eccl</w:t>
      </w:r>
      <w:r w:rsidRPr="00067AA5">
        <w:rPr>
          <w:i/>
          <w:iCs/>
          <w:color w:val="000000"/>
          <w:szCs w:val="28"/>
        </w:rPr>
        <w:t>é</w:t>
      </w:r>
      <w:r w:rsidRPr="00067AA5">
        <w:rPr>
          <w:i/>
          <w:iCs/>
          <w:color w:val="000000"/>
          <w:szCs w:val="28"/>
        </w:rPr>
        <w:t>sial </w:t>
      </w:r>
      <w:r>
        <w:rPr>
          <w:rStyle w:val="Appelnotedebasdep"/>
          <w:iCs/>
          <w:szCs w:val="28"/>
        </w:rPr>
        <w:footnoteReference w:id="1219"/>
      </w:r>
      <w:r w:rsidRPr="00320A86">
        <w:t> »</w:t>
      </w:r>
      <w:r w:rsidRPr="00320A86">
        <w:rPr>
          <w:iCs/>
          <w:color w:val="000000"/>
          <w:szCs w:val="28"/>
        </w:rPr>
        <w:t>.</w:t>
      </w:r>
    </w:p>
    <w:p w14:paraId="6D925B65" w14:textId="77777777" w:rsidR="00B01930" w:rsidRPr="00320A86" w:rsidRDefault="00B01930" w:rsidP="00B01930">
      <w:pPr>
        <w:spacing w:before="120" w:after="120"/>
        <w:jc w:val="both"/>
        <w:rPr>
          <w:color w:val="000000"/>
          <w:szCs w:val="28"/>
        </w:rPr>
      </w:pPr>
      <w:r w:rsidRPr="00320A86">
        <w:rPr>
          <w:color w:val="000000"/>
          <w:szCs w:val="28"/>
        </w:rPr>
        <w:t xml:space="preserve">Voilà l’obstacle </w:t>
      </w:r>
      <w:r w:rsidRPr="00067AA5">
        <w:rPr>
          <w:i/>
          <w:color w:val="000000"/>
          <w:szCs w:val="28"/>
        </w:rPr>
        <w:t>sui generis</w:t>
      </w:r>
      <w:r w:rsidRPr="00320A86">
        <w:rPr>
          <w:color w:val="000000"/>
          <w:szCs w:val="28"/>
        </w:rPr>
        <w:t xml:space="preserve"> que l’intégrisme catholique ne peut surmonter, en même temps qu’il se retourne contre lui en provoquant, en son sein, un phénomène de scissiparité qu’il ne parvient plus à ma</w:t>
      </w:r>
      <w:r w:rsidRPr="00320A86">
        <w:rPr>
          <w:color w:val="000000"/>
          <w:szCs w:val="28"/>
        </w:rPr>
        <w:t>î</w:t>
      </w:r>
      <w:r w:rsidRPr="00320A86">
        <w:rPr>
          <w:color w:val="000000"/>
          <w:szCs w:val="28"/>
        </w:rPr>
        <w:t>triser. Après une première phase d’exode se traduisant par le ralli</w:t>
      </w:r>
      <w:r w:rsidRPr="00320A86">
        <w:rPr>
          <w:color w:val="000000"/>
          <w:szCs w:val="28"/>
        </w:rPr>
        <w:t>e</w:t>
      </w:r>
      <w:r w:rsidRPr="00320A86">
        <w:rPr>
          <w:color w:val="000000"/>
          <w:szCs w:val="28"/>
        </w:rPr>
        <w:t>ment à Rome d’une partie non négligeable des partisans de M</w:t>
      </w:r>
      <w:r w:rsidRPr="00320A86">
        <w:rPr>
          <w:color w:val="000000"/>
          <w:szCs w:val="28"/>
          <w:vertAlign w:val="superscript"/>
        </w:rPr>
        <w:t>gr</w:t>
      </w:r>
      <w:r w:rsidRPr="00320A86">
        <w:rPr>
          <w:color w:val="000000"/>
          <w:szCs w:val="28"/>
        </w:rPr>
        <w:t xml:space="preserve"> L</w:t>
      </w:r>
      <w:r w:rsidRPr="00320A86">
        <w:rPr>
          <w:color w:val="000000"/>
          <w:szCs w:val="28"/>
        </w:rPr>
        <w:t>e</w:t>
      </w:r>
      <w:r w:rsidRPr="00320A86">
        <w:rPr>
          <w:color w:val="000000"/>
          <w:szCs w:val="28"/>
        </w:rPr>
        <w:t xml:space="preserve">fevbre, la Fraternité saint </w:t>
      </w:r>
      <w:r>
        <w:rPr>
          <w:color w:val="000000"/>
          <w:szCs w:val="28"/>
        </w:rPr>
        <w:t>Pie </w:t>
      </w:r>
      <w:r w:rsidRPr="00320A86">
        <w:rPr>
          <w:color w:val="000000"/>
          <w:szCs w:val="28"/>
        </w:rPr>
        <w:t>X est de nouveau déchirée entre ceux qui aspirent à la pleine communion, et ceux qui la refusent, essentie</w:t>
      </w:r>
      <w:r w:rsidRPr="00320A86">
        <w:rPr>
          <w:color w:val="000000"/>
          <w:szCs w:val="28"/>
        </w:rPr>
        <w:t>l</w:t>
      </w:r>
      <w:r w:rsidRPr="00320A86">
        <w:rPr>
          <w:color w:val="000000"/>
          <w:szCs w:val="28"/>
        </w:rPr>
        <w:t>lement par refus des orientations conciliaires, condition indispensable à leur pleine réi</w:t>
      </w:r>
      <w:r w:rsidRPr="00320A86">
        <w:rPr>
          <w:color w:val="000000"/>
          <w:szCs w:val="28"/>
        </w:rPr>
        <w:t>n</w:t>
      </w:r>
      <w:r w:rsidRPr="00320A86">
        <w:rPr>
          <w:color w:val="000000"/>
          <w:szCs w:val="28"/>
        </w:rPr>
        <w:t>tégration. Ces dissidences nouvelles émanent de clercs, mais trouvent probablement un appui suffisant chez les ouai</w:t>
      </w:r>
      <w:r w:rsidRPr="00320A86">
        <w:rPr>
          <w:color w:val="000000"/>
          <w:szCs w:val="28"/>
        </w:rPr>
        <w:t>l</w:t>
      </w:r>
      <w:r w:rsidRPr="00320A86">
        <w:rPr>
          <w:color w:val="000000"/>
          <w:szCs w:val="28"/>
        </w:rPr>
        <w:t>les, pour bloquer le processus, avec lequel le pape François semble avoir pris ses distances. La dissidence intégriste n’est plus un danger pour l’Église, elle n’a plus d’autre choix que sa transformation en simple traditionalisme, ou sa lente agonie en secte.</w:t>
      </w:r>
    </w:p>
    <w:p w14:paraId="22C93378" w14:textId="77777777" w:rsidR="00B01930" w:rsidRPr="00320A86" w:rsidRDefault="00B01930" w:rsidP="00B01930">
      <w:pPr>
        <w:spacing w:before="120" w:after="120"/>
        <w:jc w:val="both"/>
        <w:rPr>
          <w:color w:val="000000"/>
          <w:szCs w:val="28"/>
        </w:rPr>
      </w:pPr>
      <w:r w:rsidRPr="00320A86">
        <w:rPr>
          <w:color w:val="000000"/>
          <w:szCs w:val="28"/>
        </w:rPr>
        <w:t>L’intégrisme catholique n'est qu'un épisode dont la phase critique, et sans doute ultime, correspond à l'intransigeance incarnée par M</w:t>
      </w:r>
      <w:r w:rsidRPr="00320A86">
        <w:rPr>
          <w:color w:val="000000"/>
          <w:szCs w:val="28"/>
          <w:vertAlign w:val="superscript"/>
        </w:rPr>
        <w:t>gr</w:t>
      </w:r>
      <w:r w:rsidRPr="00320A86">
        <w:rPr>
          <w:color w:val="000000"/>
          <w:szCs w:val="28"/>
        </w:rPr>
        <w:t xml:space="preserve"> Lefevbre. Il est l’achèvement d'un phénomène,  à la fois politique et religieux, qui trouve sa source dans le traumatisme, également polit</w:t>
      </w:r>
      <w:r w:rsidRPr="00320A86">
        <w:rPr>
          <w:color w:val="000000"/>
          <w:szCs w:val="28"/>
        </w:rPr>
        <w:t>i</w:t>
      </w:r>
      <w:r w:rsidRPr="00320A86">
        <w:rPr>
          <w:color w:val="000000"/>
          <w:szCs w:val="28"/>
        </w:rPr>
        <w:t xml:space="preserve">que et religieux,  qu'a constitué la Révolution Française. C'est cette belle nostalgie – pourquoi pas respectable – qui en a fait le partisan convaincu de </w:t>
      </w:r>
      <w:r w:rsidRPr="00320A86">
        <w:rPr>
          <w:color w:val="000000"/>
          <w:szCs w:val="28"/>
          <w:shd w:val="clear" w:color="auto" w:fill="FFFFFF"/>
        </w:rPr>
        <w:t>« </w:t>
      </w:r>
      <w:r w:rsidRPr="00067AA5">
        <w:rPr>
          <w:i/>
          <w:iCs/>
          <w:color w:val="000000"/>
          <w:szCs w:val="28"/>
        </w:rPr>
        <w:t>l’avan</w:t>
      </w:r>
      <w:r w:rsidRPr="00067AA5">
        <w:rPr>
          <w:i/>
          <w:color w:val="000000"/>
          <w:szCs w:val="28"/>
        </w:rPr>
        <w:t>t</w:t>
      </w:r>
      <w:r w:rsidRPr="00067AA5">
        <w:rPr>
          <w:i/>
        </w:rPr>
        <w:t> </w:t>
      </w:r>
      <w:r w:rsidRPr="00320A86">
        <w:t>»</w:t>
      </w:r>
      <w:r w:rsidRPr="00320A86">
        <w:rPr>
          <w:color w:val="000000"/>
          <w:szCs w:val="28"/>
        </w:rPr>
        <w:t xml:space="preserve"> ou du </w:t>
      </w:r>
      <w:r w:rsidRPr="00320A86">
        <w:rPr>
          <w:color w:val="000000"/>
          <w:szCs w:val="28"/>
          <w:shd w:val="clear" w:color="auto" w:fill="FFFFFF"/>
        </w:rPr>
        <w:t>« </w:t>
      </w:r>
      <w:r w:rsidRPr="00067AA5">
        <w:rPr>
          <w:i/>
          <w:iCs/>
          <w:color w:val="000000"/>
          <w:szCs w:val="28"/>
        </w:rPr>
        <w:t>naguère</w:t>
      </w:r>
      <w:r w:rsidRPr="00067AA5">
        <w:rPr>
          <w:i/>
        </w:rPr>
        <w:t> </w:t>
      </w:r>
      <w:r w:rsidRPr="00320A86">
        <w:t>»</w:t>
      </w:r>
      <w:r w:rsidRPr="00320A86">
        <w:rPr>
          <w:color w:val="000000"/>
          <w:szCs w:val="28"/>
        </w:rPr>
        <w:t xml:space="preserve"> opposé au </w:t>
      </w:r>
      <w:r w:rsidRPr="00320A86">
        <w:rPr>
          <w:color w:val="000000"/>
          <w:szCs w:val="28"/>
          <w:shd w:val="clear" w:color="auto" w:fill="FFFFFF"/>
        </w:rPr>
        <w:t>« </w:t>
      </w:r>
      <w:r w:rsidRPr="00067AA5">
        <w:rPr>
          <w:i/>
          <w:iCs/>
          <w:color w:val="000000"/>
          <w:szCs w:val="28"/>
        </w:rPr>
        <w:t>depuis</w:t>
      </w:r>
      <w:r w:rsidRPr="00067AA5">
        <w:rPr>
          <w:i/>
        </w:rPr>
        <w:t> </w:t>
      </w:r>
      <w:r w:rsidRPr="00320A86">
        <w:t>»</w:t>
      </w:r>
      <w:r w:rsidRPr="00320A86">
        <w:rPr>
          <w:color w:val="000000"/>
          <w:szCs w:val="28"/>
        </w:rPr>
        <w:t>, jugé malfaisant. Avant : la Chrétienté, la messe tridentine, le Christ Roi de la France, et le Roi son représentant sur terre ; depuis : le Progrès,  d</w:t>
      </w:r>
      <w:r w:rsidRPr="00320A86">
        <w:rPr>
          <w:color w:val="000000"/>
          <w:szCs w:val="28"/>
        </w:rPr>
        <w:t>e</w:t>
      </w:r>
      <w:r w:rsidRPr="00320A86">
        <w:rPr>
          <w:color w:val="000000"/>
          <w:szCs w:val="28"/>
        </w:rPr>
        <w:t>puis : la Franc maçonnerie triomphante… depuis : la modernité, la messe en français, la démocratie ! Il manquait à cette idéologie du r</w:t>
      </w:r>
      <w:r w:rsidRPr="00320A86">
        <w:rPr>
          <w:color w:val="000000"/>
          <w:szCs w:val="28"/>
        </w:rPr>
        <w:t>e</w:t>
      </w:r>
      <w:r w:rsidRPr="00320A86">
        <w:rPr>
          <w:color w:val="000000"/>
          <w:szCs w:val="28"/>
        </w:rPr>
        <w:t xml:space="preserve">gret un équivalent strictement religieux : c'est le Concile </w:t>
      </w:r>
      <w:r>
        <w:rPr>
          <w:color w:val="000000"/>
          <w:szCs w:val="28"/>
        </w:rPr>
        <w:t>Vatican II</w:t>
      </w:r>
      <w:r w:rsidRPr="00320A86">
        <w:rPr>
          <w:color w:val="000000"/>
          <w:szCs w:val="28"/>
        </w:rPr>
        <w:t xml:space="preserve"> qui fournit la transposition, et il est traversé du clivage, aux relents révolutionnaires, entre </w:t>
      </w:r>
      <w:r w:rsidRPr="00320A86">
        <w:rPr>
          <w:color w:val="000000"/>
          <w:szCs w:val="28"/>
          <w:shd w:val="clear" w:color="auto" w:fill="FFFFFF"/>
        </w:rPr>
        <w:t>« </w:t>
      </w:r>
      <w:r w:rsidRPr="00067AA5">
        <w:rPr>
          <w:i/>
          <w:color w:val="000000"/>
          <w:szCs w:val="28"/>
        </w:rPr>
        <w:t>conservateurs</w:t>
      </w:r>
      <w:r w:rsidRPr="00067AA5">
        <w:rPr>
          <w:i/>
        </w:rPr>
        <w:t> </w:t>
      </w:r>
      <w:r w:rsidRPr="00320A86">
        <w:t>»</w:t>
      </w:r>
      <w:r w:rsidRPr="00320A86">
        <w:rPr>
          <w:color w:val="000000"/>
          <w:szCs w:val="28"/>
        </w:rPr>
        <w:t xml:space="preserve"> et </w:t>
      </w:r>
      <w:r w:rsidRPr="00320A86">
        <w:rPr>
          <w:color w:val="000000"/>
          <w:szCs w:val="28"/>
          <w:shd w:val="clear" w:color="auto" w:fill="FFFFFF"/>
        </w:rPr>
        <w:t>« </w:t>
      </w:r>
      <w:r w:rsidRPr="00067AA5">
        <w:rPr>
          <w:i/>
          <w:color w:val="000000"/>
          <w:szCs w:val="28"/>
        </w:rPr>
        <w:t>progressistes</w:t>
      </w:r>
      <w:r w:rsidRPr="00067AA5">
        <w:rPr>
          <w:i/>
        </w:rPr>
        <w:t> </w:t>
      </w:r>
      <w:r w:rsidRPr="00320A86">
        <w:t>»</w:t>
      </w:r>
      <w:r w:rsidRPr="00320A86">
        <w:rPr>
          <w:color w:val="000000"/>
          <w:szCs w:val="28"/>
        </w:rPr>
        <w:t>, placage français qui nimbera d'une nuée historico-politique les questions rel</w:t>
      </w:r>
      <w:r w:rsidRPr="00320A86">
        <w:rPr>
          <w:color w:val="000000"/>
          <w:szCs w:val="28"/>
        </w:rPr>
        <w:t>i</w:t>
      </w:r>
      <w:r w:rsidRPr="00320A86">
        <w:rPr>
          <w:color w:val="000000"/>
          <w:szCs w:val="28"/>
        </w:rPr>
        <w:t xml:space="preserve">gieuses. Mais la signature française ne s’arrête pas là. De même que la </w:t>
      </w:r>
      <w:r w:rsidRPr="00320A86">
        <w:rPr>
          <w:color w:val="000000"/>
          <w:szCs w:val="28"/>
          <w:shd w:val="clear" w:color="auto" w:fill="FFFFFF"/>
        </w:rPr>
        <w:t>« </w:t>
      </w:r>
      <w:r w:rsidRPr="00320A86">
        <w:rPr>
          <w:color w:val="000000"/>
          <w:szCs w:val="28"/>
        </w:rPr>
        <w:t>Grande Nation</w:t>
      </w:r>
      <w:r w:rsidRPr="00320A86">
        <w:t> »</w:t>
      </w:r>
      <w:r w:rsidRPr="00320A86">
        <w:rPr>
          <w:color w:val="000000"/>
          <w:szCs w:val="28"/>
        </w:rPr>
        <w:t xml:space="preserve"> a prétendu exporter sa </w:t>
      </w:r>
      <w:r w:rsidRPr="00320A86">
        <w:rPr>
          <w:color w:val="000000"/>
          <w:szCs w:val="28"/>
          <w:shd w:val="clear" w:color="auto" w:fill="FFFFFF"/>
        </w:rPr>
        <w:t>« </w:t>
      </w:r>
      <w:r w:rsidRPr="00067AA5">
        <w:rPr>
          <w:i/>
          <w:color w:val="000000"/>
          <w:szCs w:val="28"/>
        </w:rPr>
        <w:t>glorieuse révolution</w:t>
      </w:r>
      <w:r w:rsidRPr="00067AA5">
        <w:rPr>
          <w:i/>
        </w:rPr>
        <w:t> </w:t>
      </w:r>
      <w:r w:rsidRPr="00320A86">
        <w:t>»</w:t>
      </w:r>
      <w:r w:rsidRPr="00320A86">
        <w:rPr>
          <w:color w:val="000000"/>
          <w:szCs w:val="28"/>
        </w:rPr>
        <w:t xml:space="preserve"> au monde entier, l’intégrisme catholique a hérité de prétentions équiv</w:t>
      </w:r>
      <w:r w:rsidRPr="00320A86">
        <w:rPr>
          <w:color w:val="000000"/>
          <w:szCs w:val="28"/>
        </w:rPr>
        <w:t>a</w:t>
      </w:r>
      <w:r w:rsidRPr="00320A86">
        <w:rPr>
          <w:color w:val="000000"/>
          <w:szCs w:val="28"/>
        </w:rPr>
        <w:t>lentes,  mais au sein de l’Église, et sur le mode contre révolutionnaire. L’intégrisme catholique, et de manière moins virulente, le tradition</w:t>
      </w:r>
      <w:r w:rsidRPr="00320A86">
        <w:rPr>
          <w:color w:val="000000"/>
          <w:szCs w:val="28"/>
        </w:rPr>
        <w:t>a</w:t>
      </w:r>
      <w:r w:rsidRPr="00320A86">
        <w:rPr>
          <w:color w:val="000000"/>
          <w:szCs w:val="28"/>
        </w:rPr>
        <w:t>lisme, ne se revendiquent pas comme un quelconque particularisme. Ils se présentent comme la meilleure,  voire la seule, voie pour prat</w:t>
      </w:r>
      <w:r w:rsidRPr="00320A86">
        <w:rPr>
          <w:color w:val="000000"/>
          <w:szCs w:val="28"/>
        </w:rPr>
        <w:t>i</w:t>
      </w:r>
      <w:r w:rsidRPr="00320A86">
        <w:rPr>
          <w:color w:val="000000"/>
          <w:szCs w:val="28"/>
        </w:rPr>
        <w:t xml:space="preserve">quer authentiquement la religion catholique. Leurs adeptes sont </w:t>
      </w:r>
      <w:r w:rsidRPr="00320A86">
        <w:rPr>
          <w:color w:val="000000"/>
          <w:szCs w:val="28"/>
          <w:shd w:val="clear" w:color="auto" w:fill="FFFFFF"/>
        </w:rPr>
        <w:t>« </w:t>
      </w:r>
      <w:r w:rsidRPr="00067AA5">
        <w:rPr>
          <w:i/>
          <w:iCs/>
          <w:color w:val="000000"/>
          <w:szCs w:val="28"/>
        </w:rPr>
        <w:t>l’aile marchante</w:t>
      </w:r>
      <w:r w:rsidRPr="00067AA5">
        <w:rPr>
          <w:i/>
        </w:rPr>
        <w:t> </w:t>
      </w:r>
      <w:r w:rsidRPr="00320A86">
        <w:t>»</w:t>
      </w:r>
      <w:r w:rsidRPr="00320A86">
        <w:rPr>
          <w:color w:val="000000"/>
          <w:szCs w:val="28"/>
        </w:rPr>
        <w:t xml:space="preserve"> de l’Église, leurs paroissiens sont un </w:t>
      </w:r>
      <w:r w:rsidRPr="00320A86">
        <w:rPr>
          <w:color w:val="000000"/>
          <w:szCs w:val="28"/>
          <w:shd w:val="clear" w:color="auto" w:fill="FFFFFF"/>
        </w:rPr>
        <w:t>« </w:t>
      </w:r>
      <w:r w:rsidRPr="00067AA5">
        <w:rPr>
          <w:i/>
          <w:iCs/>
          <w:color w:val="000000"/>
          <w:szCs w:val="28"/>
        </w:rPr>
        <w:t>petit re</w:t>
      </w:r>
      <w:r w:rsidRPr="00067AA5">
        <w:rPr>
          <w:i/>
          <w:iCs/>
          <w:color w:val="000000"/>
          <w:szCs w:val="28"/>
        </w:rPr>
        <w:t>s</w:t>
      </w:r>
      <w:r w:rsidRPr="00067AA5">
        <w:rPr>
          <w:i/>
          <w:iCs/>
          <w:color w:val="000000"/>
          <w:szCs w:val="28"/>
        </w:rPr>
        <w:t>te</w:t>
      </w:r>
      <w:r w:rsidRPr="00067AA5">
        <w:rPr>
          <w:i/>
        </w:rPr>
        <w:t> </w:t>
      </w:r>
      <w:r w:rsidRPr="00320A86">
        <w:t>»</w:t>
      </w:r>
      <w:r w:rsidRPr="00320A86">
        <w:rPr>
          <w:color w:val="000000"/>
          <w:szCs w:val="28"/>
        </w:rPr>
        <w:t xml:space="preserve">, qui doivent conserver leur </w:t>
      </w:r>
      <w:r w:rsidRPr="00320A86">
        <w:rPr>
          <w:iCs/>
          <w:color w:val="000000"/>
          <w:szCs w:val="28"/>
        </w:rPr>
        <w:t>pureté</w:t>
      </w:r>
      <w:r w:rsidRPr="00320A86">
        <w:rPr>
          <w:color w:val="000000"/>
          <w:szCs w:val="28"/>
        </w:rPr>
        <w:t xml:space="preserve"> en évitant les pratiques de l’Église o</w:t>
      </w:r>
      <w:r w:rsidRPr="00320A86">
        <w:rPr>
          <w:color w:val="000000"/>
          <w:szCs w:val="28"/>
        </w:rPr>
        <w:t>f</w:t>
      </w:r>
      <w:r w:rsidRPr="00320A86">
        <w:rPr>
          <w:color w:val="000000"/>
          <w:szCs w:val="28"/>
        </w:rPr>
        <w:t xml:space="preserve">ficielle ! Cet universalisme, qui prétend agir au nom de la </w:t>
      </w:r>
      <w:r w:rsidRPr="00320A86">
        <w:rPr>
          <w:color w:val="000000"/>
          <w:szCs w:val="28"/>
          <w:shd w:val="clear" w:color="auto" w:fill="FFFFFF"/>
        </w:rPr>
        <w:t>« </w:t>
      </w:r>
      <w:r w:rsidRPr="00067AA5">
        <w:rPr>
          <w:i/>
          <w:color w:val="000000"/>
          <w:szCs w:val="28"/>
        </w:rPr>
        <w:t>Nation Église</w:t>
      </w:r>
      <w:r w:rsidRPr="00067AA5">
        <w:rPr>
          <w:i/>
        </w:rPr>
        <w:t> </w:t>
      </w:r>
      <w:r w:rsidRPr="00320A86">
        <w:t>»</w:t>
      </w:r>
      <w:r w:rsidRPr="00320A86">
        <w:rPr>
          <w:color w:val="000000"/>
          <w:szCs w:val="28"/>
        </w:rPr>
        <w:t xml:space="preserve"> ou incarner ses intérêts véritables, renoue avec un absolutisme idéologique, qui pu</w:t>
      </w:r>
      <w:r w:rsidRPr="00320A86">
        <w:rPr>
          <w:color w:val="000000"/>
          <w:szCs w:val="28"/>
        </w:rPr>
        <w:t>i</w:t>
      </w:r>
      <w:r w:rsidRPr="00320A86">
        <w:rPr>
          <w:color w:val="000000"/>
          <w:szCs w:val="28"/>
        </w:rPr>
        <w:t>se dans le centralisme français son monolithisme parfois étroit. Habillé des atours de la générosité, du courage, et de la résistance, quand il s’impose, ce g</w:t>
      </w:r>
      <w:r w:rsidRPr="00320A86">
        <w:rPr>
          <w:color w:val="000000"/>
          <w:szCs w:val="28"/>
        </w:rPr>
        <w:t>é</w:t>
      </w:r>
      <w:r w:rsidRPr="00320A86">
        <w:rPr>
          <w:color w:val="000000"/>
          <w:szCs w:val="28"/>
        </w:rPr>
        <w:t>nie français là redevient une prétention vaniteuse, voire ridicule, lorsque il se heurte à des puissances mieux établies. Et l’Église catholique dont la longue hi</w:t>
      </w:r>
      <w:r w:rsidRPr="00320A86">
        <w:rPr>
          <w:color w:val="000000"/>
          <w:szCs w:val="28"/>
        </w:rPr>
        <w:t>s</w:t>
      </w:r>
      <w:r w:rsidRPr="00320A86">
        <w:rPr>
          <w:color w:val="000000"/>
          <w:szCs w:val="28"/>
        </w:rPr>
        <w:t>toire est parsemée de schismes et d’hérésies est maitresse de l’art politique, au point que les États modernes ont largement puisé dans sa boite à outils</w:t>
      </w:r>
      <w:r>
        <w:rPr>
          <w:color w:val="000000"/>
          <w:szCs w:val="28"/>
        </w:rPr>
        <w:t> </w:t>
      </w:r>
      <w:r>
        <w:rPr>
          <w:rStyle w:val="Appelnotedebasdep"/>
          <w:szCs w:val="28"/>
        </w:rPr>
        <w:footnoteReference w:id="1220"/>
      </w:r>
      <w:r w:rsidRPr="00320A86">
        <w:rPr>
          <w:color w:val="000000"/>
          <w:szCs w:val="28"/>
        </w:rPr>
        <w:t>.</w:t>
      </w:r>
    </w:p>
    <w:p w14:paraId="1BC84D26" w14:textId="77777777" w:rsidR="00B01930" w:rsidRDefault="00B01930" w:rsidP="00B01930">
      <w:pPr>
        <w:spacing w:before="120" w:after="120"/>
        <w:jc w:val="both"/>
        <w:rPr>
          <w:color w:val="000000"/>
          <w:szCs w:val="28"/>
        </w:rPr>
      </w:pPr>
      <w:r w:rsidRPr="00320A86">
        <w:rPr>
          <w:color w:val="000000"/>
          <w:szCs w:val="28"/>
        </w:rPr>
        <w:t xml:space="preserve">Jugé,  peut être à tort, comme le moins </w:t>
      </w:r>
      <w:r w:rsidRPr="00320A86">
        <w:rPr>
          <w:color w:val="000000"/>
          <w:szCs w:val="28"/>
          <w:shd w:val="clear" w:color="auto" w:fill="FFFFFF"/>
        </w:rPr>
        <w:t>« </w:t>
      </w:r>
      <w:r w:rsidRPr="00320A86">
        <w:rPr>
          <w:color w:val="000000"/>
          <w:szCs w:val="28"/>
        </w:rPr>
        <w:t>politique</w:t>
      </w:r>
      <w:r w:rsidRPr="00320A86">
        <w:t> »</w:t>
      </w:r>
      <w:r w:rsidRPr="00320A86">
        <w:rPr>
          <w:color w:val="000000"/>
          <w:szCs w:val="28"/>
        </w:rPr>
        <w:t xml:space="preserve"> des papes contemporains, </w:t>
      </w:r>
      <w:r>
        <w:rPr>
          <w:color w:val="000000"/>
          <w:szCs w:val="28"/>
        </w:rPr>
        <w:t>Benoît XVI</w:t>
      </w:r>
      <w:r w:rsidRPr="00320A86">
        <w:rPr>
          <w:color w:val="000000"/>
          <w:szCs w:val="28"/>
        </w:rPr>
        <w:t>, conscient de la menace que faisaient p</w:t>
      </w:r>
      <w:r w:rsidRPr="00320A86">
        <w:rPr>
          <w:color w:val="000000"/>
          <w:szCs w:val="28"/>
        </w:rPr>
        <w:t>e</w:t>
      </w:r>
      <w:r w:rsidRPr="00320A86">
        <w:rPr>
          <w:color w:val="000000"/>
          <w:szCs w:val="28"/>
        </w:rPr>
        <w:t>ser les intégriste</w:t>
      </w:r>
      <w:r>
        <w:rPr>
          <w:color w:val="000000"/>
          <w:szCs w:val="28"/>
        </w:rPr>
        <w:t>s</w:t>
      </w:r>
      <w:r w:rsidRPr="00320A86">
        <w:rPr>
          <w:color w:val="000000"/>
          <w:szCs w:val="28"/>
        </w:rPr>
        <w:t xml:space="preserve"> sur l’unité de l’Église, a réussi le tour de force de les marginaliser, en les faisant adhérer, malgré eux, à un principe de d</w:t>
      </w:r>
      <w:r w:rsidRPr="00320A86">
        <w:rPr>
          <w:color w:val="000000"/>
          <w:szCs w:val="28"/>
        </w:rPr>
        <w:t>i</w:t>
      </w:r>
      <w:r w:rsidRPr="00320A86">
        <w:rPr>
          <w:color w:val="000000"/>
          <w:szCs w:val="28"/>
        </w:rPr>
        <w:t>versit</w:t>
      </w:r>
      <w:r>
        <w:rPr>
          <w:color w:val="000000"/>
          <w:szCs w:val="28"/>
        </w:rPr>
        <w:t>é</w:t>
      </w:r>
      <w:r w:rsidRPr="00320A86">
        <w:rPr>
          <w:color w:val="000000"/>
          <w:szCs w:val="28"/>
        </w:rPr>
        <w:t xml:space="preserve"> liturgique à l’intérieur de l’Église. Mais il y a mieux encore : en imposant la coexistence des formes ordinaire et extraordinaire de la liturgie, il a rendu le catholicisme polyphonique, instillant ainsi une sorte de pédagogie de l’œcuménisme. Or l’œcuménisme est la </w:t>
      </w:r>
      <w:r w:rsidRPr="00320A86">
        <w:rPr>
          <w:color w:val="000000"/>
          <w:szCs w:val="28"/>
          <w:shd w:val="clear" w:color="auto" w:fill="FFFFFF"/>
        </w:rPr>
        <w:t>« </w:t>
      </w:r>
      <w:r w:rsidRPr="00320A86">
        <w:rPr>
          <w:color w:val="000000"/>
          <w:szCs w:val="28"/>
        </w:rPr>
        <w:t>bête noire</w:t>
      </w:r>
      <w:r w:rsidRPr="00320A86">
        <w:t> »</w:t>
      </w:r>
      <w:r w:rsidRPr="00320A86">
        <w:rPr>
          <w:color w:val="000000"/>
          <w:szCs w:val="28"/>
        </w:rPr>
        <w:t xml:space="preserve"> des intégristes et d’une partie de la Tradition, tandis que l’Unité des chrétiens est la préoccupation constante de tous les papes qui se sont succédés depuis </w:t>
      </w:r>
      <w:r>
        <w:rPr>
          <w:color w:val="000000"/>
          <w:szCs w:val="28"/>
        </w:rPr>
        <w:t>Jean X</w:t>
      </w:r>
      <w:r w:rsidRPr="00320A86">
        <w:rPr>
          <w:color w:val="000000"/>
          <w:szCs w:val="28"/>
        </w:rPr>
        <w:t>XIII. Il est vrai que le monolithi</w:t>
      </w:r>
      <w:r w:rsidRPr="00320A86">
        <w:rPr>
          <w:color w:val="000000"/>
          <w:szCs w:val="28"/>
        </w:rPr>
        <w:t>s</w:t>
      </w:r>
      <w:r w:rsidRPr="00320A86">
        <w:rPr>
          <w:color w:val="000000"/>
          <w:szCs w:val="28"/>
        </w:rPr>
        <w:t>me dont on fait souvent grief, en France, au siège apostolique, est la</w:t>
      </w:r>
      <w:r w:rsidRPr="00320A86">
        <w:rPr>
          <w:color w:val="000000"/>
          <w:szCs w:val="28"/>
        </w:rPr>
        <w:t>r</w:t>
      </w:r>
      <w:r w:rsidRPr="00320A86">
        <w:rPr>
          <w:color w:val="000000"/>
          <w:szCs w:val="28"/>
        </w:rPr>
        <w:t>gement une idée reçue. C’est parce qu’elle admet la diversité des ch</w:t>
      </w:r>
      <w:r w:rsidRPr="00320A86">
        <w:rPr>
          <w:color w:val="000000"/>
          <w:szCs w:val="28"/>
        </w:rPr>
        <w:t>a</w:t>
      </w:r>
      <w:r w:rsidRPr="00320A86">
        <w:rPr>
          <w:color w:val="000000"/>
          <w:szCs w:val="28"/>
        </w:rPr>
        <w:t>rismes, déjà soulignée par saint Paul, que l’Église s’est enrichie des Ordres religieux, qu’il</w:t>
      </w:r>
      <w:r>
        <w:rPr>
          <w:color w:val="000000"/>
          <w:szCs w:val="28"/>
        </w:rPr>
        <w:t>s soient monastiques ou aposto</w:t>
      </w:r>
      <w:r w:rsidRPr="00320A86">
        <w:rPr>
          <w:color w:val="000000"/>
          <w:szCs w:val="28"/>
        </w:rPr>
        <w:t>liques, dont la vitalité a pu défier les siècles tant qu’ils restaient fidèles aux intuitions de leurs fondateurs. C’est fort de cette diversification, et riche de ces spécialités, que le Corps ecclésial, soudé par la communion au Pape et aux Évêques, peut espérer accomplir sa mission d’évangélisation ju</w:t>
      </w:r>
      <w:r w:rsidRPr="00320A86">
        <w:rPr>
          <w:color w:val="000000"/>
          <w:szCs w:val="28"/>
        </w:rPr>
        <w:t>s</w:t>
      </w:r>
      <w:r w:rsidRPr="00320A86">
        <w:rPr>
          <w:color w:val="000000"/>
          <w:szCs w:val="28"/>
        </w:rPr>
        <w:t xml:space="preserve">qu’aux </w:t>
      </w:r>
      <w:r w:rsidRPr="00067AA5">
        <w:rPr>
          <w:i/>
          <w:iCs/>
          <w:color w:val="000000"/>
          <w:szCs w:val="28"/>
        </w:rPr>
        <w:t>extrémités de la Terre</w:t>
      </w:r>
      <w:r w:rsidRPr="00320A86">
        <w:rPr>
          <w:iCs/>
          <w:color w:val="000000"/>
          <w:szCs w:val="28"/>
        </w:rPr>
        <w:t>,</w:t>
      </w:r>
      <w:r w:rsidRPr="00320A86">
        <w:rPr>
          <w:color w:val="000000"/>
          <w:szCs w:val="28"/>
        </w:rPr>
        <w:t xml:space="preserve"> ce que le</w:t>
      </w:r>
      <w:r w:rsidRPr="00320A86">
        <w:rPr>
          <w:iCs/>
          <w:color w:val="000000"/>
          <w:szCs w:val="28"/>
        </w:rPr>
        <w:t xml:space="preserve"> </w:t>
      </w:r>
      <w:r w:rsidRPr="00320A86">
        <w:rPr>
          <w:color w:val="000000"/>
          <w:szCs w:val="28"/>
        </w:rPr>
        <w:t xml:space="preserve">pape </w:t>
      </w:r>
      <w:r>
        <w:rPr>
          <w:color w:val="000000"/>
          <w:szCs w:val="28"/>
        </w:rPr>
        <w:t>Léon IX</w:t>
      </w:r>
      <w:r w:rsidRPr="00320A86">
        <w:rPr>
          <w:color w:val="000000"/>
          <w:szCs w:val="28"/>
        </w:rPr>
        <w:t xml:space="preserve"> traduisait au XI</w:t>
      </w:r>
      <w:r w:rsidRPr="00320A86">
        <w:rPr>
          <w:color w:val="000000"/>
          <w:szCs w:val="28"/>
          <w:vertAlign w:val="superscript"/>
        </w:rPr>
        <w:t>e</w:t>
      </w:r>
      <w:r w:rsidRPr="00320A86">
        <w:rPr>
          <w:color w:val="000000"/>
          <w:szCs w:val="28"/>
        </w:rPr>
        <w:t xml:space="preserve"> siècle par cette belle formule :</w:t>
      </w:r>
      <w:r w:rsidRPr="00320A86">
        <w:rPr>
          <w:iCs/>
          <w:color w:val="000000"/>
          <w:szCs w:val="28"/>
        </w:rPr>
        <w:t xml:space="preserve"> </w:t>
      </w:r>
      <w:r w:rsidRPr="00320A86">
        <w:rPr>
          <w:color w:val="000000"/>
          <w:szCs w:val="28"/>
          <w:shd w:val="clear" w:color="auto" w:fill="FFFFFF"/>
        </w:rPr>
        <w:t>« </w:t>
      </w:r>
      <w:r w:rsidRPr="00067AA5">
        <w:rPr>
          <w:i/>
          <w:iCs/>
          <w:color w:val="000000"/>
          <w:szCs w:val="28"/>
        </w:rPr>
        <w:t>La miséricorde du Seigneur e</w:t>
      </w:r>
      <w:r w:rsidRPr="00067AA5">
        <w:rPr>
          <w:i/>
          <w:iCs/>
          <w:color w:val="000000"/>
          <w:szCs w:val="28"/>
        </w:rPr>
        <w:t>m</w:t>
      </w:r>
      <w:r w:rsidRPr="00067AA5">
        <w:rPr>
          <w:i/>
          <w:iCs/>
          <w:color w:val="000000"/>
          <w:szCs w:val="28"/>
        </w:rPr>
        <w:t>plit la Terre </w:t>
      </w:r>
      <w:r>
        <w:rPr>
          <w:rStyle w:val="Appelnotedebasdep"/>
          <w:iCs/>
          <w:szCs w:val="28"/>
        </w:rPr>
        <w:footnoteReference w:id="1221"/>
      </w:r>
      <w:r w:rsidRPr="00320A86">
        <w:t> »</w:t>
      </w:r>
      <w:r w:rsidRPr="00320A86">
        <w:rPr>
          <w:iCs/>
          <w:color w:val="000000"/>
          <w:szCs w:val="28"/>
        </w:rPr>
        <w:t xml:space="preserve">. </w:t>
      </w:r>
      <w:r w:rsidRPr="00320A86">
        <w:rPr>
          <w:color w:val="000000"/>
          <w:szCs w:val="28"/>
        </w:rPr>
        <w:t>La Tradition, en tant que membre de ce Corps, tient le rôle éminent de la conservation et de la transmission de bien des trésors de l’Église. Elle en  constitue le patrimoine génétique, la m</w:t>
      </w:r>
      <w:r w:rsidRPr="00320A86">
        <w:rPr>
          <w:color w:val="000000"/>
          <w:szCs w:val="28"/>
        </w:rPr>
        <w:t>a</w:t>
      </w:r>
      <w:r w:rsidRPr="00320A86">
        <w:rPr>
          <w:color w:val="000000"/>
          <w:szCs w:val="28"/>
        </w:rPr>
        <w:t>trice indi</w:t>
      </w:r>
      <w:r w:rsidRPr="00320A86">
        <w:rPr>
          <w:color w:val="000000"/>
          <w:szCs w:val="28"/>
        </w:rPr>
        <w:t>s</w:t>
      </w:r>
      <w:r w:rsidRPr="00320A86">
        <w:rPr>
          <w:color w:val="000000"/>
          <w:szCs w:val="28"/>
        </w:rPr>
        <w:t>pensable capable d’insuffler la vie, et donc la nouveauté. À condition de rompre avec toute prétention hégémonique inspirée par une France glorieuse mais s</w:t>
      </w:r>
      <w:r w:rsidRPr="00320A86">
        <w:rPr>
          <w:color w:val="000000"/>
          <w:szCs w:val="28"/>
        </w:rPr>
        <w:t>u</w:t>
      </w:r>
      <w:r w:rsidRPr="00320A86">
        <w:rPr>
          <w:color w:val="000000"/>
          <w:szCs w:val="28"/>
        </w:rPr>
        <w:t>rannée, et en rejetant les vestiges d’un gallicanisme aux tentations rebelles, ses poisons pourront devenir pa</w:t>
      </w:r>
      <w:r w:rsidRPr="00320A86">
        <w:rPr>
          <w:color w:val="000000"/>
          <w:szCs w:val="28"/>
        </w:rPr>
        <w:t>r</w:t>
      </w:r>
      <w:r w:rsidRPr="00320A86">
        <w:rPr>
          <w:color w:val="000000"/>
          <w:szCs w:val="28"/>
        </w:rPr>
        <w:t>fum.</w:t>
      </w:r>
    </w:p>
    <w:p w14:paraId="6E447A60" w14:textId="77777777" w:rsidR="00B01930" w:rsidRDefault="00B01930" w:rsidP="00B01930">
      <w:pPr>
        <w:spacing w:before="120" w:after="120"/>
        <w:jc w:val="both"/>
        <w:rPr>
          <w:color w:val="000000"/>
          <w:szCs w:val="28"/>
        </w:rPr>
      </w:pPr>
    </w:p>
    <w:p w14:paraId="5417B154" w14:textId="77777777" w:rsidR="00B01930" w:rsidRDefault="00B01930" w:rsidP="00B01930">
      <w:pPr>
        <w:spacing w:before="120" w:after="120"/>
        <w:jc w:val="both"/>
      </w:pPr>
      <w:r>
        <w:rPr>
          <w:color w:val="000000"/>
          <w:szCs w:val="28"/>
        </w:rPr>
        <w:br w:type="page"/>
      </w:r>
    </w:p>
    <w:p w14:paraId="2BFAD87B" w14:textId="77777777" w:rsidR="00B01930" w:rsidRDefault="00B01930" w:rsidP="00B01930">
      <w:pPr>
        <w:jc w:val="both"/>
      </w:pPr>
    </w:p>
    <w:p w14:paraId="514FAEEA" w14:textId="77777777" w:rsidR="00B01930" w:rsidRPr="009D4882" w:rsidRDefault="00B01930" w:rsidP="00B01930">
      <w:pPr>
        <w:spacing w:after="120"/>
        <w:ind w:firstLine="0"/>
        <w:jc w:val="center"/>
        <w:rPr>
          <w:b/>
          <w:color w:val="000080"/>
        </w:rPr>
      </w:pPr>
      <w:bookmarkStart w:id="221" w:name="Analyser_idees_pol_pt_3_texte_11"/>
      <w:r>
        <w:rPr>
          <w:b/>
          <w:color w:val="000080"/>
        </w:rPr>
        <w:t>Troisième</w:t>
      </w:r>
      <w:r w:rsidRPr="009D4882">
        <w:rPr>
          <w:b/>
          <w:color w:val="000080"/>
        </w:rPr>
        <w:t xml:space="preserve"> partie</w:t>
      </w:r>
      <w:r w:rsidRPr="009D4882">
        <w:rPr>
          <w:b/>
          <w:color w:val="000080"/>
        </w:rPr>
        <w:br/>
      </w:r>
      <w:r>
        <w:rPr>
          <w:i/>
          <w:color w:val="000080"/>
        </w:rPr>
        <w:t>De quelques idées politiques «modernes»</w:t>
      </w:r>
    </w:p>
    <w:p w14:paraId="78F624BD" w14:textId="77777777" w:rsidR="00B01930" w:rsidRDefault="00B01930" w:rsidP="00B01930">
      <w:pPr>
        <w:pStyle w:val="Titreniveau1"/>
        <w:rPr>
          <w:szCs w:val="36"/>
        </w:rPr>
      </w:pPr>
      <w:r>
        <w:rPr>
          <w:szCs w:val="36"/>
        </w:rPr>
        <w:t>11</w:t>
      </w:r>
    </w:p>
    <w:p w14:paraId="15EC6FC8" w14:textId="77777777" w:rsidR="00B01930" w:rsidRDefault="00B01930" w:rsidP="00B01930">
      <w:pPr>
        <w:jc w:val="both"/>
        <w:rPr>
          <w:szCs w:val="36"/>
        </w:rPr>
      </w:pPr>
    </w:p>
    <w:p w14:paraId="2A890EB8" w14:textId="77777777" w:rsidR="00B01930" w:rsidRPr="00843F3E" w:rsidRDefault="00B01930" w:rsidP="00B01930">
      <w:pPr>
        <w:pStyle w:val="Titreniveau2"/>
      </w:pPr>
      <w:r>
        <w:t>“Les deux nihilismes.</w:t>
      </w:r>
      <w:r>
        <w:br/>
      </w:r>
      <w:r w:rsidRPr="00A01FC9">
        <w:t>Espaces modernes de</w:t>
      </w:r>
      <w:r>
        <w:br/>
      </w:r>
      <w:r w:rsidRPr="00A01FC9">
        <w:t>la culture de mort</w:t>
      </w:r>
      <w:r>
        <w:t>.”</w:t>
      </w:r>
    </w:p>
    <w:bookmarkEnd w:id="221"/>
    <w:p w14:paraId="6706721F" w14:textId="77777777" w:rsidR="00B01930" w:rsidRDefault="00B01930" w:rsidP="00B01930">
      <w:pPr>
        <w:jc w:val="both"/>
        <w:rPr>
          <w:szCs w:val="36"/>
        </w:rPr>
      </w:pPr>
    </w:p>
    <w:p w14:paraId="7D5501D3" w14:textId="77777777" w:rsidR="00B01930" w:rsidRDefault="00B01930" w:rsidP="00B01930">
      <w:pPr>
        <w:pStyle w:val="suite"/>
      </w:pPr>
      <w:r>
        <w:t>Emmanuel SUR</w:t>
      </w:r>
    </w:p>
    <w:p w14:paraId="4133F171" w14:textId="77777777" w:rsidR="00B01930" w:rsidRDefault="00B01930" w:rsidP="00B01930">
      <w:pPr>
        <w:jc w:val="both"/>
      </w:pPr>
    </w:p>
    <w:p w14:paraId="00C24436" w14:textId="77777777" w:rsidR="00B01930" w:rsidRPr="007250CB" w:rsidRDefault="00B01930" w:rsidP="00B01930">
      <w:pPr>
        <w:spacing w:before="120" w:after="120"/>
        <w:ind w:left="1440"/>
        <w:jc w:val="both"/>
        <w:rPr>
          <w:color w:val="000090"/>
          <w:sz w:val="24"/>
        </w:rPr>
      </w:pPr>
      <w:r w:rsidRPr="007250CB">
        <w:rPr>
          <w:color w:val="000090"/>
          <w:sz w:val="24"/>
        </w:rPr>
        <w:t>« Moi, vous savez, je ne suis plus rien ». Une courte discussion sur l’ouvrage que je feuilletais sur les rayons de la libraire Mollat – un commenta</w:t>
      </w:r>
      <w:r w:rsidRPr="007250CB">
        <w:rPr>
          <w:color w:val="000090"/>
          <w:sz w:val="24"/>
        </w:rPr>
        <w:t>i</w:t>
      </w:r>
      <w:r w:rsidRPr="007250CB">
        <w:rPr>
          <w:color w:val="000090"/>
          <w:sz w:val="24"/>
        </w:rPr>
        <w:t>re de 1984 –, quelques courtoisies et ce fut tout. La vie lui semblait déjà morte. Deux mois plus tard, j’apprenais le d</w:t>
      </w:r>
      <w:r w:rsidRPr="007250CB">
        <w:rPr>
          <w:color w:val="000090"/>
          <w:sz w:val="24"/>
        </w:rPr>
        <w:t>é</w:t>
      </w:r>
      <w:r w:rsidRPr="007250CB">
        <w:rPr>
          <w:color w:val="000090"/>
          <w:sz w:val="24"/>
        </w:rPr>
        <w:t xml:space="preserve">cès de Jean-Louis Martres. </w:t>
      </w:r>
    </w:p>
    <w:p w14:paraId="37BF7C06" w14:textId="77777777" w:rsidR="00B01930" w:rsidRPr="007250CB" w:rsidRDefault="00B01930" w:rsidP="00B01930">
      <w:pPr>
        <w:spacing w:before="120" w:after="120"/>
        <w:ind w:left="1440"/>
        <w:jc w:val="both"/>
        <w:rPr>
          <w:color w:val="000090"/>
          <w:sz w:val="24"/>
        </w:rPr>
      </w:pPr>
      <w:r w:rsidRPr="007250CB">
        <w:rPr>
          <w:color w:val="000090"/>
          <w:sz w:val="24"/>
        </w:rPr>
        <w:t>Que ceux qui furent ses auditeurs passionnés voient dans les l</w:t>
      </w:r>
      <w:r w:rsidRPr="007250CB">
        <w:rPr>
          <w:color w:val="000090"/>
          <w:sz w:val="24"/>
        </w:rPr>
        <w:t>i</w:t>
      </w:r>
      <w:r w:rsidRPr="007250CB">
        <w:rPr>
          <w:color w:val="000090"/>
          <w:sz w:val="24"/>
        </w:rPr>
        <w:t>gnes qui su</w:t>
      </w:r>
      <w:r w:rsidRPr="007250CB">
        <w:rPr>
          <w:color w:val="000090"/>
          <w:sz w:val="24"/>
        </w:rPr>
        <w:t>i</w:t>
      </w:r>
      <w:r w:rsidRPr="007250CB">
        <w:rPr>
          <w:color w:val="000090"/>
          <w:sz w:val="24"/>
        </w:rPr>
        <w:t>vent un très modeste hommage à celui qui les invitait à de fabuleux voyages de la pensée, pendant lesquels les mots pr</w:t>
      </w:r>
      <w:r w:rsidRPr="007250CB">
        <w:rPr>
          <w:color w:val="000090"/>
          <w:sz w:val="24"/>
        </w:rPr>
        <w:t>o</w:t>
      </w:r>
      <w:r w:rsidRPr="007250CB">
        <w:rPr>
          <w:color w:val="000090"/>
          <w:sz w:val="24"/>
        </w:rPr>
        <w:t>noncés avec élégance virevoltaient subtilement pour faire appara</w:t>
      </w:r>
      <w:r w:rsidRPr="007250CB">
        <w:rPr>
          <w:color w:val="000090"/>
          <w:sz w:val="24"/>
        </w:rPr>
        <w:t>î</w:t>
      </w:r>
      <w:r w:rsidRPr="007250CB">
        <w:rPr>
          <w:color w:val="000090"/>
          <w:sz w:val="24"/>
        </w:rPr>
        <w:t>tre des figures à la foi identiques et changeantes, comme celles que traçaient contre l’obscurité du tableau les volutes de ses éternels cigarillos consommés à petites bouffées sous le panneau « Interdit de f</w:t>
      </w:r>
      <w:r w:rsidRPr="007250CB">
        <w:rPr>
          <w:color w:val="000090"/>
          <w:sz w:val="24"/>
        </w:rPr>
        <w:t>u</w:t>
      </w:r>
      <w:r w:rsidRPr="007250CB">
        <w:rPr>
          <w:color w:val="000090"/>
          <w:sz w:val="24"/>
        </w:rPr>
        <w:t xml:space="preserve">mer ». </w:t>
      </w:r>
    </w:p>
    <w:p w14:paraId="4805B2B2" w14:textId="77777777" w:rsidR="00B01930" w:rsidRPr="007250CB" w:rsidRDefault="00B01930" w:rsidP="00B01930">
      <w:pPr>
        <w:spacing w:before="120" w:after="120"/>
        <w:ind w:left="1440"/>
        <w:jc w:val="both"/>
        <w:rPr>
          <w:color w:val="000090"/>
          <w:sz w:val="24"/>
        </w:rPr>
      </w:pPr>
      <w:r w:rsidRPr="007250CB">
        <w:rPr>
          <w:color w:val="000090"/>
          <w:sz w:val="24"/>
        </w:rPr>
        <w:t>« Dieu se rit des hommes qui se plaignent des conséquences alors qu’ils en chérissent les causes ».</w:t>
      </w:r>
    </w:p>
    <w:p w14:paraId="1DA524AB" w14:textId="77777777" w:rsidR="00B01930" w:rsidRPr="0090043B" w:rsidRDefault="00B01930" w:rsidP="00B01930">
      <w:pPr>
        <w:spacing w:before="120" w:after="120"/>
        <w:ind w:left="1440"/>
        <w:jc w:val="center"/>
        <w:rPr>
          <w:sz w:val="24"/>
        </w:rPr>
      </w:pPr>
      <w:r w:rsidRPr="0090043B">
        <w:rPr>
          <w:sz w:val="24"/>
        </w:rPr>
        <w:t>Bossuet</w:t>
      </w:r>
    </w:p>
    <w:p w14:paraId="637C6AF7" w14:textId="77777777" w:rsidR="00B01930" w:rsidRPr="00320A86" w:rsidRDefault="00B01930" w:rsidP="00B01930">
      <w:pPr>
        <w:spacing w:before="120" w:after="120"/>
        <w:jc w:val="both"/>
      </w:pPr>
    </w:p>
    <w:p w14:paraId="3720846F"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75857614" w14:textId="77777777" w:rsidR="00B01930" w:rsidRPr="00320A86" w:rsidRDefault="00B01930" w:rsidP="00B01930">
      <w:pPr>
        <w:spacing w:before="120" w:after="120"/>
        <w:jc w:val="both"/>
      </w:pPr>
      <w:r w:rsidRPr="00320A86">
        <w:t>Une chose semble à peu près certaine : une métamorphose a eu lieu sous nos yeux en l’espace de quelques années, sans même que nous nous en rendions compte. Peu de choses qui constituaient le monde d’hier semblent avoir survécu. Beaucoup n’ont même plus d’intérêt ni d’utilité dans le monde présent. Plus e</w:t>
      </w:r>
      <w:r w:rsidRPr="00320A86">
        <w:t>n</w:t>
      </w:r>
      <w:r w:rsidRPr="00320A86">
        <w:t xml:space="preserve">core, ce qui avait de l’intérêt et de l’utilité dans le monde d’hier est souvent combattu et parfois même prohibé. À qui a vécu quelques décennies en homme paisible témoin de son temps, le roman de Georges Orwell, </w:t>
      </w:r>
      <w:r w:rsidRPr="00067AA5">
        <w:rPr>
          <w:i/>
        </w:rPr>
        <w:t>1984</w:t>
      </w:r>
      <w:r w:rsidRPr="00320A86">
        <w:t>, n’apparaît plus comme un morceau de bravoure mettant en garde contre les dérives du s</w:t>
      </w:r>
      <w:r w:rsidRPr="00320A86">
        <w:t>o</w:t>
      </w:r>
      <w:r w:rsidRPr="00320A86">
        <w:t>cialisme et appelant les hommes de bonne volonté à les endiguer, mais semble procéder à une description étrangement fidèle de que</w:t>
      </w:r>
      <w:r w:rsidRPr="00320A86">
        <w:t>l</w:t>
      </w:r>
      <w:r w:rsidRPr="00320A86">
        <w:t xml:space="preserve">ques aspects du monde moderne : la </w:t>
      </w:r>
      <w:r w:rsidRPr="00067AA5">
        <w:rPr>
          <w:i/>
        </w:rPr>
        <w:t>novlangue</w:t>
      </w:r>
      <w:r w:rsidRPr="00320A86">
        <w:t xml:space="preserve">, née de l’administration et enseignée dans les écoles ; le </w:t>
      </w:r>
      <w:r w:rsidRPr="00067AA5">
        <w:rPr>
          <w:i/>
        </w:rPr>
        <w:t>Miniver</w:t>
      </w:r>
      <w:r w:rsidRPr="00320A86">
        <w:t xml:space="preserve"> (ministère de la vérité) et sa réécriture permanente de l’histoire ; les guerres ince</w:t>
      </w:r>
      <w:r w:rsidRPr="00320A86">
        <w:t>s</w:t>
      </w:r>
      <w:r w:rsidRPr="00320A86">
        <w:t>santes contre des continents et des peuples que personne ne connaît ; la surveillance constante du moindre geste ; la surconcentration urba</w:t>
      </w:r>
      <w:r w:rsidRPr="00320A86">
        <w:t>i</w:t>
      </w:r>
      <w:r w:rsidRPr="00320A86">
        <w:t xml:space="preserve">ne ; l’appropriation des corps et la pénalisation de l’intimité. Pour le </w:t>
      </w:r>
      <w:r w:rsidRPr="00067AA5">
        <w:rPr>
          <w:i/>
        </w:rPr>
        <w:t>bien</w:t>
      </w:r>
      <w:r w:rsidRPr="00320A86">
        <w:t xml:space="preserve"> de tous. </w:t>
      </w:r>
    </w:p>
    <w:p w14:paraId="1C0FE2B7" w14:textId="77777777" w:rsidR="00B01930" w:rsidRPr="00320A86" w:rsidRDefault="00B01930" w:rsidP="00B01930">
      <w:pPr>
        <w:spacing w:before="120" w:after="120"/>
        <w:jc w:val="both"/>
      </w:pPr>
      <w:r w:rsidRPr="00320A86">
        <w:t>Ce n’est certes pas la première fois qu’une métamorphose se pr</w:t>
      </w:r>
      <w:r w:rsidRPr="00320A86">
        <w:t>o</w:t>
      </w:r>
      <w:r w:rsidRPr="00320A86">
        <w:t>duit au point qu’on ne puisse pas reconnaître le monde ancien dans le nouveau. «</w:t>
      </w:r>
      <w:r>
        <w:t> </w:t>
      </w:r>
      <w:r w:rsidRPr="00067AA5">
        <w:rPr>
          <w:i/>
        </w:rPr>
        <w:t>Je me suis rencontré entre deux siècles, comme au confluent de deux fleuves ; j’ai plongé dans leurs eaux troublées, m’éloignant à regret du vieux rivage où je suis né, nageant avec esp</w:t>
      </w:r>
      <w:r w:rsidRPr="00067AA5">
        <w:rPr>
          <w:i/>
        </w:rPr>
        <w:t>é</w:t>
      </w:r>
      <w:r w:rsidRPr="00067AA5">
        <w:rPr>
          <w:i/>
        </w:rPr>
        <w:t>rance vers une rive inconnue </w:t>
      </w:r>
      <w:r w:rsidRPr="00320A86">
        <w:t>», écrivait déjà Chateaubriand dans les Mémoires d’Outre-Tombe. Quelques années plus tard, le véritable tourbillon que fut la fin du XIX</w:t>
      </w:r>
      <w:r w:rsidRPr="00320A86">
        <w:rPr>
          <w:vertAlign w:val="superscript"/>
        </w:rPr>
        <w:t>e</w:t>
      </w:r>
      <w:r w:rsidRPr="00320A86">
        <w:t xml:space="preserve"> siècle et le début du XX</w:t>
      </w:r>
      <w:r w:rsidRPr="00320A86">
        <w:rPr>
          <w:vertAlign w:val="superscript"/>
        </w:rPr>
        <w:t>e</w:t>
      </w:r>
      <w:r w:rsidRPr="00320A86">
        <w:t xml:space="preserve"> donna nai</w:t>
      </w:r>
      <w:r w:rsidRPr="00320A86">
        <w:t>s</w:t>
      </w:r>
      <w:r w:rsidRPr="00320A86">
        <w:t>sance à un monde où les hommes réalisaient enfin le rêve d’Icare tout en posant entre eux des rails d’acier, s’éclairaient grâce à une énergie jusque-là inconnue, pénétraient dans les secrets de la matière, tro</w:t>
      </w:r>
      <w:r w:rsidRPr="00320A86">
        <w:t>u</w:t>
      </w:r>
      <w:r w:rsidRPr="00320A86">
        <w:t>vaient de nouveaux moyens pour se prémunir contre la maladie et v</w:t>
      </w:r>
      <w:r w:rsidRPr="00320A86">
        <w:t>é</w:t>
      </w:r>
      <w:r w:rsidRPr="00320A86">
        <w:t>néraient la science qui ne leur avait apporté que du progrès. Mais ce bel enthousiasme fut bientôt réfréné lorsque ce même pr</w:t>
      </w:r>
      <w:r w:rsidRPr="00320A86">
        <w:t>o</w:t>
      </w:r>
      <w:r w:rsidRPr="00320A86">
        <w:t>grès se mit à produire, autant qu’à justifier, des armes beaucoup plus performa</w:t>
      </w:r>
      <w:r w:rsidRPr="00320A86">
        <w:t>n</w:t>
      </w:r>
      <w:r w:rsidRPr="00320A86">
        <w:t>tes et sournoises que le sabre et l’épée. Jünger découvrait les horreurs nouvelles de la guerre mécanique. Heidegger n’allait pas tarder à se livrer au premier pr</w:t>
      </w:r>
      <w:r w:rsidRPr="00320A86">
        <w:t>o</w:t>
      </w:r>
      <w:r w:rsidRPr="00320A86">
        <w:t>cès philosophique en règle de la technique, tout en prenant des positions favor</w:t>
      </w:r>
      <w:r w:rsidRPr="00320A86">
        <w:t>a</w:t>
      </w:r>
      <w:r w:rsidRPr="00320A86">
        <w:t xml:space="preserve">bles au nazisme. </w:t>
      </w:r>
    </w:p>
    <w:p w14:paraId="28794D4A" w14:textId="77777777" w:rsidR="00B01930" w:rsidRPr="00320A86" w:rsidRDefault="00B01930" w:rsidP="00B01930">
      <w:pPr>
        <w:spacing w:before="120" w:after="120"/>
        <w:jc w:val="both"/>
      </w:pPr>
      <w:r w:rsidRPr="00320A86">
        <w:t xml:space="preserve"> Mais c’est certainement la première fois qu’une métamorphose se produit avec une telle rapidité et avec autant de facilité. Elle n’atteint pas seulement le monde matériel et extérieur, comme ce fut le cas avec l’apparition de l’agriculture ou la découverte de l’électricité ; elle ne change pas seulement la perception de l’homme dans l’univers, comme ce fut le cas des grandes déco</w:t>
      </w:r>
      <w:r w:rsidRPr="00320A86">
        <w:t>u</w:t>
      </w:r>
      <w:r w:rsidRPr="00320A86">
        <w:t xml:space="preserve">vertes astronomiques ; elle ne modifie pas seulement la représentation de l’homme par lui-même, comme ce fut le cas avec l’évolutionnisme ; elle modifie et transforme en même temps et à la fois </w:t>
      </w:r>
      <w:r w:rsidRPr="00067AA5">
        <w:rPr>
          <w:i/>
        </w:rPr>
        <w:t>cette chose</w:t>
      </w:r>
      <w:r w:rsidRPr="00320A86">
        <w:t xml:space="preserve"> que l’on appelle un homme, </w:t>
      </w:r>
      <w:r w:rsidRPr="00067AA5">
        <w:rPr>
          <w:i/>
        </w:rPr>
        <w:t>cette chose</w:t>
      </w:r>
      <w:r w:rsidRPr="00320A86">
        <w:t xml:space="preserve"> que l’on appelle une société et </w:t>
      </w:r>
      <w:r w:rsidRPr="00067AA5">
        <w:rPr>
          <w:i/>
        </w:rPr>
        <w:t>cette chose</w:t>
      </w:r>
      <w:r w:rsidRPr="00320A86">
        <w:t xml:space="preserve"> que l’on appelle un État. </w:t>
      </w:r>
    </w:p>
    <w:p w14:paraId="5096DC4F" w14:textId="77777777" w:rsidR="00B01930" w:rsidRPr="00320A86" w:rsidRDefault="00B01930" w:rsidP="00B01930">
      <w:pPr>
        <w:spacing w:before="120" w:after="120"/>
        <w:jc w:val="both"/>
      </w:pPr>
      <w:r w:rsidRPr="00320A86">
        <w:t>Si nous découvrons benoîtement que la plupart des activités h</w:t>
      </w:r>
      <w:r w:rsidRPr="00320A86">
        <w:t>u</w:t>
      </w:r>
      <w:r w:rsidRPr="00320A86">
        <w:t>maines seront exercées dans un futur proche par des robots alors que nous considérons déjà nos téléphones portables comme des extensions de nos corps physiques, si nous ne trouvons rien à redire à l’annonce par Ray Kurzweil, père du transhumanisme américain, de la prochaine connexion entre un cerveau et un disque sur, si nous considérons comme parfaitement normal que Monsieur puisse se faire appeler Madame et que l’ancien père soit la nouvelle mère ou si nous nous indignons avec Pierre Bergé qu’une ouvrière ne puisse pas encore louer son ventre au m</w:t>
      </w:r>
      <w:r w:rsidRPr="00320A86">
        <w:t>o</w:t>
      </w:r>
      <w:r w:rsidRPr="00320A86">
        <w:t xml:space="preserve">tif qu’un ouvrier loue déjà ses bras, c’est bien que nous n’en sommes plus à nous demander si une révolution va avoir lieu, mais à constater qu’elle a </w:t>
      </w:r>
      <w:r w:rsidRPr="00067AA5">
        <w:rPr>
          <w:i/>
        </w:rPr>
        <w:t>déjà</w:t>
      </w:r>
      <w:r w:rsidRPr="00320A86">
        <w:t xml:space="preserve"> eu lieu.</w:t>
      </w:r>
    </w:p>
    <w:p w14:paraId="468EA707" w14:textId="77777777" w:rsidR="00B01930" w:rsidRPr="00320A86" w:rsidRDefault="00B01930" w:rsidP="00B01930">
      <w:pPr>
        <w:spacing w:before="120" w:after="120"/>
        <w:jc w:val="both"/>
      </w:pPr>
      <w:r w:rsidRPr="00320A86">
        <w:t>La première grande révolution sans révolutionnaires est peut-être la plus décisive. Elle n’a même pas eu à entrer dans la Cité par effra</w:t>
      </w:r>
      <w:r w:rsidRPr="00320A86">
        <w:t>c</w:t>
      </w:r>
      <w:r w:rsidRPr="00320A86">
        <w:t>tion : l’apathie intellectuelle lui en a ouvert grand les portes. Par</w:t>
      </w:r>
      <w:r w:rsidRPr="00320A86">
        <w:t>a</w:t>
      </w:r>
      <w:r w:rsidRPr="00320A86">
        <w:t>doxalement, la passion française pour la « révolution » est la princip</w:t>
      </w:r>
      <w:r w:rsidRPr="00320A86">
        <w:t>a</w:t>
      </w:r>
      <w:r w:rsidRPr="00320A86">
        <w:t>le cause de cette paresse française dans la pensée de la révolution. E</w:t>
      </w:r>
      <w:r w:rsidRPr="00320A86">
        <w:t>n</w:t>
      </w:r>
      <w:r w:rsidRPr="00320A86">
        <w:t>gluée dans des représentations caricaturales de 1789 ou de 1848, la révolution est pour elle un modèle reproductible en tout temps et en tout lieu, comme s’il s’agissait d’un moment solennel obéissant à des règles propres. Elle voit ainsi dans n’importe quelle manifestation de rue l’imaginaire du petit peuple guidé par la liberté aux seins nus. Ne s’en tenir qu’à des formes historiques pour penser la révolution est le évidemment le meilleur moyen de ne pas la penser du tout, puisqu’elle apparaît à chaque fois dans un rapport sing</w:t>
      </w:r>
      <w:r w:rsidRPr="00320A86">
        <w:t>u</w:t>
      </w:r>
      <w:r w:rsidRPr="00320A86">
        <w:t>lier entre le temps et l’espace et la pensée du temps et de l’espace. Fernand Braudel a peut-être pensé l’histoire longue, mais il n’a pu le faire que dans un certain temps et dans un certain espace, à partir desquels il a pu penser le temps et l’espace. C’était précisément en un temps d’accélération du temps qui néce</w:t>
      </w:r>
      <w:r w:rsidRPr="00320A86">
        <w:t>s</w:t>
      </w:r>
      <w:r w:rsidRPr="00320A86">
        <w:t xml:space="preserve">sitait un recul dans l’espace de pareille proportion, pour la même raison que l’on ne peut observer une étoile filante au télescope si l’on choisit la focale la plus grossissante. Mais depuis, la vitesse de ce temps a considérablement augmenté, non pas seulement parce que les distances ont été raccourcies, mais aussi parce que le temps lui-même a été raccourci par le rétrécissement des distances. Si l’on adapte son regard au point de vue le plus éloigné que l’on puisse choisir, nous voyons qu’un processus de métamorphose a bien eu lieu en un temps très court et cependant inquantifiable, et nous appelons révolution l’effectivité d’un tel processus. </w:t>
      </w:r>
    </w:p>
    <w:p w14:paraId="69AA99B2" w14:textId="77777777" w:rsidR="00B01930" w:rsidRPr="00320A86" w:rsidRDefault="00B01930" w:rsidP="00B01930">
      <w:pPr>
        <w:spacing w:before="120" w:after="120"/>
        <w:jc w:val="both"/>
      </w:pPr>
      <w:r w:rsidRPr="00320A86">
        <w:t>C’est justement parce que cette révolution a déjà eu lieu et qu’elle a déjà produit ses effets qu’un vaste débat politique la concernant s’est installé comme si elle n’était encore qu’une simple menace. Croire au caractère fondateur des palabres des hommes peut bien flatter que</w:t>
      </w:r>
      <w:r w:rsidRPr="00320A86">
        <w:t>l</w:t>
      </w:r>
      <w:r w:rsidRPr="00320A86">
        <w:t>ques ego, mais nous savons bien qu’ils ne commencent à parler des choses qu’une fois qu’elles font déjà partie du passé. Seuls les fous ou les génies, qui souvent sont les mêmes – une circonsta</w:t>
      </w:r>
      <w:r w:rsidRPr="00320A86">
        <w:t>n</w:t>
      </w:r>
      <w:r w:rsidRPr="00320A86">
        <w:t xml:space="preserve">ce en plus ou en moins –, ont cette étrange capacité de croire qu’ils peuvent lire dans l’avenir ou que l’avenir leur obéit. </w:t>
      </w:r>
    </w:p>
    <w:p w14:paraId="50D73FEB" w14:textId="77777777" w:rsidR="00B01930" w:rsidRPr="00320A86" w:rsidRDefault="00B01930" w:rsidP="00B01930">
      <w:pPr>
        <w:spacing w:before="120" w:after="120"/>
        <w:jc w:val="both"/>
      </w:pPr>
      <w:r w:rsidRPr="00320A86">
        <w:t>Ce débat n’a d'ailleurs rien de très original puisqu’il ressemble à s’y mépre</w:t>
      </w:r>
      <w:r w:rsidRPr="00320A86">
        <w:t>n</w:t>
      </w:r>
      <w:r w:rsidRPr="00320A86">
        <w:t>dre à la vieille querelle « des Anciens et des Modernes », telle que Benjamin Constant la théorisa pour la première fois en 1819 pour distinguer entre la liberté du groupe – celle des anciens – et la liberté individuelle – celle des modernes –, et telle qu’elle fut reprise et réadaptée à chaque moment de rupture apparent du cours de l’histoire. Comme ceux d’hier, les anciens d’aujourd’hui ne s’intéressent qu’à l’histoire et, comme le disait Burke, aux « vieilles fond</w:t>
      </w:r>
      <w:r w:rsidRPr="00320A86">
        <w:t>a</w:t>
      </w:r>
      <w:r w:rsidRPr="00320A86">
        <w:t>tions » ; la légitimité leur vient de leurs pères, dont ils se sentent les dignes hér</w:t>
      </w:r>
      <w:r w:rsidRPr="00320A86">
        <w:t>i</w:t>
      </w:r>
      <w:r w:rsidRPr="00320A86">
        <w:t>tiers et dont ils souhaitent continuer à tracer le sillon ; ils placent le devoir avant tout droit. Comme ceux d’hier, les mode</w:t>
      </w:r>
      <w:r w:rsidRPr="00320A86">
        <w:t>r</w:t>
      </w:r>
      <w:r w:rsidRPr="00320A86">
        <w:t>nes d’aujourd’hui veulent changer la nature humaine, ne croient qu’au progrès et à la multiplication des droits et crient avec Rabaut Saint-Étienne : « </w:t>
      </w:r>
      <w:r w:rsidRPr="00067AA5">
        <w:rPr>
          <w:i/>
        </w:rPr>
        <w:t>l’histoire n’est pas notre code </w:t>
      </w:r>
      <w:r w:rsidRPr="00320A86">
        <w:t>». Pour les modernes, les anciens sont une bande de « </w:t>
      </w:r>
      <w:r w:rsidRPr="00067AA5">
        <w:rPr>
          <w:i/>
        </w:rPr>
        <w:t>réactionnaires </w:t>
      </w:r>
      <w:r w:rsidRPr="00320A86">
        <w:t>», « </w:t>
      </w:r>
      <w:r w:rsidRPr="00067AA5">
        <w:rPr>
          <w:i/>
        </w:rPr>
        <w:t>néo-réactionnaires </w:t>
      </w:r>
      <w:r w:rsidRPr="00320A86">
        <w:t>», voire fascistes ; pour les anciens, les modernes ne sont que les serv</w:t>
      </w:r>
      <w:r w:rsidRPr="00320A86">
        <w:t>i</w:t>
      </w:r>
      <w:r w:rsidRPr="00320A86">
        <w:t>teurs zélés du nouveau pouvoir ventriloque. Entre eux, il y a comme to</w:t>
      </w:r>
      <w:r w:rsidRPr="00320A86">
        <w:t>u</w:t>
      </w:r>
      <w:r w:rsidRPr="00320A86">
        <w:t>jours ceux qui ne disent rien et n’en pensent pas plus.</w:t>
      </w:r>
    </w:p>
    <w:p w14:paraId="6CBBF6AE" w14:textId="77777777" w:rsidR="00B01930" w:rsidRPr="00320A86" w:rsidRDefault="00B01930" w:rsidP="00B01930">
      <w:pPr>
        <w:spacing w:before="120" w:after="120"/>
        <w:jc w:val="both"/>
      </w:pPr>
      <w:r w:rsidRPr="00320A86">
        <w:t>Les anciens n’ont rien à nous apprendre mais tout à nous rappeler ; les modernes nous rappellent sans cesse de tout désapprendre. Les a</w:t>
      </w:r>
      <w:r w:rsidRPr="00320A86">
        <w:t>n</w:t>
      </w:r>
      <w:r w:rsidRPr="00320A86">
        <w:t>ciens s’inclinent bien humblement devant la nature et soulignent la petitesse de l’homme dans l’univers ; les modernes se prosternent d</w:t>
      </w:r>
      <w:r w:rsidRPr="00320A86">
        <w:t>e</w:t>
      </w:r>
      <w:r w:rsidRPr="00320A86">
        <w:t>vant la culture et rêvent de la domin</w:t>
      </w:r>
      <w:r w:rsidRPr="00320A86">
        <w:t>a</w:t>
      </w:r>
      <w:r w:rsidRPr="00320A86">
        <w:t>tion de l’homme sur la nature. Les anciens vivent avec la mort : ils se sentent éphémères et se pr</w:t>
      </w:r>
      <w:r w:rsidRPr="00320A86">
        <w:t>o</w:t>
      </w:r>
      <w:r w:rsidRPr="00320A86">
        <w:t>mènent dans les cimetières ; les modernes vouent un culte à la vie : ils se croient éternels et considèrent leur fin comme une injustice.</w:t>
      </w:r>
    </w:p>
    <w:p w14:paraId="01F36907" w14:textId="77777777" w:rsidR="00B01930" w:rsidRPr="00320A86" w:rsidRDefault="00B01930" w:rsidP="00B01930">
      <w:pPr>
        <w:spacing w:before="120" w:after="120"/>
        <w:jc w:val="both"/>
      </w:pPr>
      <w:r w:rsidRPr="00320A86">
        <w:t>Tout homme sensé qui serait sommé de choisir entre les deux ferait nature</w:t>
      </w:r>
      <w:r w:rsidRPr="00320A86">
        <w:t>l</w:t>
      </w:r>
      <w:r w:rsidRPr="00320A86">
        <w:t>lement prévaloir l’instinct de conservation de l’espèce en se rangeant résolument du côté des anciens face aux perspectives horr</w:t>
      </w:r>
      <w:r w:rsidRPr="00320A86">
        <w:t>i</w:t>
      </w:r>
      <w:r w:rsidRPr="00320A86">
        <w:t>fiantes qu’offre la logique des modernes. Il le ferait d’ailleurs, quels que soient son projet et ses orientations politiques, comme une cond</w:t>
      </w:r>
      <w:r w:rsidRPr="00320A86">
        <w:t>i</w:t>
      </w:r>
      <w:r w:rsidRPr="00320A86">
        <w:t>tion transcendantale du politique, c’est-à-dire pour permettre le mai</w:t>
      </w:r>
      <w:r w:rsidRPr="00320A86">
        <w:t>n</w:t>
      </w:r>
      <w:r w:rsidRPr="00320A86">
        <w:t>tien d’un certain état des choses encore compatible avec la possibilité de le maintenir ou de s’en défaire. Günther Anders, qui n’était pas particulièrement conservateur, écrivait dans ce sens en 1977 : « </w:t>
      </w:r>
      <w:r w:rsidRPr="00067AA5">
        <w:rPr>
          <w:i/>
        </w:rPr>
        <w:t>Aujourd’hui il ne suffit plus de transformer le monde ; avant tout il faut le préserver. Ensuite, nous pourrons le transformer, beaucoup, et même d’une façon révolutionnaire. Mais avant tout, nous devons être conservateurs au sens authentique, conserv</w:t>
      </w:r>
      <w:r w:rsidRPr="00067AA5">
        <w:rPr>
          <w:i/>
        </w:rPr>
        <w:t>a</w:t>
      </w:r>
      <w:r w:rsidRPr="00067AA5">
        <w:rPr>
          <w:i/>
        </w:rPr>
        <w:t>teurs dans un sens qu’aucun homme qui s’affiche conservateur n’accepterait </w:t>
      </w:r>
      <w:r w:rsidRPr="00320A86">
        <w:t xml:space="preserve">». Tout homme sensé ferait donc le choix de la prudence en donnant au moins une chance à la vie de se maintenir. </w:t>
      </w:r>
    </w:p>
    <w:p w14:paraId="7210CFBD" w14:textId="77777777" w:rsidR="00B01930" w:rsidRPr="00320A86" w:rsidRDefault="00B01930" w:rsidP="00B01930">
      <w:pPr>
        <w:spacing w:before="120" w:after="120"/>
        <w:jc w:val="both"/>
      </w:pPr>
      <w:r w:rsidRPr="00320A86">
        <w:t>Mais non seulement personne n’est sommé de faire un tel choix, mais personne n’est non plus obligé de croire que le faisant, il se pr</w:t>
      </w:r>
      <w:r w:rsidRPr="00320A86">
        <w:t>é</w:t>
      </w:r>
      <w:r w:rsidRPr="00320A86">
        <w:t>munirait contre la logique adverse. Il vient en effet à l’esprit une év</w:t>
      </w:r>
      <w:r w:rsidRPr="00320A86">
        <w:t>i</w:t>
      </w:r>
      <w:r w:rsidRPr="00320A86">
        <w:t>dence d’ordre physique que la dichotomie formelle entre la logique des anciens et celle des modernes ne fait pas apparaître : ces deux l</w:t>
      </w:r>
      <w:r w:rsidRPr="00320A86">
        <w:t>o</w:t>
      </w:r>
      <w:r w:rsidRPr="00320A86">
        <w:t>giques ne sont pas séparées dans le temps, mais au contraire imbr</w:t>
      </w:r>
      <w:r w:rsidRPr="00320A86">
        <w:t>i</w:t>
      </w:r>
      <w:r w:rsidRPr="00320A86">
        <w:t>quées d’une certaine manière l’une dans l’autre dans un cont</w:t>
      </w:r>
      <w:r w:rsidRPr="00320A86">
        <w:t>i</w:t>
      </w:r>
      <w:r w:rsidRPr="00320A86">
        <w:t>nuum temporel à l’intérieur duquel on peut distinguer différentes étapes par la manière de penser l’essentiel, c’est-à-dire la légitimité. Autrement dit, la logique des modernes n’est pas seulement ce grand acte de croyance aveugle que déno</w:t>
      </w:r>
      <w:r w:rsidRPr="00320A86">
        <w:t>n</w:t>
      </w:r>
      <w:r w:rsidRPr="00320A86">
        <w:t>cent les anciens ; elle fait aussi partie du passé, dans lequel elle a déjà produit des effets. Par exemple, n’avons-nous pas appelé communisme cette doctrine de l’homme nouveau, émancipé du passé, de toutes les limites de la nature et voulant imp</w:t>
      </w:r>
      <w:r w:rsidRPr="00320A86">
        <w:t>o</w:t>
      </w:r>
      <w:r w:rsidRPr="00320A86">
        <w:t>ser sa loi à l’univers ? De même, rien ne permet de croire que la log</w:t>
      </w:r>
      <w:r w:rsidRPr="00320A86">
        <w:t>i</w:t>
      </w:r>
      <w:r w:rsidRPr="00320A86">
        <w:t>que des anciens soit seulement cette terre protectrice qu’ils s’imaginent et qu’elle n’ait pas déjà produit des effets destructeurs. N’avons-nous pas appelé « nazisme » cette doctrine du retour de l’homme à sa pureté originelle, à sa patrie et à l’ordre naturel du mo</w:t>
      </w:r>
      <w:r w:rsidRPr="00320A86">
        <w:t>n</w:t>
      </w:r>
      <w:r w:rsidRPr="00320A86">
        <w:t xml:space="preserve">de ? Est-il alors besoin de grandes explications pour considérer le communisme et le nazisme comme des </w:t>
      </w:r>
      <w:r w:rsidRPr="00067AA5">
        <w:rPr>
          <w:i/>
        </w:rPr>
        <w:t>cultures de mort </w:t>
      </w:r>
      <w:r w:rsidRPr="00320A86">
        <w:t>? Le XX</w:t>
      </w:r>
      <w:r w:rsidRPr="00320A86">
        <w:rPr>
          <w:vertAlign w:val="superscript"/>
        </w:rPr>
        <w:t>e</w:t>
      </w:r>
      <w:r w:rsidRPr="00320A86">
        <w:t xml:space="preserve"> si</w:t>
      </w:r>
      <w:r w:rsidRPr="00320A86">
        <w:t>è</w:t>
      </w:r>
      <w:r w:rsidRPr="00320A86">
        <w:t>cle n’est-il pas la démonstration par l’horreur que les anciens et les m</w:t>
      </w:r>
      <w:r w:rsidRPr="00320A86">
        <w:t>o</w:t>
      </w:r>
      <w:r w:rsidRPr="00320A86">
        <w:t>dernes d’hier et d’aujourd’hui ne font que bégayer une partition logique et idée</w:t>
      </w:r>
      <w:r w:rsidRPr="00320A86">
        <w:t>l</w:t>
      </w:r>
      <w:r w:rsidRPr="00320A86">
        <w:t xml:space="preserve">le, une partition idéo-logique qu’ils n’ont pas écrite ? </w:t>
      </w:r>
    </w:p>
    <w:p w14:paraId="09FE6739" w14:textId="77777777" w:rsidR="00B01930" w:rsidRPr="00320A86" w:rsidRDefault="00B01930" w:rsidP="00B01930">
      <w:pPr>
        <w:spacing w:before="120" w:after="120"/>
        <w:jc w:val="both"/>
      </w:pPr>
      <w:r w:rsidRPr="00320A86">
        <w:t xml:space="preserve">Les mêmes logiques, c’est-à-dire </w:t>
      </w:r>
      <w:r w:rsidRPr="00067AA5">
        <w:rPr>
          <w:i/>
        </w:rPr>
        <w:t>quelque chose comme</w:t>
      </w:r>
      <w:r w:rsidRPr="00320A86">
        <w:t xml:space="preserve"> les mêmes unités d’intention de sens avec une infinité de variantes et de cons</w:t>
      </w:r>
      <w:r w:rsidRPr="00320A86">
        <w:t>é</w:t>
      </w:r>
      <w:r w:rsidRPr="00320A86">
        <w:t>quences, ne cessent de déployer leurs effets à travers des circonsta</w:t>
      </w:r>
      <w:r w:rsidRPr="00320A86">
        <w:t>n</w:t>
      </w:r>
      <w:r w:rsidRPr="00320A86">
        <w:t>ces qui restent toujours singulières. Dire que le communisme et le n</w:t>
      </w:r>
      <w:r w:rsidRPr="00320A86">
        <w:t>a</w:t>
      </w:r>
      <w:r w:rsidRPr="00320A86">
        <w:t>zisme ont disparu signifie simplement que les circonstances du co</w:t>
      </w:r>
      <w:r w:rsidRPr="00320A86">
        <w:t>m</w:t>
      </w:r>
      <w:r w:rsidRPr="00320A86">
        <w:t>munisme et du nazisme ont disparu et, en tant qu’elles étaient sing</w:t>
      </w:r>
      <w:r w:rsidRPr="00320A86">
        <w:t>u</w:t>
      </w:r>
      <w:r w:rsidRPr="00320A86">
        <w:t>lières, qu’elles ne se reproduiront jamais. Mais cela ne signifie pas, autrement que par une pure superstition, que les logiques qui ont conduit au communisme et au nazisme à travers des circonstances pa</w:t>
      </w:r>
      <w:r w:rsidRPr="00320A86">
        <w:t>r</w:t>
      </w:r>
      <w:r w:rsidRPr="00320A86">
        <w:t>ticulières ont, elles, disparu. Elles sont au contraire bien vivantes et continuent à produire leurs effets à travers de nouvelles circonstances qui ne nous permettent donc pas de les su</w:t>
      </w:r>
      <w:r w:rsidRPr="00320A86">
        <w:t>i</w:t>
      </w:r>
      <w:r w:rsidRPr="00320A86">
        <w:t xml:space="preserve">vre à la trace, puisqu’elles sont à chaque fois différentes, mais au moins de les reconnaître à l’odeur avec la candeur d’un chien truffier, puisque le sens qui les anime trouve à chaque fois un nouveau vocabulaire. </w:t>
      </w:r>
    </w:p>
    <w:p w14:paraId="7FCAACED" w14:textId="77777777" w:rsidR="00B01930" w:rsidRPr="00320A86" w:rsidRDefault="00B01930" w:rsidP="00B01930">
      <w:pPr>
        <w:spacing w:before="120" w:after="120"/>
        <w:jc w:val="both"/>
      </w:pPr>
      <w:r w:rsidRPr="00320A86">
        <w:t>De même qu’on ne peut pas qualifier un ensemble par la qualité d’un de ses sous-ensembles, il n’est pas possible de qualifier ces log</w:t>
      </w:r>
      <w:r w:rsidRPr="00320A86">
        <w:t>i</w:t>
      </w:r>
      <w:r w:rsidRPr="00320A86">
        <w:t>ques par les prétentions sémantiques auxquelles renvoient les circon</w:t>
      </w:r>
      <w:r w:rsidRPr="00320A86">
        <w:t>s</w:t>
      </w:r>
      <w:r w:rsidRPr="00320A86">
        <w:t>tances qui en déterminent le terrain singulier. Comme cette qualific</w:t>
      </w:r>
      <w:r w:rsidRPr="00320A86">
        <w:t>a</w:t>
      </w:r>
      <w:r w:rsidRPr="00320A86">
        <w:t>tion doit nécessairement être plus large et qu’elle doit contenir l’ensemble des possibilités de chacun de ses éléments, nous appell</w:t>
      </w:r>
      <w:r w:rsidRPr="00320A86">
        <w:t>e</w:t>
      </w:r>
      <w:r w:rsidRPr="00320A86">
        <w:t>rons nihilisme chacune des deux logiques auxquelles renvoie le débat entre les anciens et les modernes. Aussi nous ne ferons pas la distin</w:t>
      </w:r>
      <w:r w:rsidRPr="00320A86">
        <w:t>c</w:t>
      </w:r>
      <w:r w:rsidRPr="00320A86">
        <w:t xml:space="preserve">tion entre le conservatisme et le progressisme, mais entre le </w:t>
      </w:r>
      <w:r w:rsidRPr="00067AA5">
        <w:rPr>
          <w:i/>
        </w:rPr>
        <w:t>nihilisme du trop-plein</w:t>
      </w:r>
      <w:r w:rsidRPr="00320A86">
        <w:t xml:space="preserve"> et le </w:t>
      </w:r>
      <w:r w:rsidRPr="00067AA5">
        <w:rPr>
          <w:i/>
        </w:rPr>
        <w:t>nih</w:t>
      </w:r>
      <w:r w:rsidRPr="00067AA5">
        <w:rPr>
          <w:i/>
        </w:rPr>
        <w:t>i</w:t>
      </w:r>
      <w:r w:rsidRPr="00067AA5">
        <w:rPr>
          <w:i/>
        </w:rPr>
        <w:t>lisme du vide</w:t>
      </w:r>
      <w:r w:rsidRPr="00320A86">
        <w:t>, le premier étant entendu au sens nietzschéen de construction inte</w:t>
      </w:r>
      <w:r w:rsidRPr="00320A86">
        <w:t>l</w:t>
      </w:r>
      <w:r w:rsidRPr="00320A86">
        <w:t>lectuelle d’un monde idéal contre la réalité du monde et le second étant e</w:t>
      </w:r>
      <w:r w:rsidRPr="00320A86">
        <w:t>n</w:t>
      </w:r>
      <w:r w:rsidRPr="00320A86">
        <w:t xml:space="preserve">tendu au sens commun d’absence de sens, de sensation et de sentiment. </w:t>
      </w:r>
    </w:p>
    <w:p w14:paraId="1D58FB48" w14:textId="77777777" w:rsidR="00B01930" w:rsidRPr="00320A86" w:rsidRDefault="00B01930" w:rsidP="00B01930">
      <w:pPr>
        <w:spacing w:before="120" w:after="120"/>
        <w:jc w:val="both"/>
      </w:pPr>
      <w:r w:rsidRPr="00320A86">
        <w:t>Pour donner un simple aperçu de ces deux nihilismes, de comment ils se croisent et s’entrecroisent et participent à leur manière à nourrir la culture de mort, nous les envisagerons sous les trois angles class</w:t>
      </w:r>
      <w:r w:rsidRPr="00320A86">
        <w:t>i</w:t>
      </w:r>
      <w:r w:rsidRPr="00320A86">
        <w:t>ques du cosmos, de la cité et du corps.</w:t>
      </w:r>
    </w:p>
    <w:p w14:paraId="79ACC44E" w14:textId="77777777" w:rsidR="00B01930" w:rsidRPr="00320A86" w:rsidRDefault="00B01930" w:rsidP="00B01930">
      <w:pPr>
        <w:spacing w:before="120" w:after="120"/>
        <w:jc w:val="both"/>
      </w:pPr>
    </w:p>
    <w:p w14:paraId="73F3EBA7" w14:textId="77777777" w:rsidR="00B01930" w:rsidRPr="00320A86" w:rsidRDefault="00B01930" w:rsidP="00B01930">
      <w:pPr>
        <w:pStyle w:val="planche"/>
        <w:rPr>
          <w:szCs w:val="28"/>
        </w:rPr>
      </w:pPr>
      <w:bookmarkStart w:id="222" w:name="Analyser_idees_pol_pt_3_texte_11_I"/>
      <w:r w:rsidRPr="00320A86">
        <w:rPr>
          <w:szCs w:val="28"/>
        </w:rPr>
        <w:t xml:space="preserve">I. Tristes topiques, </w:t>
      </w:r>
      <w:r w:rsidRPr="00320A86">
        <w:t>ou comment nous faisons</w:t>
      </w:r>
      <w:r>
        <w:br/>
      </w:r>
      <w:r w:rsidRPr="00320A86">
        <w:t>et défaisons ce à quoi nous a</w:t>
      </w:r>
      <w:r w:rsidRPr="00320A86">
        <w:t>t</w:t>
      </w:r>
      <w:r w:rsidRPr="00320A86">
        <w:t>tribuons</w:t>
      </w:r>
      <w:r>
        <w:br/>
      </w:r>
      <w:r w:rsidRPr="00320A86">
        <w:t>la raison d’être</w:t>
      </w:r>
    </w:p>
    <w:bookmarkEnd w:id="222"/>
    <w:p w14:paraId="6FA467AA" w14:textId="77777777" w:rsidR="00B01930" w:rsidRDefault="00B01930" w:rsidP="00B01930">
      <w:pPr>
        <w:spacing w:before="120" w:after="120"/>
        <w:jc w:val="both"/>
      </w:pPr>
    </w:p>
    <w:p w14:paraId="1129EAA8"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101BF94A" w14:textId="77777777" w:rsidR="00B01930" w:rsidRPr="00320A86" w:rsidRDefault="00B01930" w:rsidP="00B01930">
      <w:pPr>
        <w:spacing w:before="120" w:after="120"/>
        <w:jc w:val="both"/>
      </w:pPr>
      <w:r w:rsidRPr="00320A86">
        <w:t>Le premier niveau d’interprétation est le plus simple : le vide a</w:t>
      </w:r>
      <w:r w:rsidRPr="00320A86">
        <w:t>p</w:t>
      </w:r>
      <w:r w:rsidRPr="00320A86">
        <w:t>pelle le plein, le plein le trop-plein, le trop-plein le vide et ainsi de su</w:t>
      </w:r>
      <w:r w:rsidRPr="00320A86">
        <w:t>i</w:t>
      </w:r>
      <w:r w:rsidRPr="00320A86">
        <w:t>te. Les contraires s’alternent sans se contredire et forment un seul et même processus qui, en tant que tel, ne peut être compris à partir de la seule vision qu’offre un moment si</w:t>
      </w:r>
      <w:r w:rsidRPr="00320A86">
        <w:t>n</w:t>
      </w:r>
      <w:r w:rsidRPr="00320A86">
        <w:t>gulier de l’histoire.</w:t>
      </w:r>
    </w:p>
    <w:p w14:paraId="1C373F96" w14:textId="77777777" w:rsidR="00B01930" w:rsidRPr="00320A86" w:rsidRDefault="00B01930" w:rsidP="00B01930">
      <w:pPr>
        <w:spacing w:before="120" w:after="120"/>
        <w:jc w:val="both"/>
      </w:pPr>
      <w:r w:rsidRPr="00320A86">
        <w:t>Comme il répugne à penser que le vide puisse donner naissance au vide, l’homme suppose que le vide vient du plein. Cette supposition étant une exige</w:t>
      </w:r>
      <w:r w:rsidRPr="00320A86">
        <w:t>n</w:t>
      </w:r>
      <w:r w:rsidRPr="00320A86">
        <w:t>ce de sa propre raison, il nomme « </w:t>
      </w:r>
      <w:r w:rsidRPr="00067AA5">
        <w:rPr>
          <w:i/>
        </w:rPr>
        <w:t>Dieu </w:t>
      </w:r>
      <w:r w:rsidRPr="00320A86">
        <w:t>» le plein originel ou le désigne par un concept, comme celui d’«</w:t>
      </w:r>
      <w:r w:rsidRPr="00067AA5">
        <w:rPr>
          <w:i/>
        </w:rPr>
        <w:t>hypothétique solitude </w:t>
      </w:r>
      <w:r w:rsidRPr="00320A86">
        <w:t>» de Lie Tseu.  Alors, soit l’homme est conscient de la finit</w:t>
      </w:r>
      <w:r w:rsidRPr="00320A86">
        <w:t>u</w:t>
      </w:r>
      <w:r w:rsidRPr="00320A86">
        <w:t>de de sa propre raison et il en considère l’exigence comme l’objet de sa foi ou comme une nécessité logique que rien ne peut empiriqu</w:t>
      </w:r>
      <w:r w:rsidRPr="00320A86">
        <w:t>e</w:t>
      </w:r>
      <w:r w:rsidRPr="00320A86">
        <w:t>ment démontrer – ce en quoi il convertit une exigence de la ra</w:t>
      </w:r>
      <w:r w:rsidRPr="00320A86">
        <w:t>i</w:t>
      </w:r>
      <w:r w:rsidRPr="00320A86">
        <w:t>son en nécessité logique ou en nécessité de foi, tout en posant un principe de distinction entre exigence et nécessité –, soit il n’est pas conscient de la finitude de sa propre raison et confond alors ses propres motifs et attendus avec ceux de l’origine première dont il est censé être issu. C’est de cette deuxième hypothèse que naît le premier aspect du trop-plein. Il s’agit là du plus connu, mais pas fo</w:t>
      </w:r>
      <w:r w:rsidRPr="00320A86">
        <w:t>r</w:t>
      </w:r>
      <w:r w:rsidRPr="00320A86">
        <w:t>cément pour les raisons les plus avouables.</w:t>
      </w:r>
    </w:p>
    <w:p w14:paraId="0E8F1DB6" w14:textId="77777777" w:rsidR="00B01930" w:rsidRPr="00320A86" w:rsidRDefault="00B01930" w:rsidP="00B01930">
      <w:pPr>
        <w:spacing w:before="120" w:after="120"/>
        <w:jc w:val="both"/>
      </w:pPr>
      <w:r w:rsidRPr="00320A86">
        <w:t>Limitons-nous à l’essentiel et remarquons tout d’abord que certit</w:t>
      </w:r>
      <w:r w:rsidRPr="00320A86">
        <w:t>u</w:t>
      </w:r>
      <w:r w:rsidRPr="00320A86">
        <w:t>de et doute sont les deux clés d’identification d’une telle logique. C</w:t>
      </w:r>
      <w:r w:rsidRPr="00320A86">
        <w:t>e</w:t>
      </w:r>
      <w:r w:rsidRPr="00320A86">
        <w:t>lui qui parle au nom de l’origine première, c’est-à-dire celui qui art</w:t>
      </w:r>
      <w:r w:rsidRPr="00320A86">
        <w:t>i</w:t>
      </w:r>
      <w:r w:rsidRPr="00320A86">
        <w:t>cule le discours de la référence, ne peut émettre le moindre doute sur cette référence sans la détruire du même coup. La certitude qui est la caractéristique première de son discours provient donc autant du fait qu’il ne reconnaisse pas sa propre finitude que de l’exigence d’unité et d’infaillibilité de « l’origine première ». Or, ces deux causes se rés</w:t>
      </w:r>
      <w:r w:rsidRPr="00320A86">
        <w:t>u</w:t>
      </w:r>
      <w:r w:rsidRPr="00320A86">
        <w:t>ment en une seule : la prétention à la vérité. Le déploiement de cette vérité sur les êtres et sur les choses se fait par conséquent à partir d’un point fixe : celui d’un bien intemporel, immobile et universel qui just</w:t>
      </w:r>
      <w:r w:rsidRPr="00320A86">
        <w:t>i</w:t>
      </w:r>
      <w:r w:rsidRPr="00320A86">
        <w:t>fie par avance sa propre promotion ainsi que la répression du mal. Mais le bien ne peut mal agir, surtout quand il réprime le mal : il le fait donc par altruisme, pour délivrer le monde et les hommes. Co</w:t>
      </w:r>
      <w:r w:rsidRPr="00320A86">
        <w:t>m</w:t>
      </w:r>
      <w:r w:rsidRPr="00320A86">
        <w:t>me on le voit ici, le bien justifie les moyens de l’action et la certitude l’absence de doute et de retenue.</w:t>
      </w:r>
    </w:p>
    <w:p w14:paraId="237375C8" w14:textId="77777777" w:rsidR="00B01930" w:rsidRPr="00320A86" w:rsidRDefault="00B01930" w:rsidP="00B01930">
      <w:pPr>
        <w:spacing w:before="120" w:after="120"/>
        <w:jc w:val="both"/>
      </w:pPr>
      <w:r w:rsidRPr="00320A86">
        <w:t>Il est très significatif de constater que c’est généralement de la so</w:t>
      </w:r>
      <w:r w:rsidRPr="00320A86">
        <w:t>r</w:t>
      </w:r>
      <w:r w:rsidRPr="00320A86">
        <w:t>te que le discours officiel se représente le règne de la religion en pr</w:t>
      </w:r>
      <w:r w:rsidRPr="00320A86">
        <w:t>e</w:t>
      </w:r>
      <w:r w:rsidRPr="00320A86">
        <w:t>nant souvent l’exemple de l’Inquisition médiévale du XIII</w:t>
      </w:r>
      <w:r w:rsidRPr="00320A86">
        <w:rPr>
          <w:vertAlign w:val="superscript"/>
        </w:rPr>
        <w:t>e</w:t>
      </w:r>
      <w:r w:rsidRPr="00320A86">
        <w:t xml:space="preserve"> siècle pour souligner les dangers inhérents à toutes les religions. Il est tout aussi intéressant de constater que ce faisant, ce discours suppose comme une évidence la distinction entre le pouvoir spirituel et le pouvoir temporel, alors que cette distinction n’existe que dans la religion chr</w:t>
      </w:r>
      <w:r w:rsidRPr="00320A86">
        <w:t>é</w:t>
      </w:r>
      <w:r w:rsidRPr="00320A86">
        <w:t>tienne.</w:t>
      </w:r>
    </w:p>
    <w:p w14:paraId="1F7A4902" w14:textId="77777777" w:rsidR="00B01930" w:rsidRPr="00320A86" w:rsidRDefault="00B01930" w:rsidP="00B01930">
      <w:pPr>
        <w:spacing w:before="120" w:after="120"/>
        <w:jc w:val="both"/>
      </w:pPr>
      <w:r w:rsidRPr="00320A86">
        <w:t>L’histoire du XIII</w:t>
      </w:r>
      <w:r w:rsidRPr="00320A86">
        <w:rPr>
          <w:vertAlign w:val="superscript"/>
        </w:rPr>
        <w:t>e</w:t>
      </w:r>
      <w:r w:rsidRPr="00320A86">
        <w:t xml:space="preserve"> siècle est justement déterminante pour la co</w:t>
      </w:r>
      <w:r w:rsidRPr="00320A86">
        <w:t>m</w:t>
      </w:r>
      <w:r w:rsidRPr="00320A86">
        <w:t>préhension de ce premier niveau d’interprétation, puisque ce siècle commence en offrant un singulier contraste entre un pouvoir spirituel représenté par une Église érudite qui affronte de violentes controve</w:t>
      </w:r>
      <w:r w:rsidRPr="00320A86">
        <w:t>r</w:t>
      </w:r>
      <w:r w:rsidRPr="00320A86">
        <w:t>ses doctrinales, mais qui est organisée et structurée, et un espace spir</w:t>
      </w:r>
      <w:r w:rsidRPr="00320A86">
        <w:t>i</w:t>
      </w:r>
      <w:r w:rsidRPr="00320A86">
        <w:t>tuel traversé par des sectes hérétiques, comme les Cathares d’origine bogomile, qui affichent leur dualisme, adoptent les règles de vie les plus rigoristes, refusent la figure du Dieu vivant et rejettent en cons</w:t>
      </w:r>
      <w:r w:rsidRPr="00320A86">
        <w:t>é</w:t>
      </w:r>
      <w:r w:rsidRPr="00320A86">
        <w:t>quence toute vie politique terrestre. Donc d’un côté le plein spirituel et de l’autre le vide. Le cours du XIII</w:t>
      </w:r>
      <w:r w:rsidRPr="00320A86">
        <w:rPr>
          <w:vertAlign w:val="superscript"/>
        </w:rPr>
        <w:t>e</w:t>
      </w:r>
      <w:r w:rsidRPr="00320A86">
        <w:t xml:space="preserve"> siècle n’est que le passage de l’un à l’autre sans pour autant que ne s’affaiblisse l’Église ou que le po</w:t>
      </w:r>
      <w:r w:rsidRPr="00320A86">
        <w:t>u</w:t>
      </w:r>
      <w:r w:rsidRPr="00320A86">
        <w:t>voir temporel ne soit exercé que par elle. Le fait capital est que la construction d’un pouvoir temporel fort de la référence que lui proc</w:t>
      </w:r>
      <w:r w:rsidRPr="00320A86">
        <w:t>u</w:t>
      </w:r>
      <w:r w:rsidRPr="00320A86">
        <w:t>re le pouvoir spirituel conduit ce premier à revendiquer une certaine autonomie, c’est-à-dire à prolonger par le politique un ordre spir</w:t>
      </w:r>
      <w:r w:rsidRPr="00320A86">
        <w:t>i</w:t>
      </w:r>
      <w:r w:rsidRPr="00320A86">
        <w:t>tuel qui a accomplis son office. Dès la fin du XIII</w:t>
      </w:r>
      <w:r w:rsidRPr="00320A86">
        <w:rPr>
          <w:vertAlign w:val="superscript"/>
        </w:rPr>
        <w:t>e</w:t>
      </w:r>
      <w:r w:rsidRPr="00320A86">
        <w:t xml:space="preserve"> siècle, le conflit de la décime – contribution aux dépenses de l’État ordonnée par le roi au clergé – montre que le pouvoir temporel ne se sent plus étroitement soumis au pouvoir spirituel. En quelque sorte, le plein commence à changer de camp. </w:t>
      </w:r>
    </w:p>
    <w:p w14:paraId="314F92EA" w14:textId="77777777" w:rsidR="00B01930" w:rsidRPr="00320A86" w:rsidRDefault="00B01930" w:rsidP="00B01930">
      <w:pPr>
        <w:spacing w:before="120" w:after="120"/>
        <w:jc w:val="both"/>
      </w:pPr>
      <w:r w:rsidRPr="00320A86">
        <w:t xml:space="preserve">Il a fallu le temps d’une lente métamorphose des rapports entre le spirituel et le temporel pour que cette entreprise réussisse. Citons-en pêle-mêle quelques moment cruciaux : la fameuse hypothèse impie de Grotius – </w:t>
      </w:r>
      <w:r w:rsidRPr="00067AA5">
        <w:rPr>
          <w:i/>
        </w:rPr>
        <w:t>Et si Dieu n’existait pas ?</w:t>
      </w:r>
      <w:r w:rsidRPr="00320A86">
        <w:t xml:space="preserve"> – qui marque, beaucoup plus qu’elle ne détermine, le passage du droit n</w:t>
      </w:r>
      <w:r w:rsidRPr="00320A86">
        <w:t>a</w:t>
      </w:r>
      <w:r w:rsidRPr="00320A86">
        <w:t xml:space="preserve">turel divin au droit naturel moderne fondé sur la nature de l’homme ; </w:t>
      </w:r>
      <w:r w:rsidRPr="00067AA5">
        <w:rPr>
          <w:i/>
        </w:rPr>
        <w:t>Les Six Livres de la Rép</w:t>
      </w:r>
      <w:r w:rsidRPr="00067AA5">
        <w:rPr>
          <w:i/>
        </w:rPr>
        <w:t>u</w:t>
      </w:r>
      <w:r w:rsidRPr="00067AA5">
        <w:rPr>
          <w:i/>
        </w:rPr>
        <w:t>blique</w:t>
      </w:r>
      <w:r w:rsidRPr="00320A86">
        <w:t xml:space="preserve"> de Jean Bodin dans lequel l’auteur, d’abord sensible au calv</w:t>
      </w:r>
      <w:r w:rsidRPr="00320A86">
        <w:t>i</w:t>
      </w:r>
      <w:r w:rsidRPr="00320A86">
        <w:t>nisme, théorise de manière opportune la souveraineté de l’État avec une référence théologique certes, mais qui semble presque inutile ; la référence à l’Être suprême dans le préambule de la Déclaration de 1789, posture quasiment ironique quand son article 6 proclame que « </w:t>
      </w:r>
      <w:r w:rsidRPr="00067AA5">
        <w:rPr>
          <w:i/>
        </w:rPr>
        <w:t>La loi est l’expression de la volonté générale </w:t>
      </w:r>
      <w:r w:rsidRPr="00320A86">
        <w:t xml:space="preserve">». </w:t>
      </w:r>
    </w:p>
    <w:p w14:paraId="54C3F5E5" w14:textId="77777777" w:rsidR="00B01930" w:rsidRPr="00320A86" w:rsidRDefault="00B01930" w:rsidP="00B01930">
      <w:pPr>
        <w:spacing w:before="120" w:after="120"/>
        <w:jc w:val="both"/>
      </w:pPr>
      <w:r w:rsidRPr="00320A86">
        <w:t>On connaît l’apogée de cette lente métamorphose – « </w:t>
      </w:r>
      <w:r w:rsidRPr="00067AA5">
        <w:rPr>
          <w:i/>
        </w:rPr>
        <w:t>la mort de Dieu </w:t>
      </w:r>
      <w:r w:rsidRPr="00320A86">
        <w:t>» –, mais on en oublie souvent le moyen paradoxal : l’utilisation et le maintien de la distinction entre le pouvoir temporel et le pouvoir spirituel, autrement dit la réf</w:t>
      </w:r>
      <w:r w:rsidRPr="00320A86">
        <w:t>é</w:t>
      </w:r>
      <w:r w:rsidRPr="00320A86">
        <w:t>rence à la doctrine chrétienne. « </w:t>
      </w:r>
      <w:r w:rsidRPr="00067AA5">
        <w:rPr>
          <w:i/>
        </w:rPr>
        <w:t>Rends à César ce qui est à César </w:t>
      </w:r>
      <w:r w:rsidRPr="00320A86">
        <w:t>» devient : « </w:t>
      </w:r>
      <w:r w:rsidRPr="00067AA5">
        <w:rPr>
          <w:i/>
        </w:rPr>
        <w:t>César est le seul maître, Mon Royaume n’est pas de ce monde </w:t>
      </w:r>
      <w:r w:rsidRPr="00320A86">
        <w:t>», devient « Ce monde ignore ton Royaume ». Les deux pouvoirs existent toujours, mais cette fois, le pouvoir temporel prétend à l’exclusivité. Or, il ne peut le faire qu’à deux grandes conditions. La première est d’établir un système d’autolégitimation qui omette consciencieusement la référence au pouvoir spirituel : c’est le rôle de la raison raisonnante, dès la Révol</w:t>
      </w:r>
      <w:r w:rsidRPr="00320A86">
        <w:t>u</w:t>
      </w:r>
      <w:r w:rsidRPr="00320A86">
        <w:t>tion endimanchée dans des costumes ridicules et ânonnée par des a</w:t>
      </w:r>
      <w:r w:rsidRPr="00320A86">
        <w:t>r</w:t>
      </w:r>
      <w:r w:rsidRPr="00320A86">
        <w:t>mées de Monsieur Jourdain qui s’émerveillent de faire de la raison sans le savoir. La deuxième condition est de poser un principe d’indifférenciation entre toutes les « </w:t>
      </w:r>
      <w:r w:rsidRPr="00067AA5">
        <w:rPr>
          <w:i/>
        </w:rPr>
        <w:t>croyances </w:t>
      </w:r>
      <w:r w:rsidRPr="00320A86">
        <w:t>» dépassant le cadre de cette ra</w:t>
      </w:r>
      <w:r w:rsidRPr="00320A86">
        <w:t>i</w:t>
      </w:r>
      <w:r w:rsidRPr="00320A86">
        <w:t>son raisonnante : « </w:t>
      </w:r>
      <w:r w:rsidRPr="00067AA5">
        <w:rPr>
          <w:i/>
        </w:rPr>
        <w:t>religion </w:t>
      </w:r>
      <w:r w:rsidRPr="00320A86">
        <w:t>» ou « </w:t>
      </w:r>
      <w:r w:rsidRPr="00067AA5">
        <w:rPr>
          <w:i/>
        </w:rPr>
        <w:t>fait religieux </w:t>
      </w:r>
      <w:r w:rsidRPr="00320A86">
        <w:t>» sont les noms les plus usuels d’un tel principe. Il importe peu, par conséquent, que le christianisme soit fondé sur le péché originel, le pardon, l’espérance, la charité et la distinction entre le pouvoir spirituel et le pouvoir temporel, et que l’Islam, expression d’Allah, ét</w:t>
      </w:r>
      <w:r w:rsidRPr="00320A86">
        <w:t>a</w:t>
      </w:r>
      <w:r w:rsidRPr="00320A86">
        <w:t>blisse une nation unique de croyants, ignore la distinction entre le pouvoir spir</w:t>
      </w:r>
      <w:r w:rsidRPr="00320A86">
        <w:t>i</w:t>
      </w:r>
      <w:r w:rsidRPr="00320A86">
        <w:t>tuel et le pouvoir temporel et prescrive dans certaines de ses sourates l’acte de tuer, puisque ces deux croyances font partie du même agr</w:t>
      </w:r>
      <w:r w:rsidRPr="00320A86">
        <w:t>é</w:t>
      </w:r>
      <w:r w:rsidRPr="00320A86">
        <w:t>gat « religion » et que cet agrégat se situe hors des champs de la ra</w:t>
      </w:r>
      <w:r w:rsidRPr="00320A86">
        <w:t>i</w:t>
      </w:r>
      <w:r w:rsidRPr="00320A86">
        <w:t>son temporelle. Question de réf</w:t>
      </w:r>
      <w:r w:rsidRPr="00320A86">
        <w:t>é</w:t>
      </w:r>
      <w:r w:rsidRPr="00320A86">
        <w:t>rence.</w:t>
      </w:r>
    </w:p>
    <w:p w14:paraId="7CBD38B1" w14:textId="77777777" w:rsidR="00B01930" w:rsidRPr="00320A86" w:rsidRDefault="00B01930" w:rsidP="00B01930">
      <w:pPr>
        <w:spacing w:before="120" w:after="120"/>
        <w:jc w:val="both"/>
      </w:pPr>
      <w:r w:rsidRPr="00320A86">
        <w:t xml:space="preserve"> Il est certainement trop tôt pour savoir si l’époque que nous vivons est le prélude du retour en force de la spiritualité ou bien son chant du cygne. Bien des indices permettent toutefois d’opter pour la première hypothèse, dans quel cas se réitérerait la logique que nous venons de décrire. Parmi ces signes, nous n’en choisirons qu’un pour souligner la continuité des contraires apparents : celui de cette nouvelle posture de certitude et d’extrême infaillibilité à travers laquelle bien des croyants modernes, en particulier parmi les plus jeunes, affirment leur foi et la pureté de leurs intentions. Toute ressemblance avec une m</w:t>
      </w:r>
      <w:r w:rsidRPr="00320A86">
        <w:t>ê</w:t>
      </w:r>
      <w:r w:rsidRPr="00320A86">
        <w:t>me posture ayant déjà existé n’est pas purement fortuite.</w:t>
      </w:r>
    </w:p>
    <w:p w14:paraId="0234CABA" w14:textId="77777777" w:rsidR="00B01930" w:rsidRPr="00320A86" w:rsidRDefault="00B01930" w:rsidP="00B01930">
      <w:pPr>
        <w:spacing w:before="120" w:after="120"/>
        <w:jc w:val="both"/>
      </w:pPr>
      <w:r w:rsidRPr="00320A86">
        <w:t>Le deuxième niveau d’interprétation correspond à l’hypothèse dans laquelle il n’existe pas d’alternance entre le vide et le plein, mais soit un règne du vide soit un règne du plein. Autrement dit, soit l’univers (ou la nature) n’a aucun sens, et tout sens est donc créé, soit le sens est déjà contenu dans l’univers (ou la nature), et il ne nous reste plus qu’à le découvrir et, surtout, à le respecter. Dans le premier cas, la con</w:t>
      </w:r>
      <w:r w:rsidRPr="00320A86">
        <w:t>s</w:t>
      </w:r>
      <w:r w:rsidRPr="00320A86">
        <w:t>truction du sens est un acte de douleur nihiliste ; dans le deuxième, le sens de l’univers conduit à distinguer entre l’authentique et le pe</w:t>
      </w:r>
      <w:r w:rsidRPr="00320A86">
        <w:t>r</w:t>
      </w:r>
      <w:r w:rsidRPr="00320A86">
        <w:t>verti.</w:t>
      </w:r>
    </w:p>
    <w:p w14:paraId="3E51EEC1" w14:textId="77777777" w:rsidR="00B01930" w:rsidRPr="00320A86" w:rsidRDefault="00B01930" w:rsidP="00B01930">
      <w:pPr>
        <w:spacing w:before="120" w:after="120"/>
        <w:jc w:val="both"/>
      </w:pPr>
      <w:r w:rsidRPr="00320A86">
        <w:t>L’apport de Nietzsche à la compréhension du nihilisme est capital, puisque son analyse donne une origine unique et une expression un</w:t>
      </w:r>
      <w:r w:rsidRPr="00320A86">
        <w:t>i</w:t>
      </w:r>
      <w:r w:rsidRPr="00320A86">
        <w:t>voque à ce que nous entendons ici par « nihilisme du trop-plein » et « nihilisme du vide ». Pour n’en rappeler que l’essentiel, Nietzsche appelle nihilisme toute forme de pensée dominée par la structure rel</w:t>
      </w:r>
      <w:r w:rsidRPr="00320A86">
        <w:t>i</w:t>
      </w:r>
      <w:r w:rsidRPr="00320A86">
        <w:t>gieuse, c’est-à-dire toute forme de pensée partant d’un ressentiment du réel pour déployer un idéal dans le temps. La forme la plus connue en est naturellement le christianisme : si Dieu est mort – </w:t>
      </w:r>
      <w:r w:rsidRPr="00067AA5">
        <w:rPr>
          <w:i/>
        </w:rPr>
        <w:t>formule ha</w:t>
      </w:r>
      <w:r w:rsidRPr="00067AA5">
        <w:rPr>
          <w:i/>
        </w:rPr>
        <w:t>u</w:t>
      </w:r>
      <w:r w:rsidRPr="00067AA5">
        <w:rPr>
          <w:i/>
        </w:rPr>
        <w:t>tement paradoxale pouvant aussi être comprise comme une déclar</w:t>
      </w:r>
      <w:r w:rsidRPr="00067AA5">
        <w:rPr>
          <w:i/>
        </w:rPr>
        <w:t>a</w:t>
      </w:r>
      <w:r w:rsidRPr="00067AA5">
        <w:rPr>
          <w:i/>
        </w:rPr>
        <w:t>tion de</w:t>
      </w:r>
      <w:r w:rsidRPr="00320A86">
        <w:t xml:space="preserve"> foi – ce n’est pas parce que le ressentiment du réel est mort, mais parce que le dieu créé par les hommes s’est montré incapable de l’endiguer. La structure religieuse ne cesse alors de se déployer dans toutes les nouvelles formes de nihilisme – la pr</w:t>
      </w:r>
      <w:r w:rsidRPr="00320A86">
        <w:t>é</w:t>
      </w:r>
      <w:r w:rsidRPr="00320A86">
        <w:t>férence du rien sur le réel – que sont la croyance en la science ou toutes les idéologies pol</w:t>
      </w:r>
      <w:r w:rsidRPr="00320A86">
        <w:t>i</w:t>
      </w:r>
      <w:r w:rsidRPr="00320A86">
        <w:t>tiques qui n’existent qu’en s’opposant au réel présent. Tout le chariv</w:t>
      </w:r>
      <w:r w:rsidRPr="00320A86">
        <w:t>a</w:t>
      </w:r>
      <w:r w:rsidRPr="00320A86">
        <w:t>ri du « </w:t>
      </w:r>
      <w:r w:rsidRPr="00067AA5">
        <w:rPr>
          <w:i/>
        </w:rPr>
        <w:t>il faut ceci </w:t>
      </w:r>
      <w:r w:rsidRPr="00320A86">
        <w:t>» ou « </w:t>
      </w:r>
      <w:r w:rsidRPr="00067AA5">
        <w:rPr>
          <w:i/>
        </w:rPr>
        <w:t>il faut cela </w:t>
      </w:r>
      <w:r w:rsidRPr="00320A86">
        <w:t>» n’est donc pour lui que la éni</w:t>
      </w:r>
      <w:r w:rsidRPr="00320A86">
        <w:t>è</w:t>
      </w:r>
      <w:r w:rsidRPr="00320A86">
        <w:t>me décl</w:t>
      </w:r>
      <w:r w:rsidRPr="00320A86">
        <w:t>i</w:t>
      </w:r>
      <w:r w:rsidRPr="00320A86">
        <w:t>naison du refus de l’existence. Le seul temps étant le temps présent, puisque le passé n’existe plus et que le futur n’existe pas e</w:t>
      </w:r>
      <w:r w:rsidRPr="00320A86">
        <w:t>n</w:t>
      </w:r>
      <w:r w:rsidRPr="00320A86">
        <w:t>core, refuser le temps présent revient tout simplement à se projeter dans la mort. C’est que, pour Nietzsche, l’homme et l’univers n’ont aucun sens déterminé. Bien au contraire, l’un et l’autre sont traversés par une multiplicité infinie de forces qui s’y affrontent. Dès lors, la philosophie nietzschéenne ne consiste pas à préconiser de bonnes v</w:t>
      </w:r>
      <w:r w:rsidRPr="00320A86">
        <w:t>a</w:t>
      </w:r>
      <w:r w:rsidRPr="00320A86">
        <w:t>leurs contre des mauvaises, ce en quoi elle serait elle-même nihiliste, mais à dresser le tableau d’un principe d’harmonie et d’équilibre entre les différentes forces : la « grande santé ».</w:t>
      </w:r>
    </w:p>
    <w:p w14:paraId="684129E5" w14:textId="77777777" w:rsidR="00B01930" w:rsidRPr="00320A86" w:rsidRDefault="00B01930" w:rsidP="00B01930">
      <w:pPr>
        <w:spacing w:before="120" w:after="120"/>
        <w:jc w:val="both"/>
      </w:pPr>
      <w:r w:rsidRPr="00320A86">
        <w:t>L’éternelle question se pose, à laquelle il serait vain de rechercher une répo</w:t>
      </w:r>
      <w:r w:rsidRPr="00320A86">
        <w:t>n</w:t>
      </w:r>
      <w:r w:rsidRPr="00320A86">
        <w:t>se dans l’œuvre du célèbre misologue : en voyant dans l’homme et l’univers une multitude de forces et en songeant à un pri</w:t>
      </w:r>
      <w:r w:rsidRPr="00320A86">
        <w:t>n</w:t>
      </w:r>
      <w:r w:rsidRPr="00320A86">
        <w:t xml:space="preserve">cipe d’harmonie et d’équilibre entre elles, le mouvement qui conduit à un tel principe n’est-il pas un choix moral, en tant qu’il provient d’une articulation choisie, du moins recherchée de forces ? </w:t>
      </w:r>
      <w:r w:rsidRPr="00067AA5">
        <w:rPr>
          <w:i/>
        </w:rPr>
        <w:t>Mais alors</w:t>
      </w:r>
      <w:r w:rsidRPr="00320A86">
        <w:t>…</w:t>
      </w:r>
    </w:p>
    <w:p w14:paraId="26F1277C" w14:textId="77777777" w:rsidR="00B01930" w:rsidRPr="00320A86" w:rsidRDefault="00B01930" w:rsidP="00B01930">
      <w:pPr>
        <w:spacing w:before="120" w:after="120"/>
        <w:jc w:val="both"/>
      </w:pPr>
      <w:r w:rsidRPr="00320A86">
        <w:t>La pensée écologique se situe à l’extrême opposé de la précédente. La nature n’est pas le lieu du vide mais du plein. Comme les Grecs se figuraient le cosmos comme un grand ensemble ordonné et harm</w:t>
      </w:r>
      <w:r w:rsidRPr="00320A86">
        <w:t>o</w:t>
      </w:r>
      <w:r w:rsidRPr="00320A86">
        <w:t>nieux, les écologistes se figurent la nature comme un milieu soumis à ses propres lois et à ses propres humeurs, dans lequel l’homme ne fait qu’élire domicile. Il lui revient donc d’entretenir l’authenticité orig</w:t>
      </w:r>
      <w:r w:rsidRPr="00320A86">
        <w:t>i</w:t>
      </w:r>
      <w:r w:rsidRPr="00320A86">
        <w:t xml:space="preserve">nelle de la nature en s’abstenant de la pervertir. </w:t>
      </w:r>
    </w:p>
    <w:p w14:paraId="0C848C1A" w14:textId="77777777" w:rsidR="00B01930" w:rsidRPr="00320A86" w:rsidRDefault="00B01930" w:rsidP="00B01930">
      <w:pPr>
        <w:spacing w:before="120" w:after="120"/>
        <w:jc w:val="both"/>
      </w:pPr>
      <w:r w:rsidRPr="00320A86">
        <w:t xml:space="preserve"> L’homme est donc du côté du vide, puisque l’écologie opère une dichotomie entre la nature et l’homme, d’après laquelle l’homme dans la nature n’a aucun droit sur la nature. Les droits dont il jouit ne sont pas des droits naturels mais des droits politiques déterminés en fon</w:t>
      </w:r>
      <w:r w:rsidRPr="00320A86">
        <w:t>c</w:t>
      </w:r>
      <w:r w:rsidRPr="00320A86">
        <w:t>tion des exigences de la nature. Autr</w:t>
      </w:r>
      <w:r w:rsidRPr="00320A86">
        <w:t>e</w:t>
      </w:r>
      <w:r w:rsidRPr="00320A86">
        <w:t>ment dit, non seulement toute perspective jusnaturaliste attachée à la seule nat</w:t>
      </w:r>
      <w:r w:rsidRPr="00320A86">
        <w:t>u</w:t>
      </w:r>
      <w:r w:rsidRPr="00320A86">
        <w:t xml:space="preserve">re de l’homme est exclue par l’écologie, mais de surcroît le bien pour l’homme se trouve défini par la préservation de la nature. Si la nature a des lois, c’est qu’on peut la penser comme telle, indépendamment de ce trublion qu’est l’homme ; si l’homme n’a que des devoirs, c’est qu’on ne peut le penser comme tel mais seulement comme un élément dans la nature et en même temps distinct d’elle. L’homme seul est la cause de tous les malheurs de la nature. Son œuvre l’a </w:t>
      </w:r>
      <w:r w:rsidRPr="00067AA5">
        <w:rPr>
          <w:i/>
        </w:rPr>
        <w:t>dé-naturée</w:t>
      </w:r>
      <w:r w:rsidRPr="00320A86">
        <w:t>. Elle a détruit la nature en fonction de ses propres exigences. Pire encore, elle a perve</w:t>
      </w:r>
      <w:r w:rsidRPr="00320A86">
        <w:t>r</w:t>
      </w:r>
      <w:r w:rsidRPr="00320A86">
        <w:t xml:space="preserve">ti l’authentique. On trouvera cette idée notamment dans </w:t>
      </w:r>
      <w:r w:rsidRPr="00067AA5">
        <w:rPr>
          <w:i/>
        </w:rPr>
        <w:t>La technique ou l’enjeu du siècle</w:t>
      </w:r>
      <w:r w:rsidRPr="00320A86">
        <w:t xml:space="preserve"> de Jacques Ellul, ouvrage dans lequel le théol</w:t>
      </w:r>
      <w:r w:rsidRPr="00320A86">
        <w:t>o</w:t>
      </w:r>
      <w:r w:rsidRPr="00320A86">
        <w:t>gien protestant et penseur de l’écologie politique estime que « </w:t>
      </w:r>
      <w:r w:rsidRPr="00067AA5">
        <w:rPr>
          <w:i/>
        </w:rPr>
        <w:t>l’homme s’est éloigné de son milieu naturel </w:t>
      </w:r>
      <w:r w:rsidRPr="00320A86">
        <w:t>».</w:t>
      </w:r>
    </w:p>
    <w:p w14:paraId="53FF82EF" w14:textId="77777777" w:rsidR="00B01930" w:rsidRPr="00320A86" w:rsidRDefault="00B01930" w:rsidP="00B01930">
      <w:pPr>
        <w:spacing w:before="120" w:after="120"/>
        <w:jc w:val="both"/>
      </w:pPr>
      <w:r w:rsidRPr="00320A86">
        <w:t>Si l’on adopte la grille de lecture nietzschéenne, on reconnaîtra dans l’écologie une forme typique de structure religieuse, donc nihili</w:t>
      </w:r>
      <w:r w:rsidRPr="00320A86">
        <w:t>s</w:t>
      </w:r>
      <w:r w:rsidRPr="00320A86">
        <w:t>te. Mais plus largement, on peut en observer la formidable plasticité, puisqu’elle semble tout autant convenir à des soubassements théolog</w:t>
      </w:r>
      <w:r w:rsidRPr="00320A86">
        <w:t>i</w:t>
      </w:r>
      <w:r w:rsidRPr="00320A86">
        <w:t>ques que politiques. Remplaçons nature par Création, ce qui ne cha</w:t>
      </w:r>
      <w:r w:rsidRPr="00320A86">
        <w:t>n</w:t>
      </w:r>
      <w:r w:rsidRPr="00320A86">
        <w:t>ge rien à son économie générale, et voilà l’écologie propulsée au rang de théologie des temps modernes. À une nuance près cependant : pour l’écologie, le pardon n’est accordé aux hommes que s’ils expient leurs péchés en se rachetant de leur vivant auprès d’une nature nostalg</w:t>
      </w:r>
      <w:r w:rsidRPr="00320A86">
        <w:t>i</w:t>
      </w:r>
      <w:r w:rsidRPr="00320A86">
        <w:t>que de son authenticité, non pas parce qu’ils sont hommes et que tous les ho</w:t>
      </w:r>
      <w:r w:rsidRPr="00320A86">
        <w:t>m</w:t>
      </w:r>
      <w:r w:rsidRPr="00320A86">
        <w:t>mes portent en eux le péché. Remplaçons nature par protection de l’environnement, ce qui ne change rien non plus à son économie gén</w:t>
      </w:r>
      <w:r w:rsidRPr="00320A86">
        <w:t>é</w:t>
      </w:r>
      <w:r w:rsidRPr="00320A86">
        <w:t>rale, et voilà l’écologie propulsée au rang de doctrine progressiste. À une nuance près également : que l’écologie n’entame pas la marche inéluctable du progrès et qu’elle s’adapte à la consommation intell</w:t>
      </w:r>
      <w:r w:rsidRPr="00320A86">
        <w:t>i</w:t>
      </w:r>
      <w:r w:rsidRPr="00320A86">
        <w:t>gente. Dans le premier cas, le meilleur des mondes serait que l’homme n’ait jamais existé ; dans le deuxième, qu’il poursuive enc</w:t>
      </w:r>
      <w:r w:rsidRPr="00320A86">
        <w:t>o</w:t>
      </w:r>
      <w:r w:rsidRPr="00320A86">
        <w:t xml:space="preserve">re longtemps son devoir de contrition. </w:t>
      </w:r>
    </w:p>
    <w:p w14:paraId="0C4EDB3A" w14:textId="77777777" w:rsidR="00B01930" w:rsidRPr="00320A86" w:rsidRDefault="00B01930" w:rsidP="00B01930">
      <w:pPr>
        <w:spacing w:before="120" w:after="120"/>
        <w:jc w:val="both"/>
      </w:pPr>
      <w:r w:rsidRPr="00320A86">
        <w:t>– Le troisième niveau d’interprétation propose d’aborder les que</w:t>
      </w:r>
      <w:r w:rsidRPr="00320A86">
        <w:t>s</w:t>
      </w:r>
      <w:r w:rsidRPr="00320A86">
        <w:t>tions de la violence et de la culture de mort à partir d’une analyse a</w:t>
      </w:r>
      <w:r w:rsidRPr="00320A86">
        <w:t>n</w:t>
      </w:r>
      <w:r w:rsidRPr="00320A86">
        <w:t>thropologique et phil</w:t>
      </w:r>
      <w:r w:rsidRPr="00320A86">
        <w:t>o</w:t>
      </w:r>
      <w:r w:rsidRPr="00320A86">
        <w:t xml:space="preserve">sophique des mythes et des sociétés. </w:t>
      </w:r>
    </w:p>
    <w:p w14:paraId="483CEFB9" w14:textId="77777777" w:rsidR="00B01930" w:rsidRPr="00320A86" w:rsidRDefault="00B01930" w:rsidP="00B01930">
      <w:pPr>
        <w:spacing w:before="120" w:after="120"/>
        <w:jc w:val="both"/>
      </w:pPr>
      <w:r w:rsidRPr="00320A86">
        <w:t>Pour René Girard, le repère principal d’une telle analyse est la pr</w:t>
      </w:r>
      <w:r w:rsidRPr="00320A86">
        <w:t>a</w:t>
      </w:r>
      <w:r w:rsidRPr="00320A86">
        <w:t>tique sacr</w:t>
      </w:r>
      <w:r w:rsidRPr="00320A86">
        <w:t>i</w:t>
      </w:r>
      <w:r w:rsidRPr="00320A86">
        <w:t xml:space="preserve">ficielle. L’auteur bien connu de </w:t>
      </w:r>
      <w:r w:rsidRPr="00067AA5">
        <w:rPr>
          <w:i/>
        </w:rPr>
        <w:t>La Violence et le sacré</w:t>
      </w:r>
      <w:r w:rsidRPr="00320A86">
        <w:t xml:space="preserve"> (1972) ou </w:t>
      </w:r>
      <w:r w:rsidRPr="00067AA5">
        <w:rPr>
          <w:i/>
        </w:rPr>
        <w:t>Le Bouc émi</w:t>
      </w:r>
      <w:r w:rsidRPr="00067AA5">
        <w:rPr>
          <w:i/>
        </w:rPr>
        <w:t>s</w:t>
      </w:r>
      <w:r w:rsidRPr="00067AA5">
        <w:rPr>
          <w:i/>
        </w:rPr>
        <w:t>saire</w:t>
      </w:r>
      <w:r w:rsidRPr="00320A86">
        <w:t xml:space="preserve"> (1982), réinvestit le terrain des rapports entre le religieux et le sacré défr</w:t>
      </w:r>
      <w:r w:rsidRPr="00320A86">
        <w:t>i</w:t>
      </w:r>
      <w:r w:rsidRPr="00320A86">
        <w:t>ché par Durkheim. Pour le principal inspirateur de la sociologie holiste, le rel</w:t>
      </w:r>
      <w:r w:rsidRPr="00320A86">
        <w:t>i</w:t>
      </w:r>
      <w:r w:rsidRPr="00320A86">
        <w:t>gieux en tant que tel, même s’il peut aussi exister du sacré profane, génère to</w:t>
      </w:r>
      <w:r w:rsidRPr="00320A86">
        <w:t>u</w:t>
      </w:r>
      <w:r w:rsidRPr="00320A86">
        <w:t>jours un phénomène de violence en ce qu’il établit un choix moral entre différents poss</w:t>
      </w:r>
      <w:r w:rsidRPr="00320A86">
        <w:t>i</w:t>
      </w:r>
      <w:r w:rsidRPr="00320A86">
        <w:t xml:space="preserve">bles. René Girard reprend ce rapport à son compte, mais en inversant la proposition : le religieux n’est pas la cause de la violence, comme le pensait Durkheim, mais sa conséquence. </w:t>
      </w:r>
    </w:p>
    <w:p w14:paraId="64C57A20" w14:textId="77777777" w:rsidR="00B01930" w:rsidRPr="00320A86" w:rsidRDefault="00B01930" w:rsidP="00B01930">
      <w:pPr>
        <w:spacing w:before="120" w:after="120"/>
        <w:jc w:val="both"/>
      </w:pPr>
      <w:r w:rsidRPr="00320A86">
        <w:t>L’œuvre de René Girard a ceci d’original de partir de la raison pour arriver à la théologie. Ce point de départ est d’une extrême si</w:t>
      </w:r>
      <w:r w:rsidRPr="00320A86">
        <w:t>m</w:t>
      </w:r>
      <w:r w:rsidRPr="00320A86">
        <w:t>plicité : à un moment do</w:t>
      </w:r>
      <w:r w:rsidRPr="00320A86">
        <w:t>n</w:t>
      </w:r>
      <w:r w:rsidRPr="00320A86">
        <w:t>né de leur histoire, toutes les sociétés ont à trouver une solution au problème de la violence. Celle-ci n’est pas le mal en soi, mais la conséquence logique du mimétisme à travers l</w:t>
      </w:r>
      <w:r w:rsidRPr="00320A86">
        <w:t>e</w:t>
      </w:r>
      <w:r w:rsidRPr="00320A86">
        <w:t>quel l’homme désire la possession d’une chose, non pas parce que ce</w:t>
      </w:r>
      <w:r w:rsidRPr="00320A86">
        <w:t>t</w:t>
      </w:r>
      <w:r w:rsidRPr="00320A86">
        <w:t>te chose a de la valeur ou est précieuse, mais parce qu’elle appa</w:t>
      </w:r>
      <w:r w:rsidRPr="00320A86">
        <w:t>r</w:t>
      </w:r>
      <w:r w:rsidRPr="00320A86">
        <w:t>tient à un autre homme à qui il souhaite ressembler. Le mimétisme est d’abord animé par le désir de ressemblance, puis ce désir crée de l’indifférenciation, puisqu’il se porte sur le même objet. Une publicité pour du café mettant en sc</w:t>
      </w:r>
      <w:r w:rsidRPr="00320A86">
        <w:t>è</w:t>
      </w:r>
      <w:r w:rsidRPr="00320A86">
        <w:t>ne l’acteur Georges Clooney en est une parfaite illustration : on ne souhaite pas acheter telle marque de café parce qu’il est réputé bon ou mauvais, mais pour ressembler à Geo</w:t>
      </w:r>
      <w:r w:rsidRPr="00320A86">
        <w:t>r</w:t>
      </w:r>
      <w:r w:rsidRPr="00320A86">
        <w:t>ges Clooney buvant ce café. Le mimétisme entraînant la riv</w:t>
      </w:r>
      <w:r w:rsidRPr="00320A86">
        <w:t>a</w:t>
      </w:r>
      <w:r w:rsidRPr="00320A86">
        <w:t xml:space="preserve">lité, et la rivalité, la violence, il arrive un moment où la société n’a pas d’autre choix pour survivre que de désigner un coupable unique dont la mise à mort doit faire taire la violence : </w:t>
      </w:r>
      <w:r w:rsidRPr="00067AA5">
        <w:rPr>
          <w:i/>
        </w:rPr>
        <w:t>le bouc émissaire</w:t>
      </w:r>
      <w:r w:rsidRPr="00320A86">
        <w:t>. Le choix de ce coupable peut se porter sur une personne quelconque mais n’est pas totalement innocent, puisque cette personne provoque aussi la r</w:t>
      </w:r>
      <w:r w:rsidRPr="00320A86">
        <w:t>é</w:t>
      </w:r>
      <w:r w:rsidRPr="00320A86">
        <w:t>conciliation. Dans la structure des mythes archaïques, le bouc émissa</w:t>
      </w:r>
      <w:r w:rsidRPr="00320A86">
        <w:t>i</w:t>
      </w:r>
      <w:r w:rsidRPr="00320A86">
        <w:t>re est toujours coupable d’une certaine manière, même si ce n’est pas de ce dont on l’accuse : Œdipe lui-même est coupable de parricide et d’inceste. Sur cette base, René Girard appelle « sacrifice » la pratique, sa</w:t>
      </w:r>
      <w:r w:rsidRPr="00320A86">
        <w:t>n</w:t>
      </w:r>
      <w:r w:rsidRPr="00320A86">
        <w:t>glante à l’origine, consistant à se remémorer l’exécution du bouc émissaire et les causes qui ont conduit à cette exécution. Le bouc émissaire, jadis coupable, est désormais loué parce qu’il a permis la réconciliation. En somme, la violence de tous, conduit à la mort d’un seul et la mort d’un seul donne la possibilité d’une paix à tous. L’état de paix apparent dans lequel règne la rivalité mimétique n’est donc qu’apparent : il contient déjà en lui la mort du bouc émissaire.</w:t>
      </w:r>
    </w:p>
    <w:p w14:paraId="06EB0960" w14:textId="77777777" w:rsidR="00B01930" w:rsidRPr="00320A86" w:rsidRDefault="00B01930" w:rsidP="00B01930">
      <w:pPr>
        <w:spacing w:before="120" w:after="120"/>
        <w:jc w:val="both"/>
      </w:pPr>
      <w:r w:rsidRPr="00320A86">
        <w:t>L’originalité de René Girard est de remarquer que toutes les stru</w:t>
      </w:r>
      <w:r w:rsidRPr="00320A86">
        <w:t>c</w:t>
      </w:r>
      <w:r w:rsidRPr="00320A86">
        <w:t>tures des mythes archaïques se rejoignent, sauf une : celle du christi</w:t>
      </w:r>
      <w:r w:rsidRPr="00320A86">
        <w:t>a</w:t>
      </w:r>
      <w:r w:rsidRPr="00320A86">
        <w:t>nisme. Le christi</w:t>
      </w:r>
      <w:r w:rsidRPr="00320A86">
        <w:t>a</w:t>
      </w:r>
      <w:r w:rsidRPr="00320A86">
        <w:t xml:space="preserve">nisme emprunte bien la trame mythique commune – la crise de Jérusalem ; Jean 11, 50 : « il </w:t>
      </w:r>
      <w:r w:rsidRPr="00067AA5">
        <w:rPr>
          <w:i/>
        </w:rPr>
        <w:t>vaut mieux qu’un seul ho</w:t>
      </w:r>
      <w:r w:rsidRPr="00067AA5">
        <w:rPr>
          <w:i/>
        </w:rPr>
        <w:t>m</w:t>
      </w:r>
      <w:r w:rsidRPr="00067AA5">
        <w:rPr>
          <w:i/>
        </w:rPr>
        <w:t>me meure pour le peuple, et que toute la nation ne périsse pas </w:t>
      </w:r>
      <w:r w:rsidRPr="00320A86">
        <w:t>» ; la cruc</w:t>
      </w:r>
      <w:r w:rsidRPr="00320A86">
        <w:t>i</w:t>
      </w:r>
      <w:r w:rsidRPr="00320A86">
        <w:t>fixion du Christ –, mais s’en détourne sur un point capital : tout le monde sait que la victime est innocente, même Pilate qui en pr</w:t>
      </w:r>
      <w:r w:rsidRPr="00320A86">
        <w:t>o</w:t>
      </w:r>
      <w:r w:rsidRPr="00320A86">
        <w:t>nonce l’arrêt de mort. Pour René Girard, cette différence entraîne trois conséquences de premier ordre. La première est que le christianisme connaît parfaitement l’origine de la violence. Elle ne réside pas dans la vertu ou dans le vice, mais dans l’instinct de conformation de l’individu à la foule : Pilate ne fait que la suivre ; le peuple réclame la libération de Barrabas ; Pierre lui-même r</w:t>
      </w:r>
      <w:r w:rsidRPr="00320A86">
        <w:t>e</w:t>
      </w:r>
      <w:r w:rsidRPr="00320A86">
        <w:t>nie le Christ trois fois avant que ne chante le coq. La deuxième est la conviction chrétienne que la justice des hommes n’est toujours qu’un simulacre. La tro</w:t>
      </w:r>
      <w:r w:rsidRPr="00320A86">
        <w:t>i</w:t>
      </w:r>
      <w:r w:rsidRPr="00320A86">
        <w:t xml:space="preserve">sième est de loin la plus décisive : l’innocence du Christ est </w:t>
      </w:r>
      <w:r w:rsidRPr="00067AA5">
        <w:rPr>
          <w:i/>
        </w:rPr>
        <w:t>la seule façon</w:t>
      </w:r>
      <w:r w:rsidRPr="00320A86">
        <w:t xml:space="preserve"> de détruire les mythes archaïques qui sont faits de </w:t>
      </w:r>
      <w:r w:rsidRPr="00067AA5">
        <w:rPr>
          <w:i/>
        </w:rPr>
        <w:t>l’inconscient</w:t>
      </w:r>
      <w:r w:rsidRPr="00320A86">
        <w:t xml:space="preserve"> du bouc émissaire, autrement dit, de l’ignorance que la victime en est un. En détruisant la structure mythique, le christianisme détruit en même temps le rapport sacrificiel qui en constitue l’expression. Ainsi, « </w:t>
      </w:r>
      <w:r w:rsidRPr="00067AA5">
        <w:rPr>
          <w:i/>
        </w:rPr>
        <w:t>Je ne suis pas venu apporter la paix sur terre, mais le glaive </w:t>
      </w:r>
      <w:r w:rsidRPr="00320A86">
        <w:t>» (Matthieu 10, 34), serait à entendre au sens de la préfiguration de l’abolition des institutions sacrificielles : « </w:t>
      </w:r>
      <w:r w:rsidRPr="00067AA5">
        <w:rPr>
          <w:i/>
        </w:rPr>
        <w:t>Car je suis venu mettre la division entre l’homme et son père, entre la fille et sa mère, entre la belle-fille et sa be</w:t>
      </w:r>
      <w:r w:rsidRPr="00067AA5">
        <w:rPr>
          <w:i/>
        </w:rPr>
        <w:t>l</w:t>
      </w:r>
      <w:r w:rsidRPr="00067AA5">
        <w:rPr>
          <w:i/>
        </w:rPr>
        <w:t>le-mère </w:t>
      </w:r>
      <w:r w:rsidRPr="00320A86">
        <w:t xml:space="preserve">» (Matthieu 10:35). En somme, le christianisme est la seule religion de prohibition de la violence. </w:t>
      </w:r>
    </w:p>
    <w:p w14:paraId="01D362FF" w14:textId="77777777" w:rsidR="00B01930" w:rsidRPr="00320A86" w:rsidRDefault="00B01930" w:rsidP="00B01930">
      <w:pPr>
        <w:spacing w:before="120" w:after="120"/>
        <w:jc w:val="both"/>
      </w:pPr>
      <w:r w:rsidRPr="00320A86">
        <w:t>Bien que René Girard n’ait pas beaucoup commenté l’actualité de sa propre pensée, il ressort de quelques écrits et de quelques interve</w:t>
      </w:r>
      <w:r w:rsidRPr="00320A86">
        <w:t>n</w:t>
      </w:r>
      <w:r w:rsidRPr="00320A86">
        <w:t>tions publiques l’orientation suivante : le monde moderne ne connaît certes plus le sacrifice en soi, mais il connaît par contre très bien le sacrifice de soi, c’est-à-dire la suppression d’un obstacle censé entr</w:t>
      </w:r>
      <w:r w:rsidRPr="00320A86">
        <w:t>a</w:t>
      </w:r>
      <w:r w:rsidRPr="00320A86">
        <w:t>ver la jouissance recherchée, comme ce fut par exemple le cas avec le régicide. Ce sacrifice ne connaissant plus le sens de la faute, mais étant animé par la jouissance, produit une société plus riche en pr</w:t>
      </w:r>
      <w:r w:rsidRPr="00320A86">
        <w:t>o</w:t>
      </w:r>
      <w:r w:rsidRPr="00320A86">
        <w:t xml:space="preserve">messes de violence que la violence sous sa forme archaïque. Des contempteurs de l’histoire ou de ses adorateurs, lesquels sont donc les plus violents ? </w:t>
      </w:r>
    </w:p>
    <w:p w14:paraId="2589902E" w14:textId="77777777" w:rsidR="00B01930" w:rsidRPr="00320A86" w:rsidRDefault="00B01930" w:rsidP="00B01930">
      <w:pPr>
        <w:spacing w:before="120" w:after="120"/>
        <w:jc w:val="both"/>
      </w:pPr>
      <w:r w:rsidRPr="00320A86">
        <w:t>Le repère sur lequel se fonde Pierre Legendre pour évaluer la culture de mort est assez différent du précédent, pas seulement parc</w:t>
      </w:r>
      <w:r w:rsidRPr="00320A86">
        <w:t>e</w:t>
      </w:r>
      <w:r w:rsidRPr="00320A86">
        <w:t>que sa formation est d’abord celle d’un juriste mais aussi parce qu’il développe une analyse de la formation de l’État nourrie de l’apport d’autres disciplines comme la psychan</w:t>
      </w:r>
      <w:r w:rsidRPr="00320A86">
        <w:t>a</w:t>
      </w:r>
      <w:r w:rsidRPr="00320A86">
        <w:t>lyse. Précisons en un mot, si tant est que cela puisse nous renseigner un peu sur la pensée féconde de cet autre esprit hors du commun. Dans un article publié en 1993 dans la revue Le Débat, intitulé « Ce que nous appelons le droit », Pierre Legendre explique :</w:t>
      </w:r>
    </w:p>
    <w:p w14:paraId="296CE964" w14:textId="77777777" w:rsidR="00B01930" w:rsidRDefault="00B01930" w:rsidP="00B01930">
      <w:pPr>
        <w:pStyle w:val="citation"/>
      </w:pPr>
    </w:p>
    <w:p w14:paraId="5242600B" w14:textId="77777777" w:rsidR="00B01930" w:rsidRDefault="00B01930" w:rsidP="00B01930">
      <w:pPr>
        <w:pStyle w:val="citation"/>
      </w:pPr>
      <w:r w:rsidRPr="00320A86">
        <w:t>« On peut poser sans crainte que le droit n’a pas de fondement par lui-même ; son fondement, c’est d’être dépendant structuralement d’un pri</w:t>
      </w:r>
      <w:r w:rsidRPr="00320A86">
        <w:t>n</w:t>
      </w:r>
      <w:r w:rsidRPr="00320A86">
        <w:t>cipe de légitimité, que j’appelle la Référence, parce que, effectivement, sans ce mécanisme in</w:t>
      </w:r>
      <w:r w:rsidRPr="00320A86">
        <w:t>s</w:t>
      </w:r>
      <w:r w:rsidRPr="00320A86">
        <w:t>titutionnel qui réfère le droit à la causalité sous la forme d’un discours de Réf</w:t>
      </w:r>
      <w:r w:rsidRPr="00320A86">
        <w:t>é</w:t>
      </w:r>
      <w:r w:rsidRPr="00320A86">
        <w:t>rence, il n’y aurait pas de droit. Autrement dit, le droit fonctionne en tant qu’effet d’un principe de lég</w:t>
      </w:r>
      <w:r w:rsidRPr="00320A86">
        <w:t>i</w:t>
      </w:r>
      <w:r w:rsidRPr="00320A86">
        <w:t>timité ».</w:t>
      </w:r>
    </w:p>
    <w:p w14:paraId="576B611C" w14:textId="77777777" w:rsidR="00B01930" w:rsidRPr="00320A86" w:rsidRDefault="00B01930" w:rsidP="00B01930">
      <w:pPr>
        <w:pStyle w:val="citation"/>
      </w:pPr>
    </w:p>
    <w:p w14:paraId="4D794437" w14:textId="77777777" w:rsidR="00B01930" w:rsidRPr="00320A86" w:rsidRDefault="00B01930" w:rsidP="00B01930">
      <w:pPr>
        <w:spacing w:before="120" w:after="120"/>
        <w:jc w:val="both"/>
      </w:pPr>
      <w:r w:rsidRPr="00320A86">
        <w:t>Pierre Legendre étudie le mécanisme de formation du droit, donc de la référence, à la manière d’un archéologue qui sait dater les diff</w:t>
      </w:r>
      <w:r w:rsidRPr="00320A86">
        <w:t>é</w:t>
      </w:r>
      <w:r w:rsidRPr="00320A86">
        <w:t>rentes couches séd</w:t>
      </w:r>
      <w:r w:rsidRPr="00320A86">
        <w:t>i</w:t>
      </w:r>
      <w:r w:rsidRPr="00320A86">
        <w:t>mentaires formant le sol qu’il découvre. À qui lit son œuvre, ces couches apparaissent de manière de plus en plus préc</w:t>
      </w:r>
      <w:r w:rsidRPr="00320A86">
        <w:t>i</w:t>
      </w:r>
      <w:r w:rsidRPr="00320A86">
        <w:t>se : d’abord les pierres de support et les minéraux les plus robustes – ceux du droit romain – ; ensuite les pierres tout aussi robustes, mais de reflets différents du droit ecclésiastique – le « </w:t>
      </w:r>
      <w:r w:rsidRPr="005A0785">
        <w:rPr>
          <w:i/>
        </w:rPr>
        <w:t>droit romain s</w:t>
      </w:r>
      <w:r w:rsidRPr="005A0785">
        <w:rPr>
          <w:i/>
        </w:rPr>
        <w:t>e</w:t>
      </w:r>
      <w:r w:rsidRPr="005A0785">
        <w:rPr>
          <w:i/>
        </w:rPr>
        <w:t>cond </w:t>
      </w:r>
      <w:r w:rsidRPr="00320A86">
        <w:t>» – ; les quelques ornements révolutionnaires qui ne changent pas grand-chose à la nature du terrain et ainsi de suite. À chaque n</w:t>
      </w:r>
      <w:r w:rsidRPr="00320A86">
        <w:t>i</w:t>
      </w:r>
      <w:r w:rsidRPr="00320A86">
        <w:t>veau, on ne cesse de découvrir l’extraordinaire subtilité des « </w:t>
      </w:r>
      <w:r w:rsidRPr="005A0785">
        <w:rPr>
          <w:i/>
        </w:rPr>
        <w:t>montages juridiques </w:t>
      </w:r>
      <w:r w:rsidRPr="00320A86">
        <w:t>», c’est-à-dire des fictions fécondes, appare</w:t>
      </w:r>
      <w:r w:rsidRPr="00320A86">
        <w:t>m</w:t>
      </w:r>
      <w:r w:rsidRPr="00320A86">
        <w:t xml:space="preserve">ment les plus simples : par exemple, pourquoi l’opinion de la majorité est-elle censée représenter celle de la totalité ? </w:t>
      </w:r>
    </w:p>
    <w:p w14:paraId="403AD20A" w14:textId="77777777" w:rsidR="00B01930" w:rsidRPr="00320A86" w:rsidRDefault="00B01930" w:rsidP="00B01930">
      <w:pPr>
        <w:spacing w:before="120" w:after="120"/>
        <w:jc w:val="both"/>
      </w:pPr>
      <w:r w:rsidRPr="00320A86">
        <w:t>Mais il étudie aussi le mécanisme de formation du droit à la mani</w:t>
      </w:r>
      <w:r w:rsidRPr="00320A86">
        <w:t>è</w:t>
      </w:r>
      <w:r w:rsidRPr="00320A86">
        <w:t>re d’un observateur décrivant ce qui s’offre à sa vue, grâce à l’échelle de compréhension la plus élevée dans l’ordre de la réalité. De ce point de vue, son analyse de l’État peut être grossièrement résumée de la sorte : la fonction anthropologique de l’État est de fonder la raison, laquelle permet la reproduction du sujet institué, l’homme, autrement dit « </w:t>
      </w:r>
      <w:r w:rsidRPr="005A0785">
        <w:rPr>
          <w:i/>
        </w:rPr>
        <w:t>l’animal parlant </w:t>
      </w:r>
      <w:r w:rsidRPr="00320A86">
        <w:t xml:space="preserve">». Pour cela, il s’appuie autant sur ce qui permet de situer l’homme dans une histoire – c’est-à-dire sur les conditions élémentaires de la généalogie : </w:t>
      </w:r>
      <w:r w:rsidRPr="005A0785">
        <w:rPr>
          <w:i/>
        </w:rPr>
        <w:t>un homme n’est pas une femme ; une femme n’est pas un homme ; un enfant a un père et une mère</w:t>
      </w:r>
      <w:r w:rsidRPr="00320A86">
        <w:t>… – que sur ce qui symb</w:t>
      </w:r>
      <w:r w:rsidRPr="00320A86">
        <w:t>o</w:t>
      </w:r>
      <w:r w:rsidRPr="00320A86">
        <w:t>lise et définit la limite. Cette limite est la condition même de l’humanisation de l’homme qui par la douleur de cet appre</w:t>
      </w:r>
      <w:r w:rsidRPr="00320A86">
        <w:t>n</w:t>
      </w:r>
      <w:r w:rsidRPr="00320A86">
        <w:t>tissage doit apprendre « </w:t>
      </w:r>
      <w:r w:rsidRPr="005A0785">
        <w:rPr>
          <w:i/>
        </w:rPr>
        <w:t>à se séparer </w:t>
      </w:r>
      <w:r w:rsidRPr="00320A86">
        <w:t>» de l’univers du fantasme m</w:t>
      </w:r>
      <w:r w:rsidRPr="00320A86">
        <w:t>a</w:t>
      </w:r>
      <w:r w:rsidRPr="00320A86">
        <w:t xml:space="preserve">ternant pour naître une deuxième fois. </w:t>
      </w:r>
    </w:p>
    <w:p w14:paraId="2B989E3A" w14:textId="77777777" w:rsidR="00B01930" w:rsidRDefault="00B01930" w:rsidP="00B01930">
      <w:pPr>
        <w:spacing w:before="120" w:after="120"/>
        <w:jc w:val="both"/>
      </w:pPr>
      <w:r w:rsidRPr="00320A86">
        <w:t>Depuis plusieurs décennies, Pierre Legendre ne cesse de constater une entr</w:t>
      </w:r>
      <w:r w:rsidRPr="00320A86">
        <w:t>e</w:t>
      </w:r>
      <w:r w:rsidRPr="00320A86">
        <w:t>prise de déconstruction des montages juridiques de ce que nous appelons l’État, ainsi qu’une disparition progressive de l’univers de la limite qui constitue le noyau dur de la raison. Ce constat est en soi indiscutable, puisqu’il est patent que l’État est devenu une mach</w:t>
      </w:r>
      <w:r w:rsidRPr="00320A86">
        <w:t>i</w:t>
      </w:r>
      <w:r w:rsidRPr="00320A86">
        <w:t>ne à intégrer en son sein les projections identitaires que chaque ind</w:t>
      </w:r>
      <w:r w:rsidRPr="00320A86">
        <w:t>i</w:t>
      </w:r>
      <w:r w:rsidRPr="00320A86">
        <w:t>vidu ou groupe d’individu se fait de lui-même. D’où qu’elle vienne et quelles qu’en soient les justifications, cette déconstruction o</w:t>
      </w:r>
      <w:r w:rsidRPr="00320A86">
        <w:t>r</w:t>
      </w:r>
      <w:r w:rsidRPr="00320A86">
        <w:t>ganisée et méthodique de la raison sous prétexte de liberté ou d’émancipation est le signe le plus manifeste de la culture de mort. Dans un opuscule intitulé L’homme en meurtrier paru en 1996 aux éditions Mille et une nuits, Pierre L</w:t>
      </w:r>
      <w:r w:rsidRPr="00320A86">
        <w:t>e</w:t>
      </w:r>
      <w:r w:rsidRPr="00320A86">
        <w:t>gendre écrit :</w:t>
      </w:r>
    </w:p>
    <w:p w14:paraId="18FAF3AF" w14:textId="77777777" w:rsidR="00B01930" w:rsidRPr="00320A86" w:rsidRDefault="00B01930" w:rsidP="00B01930">
      <w:pPr>
        <w:spacing w:before="120" w:after="120"/>
        <w:jc w:val="both"/>
      </w:pPr>
    </w:p>
    <w:p w14:paraId="6E634787" w14:textId="77777777" w:rsidR="00B01930" w:rsidRPr="00320A86" w:rsidRDefault="00B01930" w:rsidP="00B01930">
      <w:pPr>
        <w:pStyle w:val="citation"/>
      </w:pPr>
      <w:r w:rsidRPr="00320A86">
        <w:t>« Gardiens de camps staliniens, exécuteurs de la Shoah, gardes ro</w:t>
      </w:r>
      <w:r w:rsidRPr="00320A86">
        <w:t>u</w:t>
      </w:r>
      <w:r w:rsidRPr="00320A86">
        <w:t>ges de Mao assassinant jusqu’à leurs parents avec la bénédiction du Pa</w:t>
      </w:r>
      <w:r w:rsidRPr="00320A86">
        <w:t>r</w:t>
      </w:r>
      <w:r w:rsidRPr="00320A86">
        <w:t>ti, ces démons ont inventé le style ultramoderne de la banalis</w:t>
      </w:r>
      <w:r w:rsidRPr="00320A86">
        <w:t>a</w:t>
      </w:r>
      <w:r w:rsidRPr="00320A86">
        <w:t>tion : faire entrer dans nos têtes l’idée qu’il n’y a plus ni père ni fils, l’idée que le meurtre n’est plus un meurtre et que nous sommes l</w:t>
      </w:r>
      <w:r w:rsidRPr="00320A86">
        <w:t>i</w:t>
      </w:r>
      <w:r w:rsidRPr="00320A86">
        <w:t>bres, libres, libres jusqu’à l’ivresse de se tuer et de tuer. Voilà ce que ne compre</w:t>
      </w:r>
      <w:r w:rsidRPr="00320A86">
        <w:t>n</w:t>
      </w:r>
      <w:r w:rsidRPr="00320A86">
        <w:t>dront jamais les comptables d’aujourd’hui : qu’ils ont pour héritage la leçon totalita</w:t>
      </w:r>
      <w:r w:rsidRPr="00320A86">
        <w:t>i</w:t>
      </w:r>
      <w:r w:rsidRPr="00320A86">
        <w:t>re, et qu’ils enseignent le désastre ».</w:t>
      </w:r>
    </w:p>
    <w:p w14:paraId="71BC06C4" w14:textId="77777777" w:rsidR="00B01930" w:rsidRPr="00320A86" w:rsidRDefault="00B01930" w:rsidP="00B01930">
      <w:pPr>
        <w:spacing w:before="120" w:after="120"/>
        <w:jc w:val="both"/>
      </w:pPr>
    </w:p>
    <w:p w14:paraId="555C8FCD" w14:textId="77777777" w:rsidR="00B01930" w:rsidRPr="00320A86" w:rsidRDefault="00B01930" w:rsidP="00B01930">
      <w:pPr>
        <w:pStyle w:val="planche"/>
        <w:rPr>
          <w:szCs w:val="28"/>
        </w:rPr>
      </w:pPr>
      <w:bookmarkStart w:id="223" w:name="Analyser_idees_pol_pt_3_texte_11_II"/>
      <w:r w:rsidRPr="00320A86">
        <w:rPr>
          <w:szCs w:val="28"/>
        </w:rPr>
        <w:t xml:space="preserve">II. Caserne libertaire </w:t>
      </w:r>
      <w:r w:rsidRPr="00320A86">
        <w:t>ou comment le triomphe</w:t>
      </w:r>
      <w:r>
        <w:br/>
      </w:r>
      <w:r w:rsidRPr="00320A86">
        <w:t xml:space="preserve"> du fantasme conduit la masse</w:t>
      </w:r>
      <w:r>
        <w:br/>
      </w:r>
      <w:r w:rsidRPr="00320A86">
        <w:t>au totalitarisme anom</w:t>
      </w:r>
      <w:r w:rsidRPr="00320A86">
        <w:t>i</w:t>
      </w:r>
      <w:r w:rsidRPr="00320A86">
        <w:t>que</w:t>
      </w:r>
    </w:p>
    <w:bookmarkEnd w:id="223"/>
    <w:p w14:paraId="5B059C63" w14:textId="77777777" w:rsidR="00B01930" w:rsidRDefault="00B01930" w:rsidP="00B01930">
      <w:pPr>
        <w:spacing w:before="120" w:after="120"/>
        <w:jc w:val="both"/>
      </w:pPr>
    </w:p>
    <w:p w14:paraId="014D77E8"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13FDAF03" w14:textId="77777777" w:rsidR="00B01930" w:rsidRPr="00320A86" w:rsidRDefault="00B01930" w:rsidP="00B01930">
      <w:pPr>
        <w:spacing w:before="120" w:after="120"/>
        <w:jc w:val="both"/>
      </w:pPr>
      <w:r w:rsidRPr="00320A86">
        <w:t>Nous avons détruit par le trop-plein autant que par le vide cette partie invis</w:t>
      </w:r>
      <w:r w:rsidRPr="00320A86">
        <w:t>i</w:t>
      </w:r>
      <w:r w:rsidRPr="00320A86">
        <w:t>ble de nous-mêmes qui nous renvoyait à la raison d’être. Désormais, la seule scène à partir de laquelle la parole peut être pr</w:t>
      </w:r>
      <w:r w:rsidRPr="00320A86">
        <w:t>o</w:t>
      </w:r>
      <w:r w:rsidRPr="00320A86">
        <w:t>noncée est ce que Pierre Lege</w:t>
      </w:r>
      <w:r w:rsidRPr="00320A86">
        <w:t>n</w:t>
      </w:r>
      <w:r w:rsidRPr="00320A86">
        <w:t>dre appelle « la caserne libertaire ». « Modernes » et « anciens » s’y côtoient derrière ses murs infranchi</w:t>
      </w:r>
      <w:r w:rsidRPr="00320A86">
        <w:t>s</w:t>
      </w:r>
      <w:r w:rsidRPr="00320A86">
        <w:t>sables. Mais à qui s’adressent leurs plaintes, si ce n’est à ceux qu’ils ont enchaînés ?</w:t>
      </w:r>
    </w:p>
    <w:p w14:paraId="062FD49F" w14:textId="77777777" w:rsidR="00B01930" w:rsidRPr="00320A86" w:rsidRDefault="00B01930" w:rsidP="00B01930">
      <w:pPr>
        <w:spacing w:before="120" w:after="120"/>
        <w:jc w:val="both"/>
      </w:pPr>
      <w:r w:rsidRPr="00662F2B">
        <w:rPr>
          <w:i/>
        </w:rPr>
        <w:t>Terrain</w:t>
      </w:r>
      <w:r w:rsidRPr="00320A86">
        <w:t>. Faisons donc une rapide visite des lieux en commençant par le bâti. La question des troubles de voisinage est d’ores et déjà réglée : le voisin du dessus, beaucoup trop bruyant, a fini par être e</w:t>
      </w:r>
      <w:r w:rsidRPr="00320A86">
        <w:t>x</w:t>
      </w:r>
      <w:r w:rsidRPr="00320A86">
        <w:t>pulsé. Il n’est pas parti de gaieté de cœur, bien évidemment, mais il s’est bien mollement défendu et a même tenté de s’amender. De temps en temps, nous lui envoyons une carte postale que nous signons : v</w:t>
      </w:r>
      <w:r w:rsidRPr="00320A86">
        <w:t>a</w:t>
      </w:r>
      <w:r w:rsidRPr="00320A86">
        <w:t>leurs. Mais notre petit « chez-nous » a gardé son nom ancestral : pol</w:t>
      </w:r>
      <w:r w:rsidRPr="00320A86">
        <w:t>i</w:t>
      </w:r>
      <w:r w:rsidRPr="00320A86">
        <w:t xml:space="preserve">tique. </w:t>
      </w:r>
    </w:p>
    <w:p w14:paraId="73FC7E29" w14:textId="77777777" w:rsidR="00B01930" w:rsidRPr="00320A86" w:rsidRDefault="00B01930" w:rsidP="00B01930">
      <w:pPr>
        <w:spacing w:before="120" w:after="120"/>
        <w:jc w:val="both"/>
      </w:pPr>
    </w:p>
    <w:p w14:paraId="3880DB66" w14:textId="77777777" w:rsidR="00B01930" w:rsidRPr="00320A86" w:rsidRDefault="00B01930" w:rsidP="00B01930">
      <w:pPr>
        <w:spacing w:before="120" w:after="120"/>
        <w:jc w:val="both"/>
      </w:pPr>
      <w:r w:rsidRPr="00662F2B">
        <w:rPr>
          <w:i/>
        </w:rPr>
        <w:t>Valeurs</w:t>
      </w:r>
      <w:r w:rsidRPr="00320A86">
        <w:t xml:space="preserve">. C’est ce que nous croyons être. Et comme c’est ce que nous croyons être, nous n’en possédons aucune. Nous ne pouvons donc plus en découvrir ni en créer. Dans les moments de confusion, les valeurs sont rappelées. Comme elles sont partout les mêmes, la caserne libertaire a inventé un nouveau métier : crieur de valeurs. À qui ? À nous : aux valeurs. </w:t>
      </w:r>
    </w:p>
    <w:p w14:paraId="426DBAE3" w14:textId="77777777" w:rsidR="00B01930" w:rsidRPr="00320A86" w:rsidRDefault="00B01930" w:rsidP="00B01930">
      <w:pPr>
        <w:spacing w:before="120" w:after="120"/>
        <w:jc w:val="both"/>
      </w:pPr>
      <w:r w:rsidRPr="00320A86">
        <w:t>Il est bien difficile de parler des valeurs sur un autre ton, tellement ce terme est devenu le véritable cache-sexe d’une identité autoréfére</w:t>
      </w:r>
      <w:r w:rsidRPr="00320A86">
        <w:t>n</w:t>
      </w:r>
      <w:r w:rsidRPr="00320A86">
        <w:t>tielle se nourrissant de sa propre vacuité. L’inversion de la logique classique de la valeur est spectaculaire : elle n’est plus un but à attei</w:t>
      </w:r>
      <w:r w:rsidRPr="00320A86">
        <w:t>n</w:t>
      </w:r>
      <w:r w:rsidRPr="00320A86">
        <w:t>dre ou du moins un horizon à espérer, mais la base même de tout but, le point de vue unique de tout horizon ; elle est ce qui inclue et ce qui exclue, non ce qui peut donner un horizon aux inclus et aux e</w:t>
      </w:r>
      <w:r w:rsidRPr="00320A86">
        <w:t>x</w:t>
      </w:r>
      <w:r w:rsidRPr="00320A86">
        <w:t>clus ; elle doit s’apprendre et se réciter, non pas se penser et se formuler. En un mot, le pluriel du mot « valeurs » a l’intérêt d’éviter le singulier du mot « vide ».</w:t>
      </w:r>
    </w:p>
    <w:p w14:paraId="06A76059" w14:textId="77777777" w:rsidR="00B01930" w:rsidRPr="00320A86" w:rsidRDefault="00B01930" w:rsidP="00B01930">
      <w:pPr>
        <w:spacing w:before="120" w:after="120"/>
        <w:jc w:val="both"/>
      </w:pPr>
      <w:r w:rsidRPr="00320A86">
        <w:t xml:space="preserve">Les valeurs sont une, mais cette unité est extensible à l’infini en fonction des besoins de la caserne libertaire, puisque c’est elle qui dit </w:t>
      </w:r>
      <w:r w:rsidRPr="005A0785">
        <w:rPr>
          <w:i/>
        </w:rPr>
        <w:t>ce qui est</w:t>
      </w:r>
      <w:r w:rsidRPr="00320A86">
        <w:t xml:space="preserve">, du moins ses « sages » qui lui vouent leur adoration autant qu’ils chantent leur détestation de l’ancien voisin du dessus. Les droits de l’homme leur fournissent une matière tellement inépuisable que plus personne ne sait ce qu’ils contiennent, hormis droits et homme, c’est-à-dire valeurs. Les juristes distingués feront remarquer que l’esprit a dépassé depuis bien longtemps la lettre, sans se donner la peine de se demander ce qui pouvait bien faire que cette lettre en était une. Qui sait donc ce que nous entendons par droits de l’homme ? </w:t>
      </w:r>
      <w:r w:rsidRPr="005A0785">
        <w:rPr>
          <w:i/>
        </w:rPr>
        <w:t>A priori</w:t>
      </w:r>
      <w:r w:rsidRPr="00320A86">
        <w:t xml:space="preserve"> personne puisque pe</w:t>
      </w:r>
      <w:r w:rsidRPr="00320A86">
        <w:t>r</w:t>
      </w:r>
      <w:r w:rsidRPr="00320A86">
        <w:t xml:space="preserve">sonne ne peut le savoir </w:t>
      </w:r>
      <w:r w:rsidRPr="005A0785">
        <w:rPr>
          <w:i/>
        </w:rPr>
        <w:t>a priori</w:t>
      </w:r>
      <w:r w:rsidRPr="00320A86">
        <w:t>. Qui peut alors sérieusement se reconnaître dans ce qu’il ignore ? Et qui peut contester ce qu’il ignore tout autant ? La seule vraie valeur des droits de l’homme réside dans le balisage topographique que réalise son int</w:t>
      </w:r>
      <w:r w:rsidRPr="00320A86">
        <w:t>i</w:t>
      </w:r>
      <w:r w:rsidRPr="00320A86">
        <w:t>tulé. Il n’est pas étonnant qu’il convienne si bien à la caserne liberta</w:t>
      </w:r>
      <w:r w:rsidRPr="00320A86">
        <w:t>i</w:t>
      </w:r>
      <w:r w:rsidRPr="00320A86">
        <w:t xml:space="preserve">re. </w:t>
      </w:r>
    </w:p>
    <w:p w14:paraId="5E27ED8D" w14:textId="77777777" w:rsidR="00B01930" w:rsidRPr="00320A86" w:rsidRDefault="00B01930" w:rsidP="00B01930">
      <w:pPr>
        <w:spacing w:before="120" w:after="120"/>
        <w:jc w:val="both"/>
      </w:pPr>
      <w:r w:rsidRPr="00320A86">
        <w:t>Il l’est d’autant moins que ce que nous appelions jadis « le polit</w:t>
      </w:r>
      <w:r w:rsidRPr="00320A86">
        <w:t>i</w:t>
      </w:r>
      <w:r w:rsidRPr="00320A86">
        <w:t>que » prend l’alibi de la défense des cultures pour les écraser, les fo</w:t>
      </w:r>
      <w:r w:rsidRPr="00320A86">
        <w:t>l</w:t>
      </w:r>
      <w:r w:rsidRPr="00320A86">
        <w:t>kloriser et les ringard</w:t>
      </w:r>
      <w:r w:rsidRPr="00320A86">
        <w:t>i</w:t>
      </w:r>
      <w:r w:rsidRPr="00320A86">
        <w:t>ser. Cette mécanique fonctionne en deux temps. Dans un premier temps, la f</w:t>
      </w:r>
      <w:r w:rsidRPr="00320A86">
        <w:t>a</w:t>
      </w:r>
      <w:r w:rsidRPr="00320A86">
        <w:t>meuse diversité de la caserne libertaire prend les différences comme référence pour abolir la règle de l’unité ou, plus précisément, pour abolir tout principe de distinction entre ces différences, là où ces mêmes différences avaient toujours pris la règle de l’unité comme référence, ce qui leur avait permis d’exister dans un espace commun. Dans un deuxième temps, une sélection est faite e</w:t>
      </w:r>
      <w:r w:rsidRPr="00320A86">
        <w:t>n</w:t>
      </w:r>
      <w:r w:rsidRPr="00320A86">
        <w:t>tre ces différences en fonction d’un seul critère : leur capacité de se considérer comme des équivalences fonctionnelles du même agrégat « culture », faute de quoi les crieurs de valeurs hurleront à la phobie de quelque chose ou de quelqu’un. Il peut exister une culture corse, pourvu que pour la même raison et dans les mêmes conditions, il exi</w:t>
      </w:r>
      <w:r w:rsidRPr="00320A86">
        <w:t>s</w:t>
      </w:r>
      <w:r w:rsidRPr="00320A86">
        <w:t>te une culture du rap, pourvu que pour la même raison et dans les mêmes conditions il existe une culture de la musique classique, et ai</w:t>
      </w:r>
      <w:r w:rsidRPr="00320A86">
        <w:t>n</w:t>
      </w:r>
      <w:r w:rsidRPr="00320A86">
        <w:t>si de suite… En somme, d’abord on nivelle puis on rabote. Ce produit informe et inerte fabriqué en batterie sous le nom de culture s’est d</w:t>
      </w:r>
      <w:r w:rsidRPr="00320A86">
        <w:t>é</w:t>
      </w:r>
      <w:r w:rsidRPr="00320A86">
        <w:t>veloppé partout dans le monde occidental et fait partout les fiertés n</w:t>
      </w:r>
      <w:r w:rsidRPr="00320A86">
        <w:t>a</w:t>
      </w:r>
      <w:r w:rsidRPr="00320A86">
        <w:t>tionales. N’est-ce pas étrange ?</w:t>
      </w:r>
    </w:p>
    <w:p w14:paraId="3CD13568" w14:textId="77777777" w:rsidR="00B01930" w:rsidRPr="00320A86" w:rsidRDefault="00B01930" w:rsidP="00B01930">
      <w:pPr>
        <w:spacing w:before="120" w:after="120"/>
        <w:jc w:val="both"/>
      </w:pPr>
      <w:r w:rsidRPr="00320A86">
        <w:t>À l’extérieur de ses murs, la caserne libertaire méprise et parfois même punit ceux qui ont encore l’outrecuidance d’afficher un princ</w:t>
      </w:r>
      <w:r w:rsidRPr="00320A86">
        <w:t>i</w:t>
      </w:r>
      <w:r w:rsidRPr="00320A86">
        <w:t>pe culturel distinctif. « </w:t>
      </w:r>
      <w:r w:rsidRPr="005A0785">
        <w:rPr>
          <w:i/>
        </w:rPr>
        <w:t>On ne peut quand même pas soutenir un prés</w:t>
      </w:r>
      <w:r w:rsidRPr="005A0785">
        <w:rPr>
          <w:i/>
        </w:rPr>
        <w:t>i</w:t>
      </w:r>
      <w:r w:rsidRPr="005A0785">
        <w:rPr>
          <w:i/>
        </w:rPr>
        <w:t>dent qui est contre le mariage gay </w:t>
      </w:r>
      <w:r w:rsidRPr="00320A86">
        <w:t>» disait récemment sur une radio périphérique un progressiste de premier plan à propos du président Poutine. On comprend bien que la distinction entre le camp du Bien et celui du Mal change de nature. Le Bien devient la conformité à l’indifférencié et le Mal le principe de culture par nature hostile à cette indiff</w:t>
      </w:r>
      <w:r w:rsidRPr="00320A86">
        <w:t>é</w:t>
      </w:r>
      <w:r w:rsidRPr="00320A86">
        <w:t>renciation, ce qui n’est pas le cas de tout principe de culture. Que le Bhoutan prenne comme principe culturel le bonheur éternel de ses habitants ne nous d</w:t>
      </w:r>
      <w:r w:rsidRPr="00320A86">
        <w:t>é</w:t>
      </w:r>
      <w:r w:rsidRPr="00320A86">
        <w:t xml:space="preserve">range en rien, mais qu’un pays adopte des comportements que nous prohibons, et soit ce pays est puissant et le dialogue des cultures se fait alors les armes à la ceinture, soit il ne l’est pas, et il se fait les armes à la main. Le fond du fond est que la caserne libertaire entend s’implanter partout où elle a la possibilité de le faire, et pousse des cris de vierge effarouchée là où elle ne peut pas le faire. Pour la caserne libertaire, la nature a horreur du plein. </w:t>
      </w:r>
    </w:p>
    <w:p w14:paraId="40FAA1EF" w14:textId="77777777" w:rsidR="00B01930" w:rsidRPr="00320A86" w:rsidRDefault="00B01930" w:rsidP="00B01930">
      <w:pPr>
        <w:spacing w:before="120" w:after="120"/>
        <w:jc w:val="both"/>
      </w:pPr>
      <w:r w:rsidRPr="00320A86">
        <w:t xml:space="preserve">Le relativisme culturel serait en cause. Unanimement accusé par les Anciens d’avoir établi le règne du </w:t>
      </w:r>
      <w:r w:rsidRPr="005A0785">
        <w:rPr>
          <w:i/>
        </w:rPr>
        <w:t>tout-et-n’importe-quoi</w:t>
      </w:r>
      <w:r w:rsidRPr="00320A86">
        <w:t>, il est visé avec tout autant de force par les Modernes pour ne pas accorder à la doxa des droits de l’homme la place centrale qu’elle mérite. Ces deux critiques sont assez déroutantes de prime abord, puisque le rel</w:t>
      </w:r>
      <w:r w:rsidRPr="00320A86">
        <w:t>a</w:t>
      </w:r>
      <w:r w:rsidRPr="00320A86">
        <w:t>tivisme culturel ne signifie pas que toutes les cultures sont égales, mais au contraire que chaque culture ne peut s’apprécier qu’à partir de ses propres clés de compréhension. Pour son principal penseur, Cla</w:t>
      </w:r>
      <w:r w:rsidRPr="00320A86">
        <w:t>u</w:t>
      </w:r>
      <w:r w:rsidRPr="00320A86">
        <w:t>de Lévi-Strauss, la condition d’existence des différentes cultures est même qu’elles demeurent jalouses d’elles-mêmes, au point de man</w:t>
      </w:r>
      <w:r w:rsidRPr="00320A86">
        <w:t>i</w:t>
      </w:r>
      <w:r w:rsidRPr="00320A86">
        <w:t>fester une certaine animosité envers les autres pour survivre. Le mo</w:t>
      </w:r>
      <w:r w:rsidRPr="00320A86">
        <w:t>n</w:t>
      </w:r>
      <w:r w:rsidRPr="00320A86">
        <w:t xml:space="preserve">de de Lévi-Strauss n’est donc en rien le monde du </w:t>
      </w:r>
      <w:r w:rsidRPr="005A0785">
        <w:rPr>
          <w:i/>
        </w:rPr>
        <w:t>tout-et-n’importe-quoi</w:t>
      </w:r>
      <w:r w:rsidRPr="00320A86">
        <w:t xml:space="preserve"> et de l’indifférenciation : c’est au contraire un monde aux mille éclats dont chacun représente l’image de la même humanité. On co</w:t>
      </w:r>
      <w:r w:rsidRPr="00320A86">
        <w:t>m</w:t>
      </w:r>
      <w:r w:rsidRPr="00320A86">
        <w:t xml:space="preserve">prend alors que les critiques adressées au relativisme culturel sont en réalité des critiques adressées à cette idée de l’humanité : soit parce qu’elle ne part pas de l’homme français, soit parce qu’elle ne parle pas des valeurs. Mais depuis Jules Ferry et Jean Jaurès, nous savons bien que les Modernes ont le gène colonial dans le sang et que les anciens ne tardent pas à les rejoindre. </w:t>
      </w:r>
    </w:p>
    <w:p w14:paraId="6A232EC7" w14:textId="77777777" w:rsidR="00B01930" w:rsidRPr="00320A86" w:rsidRDefault="00B01930" w:rsidP="00B01930">
      <w:pPr>
        <w:spacing w:before="120" w:after="120"/>
        <w:jc w:val="both"/>
      </w:pPr>
      <w:r w:rsidRPr="00320A86">
        <w:t>Du reste, les uns et les autres ne voient rien à redire à l’extension indéfinie de la caserne libertaire à l’intérieur de ses murs, même si les Anciens sont peut-être un peu plus réservés parce qu’ils ont lu Mo</w:t>
      </w:r>
      <w:r w:rsidRPr="00320A86">
        <w:t>n</w:t>
      </w:r>
      <w:r w:rsidRPr="00320A86">
        <w:t>tesquieu. Cette extension indéfinie porte différents noms, dont « </w:t>
      </w:r>
      <w:r w:rsidRPr="005A0785">
        <w:rPr>
          <w:i/>
        </w:rPr>
        <w:t>progrès du droit </w:t>
      </w:r>
      <w:r w:rsidRPr="00320A86">
        <w:t>». N’est-ce pas paradoxal que nous considérions comme un progrès l’extension à outrance de la normation j</w:t>
      </w:r>
      <w:r w:rsidRPr="00320A86">
        <w:t>u</w:t>
      </w:r>
      <w:r w:rsidRPr="00320A86">
        <w:t>ridique, quand nous savons que derrière toute règle se cache la puissance de l’État ? N’est-ce pas paradoxal que les amoureux de la liberté indiv</w:t>
      </w:r>
      <w:r w:rsidRPr="00320A86">
        <w:t>i</w:t>
      </w:r>
      <w:r w:rsidRPr="00320A86">
        <w:t>duelle que nous fûmes acceptent sans broncher leur mise sous tutelle de l’État et que leurs seuls motifs de mécontentement soient d’en r</w:t>
      </w:r>
      <w:r w:rsidRPr="00320A86">
        <w:t>é</w:t>
      </w:r>
      <w:r w:rsidRPr="00320A86">
        <w:t>clamer encore plus ? N’est-ce pas paradoxal que toute vision d’avenir, d’où qu’elle vienne, ne s’accompagne j</w:t>
      </w:r>
      <w:r w:rsidRPr="00320A86">
        <w:t>a</w:t>
      </w:r>
      <w:r w:rsidRPr="00320A86">
        <w:t>mais d’une déréglementation salvatrice, mais, au contraire, d’un nouveau « </w:t>
      </w:r>
      <w:r w:rsidRPr="005A0785">
        <w:rPr>
          <w:i/>
        </w:rPr>
        <w:t>progrès du droit </w:t>
      </w:r>
      <w:r w:rsidRPr="00320A86">
        <w:t>» ? En un mot comme un mille, le droit est la nouvelle idé</w:t>
      </w:r>
      <w:r w:rsidRPr="00320A86">
        <w:t>o</w:t>
      </w:r>
      <w:r w:rsidRPr="00320A86">
        <w:t xml:space="preserve">logie qui permet de ne surtout pas parler d’idéologie. </w:t>
      </w:r>
    </w:p>
    <w:p w14:paraId="62C68A24" w14:textId="77777777" w:rsidR="00B01930" w:rsidRPr="00320A86" w:rsidRDefault="00B01930" w:rsidP="00B01930">
      <w:pPr>
        <w:spacing w:before="120" w:after="120"/>
        <w:jc w:val="both"/>
      </w:pPr>
      <w:r w:rsidRPr="00320A86">
        <w:t>On en parle d’autant moins, qu’à l’intérieur des murs de la caserne libertaire, le droit se construit sur un nouveau mode : celui de la r</w:t>
      </w:r>
      <w:r w:rsidRPr="00320A86">
        <w:t>e</w:t>
      </w:r>
      <w:r w:rsidRPr="00320A86">
        <w:t xml:space="preserve">connaissance </w:t>
      </w:r>
      <w:r w:rsidRPr="005A0785">
        <w:rPr>
          <w:i/>
        </w:rPr>
        <w:t>de ce qui est</w:t>
      </w:r>
      <w:r w:rsidRPr="00320A86">
        <w:t>. Comme l’État a abandonné la fonction a</w:t>
      </w:r>
      <w:r w:rsidRPr="00320A86">
        <w:t>n</w:t>
      </w:r>
      <w:r w:rsidRPr="00320A86">
        <w:t xml:space="preserve">thropologique classique consistant à dispenser une idée de raison pour assurer la vie et le maintien de la société, il ne s’exprime plus sur le mode du </w:t>
      </w:r>
      <w:r w:rsidRPr="005A0785">
        <w:rPr>
          <w:i/>
        </w:rPr>
        <w:t>ce qui doit être</w:t>
      </w:r>
      <w:r w:rsidRPr="00320A86">
        <w:t>, autrement dit de la conform</w:t>
      </w:r>
      <w:r w:rsidRPr="00320A86">
        <w:t>a</w:t>
      </w:r>
      <w:r w:rsidRPr="00320A86">
        <w:t xml:space="preserve">tion de ce qui n’est pas encore à la règle, mais sur celui du </w:t>
      </w:r>
      <w:r w:rsidRPr="005A0785">
        <w:rPr>
          <w:i/>
        </w:rPr>
        <w:t>ce qui est</w:t>
      </w:r>
      <w:r w:rsidRPr="00320A86">
        <w:t>, à savoir de la conformation de la règle à ce qui est déjà, ce qui lui assure l’existence et la pérennité. Ce qui est déjà s’appelle alors « </w:t>
      </w:r>
      <w:r w:rsidRPr="005A0785">
        <w:rPr>
          <w:i/>
        </w:rPr>
        <w:t>droit </w:t>
      </w:r>
      <w:r w:rsidRPr="00320A86">
        <w:t>» et se trouve désormais protégé par la puissance de l’État. Cette évolution entraîne une nouveauté radicale : l’abolition de toute idée de limite, puisque nous sommes dans une logique de reconnaissance et non de norm</w:t>
      </w:r>
      <w:r w:rsidRPr="00320A86">
        <w:t>a</w:t>
      </w:r>
      <w:r w:rsidRPr="00320A86">
        <w:t>tion. L’État n’est plus un principe de sélection entre plusieurs compo</w:t>
      </w:r>
      <w:r w:rsidRPr="00320A86">
        <w:t>r</w:t>
      </w:r>
      <w:r w:rsidRPr="00320A86">
        <w:t>tements possibles, mais une chambre d’enregistrement de toutes les pratiques sociales possibles. Il n’a donc apparemment plus d’autre a</w:t>
      </w:r>
      <w:r w:rsidRPr="00320A86">
        <w:t>u</w:t>
      </w:r>
      <w:r w:rsidRPr="00320A86">
        <w:t>torité que celle de les garantir. Qui plus est, il existe un moyen très efficace d’en garantir toujours plus : la lutte contre les discrimin</w:t>
      </w:r>
      <w:r w:rsidRPr="00320A86">
        <w:t>a</w:t>
      </w:r>
      <w:r w:rsidRPr="00320A86">
        <w:t>tions. Voilà bien la plus formidable trouvaille de la logique juridique la plus perverse, puisque la discrimination se basant sur la compara</w:t>
      </w:r>
      <w:r w:rsidRPr="00320A86">
        <w:t>i</w:t>
      </w:r>
      <w:r w:rsidRPr="00320A86">
        <w:t>son entre deux situations, il y a autant de raisons de trouver des di</w:t>
      </w:r>
      <w:r w:rsidRPr="00320A86">
        <w:t>s</w:t>
      </w:r>
      <w:r w:rsidRPr="00320A86">
        <w:t>criminations qu’il y a de situations différentes. Avec cela en plus : le discriminé est une victime. La victime, en somme, d’une caserne i</w:t>
      </w:r>
      <w:r w:rsidRPr="00320A86">
        <w:t>n</w:t>
      </w:r>
      <w:r w:rsidRPr="00320A86">
        <w:t xml:space="preserve">suffisamment libertaire. </w:t>
      </w:r>
    </w:p>
    <w:p w14:paraId="75AE7EF6" w14:textId="77777777" w:rsidR="00B01930" w:rsidRPr="00320A86" w:rsidRDefault="00B01930" w:rsidP="00B01930">
      <w:pPr>
        <w:spacing w:before="120" w:after="120"/>
        <w:jc w:val="both"/>
      </w:pPr>
      <w:r w:rsidRPr="00320A86">
        <w:t>Quand l’univers de la limite tire sa révérence, on parle de la « levée des t</w:t>
      </w:r>
      <w:r w:rsidRPr="00320A86">
        <w:t>a</w:t>
      </w:r>
      <w:r w:rsidRPr="00320A86">
        <w:t>bous », on se congratule et on se souvient de l’époque sombre de l’autorité comme d’un passé fasciste. Que l’on ne se fasse aucune illusion : tous les tabous finiront bien par sauter, puisque la masse a déjà choisi son camp. Déjà, le Conseil d’Éthique allemand recommande de lever la prohibition de l’inceste e</w:t>
      </w:r>
      <w:r w:rsidRPr="00320A86">
        <w:t>n</w:t>
      </w:r>
      <w:r w:rsidRPr="00320A86">
        <w:t>tre un frère et une sœur, quand des juridictions sensibles à la lutte contre les discrimin</w:t>
      </w:r>
      <w:r w:rsidRPr="00320A86">
        <w:t>a</w:t>
      </w:r>
      <w:r w:rsidRPr="00320A86">
        <w:t xml:space="preserve">tions ont déjà reconnu les « trouples » (couples à trois) homosexuels, comme au Brésil. </w:t>
      </w:r>
    </w:p>
    <w:p w14:paraId="4249952F" w14:textId="77777777" w:rsidR="00B01930" w:rsidRPr="00320A86" w:rsidRDefault="00B01930" w:rsidP="00B01930">
      <w:pPr>
        <w:spacing w:before="120" w:after="120"/>
        <w:jc w:val="both"/>
      </w:pPr>
      <w:r w:rsidRPr="00320A86">
        <w:t xml:space="preserve">Cette déshumanisation rend certes bien des services à ceux qui en profitent pour s’acheter la possibilité de reculer encore les murs de la caserne libertaire –  c’est ce que l’on appelle l’ambition ou l’ascenseur social –, mais pour les autres, elle n’est qu’une plongée mortifère et horrifiante dans les fantasmes identitaires. Il se peut paradoxalement que l’aboutissement en soit une sorte de bonheur apaisé, comme dans la conclusion de </w:t>
      </w:r>
      <w:r w:rsidRPr="005A0785">
        <w:rPr>
          <w:i/>
        </w:rPr>
        <w:t>1984</w:t>
      </w:r>
      <w:r w:rsidRPr="00320A86">
        <w:t>. C’est aussi ce à quoi pensait To</w:t>
      </w:r>
      <w:r w:rsidRPr="00320A86">
        <w:t>c</w:t>
      </w:r>
      <w:r w:rsidRPr="00320A86">
        <w:t xml:space="preserve">queville dans </w:t>
      </w:r>
      <w:r w:rsidRPr="005A0785">
        <w:rPr>
          <w:i/>
        </w:rPr>
        <w:t>De la démocratie en Amérique</w:t>
      </w:r>
      <w:r w:rsidRPr="00320A86">
        <w:t>, fort de la connaissance des log</w:t>
      </w:r>
      <w:r w:rsidRPr="00320A86">
        <w:t>i</w:t>
      </w:r>
      <w:r w:rsidRPr="00320A86">
        <w:t xml:space="preserve">ques qui traversent les siècles : </w:t>
      </w:r>
    </w:p>
    <w:p w14:paraId="1BED029E" w14:textId="77777777" w:rsidR="00B01930" w:rsidRDefault="00B01930" w:rsidP="00B01930">
      <w:pPr>
        <w:pStyle w:val="citation"/>
      </w:pPr>
    </w:p>
    <w:p w14:paraId="6E8A395E" w14:textId="77777777" w:rsidR="00B01930" w:rsidRPr="00320A86" w:rsidRDefault="00B01930" w:rsidP="00B01930">
      <w:pPr>
        <w:pStyle w:val="citation"/>
      </w:pPr>
      <w:r w:rsidRPr="00320A86">
        <w:t>« Je veux imaginer sous quels traits nouveaux le despotisme pou</w:t>
      </w:r>
      <w:r w:rsidRPr="00320A86">
        <w:t>r</w:t>
      </w:r>
      <w:r w:rsidRPr="00320A86">
        <w:t>rait se produire dans le monde : je vois une foule innombrable d’hommes semblables et égaux, qui tournent sans repos sur eux-mêmes pour se pr</w:t>
      </w:r>
      <w:r w:rsidRPr="00320A86">
        <w:t>o</w:t>
      </w:r>
      <w:r w:rsidRPr="00320A86">
        <w:t>curer de petits et vulgaires plaisirs, dont ils re</w:t>
      </w:r>
      <w:r w:rsidRPr="00320A86">
        <w:t>m</w:t>
      </w:r>
      <w:r w:rsidRPr="00320A86">
        <w:t>plissent leur âme. Chacun d’eux, retiré à l’écart, est comme étranger à la destinée de tous les autres, ses enfants et ses amis particuliers fo</w:t>
      </w:r>
      <w:r w:rsidRPr="00320A86">
        <w:t>r</w:t>
      </w:r>
      <w:r w:rsidRPr="00320A86">
        <w:t>ment pour lui toute l’espèce humaine ; quant au demeurant de ses conc</w:t>
      </w:r>
      <w:r w:rsidRPr="00320A86">
        <w:t>i</w:t>
      </w:r>
      <w:r w:rsidRPr="00320A86">
        <w:t>toyens, il est à côté d’eux ; mais il ne les voit pas ; il les touche et ne les sent point ; il n’existe qu’en lui-même et pour lui seul, et s’il lui reste encore une f</w:t>
      </w:r>
      <w:r w:rsidRPr="00320A86">
        <w:t>a</w:t>
      </w:r>
      <w:r w:rsidRPr="00320A86">
        <w:t>mille, on peut dire du moins qu’il n’a plus de patrie.</w:t>
      </w:r>
    </w:p>
    <w:p w14:paraId="47C7C069" w14:textId="77777777" w:rsidR="00B01930" w:rsidRDefault="00B01930" w:rsidP="00B01930">
      <w:pPr>
        <w:pStyle w:val="citation"/>
      </w:pPr>
      <w:r w:rsidRPr="00320A86">
        <w:t>Au-dessus de ceux-là, s’élève un pouvoir immense et tutélaire, qui se charge seul d’assurer leurs jouissances, et de veiller sur leur sort. Il est a</w:t>
      </w:r>
      <w:r w:rsidRPr="00320A86">
        <w:t>b</w:t>
      </w:r>
      <w:r w:rsidRPr="00320A86">
        <w:t>solu, détaillé, régulier, prévoyant et doux. Il ressemblerait à la puissa</w:t>
      </w:r>
      <w:r w:rsidRPr="00320A86">
        <w:t>n</w:t>
      </w:r>
      <w:r w:rsidRPr="00320A86">
        <w:t>ce paternelle, si, comme elle, il avait pour objet de préparer les hommes à l’âge viril ; mais il ne cherche, au contraire, qu’à les fixer irrévocabl</w:t>
      </w:r>
      <w:r w:rsidRPr="00320A86">
        <w:t>e</w:t>
      </w:r>
      <w:r w:rsidRPr="00320A86">
        <w:t>ment dans l’enfance ; il aime que les citoyens se réjoui</w:t>
      </w:r>
      <w:r w:rsidRPr="00320A86">
        <w:t>s</w:t>
      </w:r>
      <w:r w:rsidRPr="00320A86">
        <w:t>sent, pourvu qu’ils ne songent qu’à se réjouir. Il travaille volo</w:t>
      </w:r>
      <w:r w:rsidRPr="00320A86">
        <w:t>n</w:t>
      </w:r>
      <w:r w:rsidRPr="00320A86">
        <w:t>tiers à leur bonheur ; mais il veut en être l’unique agent et le seul arbitre ; il pourvoit à leur sécurité, prévoit et assure leurs besoins, facilite leurs plaisirs, conduit leurs principales a</w:t>
      </w:r>
      <w:r w:rsidRPr="00320A86">
        <w:t>f</w:t>
      </w:r>
      <w:r w:rsidRPr="00320A86">
        <w:t>faires, dirige leur industrie, règle leurs successions, divise leurs héritages ; que ne peut-il leur ôter entièrement le trouble de penser et la peine de v</w:t>
      </w:r>
      <w:r w:rsidRPr="00320A86">
        <w:t>i</w:t>
      </w:r>
      <w:r w:rsidRPr="00320A86">
        <w:t>vre ? »</w:t>
      </w:r>
    </w:p>
    <w:p w14:paraId="552D6053" w14:textId="77777777" w:rsidR="00B01930" w:rsidRPr="00320A86" w:rsidRDefault="00B01930" w:rsidP="00B01930">
      <w:pPr>
        <w:pStyle w:val="citation"/>
      </w:pPr>
    </w:p>
    <w:p w14:paraId="48D5245F" w14:textId="77777777" w:rsidR="00B01930" w:rsidRDefault="00B01930" w:rsidP="00B01930">
      <w:pPr>
        <w:spacing w:before="120" w:after="120"/>
        <w:jc w:val="both"/>
      </w:pPr>
      <w:r w:rsidRPr="00320A86">
        <w:t xml:space="preserve">Certains suspecteront Tocqueville d’être un « Ancien » ; d’autres d’être un « Moderne ». </w:t>
      </w:r>
      <w:r w:rsidRPr="005A0785">
        <w:rPr>
          <w:i/>
        </w:rPr>
        <w:t>Il faut absolument que</w:t>
      </w:r>
      <w:r w:rsidRPr="00320A86">
        <w:t>, crient-ils en chœur…</w:t>
      </w:r>
    </w:p>
    <w:p w14:paraId="33E130A5" w14:textId="77777777" w:rsidR="00B01930" w:rsidRPr="00320A86" w:rsidRDefault="00B01930" w:rsidP="00B01930">
      <w:pPr>
        <w:spacing w:before="120" w:after="120"/>
        <w:jc w:val="both"/>
      </w:pPr>
    </w:p>
    <w:p w14:paraId="61140581" w14:textId="77777777" w:rsidR="00B01930" w:rsidRPr="00320A86" w:rsidRDefault="00B01930" w:rsidP="00B01930">
      <w:pPr>
        <w:spacing w:before="120" w:after="120"/>
        <w:jc w:val="both"/>
      </w:pPr>
      <w:r w:rsidRPr="005A0785">
        <w:rPr>
          <w:i/>
        </w:rPr>
        <w:t>Mœurs</w:t>
      </w:r>
      <w:r w:rsidRPr="00320A86">
        <w:t>. D’abord et avant tout, l’aspect le plus apparent de la cont</w:t>
      </w:r>
      <w:r w:rsidRPr="00320A86">
        <w:t>i</w:t>
      </w:r>
      <w:r w:rsidRPr="00320A86">
        <w:t>nuité : l’obsession égalitaire, dont le neveu de Chateaubriand avait compris où elle m</w:t>
      </w:r>
      <w:r w:rsidRPr="00320A86">
        <w:t>è</w:t>
      </w:r>
      <w:r w:rsidRPr="00320A86">
        <w:t>nerait. Autrefois, la raison était le noyau dur de l’État et l’égalité en était une modalité d’application. Désormais, l’égalité est le noyau dur de l’État et la d</w:t>
      </w:r>
      <w:r w:rsidRPr="00320A86">
        <w:t>é</w:t>
      </w:r>
      <w:r w:rsidRPr="00320A86">
        <w:t xml:space="preserve">raison en est l’application même. </w:t>
      </w:r>
    </w:p>
    <w:p w14:paraId="5823FE5A" w14:textId="77777777" w:rsidR="00B01930" w:rsidRPr="00320A86" w:rsidRDefault="00B01930" w:rsidP="00B01930">
      <w:pPr>
        <w:spacing w:before="120" w:after="120"/>
        <w:jc w:val="both"/>
      </w:pPr>
      <w:r w:rsidRPr="00320A86">
        <w:t>Le déploiement de l’obsession égalitaire dans le temps n’a rien à envier au discours communiste avant la chute de l’U</w:t>
      </w:r>
      <w:r w:rsidRPr="00320A86">
        <w:rPr>
          <w:smallCaps/>
        </w:rPr>
        <w:t>rss</w:t>
      </w:r>
      <w:r w:rsidRPr="00320A86">
        <w:t>, lequel avait d’abord mis en avant la notion de communisme, avant de parler de communisme réel et enfin de communisme avancé. La caserne libe</w:t>
      </w:r>
      <w:r w:rsidRPr="00320A86">
        <w:t>r</w:t>
      </w:r>
      <w:r w:rsidRPr="00320A86">
        <w:t>taire prend l’égalité comme dogme, gara</w:t>
      </w:r>
      <w:r w:rsidRPr="00320A86">
        <w:t>n</w:t>
      </w:r>
      <w:r w:rsidRPr="00320A86">
        <w:t>tit l’égalité de droit, passe alors à l’égalité réelle (</w:t>
      </w:r>
      <w:r w:rsidRPr="005A0785">
        <w:rPr>
          <w:i/>
        </w:rPr>
        <w:t>du nom authentiquement stalinien d’un no</w:t>
      </w:r>
      <w:r w:rsidRPr="005A0785">
        <w:rPr>
          <w:i/>
        </w:rPr>
        <w:t>u</w:t>
      </w:r>
      <w:r w:rsidRPr="005A0785">
        <w:rPr>
          <w:i/>
        </w:rPr>
        <w:t>veau secrétariat d’État</w:t>
      </w:r>
      <w:r w:rsidRPr="00320A86">
        <w:t>), et évoque déjà la société des semblables, fa</w:t>
      </w:r>
      <w:r w:rsidRPr="00320A86">
        <w:t>u</w:t>
      </w:r>
      <w:r w:rsidRPr="00320A86">
        <w:t>te de pouvoir parler de celle des identiques puisque la technologie n’en pr</w:t>
      </w:r>
      <w:r w:rsidRPr="00320A86">
        <w:t>o</w:t>
      </w:r>
      <w:r w:rsidRPr="00320A86">
        <w:t xml:space="preserve">duit pas encore. </w:t>
      </w:r>
    </w:p>
    <w:p w14:paraId="77E1B063" w14:textId="77777777" w:rsidR="00B01930" w:rsidRPr="00320A86" w:rsidRDefault="00B01930" w:rsidP="00B01930">
      <w:pPr>
        <w:spacing w:before="120" w:after="120"/>
        <w:jc w:val="both"/>
      </w:pPr>
      <w:r w:rsidRPr="00320A86">
        <w:t>Un tel déploiement ne peut produire que du ressentiment chez ceux dont la croyance consiste à ne pas accorder la même valeur à toutes les croyances et qui, en conséquence, méprisent ce que nous appelons benoîtement le « </w:t>
      </w:r>
      <w:r w:rsidRPr="005A0785">
        <w:rPr>
          <w:i/>
        </w:rPr>
        <w:t>métissage </w:t>
      </w:r>
      <w:r w:rsidRPr="00320A86">
        <w:t>». « </w:t>
      </w:r>
      <w:r w:rsidRPr="005A0785">
        <w:rPr>
          <w:i/>
        </w:rPr>
        <w:t>À mon avis, l’Islam reviendra, le co</w:t>
      </w:r>
      <w:r w:rsidRPr="005A0785">
        <w:rPr>
          <w:i/>
        </w:rPr>
        <w:t>u</w:t>
      </w:r>
      <w:r w:rsidRPr="005A0785">
        <w:rPr>
          <w:i/>
        </w:rPr>
        <w:t>teau à la main </w:t>
      </w:r>
      <w:r w:rsidRPr="00320A86">
        <w:t>», estimait Pierre Lege</w:t>
      </w:r>
      <w:r w:rsidRPr="00320A86">
        <w:t>n</w:t>
      </w:r>
      <w:r w:rsidRPr="00320A86">
        <w:t>dre dans un entretien accordé au journal Le Monde du 22 octobre 2001. Nous y sommes. La premi</w:t>
      </w:r>
      <w:r w:rsidRPr="00320A86">
        <w:t>è</w:t>
      </w:r>
      <w:r w:rsidRPr="00320A86">
        <w:t>re réaction de la caserne libertaire est typique : en faisant une docte distinction entre l’Islam de paix et l’Islam de guerre, la nouvelle c</w:t>
      </w:r>
      <w:r w:rsidRPr="00320A86">
        <w:t>o</w:t>
      </w:r>
      <w:r w:rsidRPr="00320A86">
        <w:t>horte de ses docteurs en théologie musulmane traduit son impossibil</w:t>
      </w:r>
      <w:r w:rsidRPr="00320A86">
        <w:t>i</w:t>
      </w:r>
      <w:r w:rsidRPr="00320A86">
        <w:t>té de penser au-delà d’elle-même. La projection de son règlement i</w:t>
      </w:r>
      <w:r w:rsidRPr="00320A86">
        <w:t>n</w:t>
      </w:r>
      <w:r w:rsidRPr="00320A86">
        <w:t>térieur sur ce qu’elle ne veut pas comprendre ne réside pas dans sa faiblesse intellectuelle, mais parce que si elle montrait la moindre compréhension elle se renierait elle-même. Ainsi naît la qualification de terroriste. Ceux qui, au nom d’un discours sécuritaire, utilisent a</w:t>
      </w:r>
      <w:r w:rsidRPr="00320A86">
        <w:t>u</w:t>
      </w:r>
      <w:r w:rsidRPr="00320A86">
        <w:t xml:space="preserve">jourd’hui ce mot en reviennent à la même logique que ceux qui, hier encore, justifiaient par principe la violence d’extrême gauche comme Jean-Paul Sartre ou les Khmers rouges, comme Alain Badiou. S’il y a un mot terroriste, c’est bien le mot terrorisme, puisqu’il justifie tout et n’explique rien de la culture de mort.   </w:t>
      </w:r>
    </w:p>
    <w:p w14:paraId="2838C32C" w14:textId="77777777" w:rsidR="00B01930" w:rsidRPr="00320A86" w:rsidRDefault="00B01930" w:rsidP="00B01930">
      <w:pPr>
        <w:spacing w:before="120" w:after="120"/>
        <w:jc w:val="both"/>
      </w:pPr>
      <w:r w:rsidRPr="00320A86">
        <w:t xml:space="preserve"> Mais en cela, les islamistes rendent sans le savoir un fier service à la caserne libertaire, puisqu’étant une expression paroxysmique et pour le moins peu sy</w:t>
      </w:r>
      <w:r w:rsidRPr="00320A86">
        <w:t>m</w:t>
      </w:r>
      <w:r w:rsidRPr="00320A86">
        <w:t>pathique de la logique de la non égalité, ils lui permettent à l’avance de déno</w:t>
      </w:r>
      <w:r w:rsidRPr="00320A86">
        <w:t>n</w:t>
      </w:r>
      <w:r w:rsidRPr="00320A86">
        <w:t xml:space="preserve">cer tous les adversaires de </w:t>
      </w:r>
      <w:r w:rsidRPr="005A0785">
        <w:rPr>
          <w:i/>
        </w:rPr>
        <w:t>l’obsession égalitaire</w:t>
      </w:r>
      <w:r w:rsidRPr="00320A86">
        <w:t xml:space="preserve">, surtout s’ils ne sont pas des tueurs. Comme Jean-Marie Le Pen en 2002, l’islamiste d’aujourd’hui est l’ennemi providentiel : il est </w:t>
      </w:r>
      <w:r w:rsidRPr="005A0785">
        <w:rPr>
          <w:i/>
        </w:rPr>
        <w:t>notre</w:t>
      </w:r>
      <w:r w:rsidRPr="00320A86">
        <w:t xml:space="preserve"> mal qui justifie </w:t>
      </w:r>
      <w:r w:rsidRPr="005A0785">
        <w:rPr>
          <w:i/>
        </w:rPr>
        <w:t>notre</w:t>
      </w:r>
      <w:r w:rsidRPr="00320A86">
        <w:t xml:space="preserve"> bien. Il est notre plein qui justifie </w:t>
      </w:r>
      <w:r w:rsidRPr="005A0785">
        <w:rPr>
          <w:i/>
        </w:rPr>
        <w:t>notre</w:t>
      </w:r>
      <w:r w:rsidRPr="00320A86">
        <w:t xml:space="preserve"> vide. Plus notre mal croit nous affaiblir, plus il nous renforce dans la logique morbide qui constitue notre bien. Plus il se croit notre sup</w:t>
      </w:r>
      <w:r w:rsidRPr="00320A86">
        <w:t>é</w:t>
      </w:r>
      <w:r w:rsidRPr="00320A86">
        <w:t>rieur, plus il nourrit notre supériorité égalitaire qui le détruit symbol</w:t>
      </w:r>
      <w:r w:rsidRPr="00320A86">
        <w:t>i</w:t>
      </w:r>
      <w:r w:rsidRPr="00320A86">
        <w:t>quement avant qu’il ne le soit par les bombes du bien. Nul autre que Philippe Muray n’a mieux compris et analysé ce phénomène. Dans Chers djihadistes…, il écrit :</w:t>
      </w:r>
    </w:p>
    <w:p w14:paraId="24A4368B" w14:textId="77777777" w:rsidR="00B01930" w:rsidRDefault="00B01930" w:rsidP="00B01930">
      <w:pPr>
        <w:pStyle w:val="citation"/>
      </w:pPr>
    </w:p>
    <w:p w14:paraId="4ACD37E1" w14:textId="77777777" w:rsidR="00B01930" w:rsidRDefault="00B01930" w:rsidP="00B01930">
      <w:pPr>
        <w:pStyle w:val="citation"/>
      </w:pPr>
      <w:r w:rsidRPr="00320A86">
        <w:t>« Nous nous battrons. Nous nous battrons pour tout, pour les mots qui n’ont plus de sens et pour la vie qui va avec. […] Nous nous battrons. Et nous vai</w:t>
      </w:r>
      <w:r w:rsidRPr="00320A86">
        <w:t>n</w:t>
      </w:r>
      <w:r w:rsidRPr="00320A86">
        <w:t>crons. Bien évidemment. Parce nous sommes les plus morts ».</w:t>
      </w:r>
    </w:p>
    <w:p w14:paraId="3DE59438" w14:textId="77777777" w:rsidR="00B01930" w:rsidRPr="00320A86" w:rsidRDefault="00B01930" w:rsidP="00B01930">
      <w:pPr>
        <w:pStyle w:val="citation"/>
      </w:pPr>
    </w:p>
    <w:p w14:paraId="2B740E3F" w14:textId="77777777" w:rsidR="00B01930" w:rsidRPr="00320A86" w:rsidRDefault="00B01930" w:rsidP="00B01930">
      <w:pPr>
        <w:spacing w:before="120" w:after="120"/>
        <w:jc w:val="both"/>
      </w:pPr>
      <w:r w:rsidRPr="00320A86">
        <w:t>Un autre degré de lecture de l’extraordinaire violence générée par l’obsession égalitaire reste bien entendu la théorie girardienne du désir mimétique à laquelle nous avons fait allusion. Il y a de toute évidence dans ce point de vue d’irremplaçables clés de compréhension de ph</w:t>
      </w:r>
      <w:r w:rsidRPr="00320A86">
        <w:t>é</w:t>
      </w:r>
      <w:r w:rsidRPr="00320A86">
        <w:t>nomènes concrets et modernes comme, par exemple, la lutte effrénée et apparemment ridicule pour des petits strapontins de pouvoir. Appl</w:t>
      </w:r>
      <w:r w:rsidRPr="00320A86">
        <w:t>i</w:t>
      </w:r>
      <w:r w:rsidRPr="00320A86">
        <w:t>qué au domaine des relations internationales, il donnerait à voir une vaste surchauffe mimétique planétaire créée par le désir de possession des mêmes objets de consommation. Si le déchaînement de la viole</w:t>
      </w:r>
      <w:r w:rsidRPr="00320A86">
        <w:t>n</w:t>
      </w:r>
      <w:r w:rsidRPr="00320A86">
        <w:t>ce était alors proportionnel à celui d’une crise mimétique « locale », on peut très bien imaginer qu’il s’agisse d’une sorte d’apocalypse. Mais le modèle gira</w:t>
      </w:r>
      <w:r w:rsidRPr="00320A86">
        <w:t>r</w:t>
      </w:r>
      <w:r w:rsidRPr="00320A86">
        <w:t xml:space="preserve">dien suppose toujours deux choses : une société et un instinct de préservation de cette société. </w:t>
      </w:r>
    </w:p>
    <w:p w14:paraId="1E5361ED" w14:textId="77777777" w:rsidR="00B01930" w:rsidRPr="00320A86" w:rsidRDefault="00B01930" w:rsidP="00B01930">
      <w:pPr>
        <w:spacing w:before="120" w:after="120"/>
        <w:jc w:val="both"/>
      </w:pPr>
      <w:r w:rsidRPr="00320A86">
        <w:t xml:space="preserve">Or, il n’est pas certain que le but ultime de la caserne libertaire soit </w:t>
      </w:r>
      <w:r w:rsidRPr="005A0785">
        <w:rPr>
          <w:i/>
        </w:rPr>
        <w:t>quelque chose</w:t>
      </w:r>
      <w:r w:rsidRPr="00320A86">
        <w:t xml:space="preserve"> qui ressemble encore à une société, puisqu’elle en d</w:t>
      </w:r>
      <w:r w:rsidRPr="00320A86">
        <w:t>é</w:t>
      </w:r>
      <w:r w:rsidRPr="00320A86">
        <w:t>truit une par une toutes les conditions anthropologiques : les struct</w:t>
      </w:r>
      <w:r w:rsidRPr="00320A86">
        <w:t>u</w:t>
      </w:r>
      <w:r w:rsidRPr="00320A86">
        <w:t>res, les espaces et les limites. On peut alors penser que le désir mim</w:t>
      </w:r>
      <w:r w:rsidRPr="00320A86">
        <w:t>é</w:t>
      </w:r>
      <w:r w:rsidRPr="00320A86">
        <w:t xml:space="preserve">tique serait alors impensable, puisque chacun se verrait empereur en son propre royaume identitaire et que tous seraient – enfin – des égaux. </w:t>
      </w:r>
    </w:p>
    <w:p w14:paraId="7FE08F2B" w14:textId="77777777" w:rsidR="00B01930" w:rsidRPr="00320A86" w:rsidRDefault="00B01930" w:rsidP="00B01930">
      <w:pPr>
        <w:spacing w:before="120" w:after="120"/>
        <w:jc w:val="both"/>
      </w:pPr>
      <w:r w:rsidRPr="00320A86">
        <w:t>Mais en plus de l’obsession égalitaire, la caserne libertaire affe</w:t>
      </w:r>
      <w:r w:rsidRPr="00320A86">
        <w:t>c</w:t>
      </w:r>
      <w:r w:rsidRPr="00320A86">
        <w:t xml:space="preserve">tionne tout particulièrement le simulacre. Elle ne fait pas semblant : elle est ce semblant. Une attitude le révèle : la certitude de la vérité ; une autre la trahit : l’impossibilité de comprendre la fiction. </w:t>
      </w:r>
    </w:p>
    <w:p w14:paraId="64E16F29" w14:textId="77777777" w:rsidR="00B01930" w:rsidRPr="00320A86" w:rsidRDefault="00B01930" w:rsidP="00B01930">
      <w:pPr>
        <w:spacing w:before="120" w:after="120"/>
        <w:jc w:val="both"/>
      </w:pPr>
      <w:r w:rsidRPr="00320A86">
        <w:t>La caserne libertaire ne repose sur rien d’autre qu’une structure de certitude. Il ne s’agit pas d’un dogme, puisqu’on devrait alors pouvoir penser une distin</w:t>
      </w:r>
      <w:r w:rsidRPr="00320A86">
        <w:t>c</w:t>
      </w:r>
      <w:r w:rsidRPr="00320A86">
        <w:t>tion entre son contenu et sa pratique. Il s’agit encore moins d’une croyance, puisque le terme renvoie à une certaine humil</w:t>
      </w:r>
      <w:r w:rsidRPr="00320A86">
        <w:t>i</w:t>
      </w:r>
      <w:r w:rsidRPr="00320A86">
        <w:t>té. Il s’agit de convictions : autre mot pour dire certitude avec l’autosatisfaction du travail de la raison accompli en plus. L’apprentissage ne peut avoir lieu que dans la cadre de la certitude ; il est lui-même un acte de certitude. Il n’est donc pas possible d’enseigner quelque chose qui dépasse le cadre de la certitude et si l’on faisait, par exemple pour une religion, on le ferait motif pris du « fait religieux », c’est-à-dire du catéchisme politique. Seul le polit</w:t>
      </w:r>
      <w:r w:rsidRPr="00320A86">
        <w:t>i</w:t>
      </w:r>
      <w:r w:rsidRPr="00320A86">
        <w:t>que considère son catéchisme comme une certitude. Le problème est que même « le croyant » a pris cette mauvaise habitude, puisque sa croyance est devenue peu réceptive au mystère.</w:t>
      </w:r>
    </w:p>
    <w:p w14:paraId="3772728E" w14:textId="77777777" w:rsidR="00B01930" w:rsidRPr="00320A86" w:rsidRDefault="00B01930" w:rsidP="00B01930">
      <w:pPr>
        <w:spacing w:before="120" w:after="120"/>
        <w:jc w:val="both"/>
      </w:pPr>
      <w:r w:rsidRPr="00320A86">
        <w:t>Au total, on connaît déjà ce qui est attendu de la connaissance et la manière de la comprendre. La connaissance elle-même n’est, pour ainsi dire, qu’une question subsidiaire sur laquelle les esprits formés à la caserne libertaire auront tout loisir  « </w:t>
      </w:r>
      <w:r w:rsidRPr="005A0785">
        <w:rPr>
          <w:i/>
        </w:rPr>
        <w:t>d’exprimer des opinions </w:t>
      </w:r>
      <w:r w:rsidRPr="00320A86">
        <w:t xml:space="preserve">», c’est-à-dire d’ânonner la structure de certitude. Et quand ils le feront, ils ne manqueront pas de dire </w:t>
      </w:r>
      <w:r w:rsidRPr="005A0785">
        <w:rPr>
          <w:i/>
        </w:rPr>
        <w:t>et cetera</w:t>
      </w:r>
      <w:r w:rsidRPr="00320A86">
        <w:t xml:space="preserve"> à tout bout de champ, par déf</w:t>
      </w:r>
      <w:r w:rsidRPr="00320A86">
        <w:t>é</w:t>
      </w:r>
      <w:r w:rsidRPr="00320A86">
        <w:t>rence et soumission envers ce qui n’a même plus besoin d’être expl</w:t>
      </w:r>
      <w:r w:rsidRPr="00320A86">
        <w:t>i</w:t>
      </w:r>
      <w:r w:rsidRPr="00320A86">
        <w:t>qué. Comme toutes les connaissances viennent du même contenant, l’enseignement et l’éducation se résument à quelques vagues indic</w:t>
      </w:r>
      <w:r w:rsidRPr="00320A86">
        <w:t>a</w:t>
      </w:r>
      <w:r w:rsidRPr="00320A86">
        <w:t>tions sur les « contenus », ceci sur le mode de l’apprentissage imm</w:t>
      </w:r>
      <w:r w:rsidRPr="00320A86">
        <w:t>é</w:t>
      </w:r>
      <w:r w:rsidRPr="00320A86">
        <w:t>diat puisqu’il n’y a plus rien à découvrir. La structure de la certitude impose l’intelligence à celui qui s’y soumet. Trois chiffres et deux explications, et voilà le béotien promu au rang de spécialiste de la structure qu’il sert pourvu qu’il en adopte la certitude. Et c’est à tr</w:t>
      </w:r>
      <w:r w:rsidRPr="00320A86">
        <w:t>a</w:t>
      </w:r>
      <w:r w:rsidRPr="00320A86">
        <w:t>vers ce prisme que s’expriment désormais les logiques multisécula</w:t>
      </w:r>
      <w:r w:rsidRPr="00320A86">
        <w:t>i</w:t>
      </w:r>
      <w:r w:rsidRPr="00320A86">
        <w:t>res.</w:t>
      </w:r>
    </w:p>
    <w:p w14:paraId="3CA17253" w14:textId="77777777" w:rsidR="00B01930" w:rsidRPr="00320A86" w:rsidRDefault="00B01930" w:rsidP="00B01930">
      <w:pPr>
        <w:spacing w:before="120" w:after="120"/>
        <w:jc w:val="both"/>
      </w:pPr>
      <w:r w:rsidRPr="00320A86">
        <w:t xml:space="preserve">Dans </w:t>
      </w:r>
      <w:r w:rsidRPr="005A0785">
        <w:rPr>
          <w:i/>
        </w:rPr>
        <w:t>Le Réel et son double</w:t>
      </w:r>
      <w:r w:rsidRPr="00320A86">
        <w:t>, Clément Rosset écrivait : « </w:t>
      </w:r>
      <w:r w:rsidRPr="005A0785">
        <w:rPr>
          <w:i/>
        </w:rPr>
        <w:t>La fausse sécurité est plus que l’alliée de l’illusion, elle en constitue la substa</w:t>
      </w:r>
      <w:r w:rsidRPr="005A0785">
        <w:rPr>
          <w:i/>
        </w:rPr>
        <w:t>n</w:t>
      </w:r>
      <w:r w:rsidRPr="005A0785">
        <w:rPr>
          <w:i/>
        </w:rPr>
        <w:t>ce même </w:t>
      </w:r>
      <w:r w:rsidRPr="00320A86">
        <w:t>». Que dire alors de l’effrayant monologisme qui renvoie pe</w:t>
      </w:r>
      <w:r w:rsidRPr="00320A86">
        <w:t>r</w:t>
      </w:r>
      <w:r w:rsidRPr="00320A86">
        <w:t>pétuellement à la posture de certitude, si ce n’est qu’il est l’illusion même plus la certitude de ne pas être dans l’illusion, c’est-à-dire le simulacre ? Dans Orthodoxie, le philosophe chr</w:t>
      </w:r>
      <w:r w:rsidRPr="00320A86">
        <w:t>é</w:t>
      </w:r>
      <w:r w:rsidRPr="00320A86">
        <w:t>tien Gilbert Keith Chesterton en livrait l’interprétation suivante :</w:t>
      </w:r>
    </w:p>
    <w:p w14:paraId="18ABB199" w14:textId="77777777" w:rsidR="00B01930" w:rsidRDefault="00B01930" w:rsidP="00B01930">
      <w:pPr>
        <w:pStyle w:val="citation"/>
      </w:pPr>
    </w:p>
    <w:p w14:paraId="0DC8ED16" w14:textId="77777777" w:rsidR="00B01930" w:rsidRDefault="00B01930" w:rsidP="00B01930">
      <w:pPr>
        <w:pStyle w:val="citation"/>
      </w:pPr>
      <w:r w:rsidRPr="00320A86">
        <w:t>« Si vous discutez avec un fou, il est probable que vous aurez le de</w:t>
      </w:r>
      <w:r w:rsidRPr="00320A86">
        <w:t>s</w:t>
      </w:r>
      <w:r w:rsidRPr="00320A86">
        <w:t>sous ; parce que, de multiples façons, son esprit se meut d’autant plus vite qu’il n’est pas retardé par les choses qui entrent en ligne de compte dans un bon jugement. […] Car le fou n’est pas celui qui a perdu la raison : le fou, c’est celui qui a tout perdu, sauf sa ra</w:t>
      </w:r>
      <w:r w:rsidRPr="00320A86">
        <w:t>i</w:t>
      </w:r>
      <w:r w:rsidRPr="00320A86">
        <w:t>son ».</w:t>
      </w:r>
    </w:p>
    <w:p w14:paraId="703C28CD" w14:textId="77777777" w:rsidR="00B01930" w:rsidRPr="00320A86" w:rsidRDefault="00B01930" w:rsidP="00B01930">
      <w:pPr>
        <w:pStyle w:val="citation"/>
      </w:pPr>
    </w:p>
    <w:p w14:paraId="4EF62912" w14:textId="77777777" w:rsidR="00B01930" w:rsidRPr="00320A86" w:rsidRDefault="00B01930" w:rsidP="00B01930">
      <w:pPr>
        <w:spacing w:before="120" w:after="120"/>
        <w:jc w:val="both"/>
      </w:pPr>
      <w:r w:rsidRPr="00320A86">
        <w:t>Les figures du simulacre sont trop nombreuses pour être toutes c</w:t>
      </w:r>
      <w:r w:rsidRPr="00320A86">
        <w:t>i</w:t>
      </w:r>
      <w:r w:rsidRPr="00320A86">
        <w:t xml:space="preserve">tées. On lira avec délectation l’œuvre de Philippe Muray qui en dresse un véritable panorama : le simulacre de la joie par le </w:t>
      </w:r>
      <w:r w:rsidRPr="005A0785">
        <w:rPr>
          <w:i/>
        </w:rPr>
        <w:t>ludique</w:t>
      </w:r>
      <w:r w:rsidRPr="00320A86">
        <w:t xml:space="preserve"> – la c</w:t>
      </w:r>
      <w:r w:rsidRPr="00320A86">
        <w:t>é</w:t>
      </w:r>
      <w:r w:rsidRPr="00320A86">
        <w:t xml:space="preserve">lébration nihiliste permanente de toute cause de joie et donc de peine ; le simulacre de la mémoire par la </w:t>
      </w:r>
      <w:r w:rsidRPr="005A0785">
        <w:rPr>
          <w:i/>
        </w:rPr>
        <w:t>commémoration</w:t>
      </w:r>
      <w:r w:rsidRPr="00320A86">
        <w:t xml:space="preserve"> – la célébration n</w:t>
      </w:r>
      <w:r w:rsidRPr="00320A86">
        <w:t>i</w:t>
      </w:r>
      <w:r w:rsidRPr="00320A86">
        <w:t>hiliste de la supériorité de nos valeurs sur l’histoire – ; le simulacre de la culture par le triomphe de l’inculture – la célébr</w:t>
      </w:r>
      <w:r w:rsidRPr="00320A86">
        <w:t>a</w:t>
      </w:r>
      <w:r w:rsidRPr="00320A86">
        <w:t>tion nihiliste de l’absence de dogmes – ; enfin, le simulacre de la résistance par « </w:t>
      </w:r>
      <w:r w:rsidRPr="005A0785">
        <w:rPr>
          <w:i/>
        </w:rPr>
        <w:t>les mutins de panurge </w:t>
      </w:r>
      <w:r w:rsidRPr="00320A86">
        <w:t>».</w:t>
      </w:r>
    </w:p>
    <w:p w14:paraId="54928742" w14:textId="77777777" w:rsidR="00B01930" w:rsidRPr="00320A86" w:rsidRDefault="00B01930" w:rsidP="00B01930">
      <w:pPr>
        <w:spacing w:before="120" w:after="120"/>
        <w:jc w:val="both"/>
      </w:pPr>
      <w:r w:rsidRPr="00320A86">
        <w:t>Le fou de la certitude ne pouvant voir dans les choses que ce qu’il y reche</w:t>
      </w:r>
      <w:r w:rsidRPr="00320A86">
        <w:t>r</w:t>
      </w:r>
      <w:r w:rsidRPr="00320A86">
        <w:t>che de toute façon, il n’y trouve toujours que de la certitude et en ignore en conséquence le caractère construit, c’est-à-dire l’incertitude productrice d’effets. Il ignore donc tout de la fiction et la prend comme une vérité plus vraie que la réalité. L’univers juridique, tout entier fondé sur des fictions que la minutie et la rectitude d’un Pierre Legendre permettent de comprendre comme telles, est cruell</w:t>
      </w:r>
      <w:r w:rsidRPr="00320A86">
        <w:t>e</w:t>
      </w:r>
      <w:r w:rsidRPr="00320A86">
        <w:t>ment affecté par une telle folie de la certitude. On lit : « </w:t>
      </w:r>
      <w:r w:rsidRPr="005A0785">
        <w:rPr>
          <w:i/>
        </w:rPr>
        <w:t>souveraineté du peuple </w:t>
      </w:r>
      <w:r w:rsidRPr="00320A86">
        <w:t>», on en ignore la construction et la signification, et l’on déploie immédiatement les fantasmes de la caserne libertaire sous pr</w:t>
      </w:r>
      <w:r w:rsidRPr="00320A86">
        <w:t>é</w:t>
      </w:r>
      <w:r w:rsidRPr="00320A86">
        <w:t>texte de dire le vrai droit. On lit « </w:t>
      </w:r>
      <w:r w:rsidRPr="005A0785">
        <w:rPr>
          <w:i/>
        </w:rPr>
        <w:t>représentation </w:t>
      </w:r>
      <w:r w:rsidRPr="00320A86">
        <w:t>», on en ignore tout autant la construction et la signification, et l’on déploie immédiat</w:t>
      </w:r>
      <w:r w:rsidRPr="00320A86">
        <w:t>e</w:t>
      </w:r>
      <w:r w:rsidRPr="00320A86">
        <w:t>ment les mêmes fantasmes en distinguant entre la démocratie directe et la démocratie représentative, la première étant la seule et la vraie. Les attitudes qui en découlent font partie du même simulacre, puisque la caserne libertaire préfère de toute façon que la vérité univoque qu’elle a instaurée détermine le sens de la fiction plutôt que les fi</w:t>
      </w:r>
      <w:r w:rsidRPr="00320A86">
        <w:t>c</w:t>
      </w:r>
      <w:r w:rsidRPr="00320A86">
        <w:t>tions ne produisent leurs effets dans la réalité.</w:t>
      </w:r>
    </w:p>
    <w:p w14:paraId="145BC226" w14:textId="77777777" w:rsidR="00B01930" w:rsidRPr="00320A86" w:rsidRDefault="00B01930" w:rsidP="00B01930">
      <w:pPr>
        <w:spacing w:before="120" w:after="120"/>
        <w:jc w:val="both"/>
      </w:pPr>
    </w:p>
    <w:p w14:paraId="1F33F71C" w14:textId="77777777" w:rsidR="00B01930" w:rsidRPr="00320A86" w:rsidRDefault="00B01930" w:rsidP="00B01930">
      <w:pPr>
        <w:pStyle w:val="planche"/>
        <w:rPr>
          <w:szCs w:val="28"/>
        </w:rPr>
      </w:pPr>
      <w:bookmarkStart w:id="224" w:name="Analyser_idees_pol_pt_3_texte_11_III"/>
      <w:r w:rsidRPr="00320A86">
        <w:rPr>
          <w:szCs w:val="28"/>
        </w:rPr>
        <w:t xml:space="preserve">III. Corps politique </w:t>
      </w:r>
      <w:r w:rsidRPr="00320A86">
        <w:t>ou comment le corps physique</w:t>
      </w:r>
      <w:r>
        <w:br/>
      </w:r>
      <w:r w:rsidRPr="00320A86">
        <w:t>est devenu un organe de l’État</w:t>
      </w:r>
    </w:p>
    <w:bookmarkEnd w:id="224"/>
    <w:p w14:paraId="279BB5B4" w14:textId="77777777" w:rsidR="00B01930" w:rsidRDefault="00B01930" w:rsidP="00B01930">
      <w:pPr>
        <w:spacing w:before="120" w:after="120"/>
        <w:jc w:val="both"/>
      </w:pPr>
    </w:p>
    <w:p w14:paraId="1B968DA3"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79C4787C" w14:textId="77777777" w:rsidR="00B01930" w:rsidRPr="00320A86" w:rsidRDefault="00B01930" w:rsidP="00B01930">
      <w:pPr>
        <w:spacing w:before="120" w:after="120"/>
        <w:jc w:val="both"/>
      </w:pPr>
      <w:r w:rsidRPr="00320A86">
        <w:t>Les totalitarismes du XX</w:t>
      </w:r>
      <w:r w:rsidRPr="00320A86">
        <w:rPr>
          <w:vertAlign w:val="superscript"/>
        </w:rPr>
        <w:t>e</w:t>
      </w:r>
      <w:r w:rsidRPr="00320A86">
        <w:t xml:space="preserve"> siècle n’ont pas échoué parce qu’il y avait des âmes, mais parce qu’il y avait des corps. Le rêve était de le domestiquer tout entier, d’en faire un organe de l’État pour qu’il r</w:t>
      </w:r>
      <w:r w:rsidRPr="00320A86">
        <w:t>e</w:t>
      </w:r>
      <w:r w:rsidRPr="00320A86">
        <w:t>trouve sa pureté originelle ou se libère de ses chaînes ancestrales. Beaucoup d’âmes se sont laissé domestiquer parce qu’elles n’étaient que des corps transparents avides de recevoir la lumière du dehors. Celles qui ont résisté étaient au contraire des corps obscurs et inso</w:t>
      </w:r>
      <w:r w:rsidRPr="00320A86">
        <w:t>n</w:t>
      </w:r>
      <w:r w:rsidRPr="00320A86">
        <w:t xml:space="preserve">dables, ouverts à eux-mêmes, c’est-à-dire au mystère de l’être. </w:t>
      </w:r>
    </w:p>
    <w:p w14:paraId="014F17D3" w14:textId="77777777" w:rsidR="00B01930" w:rsidRDefault="00B01930" w:rsidP="00B01930">
      <w:pPr>
        <w:spacing w:before="120" w:after="120"/>
        <w:jc w:val="both"/>
      </w:pPr>
      <w:r w:rsidRPr="00320A86">
        <w:t>Nul ne pénétrera jamais ce mystère, mais la volonté de l’oublier en le vidant de sa profondeur ou en le remplissant de vacuité répond à ce vieux rêve de su</w:t>
      </w:r>
      <w:r w:rsidRPr="00320A86">
        <w:t>p</w:t>
      </w:r>
      <w:r w:rsidRPr="00320A86">
        <w:t>primer l’obscur et l’insondable. La civilisation de la transparence reprend ce vieux rêve à son compte, mais cette fois d’une autre manière : par la désensibilisation, la planification et la chosific</w:t>
      </w:r>
      <w:r w:rsidRPr="00320A86">
        <w:t>a</w:t>
      </w:r>
      <w:r>
        <w:t xml:space="preserve">tion des corps. </w:t>
      </w:r>
    </w:p>
    <w:p w14:paraId="5251A6FC" w14:textId="77777777" w:rsidR="00B01930" w:rsidRPr="00320A86" w:rsidRDefault="00B01930" w:rsidP="00B01930">
      <w:pPr>
        <w:spacing w:before="120" w:after="120"/>
        <w:jc w:val="both"/>
      </w:pPr>
    </w:p>
    <w:p w14:paraId="217FE745" w14:textId="77777777" w:rsidR="00B01930" w:rsidRPr="00320A86" w:rsidRDefault="00B01930" w:rsidP="00B01930">
      <w:pPr>
        <w:spacing w:before="120" w:after="120"/>
        <w:jc w:val="both"/>
      </w:pPr>
      <w:r w:rsidRPr="005A0785">
        <w:rPr>
          <w:i/>
        </w:rPr>
        <w:t>Désensibilisation</w:t>
      </w:r>
      <w:r w:rsidRPr="00320A86">
        <w:t xml:space="preserve">. La culture est sensible ; le sensible est culture. En cas de doute, relisons </w:t>
      </w:r>
      <w:r w:rsidRPr="005A0785">
        <w:rPr>
          <w:i/>
        </w:rPr>
        <w:t>les Iks</w:t>
      </w:r>
      <w:r w:rsidRPr="00320A86">
        <w:t xml:space="preserve"> de Colin Turnbull, pour avoir une parfaite illustration que même la perception du sentiment de douleur est culturelle. Que signifie donc le mot vie lorsque c’est </w:t>
      </w:r>
      <w:r w:rsidRPr="005A0785">
        <w:rPr>
          <w:i/>
        </w:rPr>
        <w:t>valeurs</w:t>
      </w:r>
      <w:r w:rsidRPr="00320A86">
        <w:t xml:space="preserve"> qui le prononce ?</w:t>
      </w:r>
    </w:p>
    <w:p w14:paraId="42D7F937" w14:textId="77777777" w:rsidR="00B01930" w:rsidRPr="00320A86" w:rsidRDefault="00B01930" w:rsidP="00B01930">
      <w:pPr>
        <w:spacing w:before="120" w:after="120"/>
        <w:jc w:val="both"/>
      </w:pPr>
      <w:r w:rsidRPr="00320A86">
        <w:t>L’évitement de la mort, bien entendu, et son corollaire paradoxal : le culte de la vie. Comme valeurs appelle vie, ce qui est dénué de tout mystère, il ne peut pas penser la vie en même temps que la mort, et cette dernière ne tarde pas à lui apparaître comme la chose en soi la plus scandaleuse. Il peut être digne devant la mort, mais de toute f</w:t>
      </w:r>
      <w:r w:rsidRPr="00320A86">
        <w:t>a</w:t>
      </w:r>
      <w:r w:rsidRPr="00320A86">
        <w:t>çon s’indigne.</w:t>
      </w:r>
    </w:p>
    <w:p w14:paraId="728080D4" w14:textId="77777777" w:rsidR="00B01930" w:rsidRPr="00320A86" w:rsidRDefault="00B01930" w:rsidP="00B01930">
      <w:pPr>
        <w:spacing w:before="120" w:after="120"/>
        <w:jc w:val="both"/>
      </w:pPr>
      <w:r w:rsidRPr="00320A86">
        <w:t>La vie doit être un grand ensemble cohérent, bien organisé, festif, à l’intérieur duquel toute déchéance ne peut être pensée comme autre chose qu’une insulte à la vie. C’est pour cette raison que seule la fo</w:t>
      </w:r>
      <w:r w:rsidRPr="00320A86">
        <w:t>r</w:t>
      </w:r>
      <w:r w:rsidRPr="00320A86">
        <w:t>me initiale de la vie qui a toute la vie devant elle, c’est-à-dire l’enfance à peine dégrossie, est pr</w:t>
      </w:r>
      <w:r w:rsidRPr="00320A86">
        <w:t>i</w:t>
      </w:r>
      <w:r w:rsidRPr="00320A86">
        <w:t>se par tous comme l’étalon-repère de l’apparence physique et du comportement légitime. À qui tire de la curiosité de l’observation de ses semblables apparaissent des phén</w:t>
      </w:r>
      <w:r w:rsidRPr="00320A86">
        <w:t>o</w:t>
      </w:r>
      <w:r w:rsidRPr="00320A86">
        <w:t>mènes étranges d’êtres humains, à coup sûr, mais dont on ne sait m</w:t>
      </w:r>
      <w:r w:rsidRPr="00320A86">
        <w:t>ê</w:t>
      </w:r>
      <w:r w:rsidRPr="00320A86">
        <w:t>me plus s’ils sont des vieillards-enfants ou des enfants-vieillards. Dans les deux cas, il faut « </w:t>
      </w:r>
      <w:r w:rsidRPr="005A0785">
        <w:rPr>
          <w:i/>
        </w:rPr>
        <w:t>se maintenir </w:t>
      </w:r>
      <w:r w:rsidRPr="00320A86">
        <w:t>».</w:t>
      </w:r>
    </w:p>
    <w:p w14:paraId="46DB3AA7" w14:textId="77777777" w:rsidR="00B01930" w:rsidRPr="00320A86" w:rsidRDefault="00B01930" w:rsidP="00B01930">
      <w:pPr>
        <w:spacing w:before="120" w:after="120"/>
        <w:jc w:val="both"/>
      </w:pPr>
      <w:r w:rsidRPr="00320A86">
        <w:t xml:space="preserve">L’évitement de la douleur entre dans la même logique. D’ailleurs, la douleur est souvent affublée de l’adjectif </w:t>
      </w:r>
      <w:r w:rsidRPr="005A0785">
        <w:rPr>
          <w:i/>
        </w:rPr>
        <w:t>anormal</w:t>
      </w:r>
      <w:r w:rsidRPr="00320A86">
        <w:t>, comme s’il s’agissait d’un synonyme. Mais considérer la douleur comme forc</w:t>
      </w:r>
      <w:r w:rsidRPr="00320A86">
        <w:t>é</w:t>
      </w:r>
      <w:r w:rsidRPr="00320A86">
        <w:t>ment anormale revient à plaider pour une vie sous anesthésie consta</w:t>
      </w:r>
      <w:r w:rsidRPr="00320A86">
        <w:t>n</w:t>
      </w:r>
      <w:r w:rsidRPr="00320A86">
        <w:t>te, puisqu’il faut alors multiplier les traitements préventifs et curatifs, ceux-ci générant une sensibilité accrue à la douleur, celle-ci appelant de nouveaux traitements et ainsi de suite. Il en est exactement de m</w:t>
      </w:r>
      <w:r w:rsidRPr="00320A86">
        <w:t>ê</w:t>
      </w:r>
      <w:r w:rsidRPr="00320A86">
        <w:t>me pour l’autorité dans le domaine de l’éducation. L’effet est ident</w:t>
      </w:r>
      <w:r w:rsidRPr="00320A86">
        <w:t>i</w:t>
      </w:r>
      <w:r w:rsidRPr="00320A86">
        <w:t xml:space="preserve">que : le renforcement de la faiblesse. </w:t>
      </w:r>
    </w:p>
    <w:p w14:paraId="6365F966" w14:textId="77777777" w:rsidR="00B01930" w:rsidRPr="00320A86" w:rsidRDefault="00B01930" w:rsidP="00B01930">
      <w:pPr>
        <w:spacing w:before="120" w:after="120"/>
        <w:jc w:val="both"/>
      </w:pPr>
      <w:r w:rsidRPr="00320A86">
        <w:t>Bien que l’auteur ait certainement trop cédé aux sirènes freudo-marxistes de son temps, il n’est tout de même pas inutile de relire Herbert Marcuse, en part</w:t>
      </w:r>
      <w:r w:rsidRPr="00320A86">
        <w:t>i</w:t>
      </w:r>
      <w:r w:rsidRPr="00320A86">
        <w:t xml:space="preserve">culier </w:t>
      </w:r>
      <w:r w:rsidRPr="005A0785">
        <w:rPr>
          <w:i/>
        </w:rPr>
        <w:t>L’Homme unidimensionnel</w:t>
      </w:r>
      <w:r w:rsidRPr="00320A86">
        <w:t>, pour avoir une idée d’un des vecteurs princ</w:t>
      </w:r>
      <w:r w:rsidRPr="00320A86">
        <w:t>i</w:t>
      </w:r>
      <w:r w:rsidRPr="00320A86">
        <w:t>paux de la désensibilisation : ce qu’il appelle la « </w:t>
      </w:r>
      <w:r w:rsidRPr="005A0785">
        <w:rPr>
          <w:i/>
        </w:rPr>
        <w:t>désublimation répressive </w:t>
      </w:r>
      <w:r w:rsidRPr="00320A86">
        <w:t>». Il existe, selon lui, un rapport entre le sensible et l’injonction sociale au sensible, de telle sorte que la deuxième se calque sur les besoins d’une cause politique. Que, sous prétexte de nouveauté, Marcuse récite l’éternelle leçon a</w:t>
      </w:r>
      <w:r w:rsidRPr="00320A86">
        <w:t>n</w:t>
      </w:r>
      <w:r w:rsidRPr="00320A86">
        <w:t>ticapitaliste n’a pas grand intérêt. Par contre, le schéma qu’il propose mérite d’être pris en considération. À qui observe de manière pur</w:t>
      </w:r>
      <w:r w:rsidRPr="00320A86">
        <w:t>e</w:t>
      </w:r>
      <w:r w:rsidRPr="00320A86">
        <w:t>ment clinique le rapport entre les injonctions sociales et l’évolution des mœurs depuis une trentaine d’années, a</w:t>
      </w:r>
      <w:r w:rsidRPr="00320A86">
        <w:t>p</w:t>
      </w:r>
      <w:r w:rsidRPr="00320A86">
        <w:t>paraît en effet clairement que l’évolution des mœurs est conditionnée par les injonctions soci</w:t>
      </w:r>
      <w:r w:rsidRPr="00320A86">
        <w:t>a</w:t>
      </w:r>
      <w:r w:rsidRPr="00320A86">
        <w:t>les et non l’inverse, même si on déploie des trésors d’imagination pour faire croire en la spontanéité des « évolutions sociétales ». Par exemple, ce que l’on appelle la jeunesse est d’abord à définir comme l’effectivité des règles principales de la caserne libertaire : l’obsession égalitaire ; l’indifférencié ; la certitude ; le simulacre.</w:t>
      </w:r>
    </w:p>
    <w:p w14:paraId="5A1DAB00" w14:textId="77777777" w:rsidR="00B01930" w:rsidRPr="00320A86" w:rsidRDefault="00B01930" w:rsidP="00B01930">
      <w:pPr>
        <w:spacing w:before="120" w:after="120"/>
        <w:jc w:val="both"/>
      </w:pPr>
      <w:r w:rsidRPr="00320A86">
        <w:t>Le domaine privilégié de déploiement de la désensibilisation est certainement celui de ce que l’on appelle « </w:t>
      </w:r>
      <w:r w:rsidRPr="005A0785">
        <w:rPr>
          <w:i/>
        </w:rPr>
        <w:t>les arts </w:t>
      </w:r>
      <w:r w:rsidRPr="00320A86">
        <w:t>». Jadis, les « </w:t>
      </w:r>
      <w:r w:rsidRPr="005A0785">
        <w:rPr>
          <w:i/>
        </w:rPr>
        <w:t>moutins de Panurge </w:t>
      </w:r>
      <w:r w:rsidRPr="00320A86">
        <w:t>» s’indignaient de ne pas avoir « </w:t>
      </w:r>
      <w:r w:rsidRPr="005A0785">
        <w:rPr>
          <w:i/>
        </w:rPr>
        <w:t>accès </w:t>
      </w:r>
      <w:r w:rsidRPr="00320A86">
        <w:t>» à la culture. Grâce aux ressources thaumaturgiques de l’électronique m</w:t>
      </w:r>
      <w:r w:rsidRPr="00320A86">
        <w:t>o</w:t>
      </w:r>
      <w:r w:rsidRPr="00320A86">
        <w:t>derne, c’est chose faite. Qui en a profité pour (re)lire Montaigne ou Rabelais ? Personne. Personne, parce que les arts ne sont plus conçus comme un espace de découverte d’une altérité mystérieuse, une la</w:t>
      </w:r>
      <w:r w:rsidRPr="00320A86">
        <w:t>n</w:t>
      </w:r>
      <w:r w:rsidRPr="00320A86">
        <w:t>gue magnifique que l’on ne parle pas encore, mais comme le procédé privilégié d’auto-encensement des règles de la caserne libertaire. La chose apparaît de m</w:t>
      </w:r>
      <w:r w:rsidRPr="00320A86">
        <w:t>a</w:t>
      </w:r>
      <w:r w:rsidRPr="00320A86">
        <w:t>nière tellement grossière dans le cinéma actuel (l’infantilité érigée en vertu cardinale, l’abominable lourdeur des se</w:t>
      </w:r>
      <w:r w:rsidRPr="00320A86">
        <w:t>n</w:t>
      </w:r>
      <w:r w:rsidRPr="00320A86">
        <w:t xml:space="preserve">timents, le sentiment perpétuel de déjà-vu) que l’on en est presque à rechercher un deuxième degré consolatoire. </w:t>
      </w:r>
    </w:p>
    <w:p w14:paraId="3F35FCE3" w14:textId="77777777" w:rsidR="00B01930" w:rsidRPr="00320A86" w:rsidRDefault="00B01930" w:rsidP="00B01930">
      <w:pPr>
        <w:spacing w:before="120" w:after="120"/>
        <w:jc w:val="both"/>
      </w:pPr>
      <w:r w:rsidRPr="00320A86">
        <w:t>Mais c’est certainement dans le domaine de la sexualité que la d</w:t>
      </w:r>
      <w:r w:rsidRPr="00320A86">
        <w:t>é</w:t>
      </w:r>
      <w:r w:rsidRPr="00320A86">
        <w:t>sensibilis</w:t>
      </w:r>
      <w:r w:rsidRPr="00320A86">
        <w:t>a</w:t>
      </w:r>
      <w:r w:rsidRPr="00320A86">
        <w:t>tion produit ses effets les plus radicaux et décisifs. Jadis le mystère et le plaisir ; aujourd’hui la transparence et la frustration. La triple injonction moderne de jouissance, de performance et de con</w:t>
      </w:r>
      <w:r w:rsidRPr="00320A86">
        <w:t>s</w:t>
      </w:r>
      <w:r w:rsidRPr="00320A86">
        <w:t>tance a fait disparaître jusqu’au souvenir que la sexualité, elle aussi, était la mise en scène de quelque chose. Mais nous vivions certain</w:t>
      </w:r>
      <w:r w:rsidRPr="00320A86">
        <w:t>e</w:t>
      </w:r>
      <w:r w:rsidRPr="00320A86">
        <w:t>ment dans le mensonge, puisque la civilisation de la transpare</w:t>
      </w:r>
      <w:r w:rsidRPr="00320A86">
        <w:t>n</w:t>
      </w:r>
      <w:r w:rsidRPr="00320A86">
        <w:t>ce nous a enseigné par l’intermédiaire d’une sociologue : « </w:t>
      </w:r>
      <w:r w:rsidRPr="005A0785">
        <w:rPr>
          <w:i/>
        </w:rPr>
        <w:t>vous comprenez, a</w:t>
      </w:r>
      <w:r w:rsidRPr="005A0785">
        <w:rPr>
          <w:i/>
        </w:rPr>
        <w:t>u</w:t>
      </w:r>
      <w:r w:rsidRPr="005A0785">
        <w:rPr>
          <w:i/>
        </w:rPr>
        <w:t>jourd’hui, la sexualité ça demande des compétences </w:t>
      </w:r>
      <w:r w:rsidRPr="00320A86">
        <w:t>». On suppose qu’avec convivialité, il aurait fallu lui dire merci de reléguer le désir à la frustration pe</w:t>
      </w:r>
      <w:r w:rsidRPr="00320A86">
        <w:t>r</w:t>
      </w:r>
      <w:r w:rsidRPr="00320A86">
        <w:t xml:space="preserve">pétuelle ou à la mort certaine. </w:t>
      </w:r>
    </w:p>
    <w:p w14:paraId="15335ACC" w14:textId="77777777" w:rsidR="00B01930" w:rsidRDefault="00B01930" w:rsidP="00B01930">
      <w:pPr>
        <w:spacing w:before="120" w:after="120"/>
        <w:jc w:val="both"/>
      </w:pPr>
      <w:r w:rsidRPr="00320A86">
        <w:t>La sensibilité n’est plus soumise au sensible, mais à l’irréel total donc inse</w:t>
      </w:r>
      <w:r w:rsidRPr="00320A86">
        <w:t>n</w:t>
      </w:r>
      <w:r w:rsidRPr="00320A86">
        <w:t>sible du fantasme politique. C’est elle qu’on assassine quand on croit donner aux hommes leur ration d’autosuffisance qui leur fait baisser la tête au lieu de la r</w:t>
      </w:r>
      <w:r w:rsidRPr="00320A86">
        <w:t>e</w:t>
      </w:r>
      <w:r w:rsidRPr="00320A86">
        <w:t>dresser résolument. Quel sera donc notre chemin de la connaissance s’il ne peut plus commencer par un sensible perceptible, même trompeur ? Sommes-nous déjà condamnés à n’être que des êtres théoriques ?</w:t>
      </w:r>
    </w:p>
    <w:p w14:paraId="6E2EFEC7" w14:textId="77777777" w:rsidR="00B01930" w:rsidRPr="00320A86" w:rsidRDefault="00B01930" w:rsidP="00B01930">
      <w:pPr>
        <w:spacing w:before="120" w:after="120"/>
        <w:jc w:val="both"/>
      </w:pPr>
    </w:p>
    <w:p w14:paraId="1BF0FAC0" w14:textId="77777777" w:rsidR="00B01930" w:rsidRPr="00320A86" w:rsidRDefault="00B01930" w:rsidP="00B01930">
      <w:pPr>
        <w:spacing w:before="120" w:after="120"/>
        <w:jc w:val="both"/>
      </w:pPr>
      <w:r w:rsidRPr="005A0785">
        <w:rPr>
          <w:i/>
        </w:rPr>
        <w:t>Planification</w:t>
      </w:r>
      <w:r w:rsidRPr="00320A86">
        <w:t>. Une fois le terrain déblayé des obstacles qui l’encombrent, il faut encore en circonscrire la partie à investir. Pour le corps, cette opération se fait d’abord dans le temps.</w:t>
      </w:r>
    </w:p>
    <w:p w14:paraId="06D0654E" w14:textId="77777777" w:rsidR="00B01930" w:rsidRPr="00320A86" w:rsidRDefault="00B01930" w:rsidP="00B01930">
      <w:pPr>
        <w:spacing w:before="120" w:after="120"/>
        <w:jc w:val="both"/>
      </w:pPr>
      <w:r w:rsidRPr="00320A86">
        <w:t xml:space="preserve">Un début et une fin, comme pour tout ce qui s’agite et ne s’agite plus : un </w:t>
      </w:r>
      <w:r w:rsidRPr="005A0785">
        <w:rPr>
          <w:i/>
        </w:rPr>
        <w:t>début de vie</w:t>
      </w:r>
      <w:r w:rsidRPr="00320A86">
        <w:t xml:space="preserve"> et une </w:t>
      </w:r>
      <w:r w:rsidRPr="005A0785">
        <w:rPr>
          <w:i/>
        </w:rPr>
        <w:t>fin de vie</w:t>
      </w:r>
      <w:r w:rsidRPr="00320A86">
        <w:t xml:space="preserve">. On ne parle plus de naissance ni de mort, puisque ces deux termes font encore appel au mystère de l’être. </w:t>
      </w:r>
    </w:p>
    <w:p w14:paraId="03CB14BE" w14:textId="77777777" w:rsidR="00B01930" w:rsidRPr="00320A86" w:rsidRDefault="00B01930" w:rsidP="00B01930">
      <w:pPr>
        <w:spacing w:before="120" w:after="120"/>
        <w:jc w:val="both"/>
      </w:pPr>
      <w:r w:rsidRPr="00320A86">
        <w:t>Le débat sur l’avortement conduisit à trancher la question du d</w:t>
      </w:r>
      <w:r w:rsidRPr="00320A86">
        <w:t>é</w:t>
      </w:r>
      <w:r w:rsidRPr="00320A86">
        <w:t xml:space="preserve">but ; celui sur l’euthanasie conduira sans aucun doute à trancher celle de la fin. Il importe peu de savoir dans quel sens, puisqu’il le sera de toute façon sur le mode de la </w:t>
      </w:r>
      <w:r w:rsidRPr="005A0785">
        <w:rPr>
          <w:i/>
        </w:rPr>
        <w:t>déc</w:t>
      </w:r>
      <w:r w:rsidRPr="005A0785">
        <w:rPr>
          <w:i/>
        </w:rPr>
        <w:t>i</w:t>
      </w:r>
      <w:r w:rsidRPr="005A0785">
        <w:rPr>
          <w:i/>
        </w:rPr>
        <w:t>sion</w:t>
      </w:r>
      <w:r w:rsidRPr="00320A86">
        <w:t xml:space="preserve">. </w:t>
      </w:r>
    </w:p>
    <w:p w14:paraId="20E7615E" w14:textId="77777777" w:rsidR="00B01930" w:rsidRPr="00320A86" w:rsidRDefault="00B01930" w:rsidP="00B01930">
      <w:pPr>
        <w:spacing w:before="120" w:after="120"/>
        <w:jc w:val="both"/>
      </w:pPr>
      <w:r w:rsidRPr="00320A86">
        <w:t>L’homme peut être contraint de trancher des questions surhuma</w:t>
      </w:r>
      <w:r w:rsidRPr="00320A86">
        <w:t>i</w:t>
      </w:r>
      <w:r w:rsidRPr="00320A86">
        <w:t>nes pour de bonnes ou de mauvaises raisons, mais ce n’est pas parce qu’il le fait que les r</w:t>
      </w:r>
      <w:r w:rsidRPr="00320A86">
        <w:t>é</w:t>
      </w:r>
      <w:r w:rsidRPr="00320A86">
        <w:t>ponses qu’il donne sont également surhumaines. Elles restent au contraire h</w:t>
      </w:r>
      <w:r w:rsidRPr="00320A86">
        <w:t>u</w:t>
      </w:r>
      <w:r w:rsidRPr="00320A86">
        <w:t>maines, donc faillibles et profondément incertaines. Elles auraient donc une prétention surhumaine et devie</w:t>
      </w:r>
      <w:r w:rsidRPr="00320A86">
        <w:t>n</w:t>
      </w:r>
      <w:r w:rsidRPr="00320A86">
        <w:t>draient inhumaines si elles se paraient de la certit</w:t>
      </w:r>
      <w:r w:rsidRPr="00320A86">
        <w:t>u</w:t>
      </w:r>
      <w:r w:rsidRPr="00320A86">
        <w:t>de, autrement dit de la négation du mystère. En la matière, la rigidité extrême des positions de principe des uns et des autres est peut-être le signe le plus manife</w:t>
      </w:r>
      <w:r w:rsidRPr="00320A86">
        <w:t>s</w:t>
      </w:r>
      <w:r w:rsidRPr="00320A86">
        <w:t xml:space="preserve">te que l’inhumanité a déjà triomphé. </w:t>
      </w:r>
    </w:p>
    <w:p w14:paraId="678F0A4B" w14:textId="77777777" w:rsidR="00B01930" w:rsidRDefault="00B01930" w:rsidP="00B01930">
      <w:pPr>
        <w:spacing w:before="120" w:after="120"/>
        <w:jc w:val="both"/>
      </w:pPr>
      <w:r w:rsidRPr="00320A86">
        <w:t>Mais la planification s’effectue également dans l’espace. L’organisation de l’espace fondé sur le modèle totalitaire classique, tel qu’il peut par exemple être observé dans le quartier des ministères à Berlin, n’a plus cours dans la caserne libertaire. Comme le remarque Paul Virilio dans Bunker archéologie : « </w:t>
      </w:r>
      <w:r w:rsidRPr="005A0785">
        <w:rPr>
          <w:i/>
        </w:rPr>
        <w:t>Le bunker est devenu un m</w:t>
      </w:r>
      <w:r w:rsidRPr="005A0785">
        <w:rPr>
          <w:i/>
        </w:rPr>
        <w:t>y</w:t>
      </w:r>
      <w:r w:rsidRPr="005A0785">
        <w:rPr>
          <w:i/>
        </w:rPr>
        <w:t>the, à la fois présent et absent, présent comme objet de r</w:t>
      </w:r>
      <w:r w:rsidRPr="005A0785">
        <w:rPr>
          <w:i/>
        </w:rPr>
        <w:t>é</w:t>
      </w:r>
      <w:r w:rsidRPr="005A0785">
        <w:rPr>
          <w:i/>
        </w:rPr>
        <w:t>pulsion pour une architecture civile transparente et ouverte, absent dans la m</w:t>
      </w:r>
      <w:r w:rsidRPr="005A0785">
        <w:rPr>
          <w:i/>
        </w:rPr>
        <w:t>e</w:t>
      </w:r>
      <w:r w:rsidRPr="005A0785">
        <w:rPr>
          <w:i/>
        </w:rPr>
        <w:t>sure où l’essentiel de la nouvelle forteresse est ailleurs, sous nos pieds, déso</w:t>
      </w:r>
      <w:r w:rsidRPr="005A0785">
        <w:rPr>
          <w:i/>
        </w:rPr>
        <w:t>r</w:t>
      </w:r>
      <w:r w:rsidRPr="005A0785">
        <w:rPr>
          <w:i/>
        </w:rPr>
        <w:t>mais invisible </w:t>
      </w:r>
      <w:r>
        <w:t>».</w:t>
      </w:r>
    </w:p>
    <w:p w14:paraId="758AD375" w14:textId="77777777" w:rsidR="00B01930" w:rsidRPr="00320A86" w:rsidRDefault="00B01930" w:rsidP="00B01930">
      <w:pPr>
        <w:spacing w:before="120" w:after="120"/>
        <w:jc w:val="both"/>
      </w:pPr>
    </w:p>
    <w:p w14:paraId="69DF2524" w14:textId="77777777" w:rsidR="00B01930" w:rsidRPr="00320A86" w:rsidRDefault="00B01930" w:rsidP="00B01930">
      <w:pPr>
        <w:spacing w:before="120" w:after="120"/>
        <w:jc w:val="both"/>
      </w:pPr>
      <w:r w:rsidRPr="00320A86">
        <w:t>« </w:t>
      </w:r>
      <w:r w:rsidRPr="005A0785">
        <w:rPr>
          <w:i/>
        </w:rPr>
        <w:t>Sous nos pieds </w:t>
      </w:r>
      <w:r w:rsidRPr="00320A86">
        <w:t>» : tout est dit. Le sol même est politique. Le sol comme lieu de normation spatiale des corps. Les flèches des cathédr</w:t>
      </w:r>
      <w:r w:rsidRPr="00320A86">
        <w:t>a</w:t>
      </w:r>
      <w:r w:rsidRPr="00320A86">
        <w:t>les disparaissaient dans les matins embrumés et renvoyaient les corps à des ailleurs imperceptibles ; les édifices staliniens écrasaient de leur masse la moindre prétention ontologique ; le sol de la caserne liberta</w:t>
      </w:r>
      <w:r w:rsidRPr="00320A86">
        <w:t>i</w:t>
      </w:r>
      <w:r w:rsidRPr="00320A86">
        <w:t>re fait beaucoup mieux : il organise le déplac</w:t>
      </w:r>
      <w:r w:rsidRPr="00320A86">
        <w:t>e</w:t>
      </w:r>
      <w:r w:rsidRPr="00320A86">
        <w:t>ment horizontal des corps et les trie en fonction de l’identité qu’il est le seul à leur allouer, étant bien entendu que tous devront se retrouver autour du totem ég</w:t>
      </w:r>
      <w:r w:rsidRPr="00320A86">
        <w:t>a</w:t>
      </w:r>
      <w:r w:rsidRPr="00320A86">
        <w:t>litaire dans la festivité de l’authentique reconstruit. Il est alors inutile de r</w:t>
      </w:r>
      <w:r w:rsidRPr="00320A86">
        <w:t>e</w:t>
      </w:r>
      <w:r w:rsidRPr="00320A86">
        <w:t xml:space="preserve">garder en-dessous du sol, car il ne doit rien au passé ; il est tout aussi inutile de regarder au-dessus, car il ne doit rien à l’avenir. </w:t>
      </w:r>
    </w:p>
    <w:p w14:paraId="30A0B6D0" w14:textId="77777777" w:rsidR="00B01930" w:rsidRPr="00320A86" w:rsidRDefault="00B01930" w:rsidP="00B01930">
      <w:pPr>
        <w:spacing w:before="120" w:after="120"/>
        <w:jc w:val="both"/>
      </w:pPr>
      <w:r w:rsidRPr="00320A86">
        <w:t xml:space="preserve">Sur une page web de la mairie de Bordeaux consacrée au projet </w:t>
      </w:r>
      <w:r w:rsidRPr="005A0785">
        <w:rPr>
          <w:i/>
        </w:rPr>
        <w:t>Garonne Ei</w:t>
      </w:r>
      <w:r w:rsidRPr="005A0785">
        <w:rPr>
          <w:i/>
        </w:rPr>
        <w:t>f</w:t>
      </w:r>
      <w:r w:rsidRPr="005A0785">
        <w:rPr>
          <w:i/>
        </w:rPr>
        <w:t>fel</w:t>
      </w:r>
      <w:r w:rsidRPr="00320A86">
        <w:t xml:space="preserve"> d’aménagement de la rive droite, on peut en trouver une étonnante illustr</w:t>
      </w:r>
      <w:r w:rsidRPr="00320A86">
        <w:t>a</w:t>
      </w:r>
      <w:r w:rsidRPr="00320A86">
        <w:t xml:space="preserve">tion : </w:t>
      </w:r>
    </w:p>
    <w:p w14:paraId="20921026" w14:textId="77777777" w:rsidR="00B01930" w:rsidRDefault="00B01930" w:rsidP="00B01930">
      <w:pPr>
        <w:pStyle w:val="citation"/>
      </w:pPr>
    </w:p>
    <w:p w14:paraId="1E823954" w14:textId="77777777" w:rsidR="00B01930" w:rsidRDefault="00B01930" w:rsidP="00B01930">
      <w:pPr>
        <w:pStyle w:val="citation"/>
      </w:pPr>
      <w:r w:rsidRPr="00320A86">
        <w:t>« L’enjeu du logement est au centre du projet urbain : 7500 log</w:t>
      </w:r>
      <w:r w:rsidRPr="00320A86">
        <w:t>e</w:t>
      </w:r>
      <w:r w:rsidRPr="00320A86">
        <w:t>ments seront construits qui accueilleront près de 12 500 personnes. Une ville plus dense se dév</w:t>
      </w:r>
      <w:r w:rsidRPr="00320A86">
        <w:t>e</w:t>
      </w:r>
      <w:r w:rsidRPr="00320A86">
        <w:t>loppe en rive droite avec ses fonctions et ses services, tout en conservant certaines typologies de faubourg. L’offre en logements sera d</w:t>
      </w:r>
      <w:r w:rsidRPr="00320A86">
        <w:t>i</w:t>
      </w:r>
      <w:r w:rsidRPr="00320A86">
        <w:t>versifiée, adaptée aux nouvelles manières d’habiter, en particulier des f</w:t>
      </w:r>
      <w:r w:rsidRPr="00320A86">
        <w:t>a</w:t>
      </w:r>
      <w:r w:rsidRPr="00320A86">
        <w:t>milles, dans le respect de la mixité s</w:t>
      </w:r>
      <w:r w:rsidRPr="00320A86">
        <w:t>o</w:t>
      </w:r>
      <w:r w:rsidRPr="00320A86">
        <w:t>ciale ».</w:t>
      </w:r>
    </w:p>
    <w:p w14:paraId="04DE15D9" w14:textId="77777777" w:rsidR="00B01930" w:rsidRPr="00320A86" w:rsidRDefault="00B01930" w:rsidP="00B01930">
      <w:pPr>
        <w:pStyle w:val="citation"/>
      </w:pPr>
    </w:p>
    <w:p w14:paraId="56F8E080" w14:textId="77777777" w:rsidR="00B01930" w:rsidRDefault="00B01930" w:rsidP="00B01930">
      <w:pPr>
        <w:spacing w:before="120" w:after="120"/>
        <w:jc w:val="both"/>
      </w:pPr>
      <w:r w:rsidRPr="00320A86">
        <w:t>La planification des corps dans l’espace de la caserne libertaire s’apparente très étroitement à de la gestion bouchère, dont la seule préoccupation est d’organiser de la manière la plus rationnelle et la plus efficace l’espace qui rec</w:t>
      </w:r>
      <w:r w:rsidRPr="00320A86">
        <w:t>e</w:t>
      </w:r>
      <w:r w:rsidRPr="00320A86">
        <w:t>vra les différents quartiers de viande. On objectera ici qu’aucun corps physique n’est martyrisé ni blessé. Il faut reconnaître la valeur de cette objection, mais il faut aussi adme</w:t>
      </w:r>
      <w:r w:rsidRPr="00320A86">
        <w:t>t</w:t>
      </w:r>
      <w:r w:rsidRPr="00320A86">
        <w:t>tre que dans un cas comme dans l’autre, l’espace soit organisé en fonction d’une valeur parfaitement univoque et interchangeable des choses qu’il accueille. Si ces choses sont des corps, cela signifie tout simplement qu’ils n’ont aucune valeur en tant que tels. La caserne l</w:t>
      </w:r>
      <w:r w:rsidRPr="00320A86">
        <w:t>i</w:t>
      </w:r>
      <w:r w:rsidRPr="00320A86">
        <w:t>bertaire construit la modélis</w:t>
      </w:r>
      <w:r w:rsidRPr="00320A86">
        <w:t>a</w:t>
      </w:r>
      <w:r w:rsidRPr="00320A86">
        <w:t>tion des mœurs ; elle organise sur le même mode la transparence des corps. Le regard droit, l’allure d</w:t>
      </w:r>
      <w:r w:rsidRPr="00320A86">
        <w:t>é</w:t>
      </w:r>
      <w:r w:rsidRPr="00320A86">
        <w:t>contractée, la mine satisfaite mais déjà blasée de sa nouvelle émanc</w:t>
      </w:r>
      <w:r w:rsidRPr="00320A86">
        <w:t>i</w:t>
      </w:r>
      <w:r w:rsidRPr="00320A86">
        <w:t>pation, valeurs déambule dans les rues lisses de la caserne libertaire à la recherche d’un lieu de convivialité. Il passe devant un panneau p</w:t>
      </w:r>
      <w:r w:rsidRPr="00320A86">
        <w:t>u</w:t>
      </w:r>
      <w:r w:rsidRPr="00320A86">
        <w:t>blicitaire et lit : « </w:t>
      </w:r>
      <w:r w:rsidRPr="005A0785">
        <w:rPr>
          <w:i/>
        </w:rPr>
        <w:t>parce que vous le valez bien </w:t>
      </w:r>
      <w:r>
        <w:t>».</w:t>
      </w:r>
    </w:p>
    <w:p w14:paraId="24C970F5" w14:textId="77777777" w:rsidR="00B01930" w:rsidRPr="00320A86" w:rsidRDefault="00B01930" w:rsidP="00B01930">
      <w:pPr>
        <w:spacing w:before="120" w:after="120"/>
        <w:jc w:val="both"/>
      </w:pPr>
    </w:p>
    <w:p w14:paraId="5EFF3467" w14:textId="77777777" w:rsidR="00B01930" w:rsidRPr="00320A86" w:rsidRDefault="00B01930" w:rsidP="00B01930">
      <w:pPr>
        <w:spacing w:before="120" w:after="120"/>
        <w:jc w:val="both"/>
      </w:pPr>
      <w:r w:rsidRPr="00724DF5">
        <w:rPr>
          <w:i/>
        </w:rPr>
        <w:t>Chosification</w:t>
      </w:r>
      <w:r w:rsidRPr="00320A86">
        <w:t>. Premier acte : la désacralisation du corps. L’évanouissement de la transcendance et de son rapport mystique e</w:t>
      </w:r>
      <w:r w:rsidRPr="00320A86">
        <w:t>n</w:t>
      </w:r>
      <w:r w:rsidRPr="00320A86">
        <w:t>tre le Créateur et le corps des hommes, dont Bartolomé Leonardo, cité par Baltasar Gracián dans un de ses traités, offre ici une vision poét</w:t>
      </w:r>
      <w:r w:rsidRPr="00320A86">
        <w:t>i</w:t>
      </w:r>
      <w:r w:rsidRPr="00320A86">
        <w:t xml:space="preserve">que : </w:t>
      </w:r>
    </w:p>
    <w:p w14:paraId="7F8A459B" w14:textId="77777777" w:rsidR="00B01930" w:rsidRPr="00320A86" w:rsidRDefault="00B01930" w:rsidP="00B01930">
      <w:pPr>
        <w:pStyle w:val="citation0"/>
      </w:pPr>
      <w:r w:rsidRPr="00320A86">
        <w:t>« Son souffle en expirant, comme la vie frissonne,</w:t>
      </w:r>
    </w:p>
    <w:p w14:paraId="769D449D" w14:textId="77777777" w:rsidR="00B01930" w:rsidRPr="00320A86" w:rsidRDefault="00B01930" w:rsidP="00B01930">
      <w:pPr>
        <w:pStyle w:val="citation0"/>
      </w:pPr>
      <w:r w:rsidRPr="00320A86">
        <w:t>Fait vibrer, étonnées, les muettes sépultures</w:t>
      </w:r>
    </w:p>
    <w:p w14:paraId="0A5E3E3D" w14:textId="77777777" w:rsidR="00B01930" w:rsidRPr="00320A86" w:rsidRDefault="00B01930" w:rsidP="00B01930">
      <w:pPr>
        <w:pStyle w:val="citation0"/>
      </w:pPr>
      <w:r w:rsidRPr="00320A86">
        <w:t>Et les corps, libérés, livrent leurs âmes pures</w:t>
      </w:r>
    </w:p>
    <w:p w14:paraId="5C865FBC" w14:textId="77777777" w:rsidR="00B01930" w:rsidRPr="00320A86" w:rsidRDefault="00B01930" w:rsidP="00B01930">
      <w:pPr>
        <w:pStyle w:val="citation0"/>
      </w:pPr>
      <w:r w:rsidRPr="00320A86">
        <w:t>Des justes renaissants quand la trompette sonne. »</w:t>
      </w:r>
    </w:p>
    <w:p w14:paraId="2A138444" w14:textId="77777777" w:rsidR="00B01930" w:rsidRDefault="00B01930" w:rsidP="00B01930">
      <w:pPr>
        <w:spacing w:before="120" w:after="120"/>
        <w:jc w:val="both"/>
      </w:pPr>
    </w:p>
    <w:p w14:paraId="49C5FDCB" w14:textId="77777777" w:rsidR="00B01930" w:rsidRPr="00320A86" w:rsidRDefault="00B01930" w:rsidP="00B01930">
      <w:pPr>
        <w:spacing w:before="120" w:after="120"/>
        <w:jc w:val="both"/>
      </w:pPr>
      <w:r w:rsidRPr="00320A86">
        <w:t>La transcendance disait : « </w:t>
      </w:r>
      <w:r w:rsidRPr="005A0785">
        <w:rPr>
          <w:i/>
        </w:rPr>
        <w:t>je suis un corps </w:t>
      </w:r>
      <w:r w:rsidRPr="00320A86">
        <w:t>» ; le règne du tout-politique nourri de la désacralisation dit : « </w:t>
      </w:r>
      <w:r w:rsidRPr="005A0785">
        <w:rPr>
          <w:i/>
        </w:rPr>
        <w:t>j’ai un corps </w:t>
      </w:r>
      <w:r w:rsidRPr="00320A86">
        <w:t>». Le tout-politique reprend la distinction entre le corps et l’âme, mais remplace l’âme par la volonté. L’étrange syncrétisme de la proposition « </w:t>
      </w:r>
      <w:r w:rsidRPr="00970D6C">
        <w:rPr>
          <w:i/>
        </w:rPr>
        <w:t>j’ai un corps </w:t>
      </w:r>
      <w:r w:rsidRPr="00320A86">
        <w:t>» signifie alors que mon corps est une chose qui appartient à ma volonté. Du moins tant que je prétends qu’il existe quelque chose comme ma volonté et que j’oublie que ma volonté n’a jamais créé mon corps et que mon corps ne m’a toujours offert que la possibilité d’une v</w:t>
      </w:r>
      <w:r w:rsidRPr="00320A86">
        <w:t>o</w:t>
      </w:r>
      <w:r w:rsidRPr="00320A86">
        <w:t xml:space="preserve">lonté. </w:t>
      </w:r>
    </w:p>
    <w:p w14:paraId="4BA62D76" w14:textId="77777777" w:rsidR="00B01930" w:rsidRPr="00320A86" w:rsidRDefault="00B01930" w:rsidP="00B01930">
      <w:pPr>
        <w:spacing w:before="120" w:after="120"/>
        <w:jc w:val="both"/>
      </w:pPr>
      <w:r w:rsidRPr="00320A86">
        <w:t>Deuxième acte : le démembrement de l’unité du corps. Un homme guéri d’une maladie grave par une greffe d’organes, lance cet appel : « </w:t>
      </w:r>
      <w:r w:rsidRPr="00970D6C">
        <w:rPr>
          <w:i/>
        </w:rPr>
        <w:t>Donnez vos organes plutôt que de les laisser périr dans un ce</w:t>
      </w:r>
      <w:r w:rsidRPr="00970D6C">
        <w:rPr>
          <w:i/>
        </w:rPr>
        <w:t>r</w:t>
      </w:r>
      <w:r w:rsidRPr="00970D6C">
        <w:rPr>
          <w:i/>
        </w:rPr>
        <w:t>cueil </w:t>
      </w:r>
      <w:r w:rsidRPr="00320A86">
        <w:t>». La générosité de cet homme n’est pas en cause, mais la fo</w:t>
      </w:r>
      <w:r w:rsidRPr="00320A86">
        <w:t>r</w:t>
      </w:r>
      <w:r w:rsidRPr="00320A86">
        <w:t xml:space="preserve">mulation qu’il emploie trahit l’extrême ambiguïté de la cause qu’il défend. </w:t>
      </w:r>
    </w:p>
    <w:p w14:paraId="412AE41B" w14:textId="77777777" w:rsidR="00B01930" w:rsidRPr="00320A86" w:rsidRDefault="00B01930" w:rsidP="00B01930">
      <w:pPr>
        <w:spacing w:before="120" w:after="120"/>
        <w:jc w:val="both"/>
      </w:pPr>
      <w:r w:rsidRPr="00320A86">
        <w:t>Ce qui est réputé mort dans un cercueil est un corps physique co</w:t>
      </w:r>
      <w:r w:rsidRPr="00320A86">
        <w:t>m</w:t>
      </w:r>
      <w:r w:rsidRPr="00320A86">
        <w:t>posé d’organes. Lui ne voit déjà plus dans le cercueil qu’un ensemble d’organes et, plus précisément, la fonctionnalité de certains d’entre eux. De plus, il ne veut pas les « </w:t>
      </w:r>
      <w:r w:rsidRPr="00970D6C">
        <w:rPr>
          <w:i/>
        </w:rPr>
        <w:t>laisser périr </w:t>
      </w:r>
      <w:r w:rsidRPr="00320A86">
        <w:t>», comme s’ils n’étaient pas déjà morts de la mort du corps. Est-ce à dire qu’il existe pour lui une vie dans le corps séparée de la vie du corps, celle de l’organe, ou bien que la vie se résume au caractère biolog</w:t>
      </w:r>
      <w:r w:rsidRPr="00320A86">
        <w:t>i</w:t>
      </w:r>
      <w:r w:rsidRPr="00320A86">
        <w:t>quement exploitable de l’organe, moyennant quoi le corps ne serait qu’une ch</w:t>
      </w:r>
      <w:r w:rsidRPr="00320A86">
        <w:t>o</w:t>
      </w:r>
      <w:r w:rsidRPr="00320A86">
        <w:t>se ? Comment peut-il étayer la première hypothèse et ne pas voir que la deuxi</w:t>
      </w:r>
      <w:r w:rsidRPr="00320A86">
        <w:t>è</w:t>
      </w:r>
      <w:r w:rsidRPr="00320A86">
        <w:t xml:space="preserve">me le conduit à soutenir une logique dont le sens est de se retourner contre le corps lui-même ? </w:t>
      </w:r>
    </w:p>
    <w:p w14:paraId="257DAA4A" w14:textId="77777777" w:rsidR="00B01930" w:rsidRPr="00320A86" w:rsidRDefault="00B01930" w:rsidP="00B01930">
      <w:pPr>
        <w:spacing w:before="120" w:after="120"/>
        <w:jc w:val="both"/>
      </w:pPr>
      <w:r w:rsidRPr="00320A86">
        <w:t>À la commisération à laquelle tout animal vivant a droit, à la mort qui const</w:t>
      </w:r>
      <w:r w:rsidRPr="00320A86">
        <w:t>i</w:t>
      </w:r>
      <w:r w:rsidRPr="00320A86">
        <w:t xml:space="preserve">tue l’idée de notre fin et la mesure de notre existence, nous substituons l’exigence de maintien coûte que coûte dans une vie dont nous sommes contraints de détruire une par une les représentations que nous nous en faisons. Il est malheureusement à craindre que cette logique de </w:t>
      </w:r>
      <w:r w:rsidRPr="00970D6C">
        <w:rPr>
          <w:i/>
        </w:rPr>
        <w:t>dépouillement subjectif</w:t>
      </w:r>
      <w:r w:rsidRPr="00320A86">
        <w:t xml:space="preserve"> ne conduise bientôt à la mort du corps. </w:t>
      </w:r>
    </w:p>
    <w:p w14:paraId="60FAA17D" w14:textId="77777777" w:rsidR="00B01930" w:rsidRPr="00320A86" w:rsidRDefault="00B01930" w:rsidP="00B01930">
      <w:pPr>
        <w:spacing w:before="120" w:after="120"/>
        <w:jc w:val="both"/>
      </w:pPr>
      <w:r w:rsidRPr="00320A86">
        <w:t>Troisième acte : la mort du corps. La greffe d’organes est un pr</w:t>
      </w:r>
      <w:r w:rsidRPr="00320A86">
        <w:t>o</w:t>
      </w:r>
      <w:r w:rsidRPr="00320A86">
        <w:t>cédé de maintien dans la vie que l’on peut déjà considérer comme a</w:t>
      </w:r>
      <w:r w:rsidRPr="00320A86">
        <w:t>r</w:t>
      </w:r>
      <w:r w:rsidRPr="00320A86">
        <w:t>tisanal par rapport aux promesses des nouvelles technologies. Tant que la finalité de l’existence sera d’étirer le temps entre le début de la vie et la fin de la vie, rien n’arrêtera jamais la logique de chosification de déployer ses effets. Et plus elle le fera, plus elle éloignera le so</w:t>
      </w:r>
      <w:r w:rsidRPr="00320A86">
        <w:t>u</w:t>
      </w:r>
      <w:r w:rsidRPr="00320A86">
        <w:t>venir des corps obscurs et insondables jusqu’à le faire disp</w:t>
      </w:r>
      <w:r w:rsidRPr="00320A86">
        <w:t>a</w:t>
      </w:r>
      <w:r w:rsidRPr="00320A86">
        <w:t>raître. Ce jour-là, bien confortablement installé au poste de commande, valeurs pourra dire : « </w:t>
      </w:r>
      <w:r w:rsidRPr="00970D6C">
        <w:rPr>
          <w:i/>
        </w:rPr>
        <w:t>je suis les corps </w:t>
      </w:r>
      <w:r w:rsidRPr="00320A86">
        <w:t>».</w:t>
      </w:r>
    </w:p>
    <w:p w14:paraId="0A1212A1" w14:textId="77777777" w:rsidR="00B01930" w:rsidRPr="00320A86" w:rsidRDefault="00B01930" w:rsidP="00B01930">
      <w:pPr>
        <w:spacing w:before="120" w:after="120"/>
        <w:jc w:val="both"/>
      </w:pPr>
      <w:r w:rsidRPr="00320A86">
        <w:t>Enfin, la culture de mort que nous connaissons ne correspond pas à la victo</w:t>
      </w:r>
      <w:r w:rsidRPr="00320A86">
        <w:t>i</w:t>
      </w:r>
      <w:r w:rsidRPr="00320A86">
        <w:t xml:space="preserve">re d’un principe politique sur l’autre, mais à la combinaison de deux nihilismes unis dans la même trame logique : le nihilisme du trop-plein donnant son sens du temps au vide et le nihilisme du vide donnant son sens de l’espace au trop-plein. </w:t>
      </w:r>
    </w:p>
    <w:p w14:paraId="72615246" w14:textId="77777777" w:rsidR="00B01930" w:rsidRPr="00320A86" w:rsidRDefault="00B01930" w:rsidP="00B01930">
      <w:pPr>
        <w:spacing w:before="120" w:after="120"/>
        <w:jc w:val="both"/>
      </w:pPr>
      <w:r w:rsidRPr="00320A86">
        <w:t>À l’accumulation de trop-plein et de vide que constitue le nihili</w:t>
      </w:r>
      <w:r w:rsidRPr="00320A86">
        <w:t>s</w:t>
      </w:r>
      <w:r w:rsidRPr="00320A86">
        <w:t>me, la seule manière possible de répondre est de le laisser devenir ce qu’il est, c’est-à-dire rien, puisque tenter de le détruire revient néce</w:t>
      </w:r>
      <w:r w:rsidRPr="00320A86">
        <w:t>s</w:t>
      </w:r>
      <w:r w:rsidRPr="00320A86">
        <w:t>sairement à le nourrir. Et le lai</w:t>
      </w:r>
      <w:r w:rsidRPr="00320A86">
        <w:t>s</w:t>
      </w:r>
      <w:r w:rsidRPr="00320A86">
        <w:t>ser devenir ce qu’il est revient d’une certaine manière à ne rien faire. En somme, à opposer à la certitude du rien la possibilité de quelque chose, c’est-à-dire l’espérance.</w:t>
      </w:r>
    </w:p>
    <w:p w14:paraId="1A9E3294" w14:textId="77777777" w:rsidR="00B01930" w:rsidRPr="00320A86" w:rsidRDefault="00B01930" w:rsidP="00B01930">
      <w:pPr>
        <w:spacing w:before="120" w:after="120"/>
        <w:jc w:val="both"/>
      </w:pPr>
      <w:r w:rsidRPr="00320A86">
        <w:t>« Celui qui persévérera jusqu’à la fin sera sauvé », nous dit l’espérance chr</w:t>
      </w:r>
      <w:r w:rsidRPr="00320A86">
        <w:t>é</w:t>
      </w:r>
      <w:r w:rsidRPr="00320A86">
        <w:t>tienne (Matthieu 13:24) ; « Il ne faut pas remuer le marais. Il faut vivre sur les montagnes » nous dit l’espérance niet</w:t>
      </w:r>
      <w:r w:rsidRPr="00320A86">
        <w:t>z</w:t>
      </w:r>
      <w:r w:rsidRPr="00320A86">
        <w:t>schéenne (Ainsi parlait Zarathoustra). Mais de même qu’il n’est pas possible de construire des nuages, il n’est pas po</w:t>
      </w:r>
      <w:r w:rsidRPr="00320A86">
        <w:t>s</w:t>
      </w:r>
      <w:r w:rsidRPr="00320A86">
        <w:t>sible d’apprendre l’espérance. On peut donc aussi l’attendre malgré l’absurde et le v</w:t>
      </w:r>
      <w:r w:rsidRPr="00320A86">
        <w:t>a</w:t>
      </w:r>
      <w:r w:rsidRPr="00320A86">
        <w:t xml:space="preserve">carme avec un bon whisky et peut-être… un cigarillo. </w:t>
      </w:r>
    </w:p>
    <w:p w14:paraId="42072804" w14:textId="77777777" w:rsidR="00B01930" w:rsidRDefault="00B01930" w:rsidP="00B01930">
      <w:pPr>
        <w:jc w:val="both"/>
      </w:pPr>
      <w:r w:rsidRPr="00320A86">
        <w:br w:type="page"/>
      </w:r>
    </w:p>
    <w:p w14:paraId="2796E989" w14:textId="77777777" w:rsidR="00B01930" w:rsidRDefault="00B01930" w:rsidP="00B01930">
      <w:pPr>
        <w:jc w:val="both"/>
      </w:pPr>
    </w:p>
    <w:p w14:paraId="6389FC91" w14:textId="77777777" w:rsidR="00B01930" w:rsidRPr="009D4882" w:rsidRDefault="00B01930" w:rsidP="00B01930">
      <w:pPr>
        <w:spacing w:after="120"/>
        <w:ind w:firstLine="0"/>
        <w:jc w:val="center"/>
        <w:rPr>
          <w:b/>
          <w:color w:val="000080"/>
        </w:rPr>
      </w:pPr>
      <w:bookmarkStart w:id="225" w:name="Analyser_idees_pol_pt_3_texte_12"/>
      <w:r>
        <w:rPr>
          <w:b/>
          <w:color w:val="000080"/>
        </w:rPr>
        <w:t>Troisième</w:t>
      </w:r>
      <w:r w:rsidRPr="009D4882">
        <w:rPr>
          <w:b/>
          <w:color w:val="000080"/>
        </w:rPr>
        <w:t xml:space="preserve"> partie</w:t>
      </w:r>
      <w:r w:rsidRPr="009D4882">
        <w:rPr>
          <w:b/>
          <w:color w:val="000080"/>
        </w:rPr>
        <w:br/>
      </w:r>
      <w:r>
        <w:rPr>
          <w:i/>
          <w:color w:val="000080"/>
        </w:rPr>
        <w:t>De quelques idées politiques «modernes»</w:t>
      </w:r>
    </w:p>
    <w:p w14:paraId="3FAB31AC" w14:textId="77777777" w:rsidR="00B01930" w:rsidRDefault="00B01930" w:rsidP="00B01930">
      <w:pPr>
        <w:pStyle w:val="Titreniveau1"/>
        <w:rPr>
          <w:szCs w:val="36"/>
        </w:rPr>
      </w:pPr>
      <w:r>
        <w:rPr>
          <w:szCs w:val="36"/>
        </w:rPr>
        <w:t>12</w:t>
      </w:r>
    </w:p>
    <w:p w14:paraId="259D7C03" w14:textId="77777777" w:rsidR="00B01930" w:rsidRDefault="00B01930" w:rsidP="00B01930">
      <w:pPr>
        <w:jc w:val="both"/>
        <w:rPr>
          <w:szCs w:val="36"/>
        </w:rPr>
      </w:pPr>
    </w:p>
    <w:p w14:paraId="25AB417A" w14:textId="77777777" w:rsidR="00B01930" w:rsidRPr="00843F3E" w:rsidRDefault="00B01930" w:rsidP="00B01930">
      <w:pPr>
        <w:pStyle w:val="Titreniveau2"/>
      </w:pPr>
      <w:r>
        <w:t>“</w:t>
      </w:r>
      <w:r w:rsidRPr="00A01FC9">
        <w:t>Lecture martrienne</w:t>
      </w:r>
      <w:r>
        <w:br/>
        <w:t xml:space="preserve"> du texte d’Emmanuel Sur :</w:t>
      </w:r>
      <w:r>
        <w:br/>
      </w:r>
      <w:r w:rsidRPr="00A01FC9">
        <w:t xml:space="preserve"> « Les deux nihili</w:t>
      </w:r>
      <w:r w:rsidRPr="00A01FC9">
        <w:t>s</w:t>
      </w:r>
      <w:r>
        <w:t>mes, espaces</w:t>
      </w:r>
      <w:r>
        <w:br/>
      </w:r>
      <w:r w:rsidRPr="00A01FC9">
        <w:t>mode</w:t>
      </w:r>
      <w:r w:rsidRPr="00A01FC9">
        <w:t>r</w:t>
      </w:r>
      <w:r w:rsidRPr="00A01FC9">
        <w:t>nes de la culture de mort »</w:t>
      </w:r>
      <w:r>
        <w:t>.”</w:t>
      </w:r>
    </w:p>
    <w:bookmarkEnd w:id="225"/>
    <w:p w14:paraId="35FBBC9D" w14:textId="77777777" w:rsidR="00B01930" w:rsidRDefault="00B01930" w:rsidP="00B01930">
      <w:pPr>
        <w:jc w:val="both"/>
        <w:rPr>
          <w:szCs w:val="36"/>
        </w:rPr>
      </w:pPr>
    </w:p>
    <w:p w14:paraId="157F9DF7" w14:textId="77777777" w:rsidR="00B01930" w:rsidRDefault="00B01930" w:rsidP="00B01930">
      <w:pPr>
        <w:pStyle w:val="suite"/>
      </w:pPr>
      <w:r>
        <w:t>Daniel LAGRAULA</w:t>
      </w:r>
    </w:p>
    <w:p w14:paraId="5BDBD8C8" w14:textId="77777777" w:rsidR="00B01930" w:rsidRDefault="00B01930" w:rsidP="00B01930">
      <w:pPr>
        <w:jc w:val="both"/>
      </w:pPr>
    </w:p>
    <w:p w14:paraId="1C185882" w14:textId="77777777" w:rsidR="00B01930" w:rsidRDefault="00B01930" w:rsidP="00B01930">
      <w:pPr>
        <w:jc w:val="both"/>
      </w:pPr>
    </w:p>
    <w:p w14:paraId="6D08439F"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71172724" w14:textId="77777777" w:rsidR="00B01930" w:rsidRPr="00320A86" w:rsidRDefault="00B01930" w:rsidP="00B01930">
      <w:pPr>
        <w:spacing w:before="120" w:after="120"/>
        <w:jc w:val="both"/>
      </w:pPr>
      <w:r w:rsidRPr="00320A86">
        <w:t>L’opus d’Emmanuel Sur suscite un indéniable intérêt, voire une certaine séduction, tant les exemples ou constats égrenés au fil du te</w:t>
      </w:r>
      <w:r w:rsidRPr="00320A86">
        <w:t>x</w:t>
      </w:r>
      <w:r w:rsidRPr="00320A86">
        <w:t>te sont observables et « nous parlent ».</w:t>
      </w:r>
    </w:p>
    <w:p w14:paraId="20457E00" w14:textId="77777777" w:rsidR="00B01930" w:rsidRPr="00320A86" w:rsidRDefault="00B01930" w:rsidP="00B01930">
      <w:pPr>
        <w:spacing w:before="120" w:after="120"/>
        <w:jc w:val="both"/>
      </w:pPr>
      <w:r w:rsidRPr="00320A86">
        <w:t>Mais,  que ce soit dès les premières lignes ou à la fin de la lecture, on est c</w:t>
      </w:r>
      <w:r w:rsidRPr="00320A86">
        <w:t>e</w:t>
      </w:r>
      <w:r w:rsidRPr="00320A86">
        <w:t>pendant frappé par la ressemblance de certaines idées clefs martriennes  formulées sous d’autres vocables. Comme si des él</w:t>
      </w:r>
      <w:r w:rsidRPr="00320A86">
        <w:t>é</w:t>
      </w:r>
      <w:r w:rsidRPr="00320A86">
        <w:t>ments d’un texte originaire étaient présents sous le texte ou transposés sous des formes différentes. Serions nous en présence d’un palimpse</w:t>
      </w:r>
      <w:r w:rsidRPr="00320A86">
        <w:t>s</w:t>
      </w:r>
      <w:r w:rsidRPr="00320A86">
        <w:t>te ? (I)</w:t>
      </w:r>
    </w:p>
    <w:p w14:paraId="24FF8B76" w14:textId="77777777" w:rsidR="00B01930" w:rsidRPr="00320A86" w:rsidRDefault="00B01930" w:rsidP="00B01930">
      <w:pPr>
        <w:spacing w:before="120" w:after="120"/>
        <w:jc w:val="both"/>
      </w:pPr>
      <w:r w:rsidRPr="00320A86">
        <w:t>Par ailleurs un certain nombre d’assertions et de termes nous inv</w:t>
      </w:r>
      <w:r w:rsidRPr="00320A86">
        <w:t>i</w:t>
      </w:r>
      <w:r w:rsidRPr="00320A86">
        <w:t>tent à nous demander, selon la méthode martrienne, si l’analyse pr</w:t>
      </w:r>
      <w:r w:rsidRPr="00320A86">
        <w:t>o</w:t>
      </w:r>
      <w:r w:rsidRPr="00320A86">
        <w:t>posée ne masque pas une interprétation ayant un tout autre objet que la fonction d’exposition et d’explication d’une problématique. Ne s</w:t>
      </w:r>
      <w:r w:rsidRPr="00320A86">
        <w:t>e</w:t>
      </w:r>
      <w:r w:rsidRPr="00320A86">
        <w:t>rait-on pas en présence d’un discours de « réactualisation » du code n°</w:t>
      </w:r>
      <w:r>
        <w:t> </w:t>
      </w:r>
      <w:r w:rsidRPr="00320A86">
        <w:t>1 (« manichéen inégalitaire ») défini par Jean Louis Martres</w:t>
      </w:r>
      <w:r>
        <w:t> </w:t>
      </w:r>
      <w:r>
        <w:rPr>
          <w:rStyle w:val="Appelnotedebasdep"/>
        </w:rPr>
        <w:footnoteReference w:id="1222"/>
      </w:r>
      <w:r w:rsidRPr="00320A86">
        <w:t> ? En ce cas il y lieu de relever ce qui en serait les signes (II). Ce qui n’enlève rien à la réalité, ou la pertinence, de tels ou tels phénomènes idé</w:t>
      </w:r>
      <w:r w:rsidRPr="00320A86">
        <w:t>o</w:t>
      </w:r>
      <w:r w:rsidRPr="00320A86">
        <w:t>logiques ou sociétaux cités par Emmanuel Sur. Car, comme  le dit Jean Louis Martres, le discours engendré par le code n° 1 s’appuie toujours sur la réalité socio-politique au sein de laquelle il s’élabore.</w:t>
      </w:r>
    </w:p>
    <w:p w14:paraId="7A95EFF3" w14:textId="77777777" w:rsidR="00B01930" w:rsidRPr="00320A86" w:rsidRDefault="00B01930" w:rsidP="00B01930">
      <w:pPr>
        <w:spacing w:before="120" w:after="120"/>
        <w:jc w:val="both"/>
      </w:pPr>
    </w:p>
    <w:p w14:paraId="6523456C" w14:textId="77777777" w:rsidR="00B01930" w:rsidRPr="00320A86" w:rsidRDefault="00B01930" w:rsidP="00B01930">
      <w:pPr>
        <w:pStyle w:val="planche"/>
      </w:pPr>
      <w:r w:rsidRPr="00320A86">
        <w:t>I.</w:t>
      </w:r>
    </w:p>
    <w:p w14:paraId="152B1BBA" w14:textId="77777777" w:rsidR="00B01930" w:rsidRPr="00320A86" w:rsidRDefault="00B01930" w:rsidP="00B01930">
      <w:pPr>
        <w:spacing w:before="120" w:after="120"/>
        <w:jc w:val="both"/>
      </w:pPr>
    </w:p>
    <w:p w14:paraId="31D359BB" w14:textId="77777777" w:rsidR="00B01930" w:rsidRPr="00320A86" w:rsidRDefault="00B01930" w:rsidP="00B01930">
      <w:pPr>
        <w:spacing w:before="120" w:after="120"/>
        <w:jc w:val="both"/>
      </w:pPr>
      <w:r w:rsidRPr="00320A86">
        <w:t>Le calque des idées martriennes apparaît clairement lorsque E</w:t>
      </w:r>
      <w:r w:rsidRPr="00320A86">
        <w:t>m</w:t>
      </w:r>
      <w:r w:rsidRPr="00320A86">
        <w:t>manuel Sur écrit, à propos de nazisme et du communisme, que leur construction est fondée sur l’idée de logique. Il s’agit, dit-il, d’une « partition logique et idéelle » qui se déploie à travers des « circonstances toujours singulières ». Il suffit de la débu</w:t>
      </w:r>
      <w:r w:rsidRPr="00320A86">
        <w:t>s</w:t>
      </w:r>
      <w:r w:rsidRPr="00320A86">
        <w:t>quer sous le nouveau vocabulaire qui leur sert de vecteur. Nous avons là toute l’idée de structure et toute l’épure de l’hypothèse « de base » de Jean-Louis Martres. Emmanuel Sur appelle cette logique « nihilisme du vide » et « nihilisme du trop plein », porteurs de la « culture de mort » (qui affecterait n</w:t>
      </w:r>
      <w:r w:rsidRPr="00320A86">
        <w:t>o</w:t>
      </w:r>
      <w:r w:rsidRPr="00320A86">
        <w:t>tre société). Ce qui fait immanquablement penser au code n° 1, mais autrement dit.</w:t>
      </w:r>
    </w:p>
    <w:p w14:paraId="14262664" w14:textId="77777777" w:rsidR="00B01930" w:rsidRPr="00320A86" w:rsidRDefault="00B01930" w:rsidP="00B01930">
      <w:pPr>
        <w:spacing w:before="120" w:after="120"/>
        <w:jc w:val="both"/>
      </w:pPr>
      <w:r w:rsidRPr="00320A86">
        <w:t>Pour Emmanuel Sur, la  querelle des anciens et des modernes, ou la distinction entre conservatisme et progressisme, ne sont que la tr</w:t>
      </w:r>
      <w:r w:rsidRPr="00320A86">
        <w:t>a</w:t>
      </w:r>
      <w:r w:rsidRPr="00320A86">
        <w:t>duction des deux n</w:t>
      </w:r>
      <w:r w:rsidRPr="00320A86">
        <w:t>i</w:t>
      </w:r>
      <w:r w:rsidRPr="00320A86">
        <w:t>hilismes identifiés.  À y regarder de près on voit que les notions de Bien et de Mal, en leur acception martrienne,  et leurs métamorphoses dans l’analyse ma</w:t>
      </w:r>
      <w:r w:rsidRPr="00320A86">
        <w:t>r</w:t>
      </w:r>
      <w:r w:rsidRPr="00320A86">
        <w:t>trienne du changement des idées politiques, ne sont pas loin.</w:t>
      </w:r>
    </w:p>
    <w:p w14:paraId="169B7A6F" w14:textId="77777777" w:rsidR="00B01930" w:rsidRPr="00320A86" w:rsidRDefault="00B01930" w:rsidP="00B01930">
      <w:pPr>
        <w:spacing w:before="120" w:after="120"/>
        <w:jc w:val="both"/>
      </w:pPr>
      <w:r w:rsidRPr="00320A86">
        <w:t>Emmanuel Sur reprend, d’ailleurs, à son compte, sous le nom de certitude et d’idée de Vérité, la conception martrienne de construction du code n° 1, ainsi que certaines de ses conséquences, comme la r</w:t>
      </w:r>
      <w:r w:rsidRPr="00320A86">
        <w:t>é</w:t>
      </w:r>
      <w:r w:rsidRPr="00320A86">
        <w:t>pression du Mal au nom de l’altruisme. Autre emprunt au corpus ma</w:t>
      </w:r>
      <w:r w:rsidRPr="00320A86">
        <w:t>r</w:t>
      </w:r>
      <w:r w:rsidRPr="00320A86">
        <w:t>trien, mais comme illustration des deux nihilismes, l’aperçu de l’histoire des idées depuis le XIII</w:t>
      </w:r>
      <w:r w:rsidRPr="00320A86">
        <w:rPr>
          <w:vertAlign w:val="superscript"/>
        </w:rPr>
        <w:t>e</w:t>
      </w:r>
      <w:r w:rsidRPr="00320A86">
        <w:t xml:space="preserve"> siècle.</w:t>
      </w:r>
    </w:p>
    <w:p w14:paraId="65B4BF53" w14:textId="77777777" w:rsidR="00B01930" w:rsidRPr="00320A86" w:rsidRDefault="00B01930" w:rsidP="00B01930">
      <w:pPr>
        <w:spacing w:before="120" w:after="120"/>
        <w:jc w:val="both"/>
      </w:pPr>
      <w:r w:rsidRPr="00320A86">
        <w:t>Si donc nous sommes en présence d’un élément essentiel de la pensée martrienne, mais que celui-ci est formulé autrement et que ce</w:t>
      </w:r>
      <w:r w:rsidRPr="00320A86">
        <w:t>t</w:t>
      </w:r>
      <w:r w:rsidRPr="00320A86">
        <w:t>te reformulation est au fondement du « concept » de « caserne liberta</w:t>
      </w:r>
      <w:r w:rsidRPr="00320A86">
        <w:t>i</w:t>
      </w:r>
      <w:r w:rsidRPr="00320A86">
        <w:t>re » dont Emmanuel Sur fait le creuset de tous les maux actuels, on peut légitimement se demander s’il n’y pas lieu de lire le discours dans une perspective toute martrienne. Ce qui veut, alors, décrypter le texte. C’est-à-dire que nous serions en présence d’une interprétation dont la « fabrication » s’est faite selon le mode classique du code n° 1. À savoir que le processus du discours est l’inverse de celui de la pe</w:t>
      </w:r>
      <w:r w:rsidRPr="00320A86">
        <w:t>n</w:t>
      </w:r>
      <w:r w:rsidRPr="00320A86">
        <w:t>sée. Dans celle-ci la conclusion est acquise d’avance (on connaît le Bien)  il suffit de trouver  les arguments (le Mal, i.e. ce qui paraît int</w:t>
      </w:r>
      <w:r w:rsidRPr="00320A86">
        <w:t>o</w:t>
      </w:r>
      <w:r w:rsidRPr="00320A86">
        <w:t>lérable autour de soi) pour la justifier. Le discours développera, lui, d’abord les arguments pour aboutir, d’évidence, à une conclusion qui s’impose d’elle-même et ainsi s’en trouve d’autant plus légitime.</w:t>
      </w:r>
    </w:p>
    <w:p w14:paraId="621CCC89" w14:textId="77777777" w:rsidR="00B01930" w:rsidRPr="00320A86" w:rsidRDefault="00B01930" w:rsidP="00B01930">
      <w:pPr>
        <w:spacing w:before="120" w:after="120"/>
        <w:jc w:val="both"/>
      </w:pPr>
      <w:r w:rsidRPr="00320A86">
        <w:t>Il y a donc lieu de repérer les signes qui permettent d’induire le code de v</w:t>
      </w:r>
      <w:r w:rsidRPr="00320A86">
        <w:t>a</w:t>
      </w:r>
      <w:r w:rsidRPr="00320A86">
        <w:t>leurs. Sachant que selon la logique structurale martrienne il y a un ensemble de liaisons causales « […] de telle sorte que la po</w:t>
      </w:r>
      <w:r w:rsidRPr="00320A86">
        <w:t>s</w:t>
      </w:r>
      <w:r w:rsidRPr="00320A86">
        <w:t>session d’un seul fragment aut</w:t>
      </w:r>
      <w:r w:rsidRPr="00320A86">
        <w:t>o</w:t>
      </w:r>
      <w:r w:rsidRPr="00320A86">
        <w:t>rise à reconstituer l’ensemble [car] la chaîne est entièrement réversible, un seul élément permet de retrouver tous les autres et particulièrement de remonter jusqu’au code de v</w:t>
      </w:r>
      <w:r w:rsidRPr="00320A86">
        <w:t>a</w:t>
      </w:r>
      <w:r w:rsidRPr="00320A86">
        <w:t>leurs qui engendre le système ». Ainsi « […] l’intérêt  réside dans une capacité de “dévoilement” interne de la pensée, forcément ma</w:t>
      </w:r>
      <w:r w:rsidRPr="00320A86">
        <w:t>s</w:t>
      </w:r>
      <w:r w:rsidRPr="00320A86">
        <w:t>quée</w:t>
      </w:r>
      <w:r>
        <w:t> </w:t>
      </w:r>
      <w:r>
        <w:rPr>
          <w:rStyle w:val="Appelnotedebasdep"/>
        </w:rPr>
        <w:footnoteReference w:id="1223"/>
      </w:r>
      <w:r w:rsidRPr="00320A86">
        <w:t> ».</w:t>
      </w:r>
    </w:p>
    <w:p w14:paraId="05DF8781" w14:textId="77777777" w:rsidR="00B01930" w:rsidRPr="00320A86" w:rsidRDefault="00B01930" w:rsidP="00B01930">
      <w:pPr>
        <w:spacing w:before="120" w:after="120"/>
        <w:jc w:val="both"/>
      </w:pPr>
    </w:p>
    <w:p w14:paraId="6B5E0A45" w14:textId="77777777" w:rsidR="00B01930" w:rsidRPr="00320A86" w:rsidRDefault="00B01930" w:rsidP="00B01930">
      <w:pPr>
        <w:pStyle w:val="planche"/>
      </w:pPr>
      <w:r w:rsidRPr="00320A86">
        <w:t>II.</w:t>
      </w:r>
    </w:p>
    <w:p w14:paraId="11BCF1EE" w14:textId="77777777" w:rsidR="00B01930" w:rsidRPr="00320A86" w:rsidRDefault="00B01930" w:rsidP="00B01930">
      <w:pPr>
        <w:spacing w:before="120" w:after="120"/>
        <w:jc w:val="both"/>
      </w:pPr>
    </w:p>
    <w:p w14:paraId="1899EA7D" w14:textId="77777777" w:rsidR="00B01930" w:rsidRPr="00320A86" w:rsidRDefault="00B01930" w:rsidP="00B01930">
      <w:pPr>
        <w:spacing w:before="120" w:after="120"/>
        <w:jc w:val="both"/>
      </w:pPr>
      <w:r w:rsidRPr="00320A86">
        <w:t>Emmanuel Sir nous invite en conclusion à « l’espérance » en citant la Bible (Matthieu)</w:t>
      </w:r>
      <w:r>
        <w:t> </w:t>
      </w:r>
      <w:r>
        <w:rPr>
          <w:rStyle w:val="Appelnotedebasdep"/>
        </w:rPr>
        <w:footnoteReference w:id="1224"/>
      </w:r>
      <w:r w:rsidRPr="00320A86">
        <w:t>. Or l’espérance est un des marqueurs essentiels du code n° 1. Co</w:t>
      </w:r>
      <w:r w:rsidRPr="00320A86">
        <w:t>m</w:t>
      </w:r>
      <w:r w:rsidRPr="00320A86">
        <w:t>me le disait Jean Louis Martres au terme de son exposé sur Platon, figure arch</w:t>
      </w:r>
      <w:r w:rsidRPr="00320A86">
        <w:t>é</w:t>
      </w:r>
      <w:r w:rsidRPr="00320A86">
        <w:t>typale du code n° 1, « le prix à payer pour instaurer la Cité du Bien c’est le totalitarisme. Mais en niant to</w:t>
      </w:r>
      <w:r w:rsidRPr="00320A86">
        <w:t>u</w:t>
      </w:r>
      <w:r w:rsidRPr="00320A86">
        <w:t>tes les aspirations de l’individu on crée un un</w:t>
      </w:r>
      <w:r w:rsidRPr="00320A86">
        <w:t>i</w:t>
      </w:r>
      <w:r w:rsidRPr="00320A86">
        <w:t>vers insupportable et incompréhensible. Comme contrepoids à la tyrannie de La Cité idéale on propose alors à l’homme Le Paradis céleste ou terrestre. Et si l’homme accepte, c’est qu’il croit au Progrès. La suprême récompense qui fait tout acce</w:t>
      </w:r>
      <w:r w:rsidRPr="00320A86">
        <w:t>p</w:t>
      </w:r>
      <w:r w:rsidRPr="00320A86">
        <w:t>ter c’est l’Espoir</w:t>
      </w:r>
      <w:r>
        <w:t> </w:t>
      </w:r>
      <w:r>
        <w:rPr>
          <w:rStyle w:val="Appelnotedebasdep"/>
        </w:rPr>
        <w:footnoteReference w:id="1225"/>
      </w:r>
      <w:r w:rsidRPr="00320A86">
        <w:t> ».</w:t>
      </w:r>
    </w:p>
    <w:p w14:paraId="63C58BA2" w14:textId="77777777" w:rsidR="00B01930" w:rsidRPr="00320A86" w:rsidRDefault="00B01930" w:rsidP="00B01930">
      <w:pPr>
        <w:spacing w:before="120" w:after="120"/>
        <w:jc w:val="both"/>
      </w:pPr>
      <w:r w:rsidRPr="00320A86">
        <w:t>L’espérance  postule qu’il y a donc une Bien et un Mal qui sous-tendent le discours.  Quel est ce Mal ? Quels sont les maux représent</w:t>
      </w:r>
      <w:r w:rsidRPr="00320A86">
        <w:t>a</w:t>
      </w:r>
      <w:r w:rsidRPr="00320A86">
        <w:t xml:space="preserve">tifs de la « culture de mort » qui caractériserait notre société ? </w:t>
      </w:r>
    </w:p>
    <w:p w14:paraId="2C8AB7F8" w14:textId="77777777" w:rsidR="00B01930" w:rsidRPr="00320A86" w:rsidRDefault="00B01930" w:rsidP="00B01930">
      <w:pPr>
        <w:spacing w:before="120" w:after="120"/>
        <w:jc w:val="both"/>
      </w:pPr>
      <w:r w:rsidRPr="00320A86">
        <w:t>En une formule percutante Emmanuel Sur identifie la cause du Mal « la c</w:t>
      </w:r>
      <w:r w:rsidRPr="00320A86">
        <w:t>a</w:t>
      </w:r>
      <w:r w:rsidRPr="00320A86">
        <w:t>serne libertaire » toute entière fondée  sur une « structure de certitude</w:t>
      </w:r>
      <w:r>
        <w:t> </w:t>
      </w:r>
      <w:r>
        <w:rPr>
          <w:rStyle w:val="Appelnotedebasdep"/>
        </w:rPr>
        <w:footnoteReference w:id="1226"/>
      </w:r>
      <w:r w:rsidRPr="00320A86">
        <w:t> ». Cet oxymore, aussi séduisant que doté d’une grande plasticité qui autorise d’y incl</w:t>
      </w:r>
      <w:r w:rsidRPr="00320A86">
        <w:t>u</w:t>
      </w:r>
      <w:r w:rsidRPr="00320A86">
        <w:t>re tout ce que l’auteur considérera comme non conforme au Bien.</w:t>
      </w:r>
    </w:p>
    <w:p w14:paraId="60C07112" w14:textId="77777777" w:rsidR="00B01930" w:rsidRPr="00320A86" w:rsidRDefault="00B01930" w:rsidP="00B01930">
      <w:pPr>
        <w:spacing w:before="120" w:after="120"/>
        <w:jc w:val="both"/>
      </w:pPr>
      <w:r w:rsidRPr="00320A86">
        <w:t>Une première caractéristique de cette structure est le fait que la « caserne l</w:t>
      </w:r>
      <w:r w:rsidRPr="00320A86">
        <w:t>i</w:t>
      </w:r>
      <w:r w:rsidRPr="00320A86">
        <w:t>bertaire », nihiliste, célèbre l’absence de dogmes. Donc a contrario cela signifie que la Cité « surienne »  doit se construire sur la Vérité, connue de l’auteur. Pour lui l’indifférenciation des croyances aboutit à ce que la « caserne libertaire » ne voit pas la différence entre le christianisme et l’islam. Selon lui la religion chr</w:t>
      </w:r>
      <w:r w:rsidRPr="00320A86">
        <w:t>é</w:t>
      </w:r>
      <w:r w:rsidRPr="00320A86">
        <w:t>tienne se fonde sur le péché originel, le pardon, l’espérance, la charité et la diff</w:t>
      </w:r>
      <w:r w:rsidRPr="00320A86">
        <w:t>é</w:t>
      </w:r>
      <w:r w:rsidRPr="00320A86">
        <w:t>renciation entre pouvoir spirituel et pouvoir temporel. Alors que l’Islam se c</w:t>
      </w:r>
      <w:r w:rsidRPr="00320A86">
        <w:t>a</w:t>
      </w:r>
      <w:r w:rsidRPr="00320A86">
        <w:t>ractérise, pour l’essentiel, par la fusion des deux pouvoirs et la pre</w:t>
      </w:r>
      <w:r w:rsidRPr="00320A86">
        <w:t>s</w:t>
      </w:r>
      <w:r w:rsidRPr="00320A86">
        <w:t>cription, dans certaines sourates, de l’acte de tuer</w:t>
      </w:r>
      <w:r>
        <w:t> </w:t>
      </w:r>
      <w:r>
        <w:rPr>
          <w:rStyle w:val="Appelnotedebasdep"/>
        </w:rPr>
        <w:footnoteReference w:id="1227"/>
      </w:r>
      <w:r w:rsidRPr="00320A86">
        <w:t>. L’Inquisition est éludée ; selon lui c’est le discours officiel (i.e. « la caserne liberta</w:t>
      </w:r>
      <w:r w:rsidRPr="00320A86">
        <w:t>i</w:t>
      </w:r>
      <w:r w:rsidRPr="00320A86">
        <w:t>re ») qui s’en sert pour souligner le danger de toutes les religions…</w:t>
      </w:r>
      <w:r>
        <w:t xml:space="preserve"> </w:t>
      </w:r>
      <w:r w:rsidRPr="00320A86">
        <w:t>On mesure le fossé qui sépare l’analyse ma</w:t>
      </w:r>
      <w:r w:rsidRPr="00320A86">
        <w:t>r</w:t>
      </w:r>
      <w:r w:rsidRPr="00320A86">
        <w:t>trienne de l’exposé d’Emmanuel Sur. En effet la première permet justement de compre</w:t>
      </w:r>
      <w:r w:rsidRPr="00320A86">
        <w:t>n</w:t>
      </w:r>
      <w:r w:rsidRPr="00320A86">
        <w:t>dre pourquoi, le christianisme, en dépit de son discours, a par exe</w:t>
      </w:r>
      <w:r w:rsidRPr="00320A86">
        <w:t>m</w:t>
      </w:r>
      <w:r w:rsidRPr="00320A86">
        <w:t>ples : dès qu’il fût en capacité de le faire persécuta  violemment les païens puis tous les non chrétiens, instaura l’Inquisition  et L’Index,  ou n’a pas empêché  au XI</w:t>
      </w:r>
      <w:r w:rsidRPr="00320A86">
        <w:rPr>
          <w:vertAlign w:val="superscript"/>
        </w:rPr>
        <w:t>e</w:t>
      </w:r>
      <w:r w:rsidRPr="00320A86">
        <w:t xml:space="preserve"> siècle la théocratie pontificale. Ou bien encore pourquoi au sein du prote</w:t>
      </w:r>
      <w:r w:rsidRPr="00320A86">
        <w:t>s</w:t>
      </w:r>
      <w:r w:rsidRPr="00320A86">
        <w:t>tantisme on vit des phénomènes de persécution similaires à ceux qu’il dénonçait. Comme le soulignait Jean Louis Martres, et pour les mêmes raisons structurales, le ma</w:t>
      </w:r>
      <w:r w:rsidRPr="00320A86">
        <w:t>r</w:t>
      </w:r>
      <w:r w:rsidRPr="00320A86">
        <w:t>xisme – qui se veut matérialiste et scientifique – a fini par la terreur et les procès « staliniens »</w:t>
      </w:r>
      <w:r>
        <w:t> </w:t>
      </w:r>
      <w:r>
        <w:rPr>
          <w:rStyle w:val="Appelnotedebasdep"/>
        </w:rPr>
        <w:footnoteReference w:id="1228"/>
      </w:r>
      <w:r w:rsidRPr="00320A86">
        <w:t>.</w:t>
      </w:r>
    </w:p>
    <w:p w14:paraId="51BEA06C" w14:textId="77777777" w:rsidR="00B01930" w:rsidRPr="00320A86" w:rsidRDefault="00B01930" w:rsidP="00B01930">
      <w:pPr>
        <w:spacing w:before="120" w:after="120"/>
        <w:jc w:val="both"/>
      </w:pPr>
      <w:r w:rsidRPr="00320A86">
        <w:t>Un deuxième dogme spécifie la « caserne libertaire ». C’est l’Égalité. Le dogme égalitaire génère une extraordinaire violence. Emmanuel Sur n’hésite pas à mettre sur le compte de ce dogme l’islamisme qui ne serait qu’une réaction paroxystique de « la logique de non-égalité » au cœur de celui-ci. L’islamisme  est, pour Emm</w:t>
      </w:r>
      <w:r w:rsidRPr="00320A86">
        <w:t>a</w:t>
      </w:r>
      <w:r w:rsidRPr="00320A86">
        <w:t>nuel Sur, l’ennemi providentiel. Par un extraordinaire retourn</w:t>
      </w:r>
      <w:r w:rsidRPr="00320A86">
        <w:t>e</w:t>
      </w:r>
      <w:r w:rsidRPr="00320A86">
        <w:t>ment du raisonnement il explique qu’il est notre Mal qui justifie notre Bien (i.e. « la caserne libertaire », qui pour lui est donc Le Mal). Par là-même l’islamisme » nourrit notre supériorité égalitaire ». Mieux la qualification de te</w:t>
      </w:r>
      <w:r w:rsidRPr="00320A86">
        <w:t>r</w:t>
      </w:r>
      <w:r w:rsidRPr="00320A86">
        <w:t>roriste n’est qu’une figure du discours sécuritaire de la « caserne libertaire » et « s’il y a un mot terroriste, c’est bien le mot terrorisme, puisqu’il justifie tout et n’explique rien de la culture de mort ». Suprême paradoxe, on pourrait penser que le djihadisme – en sa forme extrême de « l’état islamique » (Daesh) qui décapite, vi</w:t>
      </w:r>
      <w:r w:rsidRPr="00320A86">
        <w:t>o</w:t>
      </w:r>
      <w:r w:rsidRPr="00320A86">
        <w:t>le en masse, mutile, projette partout ses bombes humaines- serait l’archétype de la  « culture de mort ». Emmanuel Sur n’en dit mot, car dans une stricte logique du code n° 1, seule « la caserne libertaire » est le Mal, elle seule donc incarne « la culture de mort » et est respons</w:t>
      </w:r>
      <w:r w:rsidRPr="00320A86">
        <w:t>a</w:t>
      </w:r>
      <w:r w:rsidRPr="00320A86">
        <w:t>ble de cette terreur islamiste. Supprimez le Mal (« la caserne liberta</w:t>
      </w:r>
      <w:r w:rsidRPr="00320A86">
        <w:t>i</w:t>
      </w:r>
      <w:r w:rsidRPr="00320A86">
        <w:t>re »)  et tout rentrera dans l’ordre. Tout autre interprétation reviendrait à  relativiser la « caserne libertaire » donc le Mal et donc ruiner  la démonstration.</w:t>
      </w:r>
    </w:p>
    <w:p w14:paraId="191D23C2" w14:textId="77777777" w:rsidR="00B01930" w:rsidRPr="00320A86" w:rsidRDefault="00B01930" w:rsidP="00B01930">
      <w:pPr>
        <w:spacing w:before="120" w:after="120"/>
        <w:jc w:val="both"/>
      </w:pPr>
      <w:r w:rsidRPr="00320A86">
        <w:t>Une troisième caractéristique détermine la « caserne libertaire ». « En plus de l’obsession égalitaire [elle] affectionne […] le simul</w:t>
      </w:r>
      <w:r w:rsidRPr="00320A86">
        <w:t>a</w:t>
      </w:r>
      <w:r w:rsidRPr="00320A86">
        <w:t>cre ». Les esprits ne pe</w:t>
      </w:r>
      <w:r w:rsidRPr="00320A86">
        <w:t>u</w:t>
      </w:r>
      <w:r w:rsidRPr="00320A86">
        <w:t>vent exprimer que des opinions puisque la connaissance et sa compréhension sont délimitées par « la structure de certitude ». Emmanuel Sur énumère comme exemples</w:t>
      </w:r>
      <w:r>
        <w:t> </w:t>
      </w:r>
      <w:r>
        <w:rPr>
          <w:rStyle w:val="Appelnotedebasdep"/>
        </w:rPr>
        <w:footnoteReference w:id="1229"/>
      </w:r>
      <w:r w:rsidRPr="00320A86">
        <w:t> :</w:t>
      </w:r>
    </w:p>
    <w:p w14:paraId="0DF178C2" w14:textId="77777777" w:rsidR="00B01930" w:rsidRPr="00320A86" w:rsidRDefault="00B01930" w:rsidP="00B01930">
      <w:pPr>
        <w:spacing w:before="120" w:after="120"/>
        <w:jc w:val="both"/>
      </w:pPr>
      <w:r w:rsidRPr="00320A86">
        <w:t xml:space="preserve">– « … le triomphe de </w:t>
      </w:r>
      <w:r w:rsidRPr="00970D6C">
        <w:rPr>
          <w:i/>
        </w:rPr>
        <w:t>l’inculture </w:t>
      </w:r>
      <w:r>
        <w:rPr>
          <w:rStyle w:val="Appelnotedebasdep"/>
        </w:rPr>
        <w:footnoteReference w:id="1230"/>
      </w:r>
      <w:r w:rsidRPr="00320A86">
        <w:t xml:space="preserve"> » sans autre précision. Car peut-on définir l’inculture autrement que par ce qu’on entend par culture ? Mais celle-ci peut- elle être définie de façon universelle, pour l’appliquer en tous lieux et toutes époques ? Rien n’est moins sûr. Même à l’échelle de La France, aura-t-elle le même contenu selon les époques ? </w:t>
      </w:r>
      <w:r>
        <w:t>À</w:t>
      </w:r>
      <w:r w:rsidRPr="00320A86">
        <w:t xml:space="preserve"> l’intérieur d’un même siècle ce qu’on e</w:t>
      </w:r>
      <w:r w:rsidRPr="00320A86">
        <w:t>n</w:t>
      </w:r>
      <w:r w:rsidRPr="00320A86">
        <w:t>tend comme culture (donc inculture) est-il constant ? Autre problème selon le n</w:t>
      </w:r>
      <w:r w:rsidRPr="00320A86">
        <w:t>i</w:t>
      </w:r>
      <w:r w:rsidRPr="00320A86">
        <w:t xml:space="preserve">veau du cursus scolaire la culture peut-elle s’apprécier </w:t>
      </w:r>
      <w:r w:rsidRPr="00970D6C">
        <w:rPr>
          <w:i/>
        </w:rPr>
        <w:t>in abstracto </w:t>
      </w:r>
      <w:r w:rsidRPr="00320A86">
        <w:t>? Ainsi e</w:t>
      </w:r>
      <w:r w:rsidRPr="00320A86">
        <w:t>n</w:t>
      </w:r>
      <w:r w:rsidRPr="00320A86">
        <w:t xml:space="preserve">tre le primaire, le secondaire et le supérieur ? Ce qui pose aussi la question des catégories (classes) sociales qui, on le sait, n’accèdent pas toutes aux mêmes filières. Va-t-on alors faire entrer un critère subjectif de l’ordre du préjugé ? En « haut » du cursus – par nature donc – on serait cultivé, en bas « inculte ». </w:t>
      </w:r>
    </w:p>
    <w:p w14:paraId="03B2758F" w14:textId="77777777" w:rsidR="00B01930" w:rsidRPr="00320A86" w:rsidRDefault="00B01930" w:rsidP="00B01930">
      <w:pPr>
        <w:spacing w:before="120" w:after="120"/>
        <w:jc w:val="both"/>
      </w:pPr>
      <w:r w:rsidRPr="00320A86">
        <w:t>En réalité la réponse nous est donnée par la logique du code n° 1. Ceux qui détiennent La Vérité, les « experts » du Bien et du Mal déf</w:t>
      </w:r>
      <w:r w:rsidRPr="00320A86">
        <w:t>i</w:t>
      </w:r>
      <w:r w:rsidRPr="00320A86">
        <w:t>niront la culture et donc l’inculture. Emmanuel Sur, à son tour, tombe dans les rets du code, qu’il appelle « la logique de certitude » qu’il rejette pourtant dans son discours.</w:t>
      </w:r>
    </w:p>
    <w:p w14:paraId="7054A292" w14:textId="77777777" w:rsidR="00B01930" w:rsidRPr="00320A86" w:rsidRDefault="00B01930" w:rsidP="00B01930">
      <w:pPr>
        <w:spacing w:before="120" w:after="120"/>
        <w:jc w:val="both"/>
      </w:pPr>
      <w:r w:rsidRPr="00320A86">
        <w:t xml:space="preserve">Dans le même ordre d’idées il récuse le cinéma actuel et l’accès à la culture via </w:t>
      </w:r>
      <w:r w:rsidRPr="00970D6C">
        <w:rPr>
          <w:i/>
        </w:rPr>
        <w:t>Internet</w:t>
      </w:r>
      <w:r w:rsidRPr="00320A86">
        <w:t>.</w:t>
      </w:r>
    </w:p>
    <w:p w14:paraId="79EDC102" w14:textId="77777777" w:rsidR="00B01930" w:rsidRPr="00320A86" w:rsidRDefault="00B01930" w:rsidP="00B01930">
      <w:pPr>
        <w:spacing w:before="120" w:after="120"/>
        <w:jc w:val="both"/>
      </w:pPr>
      <w:r w:rsidRPr="00320A86">
        <w:t>Enfin parmi les atours de la « caserne libertaire »  on peut relever :</w:t>
      </w:r>
    </w:p>
    <w:p w14:paraId="3112613D" w14:textId="77777777" w:rsidR="00B01930" w:rsidRPr="00320A86" w:rsidRDefault="00B01930" w:rsidP="00B01930">
      <w:pPr>
        <w:spacing w:before="120" w:after="120"/>
        <w:jc w:val="both"/>
      </w:pPr>
      <w:r w:rsidRPr="00320A86">
        <w:t xml:space="preserve">– l’État qui ne fait qu’entériner </w:t>
      </w:r>
      <w:r w:rsidRPr="00970D6C">
        <w:rPr>
          <w:i/>
        </w:rPr>
        <w:t>ce qui est</w:t>
      </w:r>
      <w:r w:rsidRPr="00320A86">
        <w:t xml:space="preserve">  alors, dit-il, qu’il devrait s’exprimer sur le mode de </w:t>
      </w:r>
      <w:r w:rsidRPr="00970D6C">
        <w:rPr>
          <w:i/>
        </w:rPr>
        <w:t>ce qui doit être</w:t>
      </w:r>
      <w:r w:rsidRPr="00320A86">
        <w:t>. Il s’en évince une produ</w:t>
      </w:r>
      <w:r w:rsidRPr="00320A86">
        <w:t>c</w:t>
      </w:r>
      <w:r w:rsidRPr="00320A86">
        <w:t>tion juridique qui vise simplement à enregistrer et à garantir les prat</w:t>
      </w:r>
      <w:r w:rsidRPr="00320A86">
        <w:t>i</w:t>
      </w:r>
      <w:r w:rsidRPr="00320A86">
        <w:t>ques sociales poss</w:t>
      </w:r>
      <w:r w:rsidRPr="00320A86">
        <w:t>i</w:t>
      </w:r>
      <w:r w:rsidRPr="00320A86">
        <w:t>bles.  Ce qui s’avère être un processus sans limites d’autant que pour parvenir à en légaliser toujours plus il suffit de promouvoir la lutte contre les discrimin</w:t>
      </w:r>
      <w:r w:rsidRPr="00320A86">
        <w:t>a</w:t>
      </w:r>
      <w:r w:rsidRPr="00320A86">
        <w:t>tions. Car la discrimination résulte « […] de la comparaison entre deux situ</w:t>
      </w:r>
      <w:r w:rsidRPr="00320A86">
        <w:t>a</w:t>
      </w:r>
      <w:r w:rsidRPr="00320A86">
        <w:t>tions », donc il y aura autant de discriminations que de situations différentes. Le code n° 1 se révèle pleinement lorsqu’Emmanuel Sur appelle à une « […] dér</w:t>
      </w:r>
      <w:r w:rsidRPr="00320A86">
        <w:t>è</w:t>
      </w:r>
      <w:r w:rsidRPr="00320A86">
        <w:t>glementation salvatrice</w:t>
      </w:r>
      <w:r>
        <w:t> </w:t>
      </w:r>
      <w:r>
        <w:rPr>
          <w:rStyle w:val="Appelnotedebasdep"/>
        </w:rPr>
        <w:footnoteReference w:id="1231"/>
      </w:r>
      <w:r w:rsidRPr="00320A86">
        <w:t> » contre les progrès du Droit et lorsqu’il a</w:t>
      </w:r>
      <w:r w:rsidRPr="00320A86">
        <w:t>f</w:t>
      </w:r>
      <w:r w:rsidRPr="00320A86">
        <w:t xml:space="preserve">firme qu’il y a </w:t>
      </w:r>
      <w:r w:rsidRPr="00970D6C">
        <w:rPr>
          <w:i/>
        </w:rPr>
        <w:t>désacralisation </w:t>
      </w:r>
      <w:r>
        <w:rPr>
          <w:rStyle w:val="Appelnotedebasdep"/>
        </w:rPr>
        <w:footnoteReference w:id="1232"/>
      </w:r>
      <w:r w:rsidRPr="00320A86">
        <w:t xml:space="preserve"> des corps et évanouissement de la </w:t>
      </w:r>
      <w:r w:rsidRPr="00970D6C">
        <w:rPr>
          <w:i/>
        </w:rPr>
        <w:t>transcendance </w:t>
      </w:r>
      <w:r>
        <w:rPr>
          <w:rStyle w:val="Appelnotedebasdep"/>
        </w:rPr>
        <w:footnoteReference w:id="1233"/>
      </w:r>
      <w:r w:rsidRPr="00320A86">
        <w:t xml:space="preserve"> et du </w:t>
      </w:r>
      <w:r w:rsidRPr="00970D6C">
        <w:rPr>
          <w:i/>
        </w:rPr>
        <w:t>ra</w:t>
      </w:r>
      <w:r w:rsidRPr="00970D6C">
        <w:rPr>
          <w:i/>
        </w:rPr>
        <w:t>p</w:t>
      </w:r>
      <w:r w:rsidRPr="00970D6C">
        <w:rPr>
          <w:i/>
        </w:rPr>
        <w:t>port mystique </w:t>
      </w:r>
      <w:r>
        <w:rPr>
          <w:rStyle w:val="Appelnotedebasdep"/>
        </w:rPr>
        <w:footnoteReference w:id="1234"/>
      </w:r>
      <w:r w:rsidRPr="00320A86">
        <w:t xml:space="preserve"> entre le Créateur</w:t>
      </w:r>
      <w:r>
        <w:t> </w:t>
      </w:r>
      <w:r>
        <w:rPr>
          <w:rStyle w:val="Appelnotedebasdep"/>
        </w:rPr>
        <w:footnoteReference w:id="1235"/>
      </w:r>
      <w:r>
        <w:t xml:space="preserve"> </w:t>
      </w:r>
      <w:r w:rsidRPr="00320A86">
        <w:t>et le corps des hommes.</w:t>
      </w:r>
    </w:p>
    <w:p w14:paraId="29293036" w14:textId="77777777" w:rsidR="00B01930" w:rsidRPr="00320A86" w:rsidRDefault="00B01930" w:rsidP="00B01930">
      <w:pPr>
        <w:spacing w:before="120" w:after="120"/>
        <w:jc w:val="both"/>
      </w:pPr>
      <w:r w:rsidRPr="00320A86">
        <w:t>Dès lors sont considérés comme maux, la non acceptation de la douleur, l’avortement, l’évitement de la  mort, la pratique de l’euthanasie (inéluctable selon lui) qui ne conclura plus la mort  mais ce que la « </w:t>
      </w:r>
      <w:r w:rsidRPr="00970D6C">
        <w:rPr>
          <w:i/>
        </w:rPr>
        <w:t>caserne libertaire </w:t>
      </w:r>
      <w:r w:rsidRPr="00320A86">
        <w:t>» nomme « </w:t>
      </w:r>
      <w:r w:rsidRPr="00970D6C">
        <w:rPr>
          <w:i/>
        </w:rPr>
        <w:t>fin de vie ».</w:t>
      </w:r>
      <w:r w:rsidRPr="00320A86">
        <w:t xml:space="preserve"> Il y a, pour lui, négation du </w:t>
      </w:r>
      <w:r w:rsidRPr="00970D6C">
        <w:rPr>
          <w:i/>
        </w:rPr>
        <w:t>mystère et l’inhumanité </w:t>
      </w:r>
      <w:r>
        <w:rPr>
          <w:rStyle w:val="Appelnotedebasdep"/>
        </w:rPr>
        <w:footnoteReference w:id="1236"/>
      </w:r>
      <w:r w:rsidRPr="00320A86">
        <w:t xml:space="preserve"> a déjà triomphé.</w:t>
      </w:r>
    </w:p>
    <w:p w14:paraId="2C2B534C" w14:textId="77777777" w:rsidR="00B01930" w:rsidRDefault="00B01930" w:rsidP="00B01930">
      <w:pPr>
        <w:spacing w:before="120" w:after="120"/>
        <w:jc w:val="both"/>
      </w:pPr>
      <w:r w:rsidRPr="00320A86">
        <w:t xml:space="preserve">Si le Bien n’est pas décrit explicitement  il n’est que de suivre la méthode martrienne pour en connaître les contours, à savoir que ce sera l’inverse du Mal dénoncé. Nous n’en ferons pas le descriptif puisqu’il est donc d’évidence et que les  assertions et la terminologie employée par Emmanuel Sur (soulignée par nos soins ci-dessus) nous donnent des indications sur le </w:t>
      </w:r>
      <w:r w:rsidRPr="00970D6C">
        <w:rPr>
          <w:i/>
        </w:rPr>
        <w:t>corpus</w:t>
      </w:r>
      <w:r w:rsidRPr="00320A86">
        <w:t xml:space="preserve"> de rattachement du Bien. Disons de façon élémentaire que le Bien en son essence est un hymne à la vie en sa formulation transcendantale chrétienne voire catholique</w:t>
      </w:r>
      <w:r>
        <w:t> </w:t>
      </w:r>
      <w:r>
        <w:rPr>
          <w:rStyle w:val="Appelnotedebasdep"/>
        </w:rPr>
        <w:footnoteReference w:id="1237"/>
      </w:r>
      <w:r w:rsidRPr="00320A86">
        <w:t xml:space="preserve">, </w:t>
      </w:r>
      <w:r w:rsidRPr="00970D6C">
        <w:rPr>
          <w:i/>
        </w:rPr>
        <w:t>co</w:t>
      </w:r>
      <w:r w:rsidRPr="00970D6C">
        <w:rPr>
          <w:i/>
        </w:rPr>
        <w:t>r</w:t>
      </w:r>
      <w:r w:rsidRPr="00970D6C">
        <w:rPr>
          <w:i/>
        </w:rPr>
        <w:t>pus</w:t>
      </w:r>
      <w:r w:rsidRPr="00320A86">
        <w:t xml:space="preserve"> d’autant plus prégnant si on relit (</w:t>
      </w:r>
      <w:r w:rsidRPr="00970D6C">
        <w:rPr>
          <w:i/>
        </w:rPr>
        <w:t>cf. supra</w:t>
      </w:r>
      <w:r w:rsidRPr="00320A86">
        <w:t>) les propos tenus sur le christianisme et l’Islam. D’ailleurs la notion de « culture de mort » est un thème professé par l’Église catholique pour dénoncer l’évolution des sociétés occidentales.</w:t>
      </w:r>
    </w:p>
    <w:p w14:paraId="15274F9F" w14:textId="77777777" w:rsidR="00B01930" w:rsidRPr="00320A86" w:rsidRDefault="00B01930" w:rsidP="00B01930">
      <w:pPr>
        <w:spacing w:before="120" w:after="120"/>
        <w:jc w:val="both"/>
      </w:pPr>
    </w:p>
    <w:p w14:paraId="20264567" w14:textId="77777777" w:rsidR="00B01930" w:rsidRDefault="00B01930" w:rsidP="00B01930">
      <w:pPr>
        <w:pStyle w:val="planche"/>
      </w:pPr>
      <w:r w:rsidRPr="00320A86">
        <w:t>Conclusion</w:t>
      </w:r>
    </w:p>
    <w:p w14:paraId="7741548F" w14:textId="77777777" w:rsidR="00B01930" w:rsidRPr="00320A86" w:rsidRDefault="00B01930" w:rsidP="00B01930">
      <w:pPr>
        <w:spacing w:before="120" w:after="120"/>
        <w:jc w:val="both"/>
      </w:pPr>
    </w:p>
    <w:p w14:paraId="2055F17B" w14:textId="77777777" w:rsidR="00B01930" w:rsidRPr="00320A86" w:rsidRDefault="00B01930" w:rsidP="00B01930">
      <w:pPr>
        <w:spacing w:before="120" w:after="120"/>
        <w:jc w:val="both"/>
      </w:pPr>
      <w:r w:rsidRPr="00320A86">
        <w:t>« On ne badine pas avec la force » écrivait Pierre Hassner</w:t>
      </w:r>
      <w:r>
        <w:t> </w:t>
      </w:r>
      <w:r>
        <w:rPr>
          <w:rStyle w:val="Appelnotedebasdep"/>
        </w:rPr>
        <w:footnoteReference w:id="1238"/>
      </w:r>
      <w:r w:rsidRPr="00320A86">
        <w:t>. Osons reformuler la formule pour notre propos de la manière suiva</w:t>
      </w:r>
      <w:r w:rsidRPr="00320A86">
        <w:t>n</w:t>
      </w:r>
      <w:r w:rsidRPr="00320A86">
        <w:t>te : on ne badine pas avec l’analyse martrienne des idées politiques. « La lecture symptômale</w:t>
      </w:r>
      <w:r>
        <w:t> </w:t>
      </w:r>
      <w:r>
        <w:rPr>
          <w:rStyle w:val="Appelnotedebasdep"/>
        </w:rPr>
        <w:footnoteReference w:id="1239"/>
      </w:r>
      <w:r w:rsidRPr="00320A86">
        <w:t> » martrie</w:t>
      </w:r>
      <w:r w:rsidRPr="00320A86">
        <w:t>n</w:t>
      </w:r>
      <w:r w:rsidRPr="00320A86">
        <w:t>ne permet de décrypter sous les habits de la « raison raisonnante » ou le détour de la « forme » phil</w:t>
      </w:r>
      <w:r w:rsidRPr="00320A86">
        <w:t>o</w:t>
      </w:r>
      <w:r w:rsidRPr="00320A86">
        <w:t>sophique « qui ennoblit le sujet</w:t>
      </w:r>
      <w:r>
        <w:t> </w:t>
      </w:r>
      <w:r>
        <w:rPr>
          <w:rStyle w:val="Appelnotedebasdep"/>
        </w:rPr>
        <w:footnoteReference w:id="1240"/>
      </w:r>
      <w:r w:rsidRPr="00320A86">
        <w:t> » le ressort profond du discours, c’est-à-dire le code qui y préside, et donc sa nature réelle.</w:t>
      </w:r>
      <w:r>
        <w:t xml:space="preserve"> </w:t>
      </w:r>
      <w:r w:rsidRPr="00320A86">
        <w:t>En l’occurrence s’inspirer, sous d’autres formes, telle ou telle  idée essentielle martrienne ne su</w:t>
      </w:r>
      <w:r w:rsidRPr="00320A86">
        <w:t>f</w:t>
      </w:r>
      <w:r w:rsidRPr="00320A86">
        <w:t>fit pas pour éviter d’être pris dans les filets du code « manichéen in</w:t>
      </w:r>
      <w:r w:rsidRPr="00320A86">
        <w:t>é</w:t>
      </w:r>
      <w:r w:rsidRPr="00320A86">
        <w:t>galitaire ».</w:t>
      </w:r>
    </w:p>
    <w:p w14:paraId="1C1DB528" w14:textId="77777777" w:rsidR="00B01930" w:rsidRPr="00320A86" w:rsidRDefault="00B01930" w:rsidP="00B01930">
      <w:pPr>
        <w:spacing w:before="120" w:after="120"/>
        <w:jc w:val="both"/>
      </w:pPr>
      <w:r w:rsidRPr="00320A86">
        <w:t>Nous avons pu mettre en évidence celui-ci et formuler l’hypothèse de ratt</w:t>
      </w:r>
      <w:r w:rsidRPr="00320A86">
        <w:t>a</w:t>
      </w:r>
      <w:r w:rsidRPr="00320A86">
        <w:t>cher le contenu du Bien implicite au christianisme – si ce n’est à sa version catholique – lequel est l’expression la plus proche du m</w:t>
      </w:r>
      <w:r w:rsidRPr="00320A86">
        <w:t>o</w:t>
      </w:r>
      <w:r w:rsidRPr="00320A86">
        <w:t>dèle n° 1, qui en se réal</w:t>
      </w:r>
      <w:r w:rsidRPr="00320A86">
        <w:t>i</w:t>
      </w:r>
      <w:r w:rsidRPr="00320A86">
        <w:t>sant a opéré une coupure radicale</w:t>
      </w:r>
      <w:r>
        <w:t> </w:t>
      </w:r>
      <w:r>
        <w:rPr>
          <w:rStyle w:val="Appelnotedebasdep"/>
        </w:rPr>
        <w:footnoteReference w:id="1241"/>
      </w:r>
      <w:r w:rsidRPr="00320A86">
        <w:t xml:space="preserve"> avec le monde antique et marqué pour plus de 2000 ans l’Occident.</w:t>
      </w:r>
    </w:p>
    <w:p w14:paraId="3ABB7F39" w14:textId="77777777" w:rsidR="00B01930" w:rsidRPr="00320A86" w:rsidRDefault="00B01930" w:rsidP="00B01930">
      <w:pPr>
        <w:spacing w:before="120" w:after="120"/>
        <w:jc w:val="both"/>
      </w:pPr>
      <w:r w:rsidRPr="00320A86">
        <w:t>Aussi à rebours de l’explication d’Emmanuel Sur concernant la cause des maux actuels « la caserne libertaire », et du remède à appo</w:t>
      </w:r>
      <w:r w:rsidRPr="00320A86">
        <w:t>r</w:t>
      </w:r>
      <w:r w:rsidRPr="00320A86">
        <w:t>ter au Mal ainsi déf</w:t>
      </w:r>
      <w:r w:rsidRPr="00320A86">
        <w:t>i</w:t>
      </w:r>
      <w:r w:rsidRPr="00320A86">
        <w:t>ni, le Bien tel qu’il transparaît, et est esquissé ci-dessus, nous pouvons dire avec Jean Louis Martres que s’ils « […] subsistent dans les démocraties certains mots et ressorts manichéens [et que] le relativisme, fondement de la démocratie, se trouve infiltré par un manichéisme masqué […] rien désormais ne peut plus év</w:t>
      </w:r>
      <w:r w:rsidRPr="00320A86">
        <w:t>i</w:t>
      </w:r>
      <w:r w:rsidRPr="00320A86">
        <w:t>ter que le Bien ne soit “glissant”, impossible à déterminer a priori, étro</w:t>
      </w:r>
      <w:r w:rsidRPr="00320A86">
        <w:t>i</w:t>
      </w:r>
      <w:r w:rsidRPr="00320A86">
        <w:t>tement soumis aux avatars du temps. L’illusion d’une transcendance vertueuse cache […] la fluidité déconcertante des “multiples biens” démocratiques</w:t>
      </w:r>
      <w:r>
        <w:t> </w:t>
      </w:r>
      <w:r>
        <w:rPr>
          <w:rStyle w:val="Appelnotedebasdep"/>
        </w:rPr>
        <w:footnoteReference w:id="1242"/>
      </w:r>
      <w:r w:rsidRPr="00320A86">
        <w:t>. La seule boussole qu’un démocrate peut accepter […] se limite à dire le permis et l’interdit, et non à décider Le Bien et  Le Mal</w:t>
      </w:r>
      <w:r>
        <w:t> </w:t>
      </w:r>
      <w:r>
        <w:rPr>
          <w:rStyle w:val="Appelnotedebasdep"/>
        </w:rPr>
        <w:footnoteReference w:id="1243"/>
      </w:r>
      <w:r w:rsidRPr="00320A86">
        <w:t> ».</w:t>
      </w:r>
    </w:p>
    <w:p w14:paraId="460C7051" w14:textId="77777777" w:rsidR="00B01930" w:rsidRPr="00320A86" w:rsidRDefault="00B01930" w:rsidP="00B01930">
      <w:pPr>
        <w:spacing w:before="120" w:after="120"/>
        <w:jc w:val="both"/>
      </w:pPr>
      <w:r w:rsidRPr="00320A86">
        <w:t>Les volutes du cigarillo</w:t>
      </w:r>
      <w:r>
        <w:t> </w:t>
      </w:r>
      <w:r>
        <w:rPr>
          <w:rStyle w:val="Appelnotedebasdep"/>
        </w:rPr>
        <w:footnoteReference w:id="1244"/>
      </w:r>
      <w:r w:rsidRPr="00320A86">
        <w:t xml:space="preserve"> ont dessiné pour Emmanuel Sur  les fo</w:t>
      </w:r>
      <w:r w:rsidRPr="00320A86">
        <w:t>r</w:t>
      </w:r>
      <w:r w:rsidRPr="00320A86">
        <w:t>mes du Bien et du Mal  qui dévoilaient la cause de nos maux et sugg</w:t>
      </w:r>
      <w:r w:rsidRPr="00320A86">
        <w:t>é</w:t>
      </w:r>
      <w:r w:rsidRPr="00320A86">
        <w:t>raient le sens d’un avenir fondé sur la possibilité de voir trio</w:t>
      </w:r>
      <w:r w:rsidRPr="00320A86">
        <w:t>m</w:t>
      </w:r>
      <w:r w:rsidRPr="00320A86">
        <w:t>pher le Bien. Ces arabesques étaient d’autant plus fascinantes que c’étaient le reflet de  sa propre  vision.</w:t>
      </w:r>
    </w:p>
    <w:p w14:paraId="663DBF9F" w14:textId="77777777" w:rsidR="00B01930" w:rsidRPr="00320A86" w:rsidRDefault="00B01930" w:rsidP="00B01930">
      <w:pPr>
        <w:spacing w:before="120" w:after="120"/>
        <w:jc w:val="both"/>
      </w:pPr>
      <w:r w:rsidRPr="00320A86">
        <w:t xml:space="preserve">Fumer un </w:t>
      </w:r>
      <w:r w:rsidRPr="00970D6C">
        <w:rPr>
          <w:i/>
        </w:rPr>
        <w:t>cigarillo </w:t>
      </w:r>
      <w:r>
        <w:rPr>
          <w:rStyle w:val="Appelnotedebasdep"/>
        </w:rPr>
        <w:footnoteReference w:id="1245"/>
      </w:r>
      <w:r w:rsidRPr="00320A86">
        <w:t xml:space="preserve"> suffit-il pour ne plus être captivé par la figure ensorc</w:t>
      </w:r>
      <w:r w:rsidRPr="00320A86">
        <w:t>e</w:t>
      </w:r>
      <w:r w:rsidRPr="00320A86">
        <w:t xml:space="preserve">lante de la Cité du Bien, renoncer à la volupté de l’encens qui s’en exhale  et  être privé de l’ivresse du dévoilement du monde  et de l’exaltation de participer au combat contre le Mal, contre « le coté obscur de la force » ? </w:t>
      </w:r>
    </w:p>
    <w:p w14:paraId="69ED1BB0" w14:textId="77777777" w:rsidR="00B01930" w:rsidRPr="00320A86" w:rsidRDefault="00B01930" w:rsidP="00B01930">
      <w:pPr>
        <w:spacing w:before="120" w:after="120"/>
        <w:jc w:val="both"/>
      </w:pPr>
      <w:r w:rsidRPr="00320A86">
        <w:t xml:space="preserve"> Ce serait oublier que le </w:t>
      </w:r>
      <w:r w:rsidRPr="00970D6C">
        <w:rPr>
          <w:i/>
        </w:rPr>
        <w:t>cigarillo</w:t>
      </w:r>
      <w:r w:rsidRPr="00320A86">
        <w:t xml:space="preserve"> n’est rien, seulement des volutes en dev</w:t>
      </w:r>
      <w:r w:rsidRPr="00320A86">
        <w:t>e</w:t>
      </w:r>
      <w:r w:rsidRPr="00320A86">
        <w:t>nir. C’est le fumeur qui a dressé la carte d’exploration des idées politiques</w:t>
      </w:r>
      <w:r>
        <w:t> </w:t>
      </w:r>
      <w:r>
        <w:rPr>
          <w:rStyle w:val="Appelnotedebasdep"/>
        </w:rPr>
        <w:footnoteReference w:id="1246"/>
      </w:r>
      <w:r w:rsidRPr="00320A86">
        <w:t>,  et  donné les règles de son  interprétation, qui est tout.</w:t>
      </w:r>
    </w:p>
    <w:p w14:paraId="484C227A" w14:textId="77777777" w:rsidR="00B01930" w:rsidRPr="00320A86" w:rsidRDefault="00B01930" w:rsidP="00B01930">
      <w:pPr>
        <w:spacing w:before="120" w:after="120"/>
        <w:rPr>
          <w:b/>
        </w:rPr>
      </w:pPr>
      <w:r>
        <w:br w:type="page"/>
      </w:r>
    </w:p>
    <w:p w14:paraId="2BD37F9C" w14:textId="77777777" w:rsidR="00B01930" w:rsidRPr="00320A86" w:rsidRDefault="00B01930" w:rsidP="00B01930">
      <w:pPr>
        <w:spacing w:before="120" w:after="120"/>
        <w:jc w:val="both"/>
      </w:pPr>
    </w:p>
    <w:p w14:paraId="6BD33C9D" w14:textId="77777777" w:rsidR="00B01930" w:rsidRPr="00E07116" w:rsidRDefault="00B01930" w:rsidP="00B01930">
      <w:pPr>
        <w:jc w:val="both"/>
      </w:pPr>
    </w:p>
    <w:p w14:paraId="21C9550A" w14:textId="77777777" w:rsidR="00B01930" w:rsidRPr="00E07116" w:rsidRDefault="00B01930" w:rsidP="00B01930">
      <w:pPr>
        <w:jc w:val="both"/>
      </w:pPr>
    </w:p>
    <w:p w14:paraId="43D019CE" w14:textId="77777777" w:rsidR="00B01930" w:rsidRPr="00283FCC" w:rsidRDefault="00B01930" w:rsidP="00B01930">
      <w:pPr>
        <w:spacing w:after="120"/>
        <w:ind w:firstLine="0"/>
        <w:jc w:val="center"/>
        <w:rPr>
          <w:b/>
          <w:i/>
        </w:rPr>
      </w:pPr>
      <w:bookmarkStart w:id="226" w:name="Analyser_idees_pol_pt_4"/>
      <w:r>
        <w:rPr>
          <w:b/>
        </w:rPr>
        <w:t>Analyser les idées politiques</w:t>
      </w:r>
      <w:r w:rsidRPr="00283FCC">
        <w:rPr>
          <w:b/>
        </w:rPr>
        <w:t>.</w:t>
      </w:r>
      <w:r w:rsidRPr="00283FCC">
        <w:rPr>
          <w:b/>
        </w:rPr>
        <w:br/>
      </w:r>
      <w:r>
        <w:rPr>
          <w:i/>
        </w:rPr>
        <w:t>Hommages au Pr. Jean-Louis Martres</w:t>
      </w:r>
    </w:p>
    <w:p w14:paraId="217ABE04" w14:textId="77777777" w:rsidR="00B01930" w:rsidRPr="00E07116" w:rsidRDefault="00B01930" w:rsidP="00B01930">
      <w:pPr>
        <w:jc w:val="both"/>
      </w:pPr>
    </w:p>
    <w:p w14:paraId="7CD8728C" w14:textId="77777777" w:rsidR="00B01930" w:rsidRPr="00384B20" w:rsidRDefault="00B01930" w:rsidP="00B01930">
      <w:pPr>
        <w:pStyle w:val="partie"/>
        <w:jc w:val="center"/>
        <w:rPr>
          <w:sz w:val="72"/>
        </w:rPr>
      </w:pPr>
      <w:r>
        <w:rPr>
          <w:sz w:val="72"/>
        </w:rPr>
        <w:t>Quatrième</w:t>
      </w:r>
      <w:r w:rsidRPr="00384B20">
        <w:rPr>
          <w:sz w:val="72"/>
        </w:rPr>
        <w:t xml:space="preserve"> partie</w:t>
      </w:r>
    </w:p>
    <w:p w14:paraId="16AF4F8F" w14:textId="77777777" w:rsidR="00B01930" w:rsidRPr="00E07116" w:rsidRDefault="00B01930" w:rsidP="00B01930">
      <w:pPr>
        <w:jc w:val="both"/>
      </w:pPr>
    </w:p>
    <w:p w14:paraId="5E8BED99" w14:textId="77777777" w:rsidR="00B01930" w:rsidRPr="00384B20" w:rsidRDefault="00B01930" w:rsidP="00B01930">
      <w:pPr>
        <w:pStyle w:val="Titreniveau2"/>
      </w:pPr>
      <w:r>
        <w:t>DE QUELQUES IDÉES</w:t>
      </w:r>
      <w:r>
        <w:br/>
        <w:t>« INTERNATIONALES »</w:t>
      </w:r>
    </w:p>
    <w:bookmarkEnd w:id="226"/>
    <w:p w14:paraId="3926FFD1" w14:textId="77777777" w:rsidR="00B01930" w:rsidRPr="00E07116" w:rsidRDefault="00B01930" w:rsidP="00B01930">
      <w:pPr>
        <w:jc w:val="both"/>
      </w:pPr>
    </w:p>
    <w:p w14:paraId="2830CAB8" w14:textId="77777777" w:rsidR="00B01930" w:rsidRPr="00E07116" w:rsidRDefault="00B01930" w:rsidP="00B01930">
      <w:pPr>
        <w:jc w:val="both"/>
      </w:pPr>
    </w:p>
    <w:p w14:paraId="72DDCDDB" w14:textId="77777777" w:rsidR="00B01930" w:rsidRPr="00E07116" w:rsidRDefault="00B01930" w:rsidP="00B01930">
      <w:pPr>
        <w:jc w:val="both"/>
      </w:pPr>
    </w:p>
    <w:p w14:paraId="422F42AB" w14:textId="77777777" w:rsidR="00B01930" w:rsidRPr="00E07116" w:rsidRDefault="00B01930" w:rsidP="00B01930">
      <w:pPr>
        <w:jc w:val="both"/>
      </w:pPr>
    </w:p>
    <w:p w14:paraId="2A1D7A8E" w14:textId="77777777" w:rsidR="00B01930" w:rsidRPr="00E07116" w:rsidRDefault="00B01930" w:rsidP="00B01930">
      <w:pPr>
        <w:jc w:val="both"/>
      </w:pPr>
    </w:p>
    <w:p w14:paraId="47F36AA8" w14:textId="77777777" w:rsidR="00B01930" w:rsidRPr="00E07116" w:rsidRDefault="00B01930" w:rsidP="00B01930">
      <w:pPr>
        <w:jc w:val="both"/>
      </w:pPr>
    </w:p>
    <w:p w14:paraId="604F9D66" w14:textId="77777777" w:rsidR="00B01930" w:rsidRPr="00E07116" w:rsidRDefault="00B01930" w:rsidP="00B01930">
      <w:pPr>
        <w:jc w:val="both"/>
      </w:pPr>
    </w:p>
    <w:p w14:paraId="6956413F" w14:textId="77777777" w:rsidR="00B01930" w:rsidRPr="00E07116" w:rsidRDefault="00B01930" w:rsidP="00B01930">
      <w:pPr>
        <w:jc w:val="both"/>
      </w:pPr>
    </w:p>
    <w:p w14:paraId="2D11FD02"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2623F784" w14:textId="77777777" w:rsidR="00B01930" w:rsidRPr="00320A86" w:rsidRDefault="00B01930" w:rsidP="00B01930">
      <w:pPr>
        <w:spacing w:before="120" w:after="120"/>
        <w:jc w:val="both"/>
      </w:pPr>
    </w:p>
    <w:p w14:paraId="4CDB48DC" w14:textId="77777777" w:rsidR="00B01930" w:rsidRPr="00320A86" w:rsidRDefault="00B01930" w:rsidP="00B01930">
      <w:pPr>
        <w:spacing w:before="120" w:after="120"/>
        <w:rPr>
          <w:b/>
        </w:rPr>
      </w:pPr>
    </w:p>
    <w:p w14:paraId="13870BD2" w14:textId="77777777" w:rsidR="00B01930" w:rsidRDefault="00B01930" w:rsidP="00B01930">
      <w:pPr>
        <w:jc w:val="both"/>
      </w:pPr>
      <w:r>
        <w:br w:type="page"/>
      </w:r>
    </w:p>
    <w:p w14:paraId="3EDD4058" w14:textId="77777777" w:rsidR="00B01930" w:rsidRDefault="00B01930" w:rsidP="00B01930">
      <w:pPr>
        <w:jc w:val="both"/>
      </w:pPr>
    </w:p>
    <w:p w14:paraId="48FA4DA1" w14:textId="77777777" w:rsidR="00B01930" w:rsidRDefault="00B01930" w:rsidP="00B01930">
      <w:pPr>
        <w:jc w:val="both"/>
      </w:pPr>
    </w:p>
    <w:p w14:paraId="4580F547" w14:textId="77777777" w:rsidR="00B01930" w:rsidRPr="009D4882" w:rsidRDefault="00B01930" w:rsidP="00B01930">
      <w:pPr>
        <w:spacing w:after="120"/>
        <w:ind w:firstLine="0"/>
        <w:jc w:val="center"/>
        <w:rPr>
          <w:b/>
          <w:color w:val="000080"/>
        </w:rPr>
      </w:pPr>
      <w:bookmarkStart w:id="227" w:name="Analyser_idees_pol_pt_4_texte_13"/>
      <w:r>
        <w:rPr>
          <w:b/>
          <w:color w:val="000080"/>
        </w:rPr>
        <w:t>Quatrième</w:t>
      </w:r>
      <w:r w:rsidRPr="009D4882">
        <w:rPr>
          <w:b/>
          <w:color w:val="000080"/>
        </w:rPr>
        <w:t xml:space="preserve"> partie</w:t>
      </w:r>
      <w:r w:rsidRPr="009D4882">
        <w:rPr>
          <w:b/>
          <w:color w:val="000080"/>
        </w:rPr>
        <w:br/>
      </w:r>
      <w:r>
        <w:rPr>
          <w:i/>
          <w:color w:val="000080"/>
        </w:rPr>
        <w:t>De quelques idées «internationales»</w:t>
      </w:r>
    </w:p>
    <w:p w14:paraId="7F4E6BD2" w14:textId="77777777" w:rsidR="00B01930" w:rsidRDefault="00B01930" w:rsidP="00B01930">
      <w:pPr>
        <w:pStyle w:val="Titreniveau1"/>
        <w:rPr>
          <w:szCs w:val="36"/>
        </w:rPr>
      </w:pPr>
      <w:r>
        <w:rPr>
          <w:szCs w:val="36"/>
        </w:rPr>
        <w:t>13</w:t>
      </w:r>
    </w:p>
    <w:p w14:paraId="7E8B5EFB" w14:textId="77777777" w:rsidR="00B01930" w:rsidRDefault="00B01930" w:rsidP="00B01930">
      <w:pPr>
        <w:jc w:val="both"/>
        <w:rPr>
          <w:szCs w:val="36"/>
        </w:rPr>
      </w:pPr>
    </w:p>
    <w:p w14:paraId="43C7C196" w14:textId="77777777" w:rsidR="00B01930" w:rsidRPr="00843F3E" w:rsidRDefault="00B01930" w:rsidP="00B01930">
      <w:pPr>
        <w:pStyle w:val="Titreniveau2"/>
      </w:pPr>
      <w:r>
        <w:t>“</w:t>
      </w:r>
      <w:r w:rsidRPr="00A01FC9">
        <w:t>Empire, Morale et Realpolitik.</w:t>
      </w:r>
      <w:r>
        <w:t>”</w:t>
      </w:r>
    </w:p>
    <w:bookmarkEnd w:id="227"/>
    <w:p w14:paraId="615A81D0" w14:textId="77777777" w:rsidR="00B01930" w:rsidRDefault="00B01930" w:rsidP="00B01930">
      <w:pPr>
        <w:jc w:val="both"/>
        <w:rPr>
          <w:szCs w:val="36"/>
        </w:rPr>
      </w:pPr>
    </w:p>
    <w:p w14:paraId="6832FF19" w14:textId="77777777" w:rsidR="00B01930" w:rsidRDefault="00B01930" w:rsidP="00B01930">
      <w:pPr>
        <w:pStyle w:val="suite"/>
      </w:pPr>
      <w:r>
        <w:t>Daniel LAGRAULA</w:t>
      </w:r>
    </w:p>
    <w:p w14:paraId="07714990" w14:textId="77777777" w:rsidR="00B01930" w:rsidRDefault="00B01930" w:rsidP="00B01930">
      <w:pPr>
        <w:jc w:val="both"/>
      </w:pPr>
    </w:p>
    <w:p w14:paraId="201FC6DF" w14:textId="77777777" w:rsidR="00B01930" w:rsidRDefault="00B01930" w:rsidP="00B01930">
      <w:pPr>
        <w:jc w:val="both"/>
      </w:pPr>
    </w:p>
    <w:p w14:paraId="7E1D1D45" w14:textId="77777777" w:rsidR="00B01930" w:rsidRDefault="00B01930" w:rsidP="00B01930">
      <w:pPr>
        <w:jc w:val="both"/>
      </w:pPr>
    </w:p>
    <w:p w14:paraId="3DF8CC1D"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0CBB4BAE" w14:textId="77777777" w:rsidR="00B01930" w:rsidRPr="00320A86" w:rsidRDefault="00B01930" w:rsidP="00B01930">
      <w:pPr>
        <w:spacing w:before="120" w:after="120"/>
        <w:jc w:val="both"/>
      </w:pPr>
      <w:r w:rsidRPr="00320A86">
        <w:t>« Tel est pris qui croyait prendre ». Ce pourrait être le libellé de bandeaux qu’on pourrait apposer sur les livres de Chantal Delsol</w:t>
      </w:r>
      <w:r>
        <w:t> </w:t>
      </w:r>
      <w:r>
        <w:rPr>
          <w:rStyle w:val="Appelnotedebasdep"/>
        </w:rPr>
        <w:footnoteReference w:id="1247"/>
      </w:r>
      <w:r w:rsidRPr="00320A86">
        <w:t xml:space="preserve"> d’Hubert Védrine</w:t>
      </w:r>
      <w:r>
        <w:t> </w:t>
      </w:r>
      <w:r>
        <w:rPr>
          <w:rStyle w:val="Appelnotedebasdep"/>
        </w:rPr>
        <w:footnoteReference w:id="1248"/>
      </w:r>
      <w:r w:rsidRPr="00320A86">
        <w:t>, consacrés aux relations internationales. Ce s</w:t>
      </w:r>
      <w:r w:rsidRPr="00320A86">
        <w:t>e</w:t>
      </w:r>
      <w:r w:rsidRPr="00320A86">
        <w:t>rait également une mise en garde qu’on pourrait apposer sur la pl</w:t>
      </w:r>
      <w:r w:rsidRPr="00320A86">
        <w:t>u</w:t>
      </w:r>
      <w:r w:rsidRPr="00320A86">
        <w:t>part des écrits relatifs à la dénonciation – véhémente – de « l’Empire amér</w:t>
      </w:r>
      <w:r w:rsidRPr="00320A86">
        <w:t>i</w:t>
      </w:r>
      <w:r w:rsidRPr="00320A86">
        <w:t>cain », incarnation du « Mal sur Terre »</w:t>
      </w:r>
      <w:r>
        <w:t> </w:t>
      </w:r>
      <w:r>
        <w:rPr>
          <w:rStyle w:val="Appelnotedebasdep"/>
        </w:rPr>
        <w:footnoteReference w:id="1249"/>
      </w:r>
      <w:r w:rsidRPr="00320A86">
        <w:t>.</w:t>
      </w:r>
    </w:p>
    <w:p w14:paraId="08530F35" w14:textId="77777777" w:rsidR="00B01930" w:rsidRPr="00320A86" w:rsidRDefault="00B01930" w:rsidP="00B01930">
      <w:pPr>
        <w:spacing w:before="120" w:after="120"/>
        <w:jc w:val="both"/>
      </w:pPr>
      <w:r w:rsidRPr="00320A86">
        <w:t>Récuser la morale, refuser l’Empire américain ou prôner un retour à « </w:t>
      </w:r>
      <w:r w:rsidRPr="00970D6C">
        <w:rPr>
          <w:i/>
        </w:rPr>
        <w:t>la realpolitik </w:t>
      </w:r>
      <w:r w:rsidRPr="00320A86">
        <w:t>», et en déduire de séduisantes démonstrations et propositions ne su</w:t>
      </w:r>
      <w:r w:rsidRPr="00320A86">
        <w:t>f</w:t>
      </w:r>
      <w:r w:rsidRPr="00320A86">
        <w:t>fit pas pour s’émanciper du corpus dénoncé ; ou pour considérer que le phén</w:t>
      </w:r>
      <w:r w:rsidRPr="00320A86">
        <w:t>o</w:t>
      </w:r>
      <w:r w:rsidRPr="00320A86">
        <w:t>mène étudié sera éradiqué, d’une manière ou d’une autre, pour ne plus revenir. On peut mettre en évidence que la prégnance de ce qui est dénoncé est telle, que les auteurs, malgré eux, accumulent les contradictions qui ruinent leurs beaux édifices intellectuels et fait ressurgir, tel un phénix, ce à quoi ils avaient voulu échapper…</w:t>
      </w:r>
    </w:p>
    <w:p w14:paraId="757B122F" w14:textId="77777777" w:rsidR="00B01930" w:rsidRPr="00320A86" w:rsidRDefault="00B01930" w:rsidP="00B01930">
      <w:pPr>
        <w:spacing w:before="120" w:after="120"/>
        <w:jc w:val="both"/>
      </w:pPr>
      <w:r w:rsidRPr="00320A86">
        <w:t>Ainsi de la notion d’Empire, terme galvaudé depuis l’écroulement de l’Union soviétique, et surtout défini constamment de façon univ</w:t>
      </w:r>
      <w:r w:rsidRPr="00320A86">
        <w:t>o</w:t>
      </w:r>
      <w:r w:rsidRPr="00320A86">
        <w:t>que – et négative – par rapport aux États-Unis d’Amérique. Nonob</w:t>
      </w:r>
      <w:r w:rsidRPr="00320A86">
        <w:t>s</w:t>
      </w:r>
      <w:r w:rsidRPr="00320A86">
        <w:t>tant tout ce qu’on pourrait écrire sur ce dernier point</w:t>
      </w:r>
      <w:r>
        <w:t> </w:t>
      </w:r>
      <w:r>
        <w:rPr>
          <w:rStyle w:val="Appelnotedebasdep"/>
        </w:rPr>
        <w:footnoteReference w:id="1250"/>
      </w:r>
      <w:r w:rsidRPr="00320A86">
        <w:t>, il ressort de cela que les approches restent essentiellement descriptives. On ne r</w:t>
      </w:r>
      <w:r w:rsidRPr="00320A86">
        <w:t>é</w:t>
      </w:r>
      <w:r w:rsidRPr="00320A86">
        <w:t>pond pas vraiment à la question : pourquoi la rémanence de cette fo</w:t>
      </w:r>
      <w:r w:rsidRPr="00320A86">
        <w:t>r</w:t>
      </w:r>
      <w:r w:rsidRPr="00320A86">
        <w:t>me de fonctionnement des relations internationales ? Pourquoi est-ce une constante ?</w:t>
      </w:r>
    </w:p>
    <w:p w14:paraId="0D757C2E" w14:textId="77777777" w:rsidR="00B01930" w:rsidRPr="00320A86" w:rsidRDefault="00B01930" w:rsidP="00B01930">
      <w:pPr>
        <w:spacing w:before="120" w:after="120"/>
        <w:jc w:val="both"/>
      </w:pPr>
      <w:r w:rsidRPr="00320A86">
        <w:t xml:space="preserve">Il faut donc penser </w:t>
      </w:r>
      <w:r w:rsidRPr="00F16432">
        <w:rPr>
          <w:i/>
        </w:rPr>
        <w:t>théoriquement</w:t>
      </w:r>
      <w:r w:rsidRPr="00320A86">
        <w:t xml:space="preserve"> l’Empire en tant que « mécanisme » inh</w:t>
      </w:r>
      <w:r w:rsidRPr="00320A86">
        <w:t>é</w:t>
      </w:r>
      <w:r w:rsidRPr="00320A86">
        <w:t>rent aux relations internationales. Il faut tout à la fois l’inscrire comme Essence et pouvoir en expliquer sa manifest</w:t>
      </w:r>
      <w:r w:rsidRPr="00320A86">
        <w:t>a</w:t>
      </w:r>
      <w:r w:rsidRPr="00320A86">
        <w:t>tion tant dans sa dimension temporelle que dans sa diversité d’expression.</w:t>
      </w:r>
    </w:p>
    <w:p w14:paraId="6F29A1C9" w14:textId="77777777" w:rsidR="00B01930" w:rsidRPr="00320A86" w:rsidRDefault="00B01930" w:rsidP="00B01930">
      <w:pPr>
        <w:spacing w:before="120" w:after="120"/>
        <w:jc w:val="both"/>
      </w:pPr>
      <w:r w:rsidRPr="00320A86">
        <w:t>Cela passe par une articulation entre les concepts de Puissance et de Système dans la Théorie des relations internationales, afin de co</w:t>
      </w:r>
      <w:r w:rsidRPr="00320A86">
        <w:t>m</w:t>
      </w:r>
      <w:r w:rsidRPr="00320A86">
        <w:t>prendre pourquoi l’Empire est un phénomène logique et récurrent dans l’histoire. On peut pour de bonnes ou mauvaises raisons s’élever contre tel Empire (ou qualifié de tel…), mais on ne peut faire croire que celui-ci affaibli, voire détruit, il en serait fini de cette forme – abhorrée – des relations internationales. Car tel un phénix, un jour, l’Empire renaîtra.</w:t>
      </w:r>
    </w:p>
    <w:p w14:paraId="2B309B40" w14:textId="77777777" w:rsidR="00B01930" w:rsidRPr="00320A86" w:rsidRDefault="00B01930" w:rsidP="00B01930">
      <w:pPr>
        <w:spacing w:before="120" w:after="120"/>
        <w:jc w:val="both"/>
      </w:pPr>
      <w:r w:rsidRPr="00320A86">
        <w:t>C’est sous l’angle de la philosophie politique que nous nous so</w:t>
      </w:r>
      <w:r w:rsidRPr="00320A86">
        <w:t>m</w:t>
      </w:r>
      <w:r w:rsidRPr="00320A86">
        <w:t>mes attachés en 2005, à critiquer</w:t>
      </w:r>
      <w:r>
        <w:t> </w:t>
      </w:r>
      <w:r>
        <w:rPr>
          <w:rStyle w:val="Appelnotedebasdep"/>
        </w:rPr>
        <w:footnoteReference w:id="1251"/>
      </w:r>
      <w:r w:rsidRPr="00320A86">
        <w:t xml:space="preserve"> l’ouvrage de Chantal Delsol. En effet nous avons lu avec intérêt, puis avec perplexité au fil des p</w:t>
      </w:r>
      <w:r w:rsidRPr="00320A86">
        <w:t>a</w:t>
      </w:r>
      <w:r w:rsidRPr="00320A86">
        <w:t>ges, la vigoureuse attaque de l’auteur contre la morale (</w:t>
      </w:r>
      <w:r w:rsidRPr="00F16432">
        <w:rPr>
          <w:i/>
        </w:rPr>
        <w:t>c’est-à-dire</w:t>
      </w:r>
      <w:r w:rsidRPr="00320A86">
        <w:t xml:space="preserve"> les Droits de l’homme) qui dominerait les relations internationales et me</w:t>
      </w:r>
      <w:r w:rsidRPr="00320A86">
        <w:t>t</w:t>
      </w:r>
      <w:r w:rsidRPr="00320A86">
        <w:t xml:space="preserve">trait en péril, </w:t>
      </w:r>
      <w:r w:rsidRPr="00F16432">
        <w:rPr>
          <w:i/>
        </w:rPr>
        <w:t>in fine</w:t>
      </w:r>
      <w:r w:rsidRPr="00320A86">
        <w:t xml:space="preserve">, notre devenir en tant que </w:t>
      </w:r>
      <w:r w:rsidRPr="00F16432">
        <w:rPr>
          <w:i/>
        </w:rPr>
        <w:t>Polis</w:t>
      </w:r>
      <w:r w:rsidRPr="00320A86">
        <w:t>. Une lecture a</w:t>
      </w:r>
      <w:r w:rsidRPr="00320A86">
        <w:t>t</w:t>
      </w:r>
      <w:r w:rsidRPr="00320A86">
        <w:t>tentive du texte montre nombre de contradictions dues à l’amphibologie de notions clés sur lesquelles la démonstration est fondée, et dont il résulte, au terme de notre analyse, que l’auteur est resté prisonnier de ce qu’elle dénonçait…</w:t>
      </w:r>
    </w:p>
    <w:p w14:paraId="02C0AA37" w14:textId="77777777" w:rsidR="00B01930" w:rsidRPr="00320A86" w:rsidRDefault="00B01930" w:rsidP="00B01930">
      <w:pPr>
        <w:spacing w:before="120" w:after="120"/>
        <w:jc w:val="both"/>
      </w:pPr>
      <w:r w:rsidRPr="00320A86">
        <w:t>Il est particulièrement frappant que ce soit le même constat que l’on doit faire à propos du livre d’Hubert Védrine qui tente de penser les relations internation</w:t>
      </w:r>
      <w:r w:rsidRPr="00320A86">
        <w:t>a</w:t>
      </w:r>
      <w:r w:rsidRPr="00320A86">
        <w:t>les à partir, d’ailleurs, de la même position que Chantal Delsol. De la même m</w:t>
      </w:r>
      <w:r w:rsidRPr="00320A86">
        <w:t>a</w:t>
      </w:r>
      <w:r w:rsidRPr="00320A86">
        <w:t>nière que chez cette dernière, la démonstration finit par se diluer dans de no</w:t>
      </w:r>
      <w:r w:rsidRPr="00320A86">
        <w:t>m</w:t>
      </w:r>
      <w:r w:rsidRPr="00320A86">
        <w:t>breuses contradictions qui s’égrènent au fil des pages. Si la « </w:t>
      </w:r>
      <w:r w:rsidRPr="00F16432">
        <w:rPr>
          <w:i/>
        </w:rPr>
        <w:t>realpolitik </w:t>
      </w:r>
      <w:r w:rsidRPr="00320A86">
        <w:t>» est convoquée au profit de l’Histoire, l’idéalisme dénoncé (</w:t>
      </w:r>
      <w:r w:rsidRPr="00F16432">
        <w:rPr>
          <w:i/>
        </w:rPr>
        <w:t>in fine </w:t>
      </w:r>
      <w:r w:rsidRPr="00320A86">
        <w:t>: la morale) – « Dieu caché »</w:t>
      </w:r>
      <w:r>
        <w:t> </w:t>
      </w:r>
      <w:r>
        <w:rPr>
          <w:rStyle w:val="Appelnotedebasdep"/>
        </w:rPr>
        <w:footnoteReference w:id="1252"/>
      </w:r>
      <w:r w:rsidRPr="00320A86">
        <w:t xml:space="preserve"> inscrit au cœur de l’argumentaire – réduit à néant le projet in</w:t>
      </w:r>
      <w:r w:rsidRPr="00320A86">
        <w:t>i</w:t>
      </w:r>
      <w:r w:rsidRPr="00320A86">
        <w:t>tial. En définitive, tout bien pesé, on retire davantage d’enrichissements et de matière à penser dans les courts, mais denses ouvrages de Robert Kagan</w:t>
      </w:r>
      <w:r>
        <w:t> </w:t>
      </w:r>
      <w:r>
        <w:rPr>
          <w:rStyle w:val="Appelnotedebasdep"/>
        </w:rPr>
        <w:footnoteReference w:id="1253"/>
      </w:r>
      <w:r w:rsidRPr="00320A86">
        <w:t>. To</w:t>
      </w:r>
      <w:r w:rsidRPr="00320A86">
        <w:t>u</w:t>
      </w:r>
      <w:r w:rsidRPr="00320A86">
        <w:t>tefois, notre propos suppose de poser une question préalable qui touche à la lég</w:t>
      </w:r>
      <w:r w:rsidRPr="00320A86">
        <w:t>i</w:t>
      </w:r>
      <w:r w:rsidRPr="00320A86">
        <w:t>timité de celui-ci. Le temps de penser</w:t>
      </w:r>
      <w:r>
        <w:t> </w:t>
      </w:r>
      <w:r>
        <w:rPr>
          <w:rStyle w:val="Appelnotedebasdep"/>
        </w:rPr>
        <w:footnoteReference w:id="1254"/>
      </w:r>
      <w:r w:rsidRPr="00320A86">
        <w:t xml:space="preserve"> est-il ouvert à « l’honnête homme » ?</w:t>
      </w:r>
    </w:p>
    <w:p w14:paraId="344EA9CB" w14:textId="77777777" w:rsidR="00B01930" w:rsidRPr="00320A86" w:rsidRDefault="00B01930" w:rsidP="00B01930">
      <w:pPr>
        <w:spacing w:before="120" w:after="120"/>
        <w:jc w:val="both"/>
      </w:pPr>
      <w:r w:rsidRPr="00320A86">
        <w:t>Peut-on ne pas avoir le « titre » de journaliste, enseignant, consu</w:t>
      </w:r>
      <w:r w:rsidRPr="00320A86">
        <w:t>l</w:t>
      </w:r>
      <w:r w:rsidRPr="00320A86">
        <w:t xml:space="preserve">tant, haut fonctionnaire, homme politique, ou plus généralement ne pas faire partie d’une catégorie sociale bien étiquetée et néanmoins savoir </w:t>
      </w:r>
      <w:r w:rsidRPr="00F16432">
        <w:rPr>
          <w:i/>
        </w:rPr>
        <w:t>penser le Politique </w:t>
      </w:r>
      <w:r w:rsidRPr="00320A86">
        <w:t>?</w:t>
      </w:r>
    </w:p>
    <w:p w14:paraId="48D491DC" w14:textId="77777777" w:rsidR="00B01930" w:rsidRPr="00320A86" w:rsidRDefault="00B01930" w:rsidP="00B01930">
      <w:pPr>
        <w:spacing w:before="120" w:after="120"/>
        <w:jc w:val="both"/>
      </w:pPr>
      <w:r w:rsidRPr="00320A86">
        <w:t>La lecture de la presse versée en la matière, généraliste ou spécial</w:t>
      </w:r>
      <w:r w:rsidRPr="00320A86">
        <w:t>i</w:t>
      </w:r>
      <w:r w:rsidRPr="00320A86">
        <w:t>sée, sans parler bien sûr de l’audiovisuel, tendrait à prouver que non. Faire partie du « cénacle » implique visiblement qu’</w:t>
      </w:r>
      <w:r w:rsidRPr="00F16432">
        <w:rPr>
          <w:i/>
        </w:rPr>
        <w:t xml:space="preserve">ipso facto </w:t>
      </w:r>
      <w:r w:rsidRPr="00320A86">
        <w:t>« vous pensez » (ne pas en être impliquerait l’inverse). Même l’absurdité du propos n’est pas rédhibitoire.</w:t>
      </w:r>
    </w:p>
    <w:p w14:paraId="1DEC8FD9" w14:textId="77777777" w:rsidR="00B01930" w:rsidRPr="00320A86" w:rsidRDefault="00B01930" w:rsidP="00B01930">
      <w:pPr>
        <w:spacing w:before="120" w:after="120"/>
        <w:jc w:val="both"/>
      </w:pPr>
      <w:r w:rsidRPr="00320A86">
        <w:t>C’est ainsi qu’en 2004, l’acmé de l’aberration intellectuelle en p</w:t>
      </w:r>
      <w:r w:rsidRPr="00320A86">
        <w:t>o</w:t>
      </w:r>
      <w:r w:rsidRPr="00320A86">
        <w:t xml:space="preserve">litique fut publiée par le journal </w:t>
      </w:r>
      <w:r w:rsidRPr="00F16432">
        <w:rPr>
          <w:i/>
        </w:rPr>
        <w:t>Le Monde</w:t>
      </w:r>
      <w:r w:rsidRPr="00320A86">
        <w:t xml:space="preserve"> sous la signature d’un écr</w:t>
      </w:r>
      <w:r w:rsidRPr="00320A86">
        <w:t>i</w:t>
      </w:r>
      <w:r w:rsidRPr="00320A86">
        <w:t>vain de renom</w:t>
      </w:r>
      <w:r>
        <w:t> </w:t>
      </w:r>
      <w:r>
        <w:rPr>
          <w:rStyle w:val="Appelnotedebasdep"/>
        </w:rPr>
        <w:footnoteReference w:id="1255"/>
      </w:r>
      <w:r w:rsidRPr="00320A86">
        <w:t xml:space="preserve"> qui demandait aux peuples du monde de se mobil</w:t>
      </w:r>
      <w:r w:rsidRPr="00320A86">
        <w:t>i</w:t>
      </w:r>
      <w:r w:rsidRPr="00320A86">
        <w:t>ser… pour voter contre G.W. Bush. On imagine sans effort le sort d’un tel article venant d’un que</w:t>
      </w:r>
      <w:r w:rsidRPr="00320A86">
        <w:t>l</w:t>
      </w:r>
      <w:r w:rsidRPr="00320A86">
        <w:t>conque citoyen</w:t>
      </w:r>
      <w:r>
        <w:t> </w:t>
      </w:r>
      <w:r>
        <w:rPr>
          <w:rStyle w:val="Appelnotedebasdep"/>
        </w:rPr>
        <w:footnoteReference w:id="1256"/>
      </w:r>
      <w:r w:rsidRPr="00320A86">
        <w:t xml:space="preserve">. Pourtant, </w:t>
      </w:r>
      <w:r w:rsidRPr="00F16432">
        <w:rPr>
          <w:i/>
        </w:rPr>
        <w:t>penser le Politique</w:t>
      </w:r>
      <w:r w:rsidRPr="00320A86">
        <w:t xml:space="preserve"> comme simple citoyen est de l’ordre du possible. C’est ce que nous souhaitons montrer ci-après en prenant le temps de penser pour contribuer modestement aux débats de philosophie polit</w:t>
      </w:r>
      <w:r w:rsidRPr="00320A86">
        <w:t>i</w:t>
      </w:r>
      <w:r w:rsidRPr="00320A86">
        <w:t>que et participer ainsi au « </w:t>
      </w:r>
      <w:r w:rsidRPr="00F16432">
        <w:rPr>
          <w:i/>
        </w:rPr>
        <w:t>métier de citoyen </w:t>
      </w:r>
      <w:r w:rsidRPr="00320A86">
        <w:t>»</w:t>
      </w:r>
      <w:r>
        <w:t> </w:t>
      </w:r>
      <w:r>
        <w:rPr>
          <w:rStyle w:val="Appelnotedebasdep"/>
        </w:rPr>
        <w:footnoteReference w:id="1257"/>
      </w:r>
      <w:r w:rsidRPr="00320A86">
        <w:t xml:space="preserve"> au sein de la </w:t>
      </w:r>
      <w:r w:rsidRPr="00F16432">
        <w:rPr>
          <w:i/>
        </w:rPr>
        <w:t>P</w:t>
      </w:r>
      <w:r w:rsidRPr="00F16432">
        <w:rPr>
          <w:i/>
        </w:rPr>
        <w:t>o</w:t>
      </w:r>
      <w:r w:rsidRPr="00F16432">
        <w:rPr>
          <w:i/>
        </w:rPr>
        <w:t>lis</w:t>
      </w:r>
      <w:r w:rsidRPr="00320A86">
        <w:t>.</w:t>
      </w:r>
    </w:p>
    <w:p w14:paraId="17573307" w14:textId="77777777" w:rsidR="00B01930" w:rsidRPr="00320A86" w:rsidRDefault="00B01930" w:rsidP="00B01930">
      <w:pPr>
        <w:spacing w:before="120" w:after="120"/>
        <w:jc w:val="both"/>
        <w:rPr>
          <w:b/>
        </w:rPr>
      </w:pPr>
    </w:p>
    <w:p w14:paraId="074D5A0E" w14:textId="77777777" w:rsidR="00B01930" w:rsidRPr="00320A86" w:rsidRDefault="00B01930" w:rsidP="00B01930">
      <w:pPr>
        <w:pStyle w:val="planche"/>
      </w:pPr>
      <w:bookmarkStart w:id="228" w:name="Analyser_idees_pol_pt_4_texte_13_I"/>
      <w:r w:rsidRPr="00320A86">
        <w:t>I. La « Puissance », le « Système »</w:t>
      </w:r>
      <w:r>
        <w:br/>
      </w:r>
      <w:r w:rsidRPr="00320A86">
        <w:t>et « l’Empire » (ou l’attracteur caché)</w:t>
      </w:r>
    </w:p>
    <w:bookmarkEnd w:id="228"/>
    <w:p w14:paraId="3D847BA4" w14:textId="77777777" w:rsidR="00B01930" w:rsidRDefault="00B01930" w:rsidP="00B01930">
      <w:pPr>
        <w:spacing w:before="120" w:after="120"/>
        <w:jc w:val="both"/>
      </w:pPr>
    </w:p>
    <w:p w14:paraId="1E881108"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65021A33" w14:textId="77777777" w:rsidR="00B01930" w:rsidRPr="00320A86" w:rsidRDefault="00B01930" w:rsidP="00B01930">
      <w:pPr>
        <w:spacing w:before="120" w:after="120"/>
        <w:jc w:val="both"/>
      </w:pPr>
      <w:r w:rsidRPr="00320A86">
        <w:t>Depuis la guerre en Irak en 2003, le débat qui s’est installé sur la place et le rôle des États-Unis dans les relations internationales a pris une acuité particuli</w:t>
      </w:r>
      <w:r w:rsidRPr="00320A86">
        <w:t>è</w:t>
      </w:r>
      <w:r w:rsidRPr="00320A86">
        <w:t>re voire un tour souvent passionnel, notamment en France. Deux notions sont ici indissolublement associées : celle de Puissance et celle d’Empire, plus ou moins connotées moralement.</w:t>
      </w:r>
    </w:p>
    <w:p w14:paraId="1CB3FC82" w14:textId="77777777" w:rsidR="00B01930" w:rsidRPr="00320A86" w:rsidRDefault="00B01930" w:rsidP="00B01930">
      <w:pPr>
        <w:spacing w:before="120" w:after="120"/>
        <w:jc w:val="both"/>
      </w:pPr>
      <w:r w:rsidRPr="00320A86">
        <w:t>Or l’approche moraliste ou l’analyse strictement conjoncturelle ne sont d’aucune utilité pour comprendre la permanence des phénomènes et leur cara</w:t>
      </w:r>
      <w:r w:rsidRPr="00320A86">
        <w:t>c</w:t>
      </w:r>
      <w:r w:rsidRPr="00320A86">
        <w:t>tère protéiforme. Pour autant, si la théorie des relations internationales a su s’enrichir du concept de Système tout en n’abandonnant pas le concept de Pui</w:t>
      </w:r>
      <w:r w:rsidRPr="00320A86">
        <w:t>s</w:t>
      </w:r>
      <w:r w:rsidRPr="00320A86">
        <w:t>sance, elle a quelques difficultés à articuler conceptuellement les deux et à pe</w:t>
      </w:r>
      <w:r w:rsidRPr="00320A86">
        <w:t>n</w:t>
      </w:r>
      <w:r w:rsidRPr="00320A86">
        <w:t>ser l’Empire comme concept intégré de l’approche systémique. « L’Empire était au Milieu, les Barbares étaient autour »</w:t>
      </w:r>
      <w:r>
        <w:t> </w:t>
      </w:r>
      <w:r>
        <w:rPr>
          <w:rStyle w:val="Appelnotedebasdep"/>
        </w:rPr>
        <w:footnoteReference w:id="1258"/>
      </w:r>
      <w:r w:rsidRPr="00320A86">
        <w:t>. La problématique théorique qui s’ouvre pourrait se formuler ainsi : la Puissance était au milieu, le sy</w:t>
      </w:r>
      <w:r w:rsidRPr="00320A86">
        <w:t>s</w:t>
      </w:r>
      <w:r w:rsidRPr="00320A86">
        <w:t>tème était autour et… l’Empire était caché.</w:t>
      </w:r>
    </w:p>
    <w:p w14:paraId="3FEAC2DF" w14:textId="77777777" w:rsidR="00B01930" w:rsidRPr="00320A86" w:rsidRDefault="00B01930" w:rsidP="00B01930">
      <w:pPr>
        <w:spacing w:before="120" w:after="120"/>
        <w:jc w:val="both"/>
      </w:pPr>
      <w:r w:rsidRPr="00320A86">
        <w:t>La littérature consacrée aux relations internationales, que ce soit sous l’angle de la Science politique ou celui de l’Histoire, n’ignore pas, tant s’en faut, la notion de Puissance. C’est même la ligne de d</w:t>
      </w:r>
      <w:r w:rsidRPr="00320A86">
        <w:t>é</w:t>
      </w:r>
      <w:r w:rsidRPr="00320A86">
        <w:t>partage, extrêmement classique, entre « réalistes » et « moralistes » selon l’utilisation qui en est faite. Il faut c</w:t>
      </w:r>
      <w:r w:rsidRPr="00320A86">
        <w:t>e</w:t>
      </w:r>
      <w:r w:rsidRPr="00320A86">
        <w:t>pendant constater que les définitions proposées n’ont pas vraiment permis de comprendre en quoi la Puissance était une réalité structurante des relations internati</w:t>
      </w:r>
      <w:r w:rsidRPr="00320A86">
        <w:t>o</w:t>
      </w:r>
      <w:r w:rsidRPr="00320A86">
        <w:t>nales.</w:t>
      </w:r>
    </w:p>
    <w:p w14:paraId="2C42AEF8" w14:textId="77777777" w:rsidR="00B01930" w:rsidRPr="00320A86" w:rsidRDefault="00B01930" w:rsidP="00B01930">
      <w:pPr>
        <w:spacing w:before="120" w:after="120"/>
        <w:jc w:val="both"/>
      </w:pPr>
      <w:r w:rsidRPr="00320A86">
        <w:t>En enchâssant (comme en linguistique</w:t>
      </w:r>
      <w:r>
        <w:t> </w:t>
      </w:r>
      <w:r>
        <w:rPr>
          <w:rStyle w:val="Appelnotedebasdep"/>
        </w:rPr>
        <w:footnoteReference w:id="1259"/>
      </w:r>
      <w:r w:rsidRPr="00320A86">
        <w:t xml:space="preserve">) la </w:t>
      </w:r>
      <w:r w:rsidRPr="00F16432">
        <w:rPr>
          <w:i/>
        </w:rPr>
        <w:t>structure</w:t>
      </w:r>
      <w:r w:rsidRPr="00320A86">
        <w:t xml:space="preserve"> de Puissa</w:t>
      </w:r>
      <w:r w:rsidRPr="00320A86">
        <w:t>n</w:t>
      </w:r>
      <w:r w:rsidRPr="00320A86">
        <w:t xml:space="preserve">ce dans le concept de système, on peut transformer l’approche théorique des relations internationales et développer une construction </w:t>
      </w:r>
      <w:r w:rsidRPr="00F16432">
        <w:rPr>
          <w:i/>
        </w:rPr>
        <w:t>conce</w:t>
      </w:r>
      <w:r w:rsidRPr="00F16432">
        <w:rPr>
          <w:i/>
        </w:rPr>
        <w:t>p</w:t>
      </w:r>
      <w:r w:rsidRPr="00F16432">
        <w:rPr>
          <w:i/>
        </w:rPr>
        <w:t>tuelle</w:t>
      </w:r>
      <w:r w:rsidRPr="00320A86">
        <w:t xml:space="preserve"> rendant au paradigme systémique toute sa portée en ce domaine et faisant de l’Empire une composante fonctionnelle de tout système de relations internationales.</w:t>
      </w:r>
    </w:p>
    <w:p w14:paraId="153F1E4A" w14:textId="77777777" w:rsidR="00B01930" w:rsidRPr="00320A86" w:rsidRDefault="00B01930" w:rsidP="00B01930">
      <w:pPr>
        <w:spacing w:before="120" w:after="120"/>
        <w:jc w:val="both"/>
      </w:pPr>
      <w:r w:rsidRPr="00320A86">
        <w:t>Car si l’Empire est absent des approches conceptuelles des rel</w:t>
      </w:r>
      <w:r w:rsidRPr="00320A86">
        <w:t>a</w:t>
      </w:r>
      <w:r w:rsidRPr="00320A86">
        <w:t>tions internationales, en revanche il est présent dans l’Histoire des r</w:t>
      </w:r>
      <w:r w:rsidRPr="00320A86">
        <w:t>e</w:t>
      </w:r>
      <w:r w:rsidRPr="00320A86">
        <w:t>lations. Plus exact</w:t>
      </w:r>
      <w:r w:rsidRPr="00320A86">
        <w:t>e</w:t>
      </w:r>
      <w:r w:rsidRPr="00320A86">
        <w:t>ment, en ce qui concerne les études théoriques des relations internationales – qui comprennent toujours une partie hist</w:t>
      </w:r>
      <w:r w:rsidRPr="00320A86">
        <w:t>o</w:t>
      </w:r>
      <w:r w:rsidRPr="00320A86">
        <w:t>rique – il n’y a pas de lien entre l’évocation des Empires et la place de la notion d’Empire dans la théorie. Les Empires participent de l’illustration de la théorie, mais l’Empire n’existe pas dans celle-ci.</w:t>
      </w:r>
    </w:p>
    <w:p w14:paraId="3179A738" w14:textId="77777777" w:rsidR="00B01930" w:rsidRPr="00320A86" w:rsidRDefault="00B01930" w:rsidP="00B01930">
      <w:pPr>
        <w:spacing w:before="120" w:after="120"/>
        <w:jc w:val="both"/>
      </w:pPr>
      <w:r w:rsidRPr="00320A86">
        <w:t>Pourtant historiens et philosophes de l’Histoire sont à même d’en donner le sens premier (l’imperium romain), son acmé occidental : l’Empire romain, ou encore la multiplicité de ses formes (Empire te</w:t>
      </w:r>
      <w:r w:rsidRPr="00320A86">
        <w:t>r</w:t>
      </w:r>
      <w:r w:rsidRPr="00320A86">
        <w:t>restre, Empire de la mer, Empire des steppes, etc.) ou de ses réalis</w:t>
      </w:r>
      <w:r w:rsidRPr="00320A86">
        <w:t>a</w:t>
      </w:r>
      <w:r w:rsidRPr="00320A86">
        <w:t>tions (Empires perse, chinois, mongol, byza</w:t>
      </w:r>
      <w:r w:rsidRPr="00320A86">
        <w:t>n</w:t>
      </w:r>
      <w:r w:rsidRPr="00320A86">
        <w:t>tin, ottoman, austro-hongrois, etc.). Tout un chacun constate la récurrence du phénomène qui ne manque de nous fasciner et de nous interpeller.</w:t>
      </w:r>
    </w:p>
    <w:p w14:paraId="2310DAE0" w14:textId="77777777" w:rsidR="00B01930" w:rsidRPr="00320A86" w:rsidRDefault="00B01930" w:rsidP="00B01930">
      <w:pPr>
        <w:spacing w:before="120" w:after="120"/>
        <w:jc w:val="both"/>
      </w:pPr>
      <w:r w:rsidRPr="00320A86">
        <w:t>Pour leur part, les peuples voient, peu ou prou, dans l’Empire s</w:t>
      </w:r>
      <w:r w:rsidRPr="00320A86">
        <w:t>i</w:t>
      </w:r>
      <w:r w:rsidRPr="00320A86">
        <w:t>multanément la domination, voire la soumission, du plus grand no</w:t>
      </w:r>
      <w:r w:rsidRPr="00320A86">
        <w:t>m</w:t>
      </w:r>
      <w:r w:rsidRPr="00320A86">
        <w:t xml:space="preserve">bre d’entre eux sous une même férule ; et l’unité de tous, gage de paix, en tout cas de stabilité. L’idéal de la </w:t>
      </w:r>
      <w:r w:rsidRPr="00F16432">
        <w:rPr>
          <w:i/>
        </w:rPr>
        <w:t>Pax Romana</w:t>
      </w:r>
      <w:r w:rsidRPr="00320A86">
        <w:t xml:space="preserve"> hante les élites occidentales depuis la fin de l’Empire romain d’Occident, archétype – avec l’Empire chinois – de ce qu’est un Empire.</w:t>
      </w:r>
    </w:p>
    <w:p w14:paraId="58A97A72" w14:textId="77777777" w:rsidR="00B01930" w:rsidRPr="00320A86" w:rsidRDefault="00B01930" w:rsidP="00B01930">
      <w:pPr>
        <w:spacing w:before="120" w:after="120"/>
        <w:jc w:val="both"/>
      </w:pPr>
      <w:r w:rsidRPr="00320A86">
        <w:t>On peut observer, dans le même esprit, depuis quelques années, le dévelo</w:t>
      </w:r>
      <w:r w:rsidRPr="00320A86">
        <w:t>p</w:t>
      </w:r>
      <w:r w:rsidRPr="00320A86">
        <w:t>pement d’un discours sur la double monarchie comme modèle récent (et moderne pour ses zélateurs) de la paix par l’Empire, redo</w:t>
      </w:r>
      <w:r w:rsidRPr="00320A86">
        <w:t>n</w:t>
      </w:r>
      <w:r w:rsidRPr="00320A86">
        <w:t xml:space="preserve">nant lustre, ainsi, à la devise de la Maison d’Autriche : </w:t>
      </w:r>
      <w:r w:rsidRPr="00F16432">
        <w:rPr>
          <w:i/>
        </w:rPr>
        <w:t>Austriae est imperare orbi universo </w:t>
      </w:r>
      <w:r>
        <w:rPr>
          <w:rStyle w:val="Appelnotedebasdep"/>
        </w:rPr>
        <w:footnoteReference w:id="1260"/>
      </w:r>
      <w:r w:rsidRPr="00320A86">
        <w:t>…</w:t>
      </w:r>
    </w:p>
    <w:p w14:paraId="78CB54A8" w14:textId="77777777" w:rsidR="00B01930" w:rsidRPr="00320A86" w:rsidRDefault="00B01930" w:rsidP="00B01930">
      <w:pPr>
        <w:spacing w:before="120" w:after="120"/>
        <w:jc w:val="both"/>
      </w:pPr>
      <w:r w:rsidRPr="00320A86">
        <w:t xml:space="preserve">La constance du phénomène, comme son emprise sur les esprits, conduit donc à penser que l’Empire ne peut être que partie intégrante du mécanisme de tout système des relations internationales ayant en son cœur la </w:t>
      </w:r>
      <w:r w:rsidRPr="00F16432">
        <w:rPr>
          <w:i/>
        </w:rPr>
        <w:t>structure de Pui</w:t>
      </w:r>
      <w:r w:rsidRPr="00F16432">
        <w:rPr>
          <w:i/>
        </w:rPr>
        <w:t>s</w:t>
      </w:r>
      <w:r w:rsidRPr="00F16432">
        <w:rPr>
          <w:i/>
        </w:rPr>
        <w:t>sance</w:t>
      </w:r>
      <w:r w:rsidRPr="00320A86">
        <w:t>.</w:t>
      </w:r>
    </w:p>
    <w:p w14:paraId="2B7BAACB" w14:textId="77777777" w:rsidR="00B01930" w:rsidRPr="00320A86" w:rsidRDefault="00B01930" w:rsidP="00B01930">
      <w:pPr>
        <w:spacing w:before="120" w:after="120"/>
        <w:jc w:val="both"/>
      </w:pPr>
      <w:r w:rsidRPr="00320A86">
        <w:t>– Chacun admet, dans la discipline que sont les relations intern</w:t>
      </w:r>
      <w:r w:rsidRPr="00320A86">
        <w:t>a</w:t>
      </w:r>
      <w:r w:rsidRPr="00320A86">
        <w:t>tionales, que celles-ci (entendu comme objet) ne sont pas les sommes des « politiques étrangères » ou des jeux de Puissances. Les relations se situent dans un cadre. Avec l’idée – ne serait-ce que d’intuition – que celui-ci déterminerait, plus ou moins, – en tout cas, influencerait – la conduite des acteurs.</w:t>
      </w:r>
    </w:p>
    <w:p w14:paraId="4253E7AA" w14:textId="77777777" w:rsidR="00B01930" w:rsidRPr="00320A86" w:rsidRDefault="00B01930" w:rsidP="00B01930">
      <w:pPr>
        <w:spacing w:before="120" w:after="120"/>
        <w:jc w:val="both"/>
      </w:pPr>
      <w:r w:rsidRPr="00320A86">
        <w:t>Ainsi comprend-on, même empiriquement, que l’architecture des alliances d’avant 1914 a pesé sur les événements et a, peut-être, dicté la marche vers la guerre une fois les conditions factuelles réunies. De même saisit-on, sans vérit</w:t>
      </w:r>
      <w:r w:rsidRPr="00320A86">
        <w:t>a</w:t>
      </w:r>
      <w:r w:rsidRPr="00320A86">
        <w:t>ble démonstration, que l’affrontement des deux super-Puissances et de leurs a</w:t>
      </w:r>
      <w:r w:rsidRPr="00320A86">
        <w:t>l</w:t>
      </w:r>
      <w:r w:rsidRPr="00320A86">
        <w:t>liés après 1945 a organisé toute la vie internationale et que les acteurs devaient inscrire leurs actions dans ce cadre. Enfin, avec l’effondrement de l’Empire s</w:t>
      </w:r>
      <w:r w:rsidRPr="00320A86">
        <w:t>o</w:t>
      </w:r>
      <w:r w:rsidRPr="00320A86">
        <w:t xml:space="preserve">viétique, chacun a ressenti que les relations internationales étaient différentes et a pu constater, au travers des livres et des articles, que nombre d’auteurs s’interrogeaient ou proposaient de nouvelles explications du fonctionnement </w:t>
      </w:r>
      <w:r w:rsidRPr="00F16432">
        <w:rPr>
          <w:i/>
        </w:rPr>
        <w:t>global </w:t>
      </w:r>
      <w:r>
        <w:rPr>
          <w:rStyle w:val="Appelnotedebasdep"/>
        </w:rPr>
        <w:footnoteReference w:id="1261"/>
      </w:r>
      <w:r w:rsidRPr="00320A86">
        <w:t>.</w:t>
      </w:r>
    </w:p>
    <w:p w14:paraId="27EB4E42" w14:textId="77777777" w:rsidR="00B01930" w:rsidRPr="00320A86" w:rsidRDefault="00B01930" w:rsidP="00B01930">
      <w:pPr>
        <w:spacing w:before="120" w:after="120"/>
        <w:jc w:val="both"/>
      </w:pPr>
      <w:r w:rsidRPr="00320A86">
        <w:t>Les spécialistes ont donc cherché un concept susceptible de rendre compte de cette appréhension de la réalité, opératoire, quelles que soient les époques</w:t>
      </w:r>
      <w:r>
        <w:t> </w:t>
      </w:r>
      <w:r>
        <w:rPr>
          <w:rStyle w:val="Appelnotedebasdep"/>
        </w:rPr>
        <w:footnoteReference w:id="1262"/>
      </w:r>
      <w:r w:rsidRPr="00320A86">
        <w:t>.</w:t>
      </w:r>
    </w:p>
    <w:p w14:paraId="09260A3A" w14:textId="77777777" w:rsidR="00B01930" w:rsidRPr="00320A86" w:rsidRDefault="00B01930" w:rsidP="00B01930">
      <w:pPr>
        <w:spacing w:before="120" w:after="120"/>
        <w:jc w:val="both"/>
      </w:pPr>
      <w:r w:rsidRPr="00320A86">
        <w:t>C’est l’adoption du point de vue systémique</w:t>
      </w:r>
      <w:r>
        <w:t> </w:t>
      </w:r>
      <w:r>
        <w:rPr>
          <w:rStyle w:val="Appelnotedebasdep"/>
        </w:rPr>
        <w:footnoteReference w:id="1263"/>
      </w:r>
      <w:r w:rsidRPr="00320A86">
        <w:t>, que l’on pourrait i</w:t>
      </w:r>
      <w:r w:rsidRPr="00320A86">
        <w:t>l</w:t>
      </w:r>
      <w:r w:rsidRPr="00320A86">
        <w:t>lustrer par l’image d’une maison : une maison est bien la somme de briques, mais suivant une architecture qui s’impose aux briques et leur assigne une fonction. De m</w:t>
      </w:r>
      <w:r w:rsidRPr="00320A86">
        <w:t>ê</w:t>
      </w:r>
      <w:r w:rsidRPr="00320A86">
        <w:t>me, un être vivant est composé d’organes fonctionnant suivant un certain pr</w:t>
      </w:r>
      <w:r w:rsidRPr="00320A86">
        <w:t>o</w:t>
      </w:r>
      <w:r w:rsidRPr="00320A86">
        <w:t>cessus, le tout s’adaptant à l’environnement dans lequel cet être vit. Cette notion a été largement vulgarisée (parfois de manière un peu réductrice, voire inappr</w:t>
      </w:r>
      <w:r w:rsidRPr="00320A86">
        <w:t>o</w:t>
      </w:r>
      <w:r w:rsidRPr="00320A86">
        <w:t>priée) par la « vague » écologiste.</w:t>
      </w:r>
    </w:p>
    <w:p w14:paraId="13631B28" w14:textId="77777777" w:rsidR="00B01930" w:rsidRPr="00320A86" w:rsidRDefault="00B01930" w:rsidP="00B01930">
      <w:pPr>
        <w:spacing w:before="120" w:after="120"/>
        <w:jc w:val="both"/>
      </w:pPr>
      <w:r w:rsidRPr="00320A86">
        <w:t>Ces exemples, bien entendu, restent de l’ordre de la métaphore, car sur le plan épistémologique, il est évident qu’il faut éviter, par exe</w:t>
      </w:r>
      <w:r w:rsidRPr="00320A86">
        <w:t>m</w:t>
      </w:r>
      <w:r w:rsidRPr="00320A86">
        <w:t>ple, de poser comme semblables les systèmes vivants et les systèmes sociaux, ceux-ci étant des systèmes ouverts, c’est-à-dire capables de recevoir de l’information</w:t>
      </w:r>
      <w:r>
        <w:t> </w:t>
      </w:r>
      <w:r>
        <w:rPr>
          <w:rStyle w:val="Appelnotedebasdep"/>
        </w:rPr>
        <w:footnoteReference w:id="1264"/>
      </w:r>
      <w:r w:rsidRPr="00320A86">
        <w:t xml:space="preserve"> de l’environnement et de s’adapter à c</w:t>
      </w:r>
      <w:r w:rsidRPr="00320A86">
        <w:t>e</w:t>
      </w:r>
      <w:r w:rsidRPr="00320A86">
        <w:t>lui-ci ; de plus, de par leur nature sociale, intervient la notion de co</w:t>
      </w:r>
      <w:r w:rsidRPr="00320A86">
        <w:t>m</w:t>
      </w:r>
      <w:r w:rsidRPr="00320A86">
        <w:t>plexité tant dans leur organisation que dans le mode de fonctionn</w:t>
      </w:r>
      <w:r w:rsidRPr="00320A86">
        <w:t>e</w:t>
      </w:r>
      <w:r w:rsidRPr="00320A86">
        <w:t>ment.</w:t>
      </w:r>
    </w:p>
    <w:p w14:paraId="5C1576F7" w14:textId="77777777" w:rsidR="00B01930" w:rsidRPr="00320A86" w:rsidRDefault="00B01930" w:rsidP="00B01930">
      <w:pPr>
        <w:spacing w:before="120" w:after="120"/>
        <w:jc w:val="both"/>
      </w:pPr>
      <w:r w:rsidRPr="00320A86">
        <w:t>En ce qui concerne les relations internationales, le recours au concept de Sy</w:t>
      </w:r>
      <w:r w:rsidRPr="00320A86">
        <w:t>s</w:t>
      </w:r>
      <w:r w:rsidRPr="00320A86">
        <w:t>tème va, selon les auteurs, du mot utilisé dans le texte – sans que cela implique un quelconque changement de méthode –</w:t>
      </w:r>
      <w:r>
        <w:t> </w:t>
      </w:r>
      <w:r>
        <w:rPr>
          <w:rStyle w:val="Appelnotedebasdep"/>
        </w:rPr>
        <w:footnoteReference w:id="1265"/>
      </w:r>
      <w:r w:rsidRPr="00320A86">
        <w:t>, à la volonté de bâtir une théorie consistant en l’élaboration d’un m</w:t>
      </w:r>
      <w:r w:rsidRPr="00320A86">
        <w:t>o</w:t>
      </w:r>
      <w:r w:rsidRPr="00320A86">
        <w:t>dèle de façon à replacer chacun des acteurs dans une totalité qui ass</w:t>
      </w:r>
      <w:r w:rsidRPr="00320A86">
        <w:t>i</w:t>
      </w:r>
      <w:r w:rsidRPr="00320A86">
        <w:t>gne aux différents éléments une fonction et détermine ainsi leur compo</w:t>
      </w:r>
      <w:r w:rsidRPr="00320A86">
        <w:t>r</w:t>
      </w:r>
      <w:r w:rsidRPr="00320A86">
        <w:t>tement. La finalité étant d’arriver à un modèle explicatif et – autant que faire se peut – prédictif (tout au moins à court et moyen terme).</w:t>
      </w:r>
    </w:p>
    <w:p w14:paraId="3E81CCBA" w14:textId="77777777" w:rsidR="00B01930" w:rsidRPr="00320A86" w:rsidRDefault="00B01930" w:rsidP="00B01930">
      <w:pPr>
        <w:spacing w:before="120" w:after="120"/>
        <w:jc w:val="both"/>
      </w:pPr>
      <w:r w:rsidRPr="00320A86">
        <w:t>La notion de système entendue comme « éléments interdépendants unis par des liaisons réactives formant un ensemble organisé » impl</w:t>
      </w:r>
      <w:r w:rsidRPr="00320A86">
        <w:t>i</w:t>
      </w:r>
      <w:r w:rsidRPr="00320A86">
        <w:t>que l’utilisation de certains concepts.</w:t>
      </w:r>
    </w:p>
    <w:p w14:paraId="1497E419" w14:textId="77777777" w:rsidR="00B01930" w:rsidRPr="00320A86" w:rsidRDefault="00B01930" w:rsidP="00B01930">
      <w:pPr>
        <w:spacing w:before="120" w:after="120"/>
        <w:jc w:val="both"/>
      </w:pPr>
      <w:r w:rsidRPr="00320A86">
        <w:t>D’abord celui d’interaction, en effet la théorie des systèmes pr</w:t>
      </w:r>
      <w:r w:rsidRPr="00320A86">
        <w:t>é</w:t>
      </w:r>
      <w:r w:rsidRPr="00320A86">
        <w:t>suppose l’interaction des éléments constitutifs. Sans liaisons réactives il n’y a pas de sy</w:t>
      </w:r>
      <w:r w:rsidRPr="00320A86">
        <w:t>s</w:t>
      </w:r>
      <w:r w:rsidRPr="00320A86">
        <w:t>tème. Les interactions définissent une configuration qui est la Structure du Sy</w:t>
      </w:r>
      <w:r w:rsidRPr="00320A86">
        <w:t>s</w:t>
      </w:r>
      <w:r w:rsidRPr="00320A86">
        <w:t>tème, laquelle, selon l’analyse systémique, détermine le rôle des éléments (su</w:t>
      </w:r>
      <w:r w:rsidRPr="00320A86">
        <w:t>i</w:t>
      </w:r>
      <w:r w:rsidRPr="00320A86">
        <w:t>vant un degré qu’il appartient au chercheur de déterminer).</w:t>
      </w:r>
    </w:p>
    <w:p w14:paraId="22165578" w14:textId="77777777" w:rsidR="00B01930" w:rsidRPr="00320A86" w:rsidRDefault="00B01930" w:rsidP="00B01930">
      <w:pPr>
        <w:spacing w:before="120" w:after="120"/>
        <w:jc w:val="both"/>
      </w:pPr>
      <w:r w:rsidRPr="00320A86">
        <w:t>Ensuite celui de fonction, chaque élément joue un rôle défini par la Structure du système, celui-ci ayant un certain nombre de fonctions à maintenir s’il veut se conserver comme Système. Toute la question est de savoir quelles sont les fonctions essentielles du système étudié, avec le risque d’arriver à une explic</w:t>
      </w:r>
      <w:r w:rsidRPr="00320A86">
        <w:t>a</w:t>
      </w:r>
      <w:r w:rsidRPr="00320A86">
        <w:t>tion type téléologique.</w:t>
      </w:r>
    </w:p>
    <w:p w14:paraId="4DD9B3E2" w14:textId="77777777" w:rsidR="00B01930" w:rsidRPr="00320A86" w:rsidRDefault="00B01930" w:rsidP="00B01930">
      <w:pPr>
        <w:spacing w:before="120" w:after="120"/>
        <w:jc w:val="both"/>
      </w:pPr>
      <w:r w:rsidRPr="00320A86">
        <w:t xml:space="preserve">Par ailleurs, l’approche systémique repose sur le principe de </w:t>
      </w:r>
      <w:r w:rsidRPr="00F16432">
        <w:rPr>
          <w:i/>
        </w:rPr>
        <w:t>total</w:t>
      </w:r>
      <w:r w:rsidRPr="00F16432">
        <w:rPr>
          <w:i/>
        </w:rPr>
        <w:t>i</w:t>
      </w:r>
      <w:r w:rsidRPr="00F16432">
        <w:rPr>
          <w:i/>
        </w:rPr>
        <w:t>té</w:t>
      </w:r>
      <w:r w:rsidRPr="00320A86">
        <w:t>, c’est-à-dire l’existence de propriétés émergentes ; autrement dit des propriétés nouvelles du seul fait de l’agrégation d’éléments au sein d’un ensemble (par exemple : la production de concepts par le cerveau est une propriété émergente résultant de l’interaction entre les mi</w:t>
      </w:r>
      <w:r w:rsidRPr="00320A86">
        <w:t>l</w:t>
      </w:r>
      <w:r w:rsidRPr="00320A86">
        <w:t>liards de neurones).</w:t>
      </w:r>
    </w:p>
    <w:p w14:paraId="33D6D665" w14:textId="77777777" w:rsidR="00B01930" w:rsidRPr="00320A86" w:rsidRDefault="00B01930" w:rsidP="00B01930">
      <w:pPr>
        <w:spacing w:before="120" w:after="120"/>
        <w:jc w:val="both"/>
      </w:pPr>
      <w:r w:rsidRPr="00320A86">
        <w:t xml:space="preserve">Enfin, la notion de système comporte le concept </w:t>
      </w:r>
      <w:r w:rsidRPr="00F16432">
        <w:rPr>
          <w:i/>
        </w:rPr>
        <w:t>d’équilibre</w:t>
      </w:r>
      <w:r w:rsidRPr="00320A86">
        <w:t>, c’est-à-dire le maintien du système. Cette notion, fructueuse par certains côtés, a pour danger de pouvoir déboucher sur une vision mécaniste laquelle est applicable, seul</w:t>
      </w:r>
      <w:r w:rsidRPr="00320A86">
        <w:t>e</w:t>
      </w:r>
      <w:r w:rsidRPr="00320A86">
        <w:t>ment, aux systèmes dits fermés. Or la théorie des systèmes a fait ressortir qu’un système qui reçoit des i</w:t>
      </w:r>
      <w:r w:rsidRPr="00320A86">
        <w:t>m</w:t>
      </w:r>
      <w:r w:rsidRPr="00320A86">
        <w:t>pulsions de son environnement peut rétroagir suivant un « </w:t>
      </w:r>
      <w:r w:rsidRPr="00F16432">
        <w:rPr>
          <w:i/>
        </w:rPr>
        <w:t>feed-back </w:t>
      </w:r>
      <w:r w:rsidRPr="00320A86">
        <w:t>» (une rétroaction) négatif assurant une autorégulation parfaite (h</w:t>
      </w:r>
      <w:r w:rsidRPr="00320A86">
        <w:t>o</w:t>
      </w:r>
      <w:r w:rsidRPr="00320A86">
        <w:t>méostasie et morphostase) ou suivant un « feed-back » positif qui a</w:t>
      </w:r>
      <w:r w:rsidRPr="00320A86">
        <w:t>m</w:t>
      </w:r>
      <w:r w:rsidRPr="00320A86">
        <w:t>plifie les phénomènes au point d’entraîner des modifications de la structure (morph</w:t>
      </w:r>
      <w:r w:rsidRPr="00320A86">
        <w:t>o</w:t>
      </w:r>
      <w:r w:rsidRPr="00320A86">
        <w:t>genèse). Les systèmes sociaux, de par leur nature, sont des systèmes complexes relevant de ce type de conceptualisation, et ce processus adaptatif a mis en v</w:t>
      </w:r>
      <w:r w:rsidRPr="00320A86">
        <w:t>a</w:t>
      </w:r>
      <w:r w:rsidRPr="00320A86">
        <w:t>leur les notions d’information et de communication.</w:t>
      </w:r>
    </w:p>
    <w:p w14:paraId="53EBACBE" w14:textId="77777777" w:rsidR="00B01930" w:rsidRPr="00320A86" w:rsidRDefault="00B01930" w:rsidP="00B01930">
      <w:pPr>
        <w:spacing w:before="120" w:after="120"/>
        <w:jc w:val="both"/>
      </w:pPr>
      <w:r w:rsidRPr="00320A86">
        <w:t>Les relations internationales en tant que système social entrent donc dans le cadre des systèmes adaptatifs complexes et des concepts inhérents à ceux-ci.</w:t>
      </w:r>
    </w:p>
    <w:p w14:paraId="134EDCE1" w14:textId="77777777" w:rsidR="00B01930" w:rsidRPr="00320A86" w:rsidRDefault="00B01930" w:rsidP="00B01930">
      <w:pPr>
        <w:spacing w:before="120" w:after="120"/>
        <w:jc w:val="both"/>
      </w:pPr>
      <w:r w:rsidRPr="00320A86">
        <w:t>Cette méthode a ainsi permis de renouveler l’étude des causes d’une action et des fonctions qui peuvent y être associées, fonctions qui ne sont pas nécessair</w:t>
      </w:r>
      <w:r w:rsidRPr="00320A86">
        <w:t>e</w:t>
      </w:r>
      <w:r w:rsidRPr="00320A86">
        <w:t>ment le fruit de la volonté de l’acteur. Mais il n’est pas exclu que celui-ci puisse, par compréhension de la « mécanique », utiliser par la suite les fonctions et en faire la cause de ses actions après un « apprentissage » des règles du système (car l’acteur ne maîtrise pas entièrement le système dont il fait partie).</w:t>
      </w:r>
    </w:p>
    <w:p w14:paraId="537C4DC6" w14:textId="77777777" w:rsidR="00B01930" w:rsidRPr="00320A86" w:rsidRDefault="00B01930" w:rsidP="00B01930">
      <w:pPr>
        <w:spacing w:before="120" w:after="120"/>
        <w:jc w:val="both"/>
      </w:pPr>
      <w:r w:rsidRPr="00320A86">
        <w:t>En définitive, on peut imaginer le système des relations internati</w:t>
      </w:r>
      <w:r w:rsidRPr="00320A86">
        <w:t>o</w:t>
      </w:r>
      <w:r w:rsidRPr="00320A86">
        <w:t>nales co</w:t>
      </w:r>
      <w:r w:rsidRPr="00320A86">
        <w:t>m</w:t>
      </w:r>
      <w:r w:rsidRPr="00320A86">
        <w:t>me un ensemble dans lequel circulent des influx unissant une multiplicité de centres de décision, chacun ayant un comport</w:t>
      </w:r>
      <w:r w:rsidRPr="00320A86">
        <w:t>e</w:t>
      </w:r>
      <w:r w:rsidRPr="00320A86">
        <w:t>ment résultant des « lois » de r</w:t>
      </w:r>
      <w:r w:rsidRPr="00320A86">
        <w:t>é</w:t>
      </w:r>
      <w:r w:rsidRPr="00320A86">
        <w:t>gulation du système.</w:t>
      </w:r>
    </w:p>
    <w:p w14:paraId="62C07AF2" w14:textId="77777777" w:rsidR="00B01930" w:rsidRPr="00320A86" w:rsidRDefault="00B01930" w:rsidP="00B01930">
      <w:pPr>
        <w:spacing w:before="120" w:after="120"/>
        <w:jc w:val="both"/>
      </w:pPr>
      <w:r w:rsidRPr="00320A86">
        <w:t>Bien entendu, le recours à l’analyse systémique en relations inte</w:t>
      </w:r>
      <w:r w:rsidRPr="00320A86">
        <w:t>r</w:t>
      </w:r>
      <w:r w:rsidRPr="00320A86">
        <w:t>nationales ne va pas sans soulever un certain nombre de questions d’ordre épistémolog</w:t>
      </w:r>
      <w:r w:rsidRPr="00320A86">
        <w:t>i</w:t>
      </w:r>
      <w:r w:rsidRPr="00320A86">
        <w:t>ques débattues entre spécialistes. Par exemple la notion d’environnement qui, du fait de la globalité du système issu de la Seconde Guerre mondiale, ne paraît pas utilisable telle quelle en la matière, ou encore la notion de centre régulateur, etc. Surtout, il faut avoir à l’esprit que le système élaboré par le chercheur en scie</w:t>
      </w:r>
      <w:r w:rsidRPr="00320A86">
        <w:t>n</w:t>
      </w:r>
      <w:r w:rsidRPr="00320A86">
        <w:t>ces sociales n’a pas d’existence phénoménale.</w:t>
      </w:r>
    </w:p>
    <w:p w14:paraId="0D3983D6" w14:textId="77777777" w:rsidR="00B01930" w:rsidRPr="00320A86" w:rsidRDefault="00B01930" w:rsidP="00B01930">
      <w:pPr>
        <w:spacing w:before="120" w:after="120"/>
        <w:jc w:val="both"/>
      </w:pPr>
      <w:r w:rsidRPr="00320A86">
        <w:t>Néanmoins, sans entrer dans le débat théorique</w:t>
      </w:r>
      <w:r>
        <w:t> </w:t>
      </w:r>
      <w:r>
        <w:rPr>
          <w:rStyle w:val="Appelnotedebasdep"/>
        </w:rPr>
        <w:footnoteReference w:id="1266"/>
      </w:r>
      <w:r w:rsidRPr="00320A86">
        <w:t>, on peut est</w:t>
      </w:r>
      <w:r w:rsidRPr="00320A86">
        <w:t>i</w:t>
      </w:r>
      <w:r w:rsidRPr="00320A86">
        <w:t>mer que ces questions sont, ou peuvent être résolues ; en tout état de cause, des analystes utilisent, peu ou prou, la méthode systémique pour re</w:t>
      </w:r>
      <w:r w:rsidRPr="00320A86">
        <w:t>n</w:t>
      </w:r>
      <w:r w:rsidRPr="00320A86">
        <w:t>dre compte du monde contemporain. Car cette méthode, comme nous le disions, a renouvelé l’étude des causes d’une action ; elle a égal</w:t>
      </w:r>
      <w:r w:rsidRPr="00320A86">
        <w:t>e</w:t>
      </w:r>
      <w:r w:rsidRPr="00320A86">
        <w:t>ment orienté les recherches sur les enchaînements, les r</w:t>
      </w:r>
      <w:r w:rsidRPr="00320A86">
        <w:t>é</w:t>
      </w:r>
      <w:r w:rsidRPr="00320A86">
        <w:t>actions et la communication.</w:t>
      </w:r>
    </w:p>
    <w:p w14:paraId="72836E1F" w14:textId="77777777" w:rsidR="00B01930" w:rsidRPr="00320A86" w:rsidRDefault="00B01930" w:rsidP="00B01930">
      <w:pPr>
        <w:spacing w:before="120" w:after="120"/>
        <w:jc w:val="both"/>
      </w:pPr>
      <w:r w:rsidRPr="00320A86">
        <w:t>Elle a aussi eu des conséquences sur un certain nombre de notions consid</w:t>
      </w:r>
      <w:r w:rsidRPr="00320A86">
        <w:t>é</w:t>
      </w:r>
      <w:r w:rsidRPr="00320A86">
        <w:t>rées comme naturelles ou acquises. Par exemple l’idée d’État, entendu comme « forteresse » et symbolisé par l’idée de frontière s’est fortement estompée (bien avant qu’on ne parle de la « mondialisation »).</w:t>
      </w:r>
    </w:p>
    <w:p w14:paraId="3724A31C" w14:textId="77777777" w:rsidR="00B01930" w:rsidRPr="00320A86" w:rsidRDefault="00B01930" w:rsidP="00B01930">
      <w:pPr>
        <w:spacing w:before="120" w:after="120"/>
        <w:jc w:val="both"/>
      </w:pPr>
      <w:r w:rsidRPr="00320A86">
        <w:t>Dans la nouvelle perspective, la frontière, comme trait continu, disparaît au profit de flux. Les frontières, alors, deviennent des di</w:t>
      </w:r>
      <w:r w:rsidRPr="00320A86">
        <w:t>s</w:t>
      </w:r>
      <w:r w:rsidRPr="00320A86">
        <w:t>continuités dans la fr</w:t>
      </w:r>
      <w:r w:rsidRPr="00320A86">
        <w:t>é</w:t>
      </w:r>
      <w:r w:rsidRPr="00320A86">
        <w:t>quence des réactions (discontinuités dans les degrés de covariances) et dans la fréquence des transactions. Ce qui veut dire qu’une décision prise à un endroit du système entraîne des effets dans tout le système dès lors qu’il y a connexion</w:t>
      </w:r>
      <w:r>
        <w:t> </w:t>
      </w:r>
      <w:r>
        <w:rPr>
          <w:rStyle w:val="Appelnotedebasdep"/>
        </w:rPr>
        <w:footnoteReference w:id="1267"/>
      </w:r>
      <w:r w:rsidRPr="00320A86">
        <w:t>. La fronti</w:t>
      </w:r>
      <w:r w:rsidRPr="00320A86">
        <w:t>è</w:t>
      </w:r>
      <w:r w:rsidRPr="00320A86">
        <w:t>re n’existe qu’autant que l’acteur puisse canaliser et contrôler l’influx.</w:t>
      </w:r>
    </w:p>
    <w:p w14:paraId="139228CA" w14:textId="77777777" w:rsidR="00B01930" w:rsidRPr="00320A86" w:rsidRDefault="00B01930" w:rsidP="00B01930">
      <w:pPr>
        <w:spacing w:before="120" w:after="120"/>
        <w:jc w:val="both"/>
      </w:pPr>
      <w:r w:rsidRPr="00320A86">
        <w:t>Apparaît une autre vision des relations internationales, conçues comme un monde de réseaux où chacun est dépendant et ne peut, sans risques, se couper du réseau</w:t>
      </w:r>
      <w:r>
        <w:t> </w:t>
      </w:r>
      <w:r>
        <w:rPr>
          <w:rStyle w:val="Appelnotedebasdep"/>
        </w:rPr>
        <w:footnoteReference w:id="1268"/>
      </w:r>
      <w:r w:rsidRPr="00320A86">
        <w:t>. On peut utiliser le réseau pour prop</w:t>
      </w:r>
      <w:r w:rsidRPr="00320A86">
        <w:t>a</w:t>
      </w:r>
      <w:r w:rsidRPr="00320A86">
        <w:t>ger et amplifier des perturbations. Les conflits peuvent découler de l’appropriation de biens, mais aussi de tentative de contrôle de flux (mener « une guerre » sur l’assurance crédit à l’export peut obliger l’organisme spécialisé d’un État à augmenter ses interventions, c’est-à-dire celles du bailleur de fonds qu’est l’État, et donc à déséquilibrer les finances de celui-ci)</w:t>
      </w:r>
      <w:r>
        <w:t> </w:t>
      </w:r>
      <w:r>
        <w:rPr>
          <w:rStyle w:val="Appelnotedebasdep"/>
        </w:rPr>
        <w:footnoteReference w:id="1269"/>
      </w:r>
      <w:r w:rsidRPr="00320A86">
        <w:t>.</w:t>
      </w:r>
    </w:p>
    <w:p w14:paraId="69338906" w14:textId="77777777" w:rsidR="00B01930" w:rsidRPr="00320A86" w:rsidRDefault="00B01930" w:rsidP="00B01930">
      <w:pPr>
        <w:spacing w:before="120" w:after="120"/>
        <w:jc w:val="both"/>
      </w:pPr>
      <w:r w:rsidRPr="00320A86">
        <w:t>On peut donc, à partir du concept de système et des principes qui le qual</w:t>
      </w:r>
      <w:r w:rsidRPr="00320A86">
        <w:t>i</w:t>
      </w:r>
      <w:r w:rsidRPr="00320A86">
        <w:t>fient, élaborer des modèles dont les constantes seraient, par exemple, le nombre d’acteurs (systèmes bipolaires et multipolaires, avec toutes les variantes poss</w:t>
      </w:r>
      <w:r w:rsidRPr="00320A86">
        <w:t>i</w:t>
      </w:r>
      <w:r w:rsidRPr="00320A86">
        <w:t>bles) et la nature des relations (systèmes homogènes – les acteurs se réclamant d’une même conception de la politique, ou systèmes hétérogènes)</w:t>
      </w:r>
      <w:r>
        <w:t> </w:t>
      </w:r>
      <w:r>
        <w:rPr>
          <w:rStyle w:val="Appelnotedebasdep"/>
        </w:rPr>
        <w:footnoteReference w:id="1270"/>
      </w:r>
      <w:r w:rsidRPr="00320A86">
        <w:t>. Chaque modèle ayant des r</w:t>
      </w:r>
      <w:r w:rsidRPr="00320A86">
        <w:t>è</w:t>
      </w:r>
      <w:r w:rsidRPr="00320A86">
        <w:t>gles minima de fonctionnement, faute de quoi le système défini ne pourrait se maintenir.</w:t>
      </w:r>
    </w:p>
    <w:p w14:paraId="791C9B7E" w14:textId="77777777" w:rsidR="00B01930" w:rsidRPr="00320A86" w:rsidRDefault="00B01930" w:rsidP="00B01930">
      <w:pPr>
        <w:spacing w:before="120" w:after="120"/>
        <w:jc w:val="both"/>
      </w:pPr>
      <w:r w:rsidRPr="00320A86">
        <w:t>Mais la plupart du temps, les modèles sont des répliques synthét</w:t>
      </w:r>
      <w:r w:rsidRPr="00320A86">
        <w:t>i</w:t>
      </w:r>
      <w:r w:rsidRPr="00320A86">
        <w:t>ques d’exemples historiques des relations internationales. En ce sens, ils sont stat</w:t>
      </w:r>
      <w:r w:rsidRPr="00320A86">
        <w:t>i</w:t>
      </w:r>
      <w:r w:rsidRPr="00320A86">
        <w:t>ques et ne permettent pas de comprendre « comment ça marche », encore moins d’avoir une « cartographie » des niveaux d’analyses et des théories explicatives afférentes.</w:t>
      </w:r>
    </w:p>
    <w:p w14:paraId="59863BB0" w14:textId="77777777" w:rsidR="00B01930" w:rsidRPr="00320A86" w:rsidRDefault="00B01930" w:rsidP="00B01930">
      <w:pPr>
        <w:spacing w:before="120" w:after="120"/>
        <w:jc w:val="both"/>
      </w:pPr>
      <w:r w:rsidRPr="00320A86">
        <w:t>Or le concept de système permet de préciser un outillage conce</w:t>
      </w:r>
      <w:r w:rsidRPr="00320A86">
        <w:t>p</w:t>
      </w:r>
      <w:r w:rsidRPr="00320A86">
        <w:t>tuel répo</w:t>
      </w:r>
      <w:r w:rsidRPr="00320A86">
        <w:t>n</w:t>
      </w:r>
      <w:r w:rsidRPr="00320A86">
        <w:t>dant à la double exigence d’intégration des méthodes (qui ne sont pas exclusives les unes des autres, mais complémentaires en fonction du niveau de l’analyse effectuée) et de modèle explicatif. Ce modèle doit être de nature résolument ab</w:t>
      </w:r>
      <w:r w:rsidRPr="00320A86">
        <w:t>s</w:t>
      </w:r>
      <w:r w:rsidRPr="00320A86">
        <w:t>traite et doit avoir pour fonction d’offrir une grille d’articulation des concepts utilisés en rel</w:t>
      </w:r>
      <w:r w:rsidRPr="00320A86">
        <w:t>a</w:t>
      </w:r>
      <w:r w:rsidRPr="00320A86">
        <w:t>tions internationales, des niveaux de la réalité internationale, et des enchaînements de ceux-ci.</w:t>
      </w:r>
    </w:p>
    <w:p w14:paraId="0DACC627" w14:textId="77777777" w:rsidR="00B01930" w:rsidRPr="00320A86" w:rsidRDefault="00B01930" w:rsidP="00B01930">
      <w:pPr>
        <w:spacing w:before="120" w:after="120"/>
        <w:jc w:val="both"/>
      </w:pPr>
      <w:r w:rsidRPr="00320A86">
        <w:t>À partir de ce modèle, on peut construire – par l’observation emp</w:t>
      </w:r>
      <w:r w:rsidRPr="00320A86">
        <w:t>i</w:t>
      </w:r>
      <w:r w:rsidRPr="00320A86">
        <w:t>rique et historique – le schéma du système des relations internation</w:t>
      </w:r>
      <w:r w:rsidRPr="00320A86">
        <w:t>a</w:t>
      </w:r>
      <w:r w:rsidRPr="00320A86">
        <w:t>les fonctionnant à un moment donné. Toute la démarche revient à concevoir un modèle qui, d’une part expliquerait le mode de constit</w:t>
      </w:r>
      <w:r w:rsidRPr="00320A86">
        <w:t>u</w:t>
      </w:r>
      <w:r w:rsidRPr="00320A86">
        <w:t>tion de la structure du système ainsi que les m</w:t>
      </w:r>
      <w:r w:rsidRPr="00320A86">
        <w:t>o</w:t>
      </w:r>
      <w:r w:rsidRPr="00320A86">
        <w:t>dalités de la régulation, étant entendu que la structure se constitue par les interr</w:t>
      </w:r>
      <w:r w:rsidRPr="00320A86">
        <w:t>e</w:t>
      </w:r>
      <w:r w:rsidRPr="00320A86">
        <w:t>lations des acteurs et que ceux-ci à leur tour subissent les « lois » de la structure, et d’autre part tiendrait compte des différentes théories en relations internationales. Il convient donc de proposer un modèle que l’on pou</w:t>
      </w:r>
      <w:r w:rsidRPr="00320A86">
        <w:t>r</w:t>
      </w:r>
      <w:r w:rsidRPr="00320A86">
        <w:t>rait qualifier de modèle « à variables multiples »</w:t>
      </w:r>
      <w:r>
        <w:t> </w:t>
      </w:r>
      <w:r>
        <w:rPr>
          <w:rStyle w:val="Appelnotedebasdep"/>
        </w:rPr>
        <w:footnoteReference w:id="1271"/>
      </w:r>
      <w:r w:rsidRPr="00320A86">
        <w:t xml:space="preserve"> dont il faut déf</w:t>
      </w:r>
      <w:r w:rsidRPr="00320A86">
        <w:t>i</w:t>
      </w:r>
      <w:r w:rsidRPr="00320A86">
        <w:t>nir les règles.</w:t>
      </w:r>
    </w:p>
    <w:p w14:paraId="383A7945" w14:textId="77777777" w:rsidR="00B01930" w:rsidRPr="00320A86" w:rsidRDefault="00B01930" w:rsidP="00B01930">
      <w:pPr>
        <w:spacing w:before="120" w:after="120"/>
        <w:jc w:val="both"/>
      </w:pPr>
      <w:r w:rsidRPr="00320A86">
        <w:t>Dans tout système international, les relations sont réglées par le calcul des forces et les exigences de l’équilibre. Cela suppose le r</w:t>
      </w:r>
      <w:r w:rsidRPr="00320A86">
        <w:t>e</w:t>
      </w:r>
      <w:r w:rsidRPr="00320A86">
        <w:t>cours à la notion de Puissance, telle que définie par Jean-Louis Ma</w:t>
      </w:r>
      <w:r w:rsidRPr="00320A86">
        <w:t>r</w:t>
      </w:r>
      <w:r w:rsidRPr="00320A86">
        <w:t>tres</w:t>
      </w:r>
      <w:r>
        <w:t> </w:t>
      </w:r>
      <w:r>
        <w:rPr>
          <w:rStyle w:val="Appelnotedebasdep"/>
        </w:rPr>
        <w:footnoteReference w:id="1272"/>
      </w:r>
      <w:r w:rsidRPr="00320A86">
        <w:t>.</w:t>
      </w:r>
    </w:p>
    <w:p w14:paraId="364B2143" w14:textId="77777777" w:rsidR="00B01930" w:rsidRPr="00320A86" w:rsidRDefault="00B01930" w:rsidP="00B01930">
      <w:pPr>
        <w:spacing w:before="120" w:after="120"/>
        <w:jc w:val="both"/>
      </w:pPr>
      <w:r w:rsidRPr="00320A86">
        <w:t>La force des propositions de ce dernier réside dans le fait que la Puissance, intuitivement et factuellement perceptible, devient un vér</w:t>
      </w:r>
      <w:r w:rsidRPr="00320A86">
        <w:t>i</w:t>
      </w:r>
      <w:r w:rsidRPr="00320A86">
        <w:t>table concept à même de rendre compte des composants de la Pui</w:t>
      </w:r>
      <w:r w:rsidRPr="00320A86">
        <w:t>s</w:t>
      </w:r>
      <w:r w:rsidRPr="00320A86">
        <w:t xml:space="preserve">sance </w:t>
      </w:r>
      <w:r w:rsidRPr="00F16432">
        <w:rPr>
          <w:i/>
        </w:rPr>
        <w:t>in abstracto</w:t>
      </w:r>
      <w:r w:rsidRPr="00320A86">
        <w:t>, mais aussi in concreto à un moment donné (aspect synchronique du concept), et d’en co</w:t>
      </w:r>
      <w:r w:rsidRPr="00320A86">
        <w:t>m</w:t>
      </w:r>
      <w:r w:rsidRPr="00320A86">
        <w:t xml:space="preserve">prendre la dynamique </w:t>
      </w:r>
      <w:r w:rsidRPr="00F16432">
        <w:rPr>
          <w:i/>
        </w:rPr>
        <w:t>logique</w:t>
      </w:r>
      <w:r w:rsidRPr="00320A86">
        <w:t>, comme ses différentes figures historiques (aspect diachronique du concept).</w:t>
      </w:r>
    </w:p>
    <w:p w14:paraId="7B47CEF8" w14:textId="77777777" w:rsidR="00B01930" w:rsidRPr="00320A86" w:rsidRDefault="00B01930" w:rsidP="00B01930">
      <w:pPr>
        <w:spacing w:before="120" w:after="120"/>
        <w:jc w:val="both"/>
      </w:pPr>
      <w:r w:rsidRPr="00320A86">
        <w:t xml:space="preserve">La Puissance ce sont d’abord des </w:t>
      </w:r>
      <w:r w:rsidRPr="00F16432">
        <w:rPr>
          <w:i/>
        </w:rPr>
        <w:t>éléments objectifs </w:t>
      </w:r>
      <w:r w:rsidRPr="00320A86">
        <w:t>: l’espace (mais sa v</w:t>
      </w:r>
      <w:r w:rsidRPr="00320A86">
        <w:t>a</w:t>
      </w:r>
      <w:r w:rsidRPr="00320A86">
        <w:t>leur va dépendre de l’évolution des techniques – qu’on songe à l’invention du canon ou de l’avion par exemple, et de l’Histoire) ; la population (importance, pyram</w:t>
      </w:r>
      <w:r w:rsidRPr="00320A86">
        <w:t>i</w:t>
      </w:r>
      <w:r w:rsidRPr="00320A86">
        <w:t>de des âges, des sexes, etc.) ; les ressources ; l’organisation économique et f</w:t>
      </w:r>
      <w:r w:rsidRPr="00320A86">
        <w:t>i</w:t>
      </w:r>
      <w:r w:rsidRPr="00320A86">
        <w:t>nancière ; la technologie ; la force militaire ; etc. Tous éléments observables ou quantifiables.</w:t>
      </w:r>
    </w:p>
    <w:p w14:paraId="0CDBF2D0" w14:textId="77777777" w:rsidR="00B01930" w:rsidRPr="00320A86" w:rsidRDefault="00B01930" w:rsidP="00B01930">
      <w:pPr>
        <w:spacing w:before="120" w:after="120"/>
        <w:jc w:val="both"/>
      </w:pPr>
      <w:r w:rsidRPr="00320A86">
        <w:t xml:space="preserve">Mais la Puissance se son ensuite des </w:t>
      </w:r>
      <w:r w:rsidRPr="007932F8">
        <w:rPr>
          <w:i/>
        </w:rPr>
        <w:t>éléments subjectifs</w:t>
      </w:r>
      <w:r w:rsidRPr="00320A86">
        <w:t>. C’est-à-dire qu’il faut intégrer la valeur attribuée par l’acteur à l’élément o</w:t>
      </w:r>
      <w:r w:rsidRPr="00320A86">
        <w:t>b</w:t>
      </w:r>
      <w:r w:rsidRPr="00320A86">
        <w:t>jectif. Ainsi les idées de frontières naturelles ou les théories géopolit</w:t>
      </w:r>
      <w:r w:rsidRPr="00320A86">
        <w:t>i</w:t>
      </w:r>
      <w:r w:rsidRPr="00320A86">
        <w:t>ques modifient la perception de l’espace et son intérêt. Il en est de même pour les doctrines raciales à l’égard de la population ou encore des théories économiques pour ce qui concerne les sources de la r</w:t>
      </w:r>
      <w:r w:rsidRPr="00320A86">
        <w:t>i</w:t>
      </w:r>
      <w:r w:rsidRPr="00320A86">
        <w:t>chesse.</w:t>
      </w:r>
    </w:p>
    <w:p w14:paraId="6CFECCA2" w14:textId="77777777" w:rsidR="00B01930" w:rsidRPr="00320A86" w:rsidRDefault="00B01930" w:rsidP="00B01930">
      <w:pPr>
        <w:spacing w:before="120" w:after="120"/>
        <w:jc w:val="both"/>
      </w:pPr>
      <w:r w:rsidRPr="00320A86">
        <w:t>Ainsi en est-il de chaque facteur de la Puissance. Mais la subject</w:t>
      </w:r>
      <w:r w:rsidRPr="00320A86">
        <w:t>i</w:t>
      </w:r>
      <w:r w:rsidRPr="00320A86">
        <w:t>vité c’est aussi la capacité de l’acteur à mobiliser. C’est-à-dire à pa</w:t>
      </w:r>
      <w:r w:rsidRPr="00320A86">
        <w:t>s</w:t>
      </w:r>
      <w:r w:rsidRPr="00320A86">
        <w:t>ser du potentiel au réel. Or cela n’est pas quantifiable. Il paraît fort</w:t>
      </w:r>
      <w:r w:rsidRPr="00320A86">
        <w:t>e</w:t>
      </w:r>
      <w:r w:rsidRPr="00320A86">
        <w:t>ment improbable que l’on puisse enfermer dans les chiffres un tel pa</w:t>
      </w:r>
      <w:r w:rsidRPr="00320A86">
        <w:t>s</w:t>
      </w:r>
      <w:r w:rsidRPr="00320A86">
        <w:t xml:space="preserve">sage. D’où l’image approximative de la Puissance d’un acteur. Mais cet aléa dans l’évaluation de la Puissance n’est pas le seul élément introduisant un certain relativisme dans le calcul de la Puissance. </w:t>
      </w:r>
    </w:p>
    <w:p w14:paraId="05FD501A" w14:textId="77777777" w:rsidR="00B01930" w:rsidRPr="00320A86" w:rsidRDefault="00B01930" w:rsidP="00B01930">
      <w:pPr>
        <w:spacing w:before="120" w:after="120"/>
        <w:jc w:val="both"/>
      </w:pPr>
      <w:r w:rsidRPr="00320A86">
        <w:t>Nonobstant le fait que chaque facteur doit s’apprécier simultan</w:t>
      </w:r>
      <w:r w:rsidRPr="00320A86">
        <w:t>é</w:t>
      </w:r>
      <w:r w:rsidRPr="00320A86">
        <w:t>ment en te</w:t>
      </w:r>
      <w:r w:rsidRPr="00320A86">
        <w:t>r</w:t>
      </w:r>
      <w:r w:rsidRPr="00320A86">
        <w:t>mes de force et de faiblesse, il faut également relever que les facteurs de Puissance ne s’additionnent pas purement et simpl</w:t>
      </w:r>
      <w:r w:rsidRPr="00320A86">
        <w:t>e</w:t>
      </w:r>
      <w:r w:rsidRPr="00320A86">
        <w:t>ment. Chaque facteur est un moyen autonome. Il n’y a pas addition, mais seulement cumul d’aptitudes à influencer ou à agir pour un a</w:t>
      </w:r>
      <w:r w:rsidRPr="00320A86">
        <w:t>c</w:t>
      </w:r>
      <w:r w:rsidRPr="00320A86">
        <w:t>teur. Dès lors, évaluer la Puissance des acteurs c’est établir des « hiérarchies parallèles »</w:t>
      </w:r>
      <w:r>
        <w:t> </w:t>
      </w:r>
      <w:r>
        <w:rPr>
          <w:rStyle w:val="Appelnotedebasdep"/>
        </w:rPr>
        <w:footnoteReference w:id="1273"/>
      </w:r>
      <w:r w:rsidRPr="00320A86">
        <w:t xml:space="preserve">. </w:t>
      </w:r>
    </w:p>
    <w:p w14:paraId="61F6A2A0" w14:textId="77777777" w:rsidR="00B01930" w:rsidRPr="00320A86" w:rsidRDefault="00B01930" w:rsidP="00B01930">
      <w:pPr>
        <w:spacing w:before="120" w:after="120"/>
        <w:jc w:val="both"/>
      </w:pPr>
      <w:r w:rsidRPr="00320A86">
        <w:t>Autrement dit, cela revient à procéder à des classements de Pui</w:t>
      </w:r>
      <w:r w:rsidRPr="00320A86">
        <w:t>s</w:t>
      </w:r>
      <w:r w:rsidRPr="00320A86">
        <w:t>sance à l’intérieur de chacun des facteurs. Mais ceux-ci étant auton</w:t>
      </w:r>
      <w:r w:rsidRPr="00320A86">
        <w:t>o</w:t>
      </w:r>
      <w:r w:rsidRPr="00320A86">
        <w:t>mes, il y a une hi</w:t>
      </w:r>
      <w:r w:rsidRPr="00320A86">
        <w:t>é</w:t>
      </w:r>
      <w:r w:rsidRPr="00320A86">
        <w:t>rarchisation différente suivant chaque facteur. La conséquence c’est que la stru</w:t>
      </w:r>
      <w:r w:rsidRPr="00320A86">
        <w:t>c</w:t>
      </w:r>
      <w:r w:rsidRPr="00320A86">
        <w:t>ture de la Puissance est différente pour chaque acteur. Et admettre que deux a</w:t>
      </w:r>
      <w:r w:rsidRPr="00320A86">
        <w:t>c</w:t>
      </w:r>
      <w:r w:rsidRPr="00320A86">
        <w:t>teurs sont des superPuissances ne veut pas dire qu’il y a symétrie de la Puissa</w:t>
      </w:r>
      <w:r w:rsidRPr="00320A86">
        <w:t>n</w:t>
      </w:r>
      <w:r w:rsidRPr="00320A86">
        <w:t>ce</w:t>
      </w:r>
      <w:r>
        <w:t> </w:t>
      </w:r>
      <w:r>
        <w:rPr>
          <w:rStyle w:val="Appelnotedebasdep"/>
        </w:rPr>
        <w:footnoteReference w:id="1274"/>
      </w:r>
      <w:r w:rsidRPr="00320A86">
        <w:t>.</w:t>
      </w:r>
    </w:p>
    <w:p w14:paraId="4DC9C245" w14:textId="77777777" w:rsidR="00B01930" w:rsidRPr="00320A86" w:rsidRDefault="00B01930" w:rsidP="00B01930">
      <w:pPr>
        <w:spacing w:before="120" w:after="120"/>
        <w:jc w:val="both"/>
      </w:pPr>
      <w:r w:rsidRPr="00320A86">
        <w:t xml:space="preserve">La Puissance c’est aussi </w:t>
      </w:r>
      <w:r w:rsidRPr="007932F8">
        <w:rPr>
          <w:i/>
        </w:rPr>
        <w:t>une</w:t>
      </w:r>
      <w:r w:rsidRPr="00320A86">
        <w:t xml:space="preserve"> </w:t>
      </w:r>
      <w:r w:rsidRPr="007932F8">
        <w:rPr>
          <w:i/>
        </w:rPr>
        <w:t>relation</w:t>
      </w:r>
      <w:r w:rsidRPr="00320A86">
        <w:t>. La Puissance n’existe pas dans l’absolu, mais se mesure à l’occasion d’une relation entre un, ou plusieurs, a</w:t>
      </w:r>
      <w:r w:rsidRPr="00320A86">
        <w:t>u</w:t>
      </w:r>
      <w:r w:rsidRPr="00320A86">
        <w:t>tre(s) acteur(s). Or toute relation met en jeu les systèmes de croyances (idéologies, stéréotypes, etc.) qui conditionnent le co</w:t>
      </w:r>
      <w:r w:rsidRPr="00320A86">
        <w:t>m</w:t>
      </w:r>
      <w:r w:rsidRPr="00320A86">
        <w:t>portement des acteurs. D’où l’incertitude qui s’instaure dans le calcul de la Puissance et qui dicte les condu</w:t>
      </w:r>
      <w:r w:rsidRPr="00320A86">
        <w:t>i</w:t>
      </w:r>
      <w:r w:rsidRPr="00320A86">
        <w:t>tes des acteurs qui n’ont pas une vision transparente, mais une image de la réal</w:t>
      </w:r>
      <w:r w:rsidRPr="00320A86">
        <w:t>i</w:t>
      </w:r>
      <w:r w:rsidRPr="00320A86">
        <w:t>té.</w:t>
      </w:r>
    </w:p>
    <w:p w14:paraId="502EAB5B" w14:textId="77777777" w:rsidR="00B01930" w:rsidRPr="00320A86" w:rsidRDefault="00B01930" w:rsidP="00B01930">
      <w:pPr>
        <w:spacing w:before="120" w:after="120"/>
        <w:jc w:val="both"/>
      </w:pPr>
      <w:r w:rsidRPr="00320A86">
        <w:t xml:space="preserve">Par ailleurs, la Puissance va dépendre de </w:t>
      </w:r>
      <w:r w:rsidRPr="007932F8">
        <w:rPr>
          <w:i/>
        </w:rPr>
        <w:t>l’espace abstrait de Pui</w:t>
      </w:r>
      <w:r w:rsidRPr="007932F8">
        <w:rPr>
          <w:i/>
        </w:rPr>
        <w:t>s</w:t>
      </w:r>
      <w:r w:rsidRPr="007932F8">
        <w:rPr>
          <w:i/>
        </w:rPr>
        <w:t>sance</w:t>
      </w:r>
      <w:r w:rsidRPr="00320A86">
        <w:t xml:space="preserve"> dans lequel s’inscrit l’acteur. L’idéologie</w:t>
      </w:r>
      <w:r>
        <w:t> </w:t>
      </w:r>
      <w:r>
        <w:rPr>
          <w:rStyle w:val="Appelnotedebasdep"/>
        </w:rPr>
        <w:footnoteReference w:id="1275"/>
      </w:r>
      <w:r w:rsidRPr="00320A86">
        <w:t>, l’ethnie, langue, les alliances, la monnaie, etc. dessinent des espaces abstraits qui influe</w:t>
      </w:r>
      <w:r w:rsidRPr="00320A86">
        <w:t>n</w:t>
      </w:r>
      <w:r w:rsidRPr="00320A86">
        <w:t>cent les acteurs et participent à leur Puissance (exemples : le V</w:t>
      </w:r>
      <w:r w:rsidRPr="00320A86">
        <w:t>a</w:t>
      </w:r>
      <w:r w:rsidRPr="00320A86">
        <w:t>tican par le jeu des populations catholiques</w:t>
      </w:r>
      <w:r>
        <w:t> </w:t>
      </w:r>
      <w:r>
        <w:rPr>
          <w:rStyle w:val="Appelnotedebasdep"/>
        </w:rPr>
        <w:footnoteReference w:id="1276"/>
      </w:r>
      <w:r w:rsidRPr="00320A86">
        <w:t>, Israël par le biais de la dia</w:t>
      </w:r>
      <w:r w:rsidRPr="00320A86">
        <w:t>s</w:t>
      </w:r>
      <w:r w:rsidRPr="00320A86">
        <w:t>pora, l’Iran par le canal islamique chiite, et de façon générale le levier de la communauté des croyants pour tout État, ou autre acteur, d’obédience musulmane, la Chine et la diaspora chinoise).</w:t>
      </w:r>
    </w:p>
    <w:p w14:paraId="2970972E" w14:textId="77777777" w:rsidR="00B01930" w:rsidRPr="00320A86" w:rsidRDefault="00B01930" w:rsidP="00B01930">
      <w:pPr>
        <w:spacing w:before="120" w:after="120"/>
        <w:jc w:val="both"/>
      </w:pPr>
      <w:r w:rsidRPr="00320A86">
        <w:t>Enfin la Puissance c’est un moment. En effet, elle varie dans le temps et dépend de l’époque. De ce fait, elle dépend, aussi, du syst</w:t>
      </w:r>
      <w:r w:rsidRPr="00320A86">
        <w:t>è</w:t>
      </w:r>
      <w:r w:rsidRPr="00320A86">
        <w:t>me de référence dans le lequel elle se situe (exemple avant 1945 ou après, avant la fin de l’Union sovi</w:t>
      </w:r>
      <w:r w:rsidRPr="00320A86">
        <w:t>é</w:t>
      </w:r>
      <w:r w:rsidRPr="00320A86">
        <w:t>tique ou après). La Puissance, schématiquement résumée, va attribuer des moyens et une fonction à chaque acteur.</w:t>
      </w:r>
    </w:p>
    <w:p w14:paraId="5F64805F" w14:textId="77777777" w:rsidR="00B01930" w:rsidRPr="00320A86" w:rsidRDefault="00B01930" w:rsidP="00B01930">
      <w:pPr>
        <w:spacing w:before="120" w:after="120"/>
        <w:jc w:val="both"/>
      </w:pPr>
      <w:r w:rsidRPr="00320A86">
        <w:t>Ainsi par rapport à l’hypothèse systémique le modèle théorique de fonctio</w:t>
      </w:r>
      <w:r w:rsidRPr="00320A86">
        <w:t>n</w:t>
      </w:r>
      <w:r w:rsidRPr="00320A86">
        <w:t>nement des relations internationales pourrait s’articuler de la manière suivante :</w:t>
      </w:r>
    </w:p>
    <w:p w14:paraId="2D9DB359" w14:textId="77777777" w:rsidR="00B01930" w:rsidRPr="00320A86" w:rsidRDefault="00B01930" w:rsidP="00B01930">
      <w:pPr>
        <w:spacing w:before="120" w:after="120"/>
        <w:jc w:val="both"/>
      </w:pPr>
      <w:r w:rsidRPr="00320A86">
        <w:t>Le Système est composé d’éléments, plus ou moins interdépe</w:t>
      </w:r>
      <w:r w:rsidRPr="00320A86">
        <w:t>n</w:t>
      </w:r>
      <w:r w:rsidRPr="00320A86">
        <w:t>dants, à tendance homéostatique pour certains d’entre eux (les syst</w:t>
      </w:r>
      <w:r w:rsidRPr="00320A86">
        <w:t>è</w:t>
      </w:r>
      <w:r w:rsidRPr="00320A86">
        <w:t>mes politiques par exemple).</w:t>
      </w:r>
    </w:p>
    <w:p w14:paraId="15F63A52" w14:textId="77777777" w:rsidR="00B01930" w:rsidRPr="00320A86" w:rsidRDefault="00B01930" w:rsidP="00B01930">
      <w:pPr>
        <w:spacing w:before="120" w:after="120"/>
        <w:jc w:val="both"/>
      </w:pPr>
      <w:r w:rsidRPr="00320A86">
        <w:t>On peut donc avoir une interdépendance forte et un faible équil</w:t>
      </w:r>
      <w:r w:rsidRPr="00320A86">
        <w:t>i</w:t>
      </w:r>
      <w:r w:rsidRPr="00320A86">
        <w:t>bre. L’interdépendance entraînant le développement de « </w:t>
      </w:r>
      <w:r w:rsidRPr="007932F8">
        <w:rPr>
          <w:i/>
        </w:rPr>
        <w:t>feed-back </w:t>
      </w:r>
      <w:r w:rsidRPr="00320A86">
        <w:t>» négatifs qui suscitent un affaiblissement de l’équilibre.</w:t>
      </w:r>
    </w:p>
    <w:p w14:paraId="22281F3A" w14:textId="77777777" w:rsidR="00B01930" w:rsidRPr="00320A86" w:rsidRDefault="00B01930" w:rsidP="00B01930">
      <w:pPr>
        <w:spacing w:before="120" w:after="120"/>
        <w:jc w:val="both"/>
      </w:pPr>
      <w:r w:rsidRPr="00320A86">
        <w:t>La complexité du Système entraîne de multiples boucles de r</w:t>
      </w:r>
      <w:r w:rsidRPr="00320A86">
        <w:t>é</w:t>
      </w:r>
      <w:r w:rsidRPr="00320A86">
        <w:t>troaction qui font qu’une décision prise à un endroit peut engendrer des effets opposés à ceux attendus. On peut, aussi, avoir une interd</w:t>
      </w:r>
      <w:r w:rsidRPr="00320A86">
        <w:t>é</w:t>
      </w:r>
      <w:r w:rsidRPr="00320A86">
        <w:t>pendance faible et un équilibre élevé, ce qui permet l’absorption loc</w:t>
      </w:r>
      <w:r w:rsidRPr="00320A86">
        <w:t>a</w:t>
      </w:r>
      <w:r w:rsidRPr="00320A86">
        <w:t>le de « traumatisme » sans réaction sur l’équilibre.</w:t>
      </w:r>
    </w:p>
    <w:p w14:paraId="7842B9D3" w14:textId="77777777" w:rsidR="00B01930" w:rsidRPr="00320A86" w:rsidRDefault="00B01930" w:rsidP="00B01930">
      <w:pPr>
        <w:spacing w:before="120" w:after="120"/>
        <w:jc w:val="both"/>
      </w:pPr>
      <w:r w:rsidRPr="00320A86">
        <w:t>La tendance normale à l’autonomie de toute cellule se trouve en contradiction avec la tendance à l’intégration du système. Contradi</w:t>
      </w:r>
      <w:r w:rsidRPr="00320A86">
        <w:t>c</w:t>
      </w:r>
      <w:r w:rsidRPr="00320A86">
        <w:t>tion d’autant plus fo</w:t>
      </w:r>
      <w:r w:rsidRPr="00320A86">
        <w:t>r</w:t>
      </w:r>
      <w:r w:rsidRPr="00320A86">
        <w:t>te que la cellule est fortement homéostatique (cas des systèmes politiques). Toutes les parties, par ailleurs, n’ont pas fo</w:t>
      </w:r>
      <w:r w:rsidRPr="00320A86">
        <w:t>r</w:t>
      </w:r>
      <w:r w:rsidRPr="00320A86">
        <w:t>cément un intérêt équivalant au maintien du système de relations i</w:t>
      </w:r>
      <w:r w:rsidRPr="00320A86">
        <w:t>n</w:t>
      </w:r>
      <w:r w:rsidRPr="00320A86">
        <w:t>ternationales.</w:t>
      </w:r>
    </w:p>
    <w:p w14:paraId="32DFD7FA" w14:textId="77777777" w:rsidR="00B01930" w:rsidRPr="00320A86" w:rsidRDefault="00B01930" w:rsidP="00B01930">
      <w:pPr>
        <w:spacing w:before="120" w:after="120"/>
        <w:jc w:val="both"/>
      </w:pPr>
      <w:r w:rsidRPr="00320A86">
        <w:t>Les parties du système ayant une certaine autonomie pourront d</w:t>
      </w:r>
      <w:r w:rsidRPr="00320A86">
        <w:t>e</w:t>
      </w:r>
      <w:r w:rsidRPr="00320A86">
        <w:t>venir source de « déviances » organisées</w:t>
      </w:r>
      <w:r>
        <w:t> </w:t>
      </w:r>
      <w:r>
        <w:rPr>
          <w:rStyle w:val="Appelnotedebasdep"/>
        </w:rPr>
        <w:footnoteReference w:id="1277"/>
      </w:r>
      <w:r w:rsidRPr="00320A86">
        <w:t>. Le cumul des facteurs de Puissance va accroître l’autonomie et pouvoir susciter une coalition (« la déviance pure » n’existe que lorsque l’acteur n’a pas les moyens d’activer une coalition et dont l’action, alors, s’apparente à une cause perdue dont il fait les frais : isolement politique, économique, pauvr</w:t>
      </w:r>
      <w:r w:rsidRPr="00320A86">
        <w:t>e</w:t>
      </w:r>
      <w:r w:rsidRPr="00320A86">
        <w:t>té, etc.).</w:t>
      </w:r>
    </w:p>
    <w:p w14:paraId="506D6344" w14:textId="77777777" w:rsidR="00B01930" w:rsidRPr="00320A86" w:rsidRDefault="00B01930" w:rsidP="00B01930">
      <w:pPr>
        <w:spacing w:before="120" w:after="120"/>
        <w:jc w:val="both"/>
      </w:pPr>
      <w:r w:rsidRPr="00320A86">
        <w:t>Lorsque se crée une convergence d’intérêts entre « le déviant » et d’autres centres de Puissance, la déviance ne sera perçue comme telle que par ceux qui ont un intérêt au maintien du système (« les d</w:t>
      </w:r>
      <w:r w:rsidRPr="00320A86">
        <w:t>é</w:t>
      </w:r>
      <w:r w:rsidRPr="00320A86">
        <w:t>viants », eux, verront ceux-ci – à leur tour – comme « déviants », car empêchant, justement, le nouvel équilibre). Un élément fortement homéostatique pourrait entreprendre une réorganisation du système de relations internationales dès lors que se conjuguent Puissance et ci</w:t>
      </w:r>
      <w:r w:rsidRPr="00320A86">
        <w:t>r</w:t>
      </w:r>
      <w:r w:rsidRPr="00320A86">
        <w:t>constances adéquates.</w:t>
      </w:r>
    </w:p>
    <w:p w14:paraId="0F86128E" w14:textId="77777777" w:rsidR="00B01930" w:rsidRPr="00320A86" w:rsidRDefault="00B01930" w:rsidP="00B01930">
      <w:pPr>
        <w:spacing w:before="120" w:after="120"/>
        <w:jc w:val="both"/>
      </w:pPr>
      <w:r w:rsidRPr="00320A86">
        <w:t>Mais il pourrait aussi se retirer (l’autonomie se mesurant plus par les chances de survie quand l’élément est séparé du système. L’idéologie joue ici un grand rôle : les origines de la Puissance à un moment donné véhiculent, ou sont véh</w:t>
      </w:r>
      <w:r w:rsidRPr="00320A86">
        <w:t>i</w:t>
      </w:r>
      <w:r w:rsidRPr="00320A86">
        <w:t>culées, par un modèle sociétal qui peut être reconnu de l’opinion. Le Prince d</w:t>
      </w:r>
      <w:r w:rsidRPr="00320A86">
        <w:t>é</w:t>
      </w:r>
      <w:r w:rsidRPr="00320A86">
        <w:t>sirant l’autarcie risque alors d’être en opposition avec l’opinion, ce qui affaiblirait son po</w:t>
      </w:r>
      <w:r w:rsidRPr="00320A86">
        <w:t>u</w:t>
      </w:r>
      <w:r w:rsidRPr="00320A86">
        <w:t>voir</w:t>
      </w:r>
      <w:r>
        <w:t> </w:t>
      </w:r>
      <w:r>
        <w:rPr>
          <w:rStyle w:val="Appelnotedebasdep"/>
        </w:rPr>
        <w:footnoteReference w:id="1278"/>
      </w:r>
      <w:r w:rsidRPr="00320A86">
        <w:t>).</w:t>
      </w:r>
    </w:p>
    <w:p w14:paraId="258285D0" w14:textId="77777777" w:rsidR="00B01930" w:rsidRPr="00320A86" w:rsidRDefault="00B01930" w:rsidP="00B01930">
      <w:pPr>
        <w:spacing w:before="120" w:after="120"/>
        <w:jc w:val="both"/>
      </w:pPr>
      <w:r w:rsidRPr="00320A86">
        <w:t>Le Système peut tenter, en ces différents cas de figure, par le r</w:t>
      </w:r>
      <w:r w:rsidRPr="00320A86">
        <w:t>é</w:t>
      </w:r>
      <w:r w:rsidRPr="00320A86">
        <w:t>seau de communication, de contrôler la cellule dissidente ou d’exclure la cellule. La te</w:t>
      </w:r>
      <w:r w:rsidRPr="00320A86">
        <w:t>n</w:t>
      </w:r>
      <w:r w:rsidRPr="00320A86">
        <w:t>sion existant à un moment donné signifierait soit que la cellule n’a pas encore été contrôlée ou n’a pas encore été exclue, ou bien que la cellule amorce une réorganisation du Système.</w:t>
      </w:r>
    </w:p>
    <w:p w14:paraId="1B544732" w14:textId="77777777" w:rsidR="00B01930" w:rsidRPr="00320A86" w:rsidRDefault="00B01930" w:rsidP="00B01930">
      <w:pPr>
        <w:spacing w:before="120" w:after="120"/>
        <w:jc w:val="both"/>
        <w:rPr>
          <w:u w:val="single"/>
        </w:rPr>
      </w:pPr>
      <w:r w:rsidRPr="00320A86">
        <w:t>La régulation c’est alors le maintien des équilibres fondamentaux</w:t>
      </w:r>
      <w:r>
        <w:t> </w:t>
      </w:r>
      <w:r>
        <w:rPr>
          <w:rStyle w:val="Appelnotedebasdep"/>
        </w:rPr>
        <w:footnoteReference w:id="1279"/>
      </w:r>
      <w:r w:rsidRPr="00320A86">
        <w:t xml:space="preserve"> </w:t>
      </w:r>
      <w:r w:rsidRPr="007932F8">
        <w:rPr>
          <w:i/>
        </w:rPr>
        <w:t>consid</w:t>
      </w:r>
      <w:r w:rsidRPr="007932F8">
        <w:rPr>
          <w:i/>
        </w:rPr>
        <w:t>é</w:t>
      </w:r>
      <w:r w:rsidRPr="007932F8">
        <w:rPr>
          <w:i/>
        </w:rPr>
        <w:t>rés</w:t>
      </w:r>
      <w:r w:rsidRPr="00320A86">
        <w:t xml:space="preserve"> par les acteurs comme intérêts vitaux. « Chaque fois qu’un équilibre s’instaure entre les valeurs et la nécessité, la politique étra</w:t>
      </w:r>
      <w:r w:rsidRPr="00320A86">
        <w:t>n</w:t>
      </w:r>
      <w:r w:rsidRPr="00320A86">
        <w:t xml:space="preserve">gère doit commencer par définir ce qui constitue un intérêt </w:t>
      </w:r>
      <w:r w:rsidRPr="007932F8">
        <w:rPr>
          <w:i/>
        </w:rPr>
        <w:t>vital </w:t>
      </w:r>
      <w:r>
        <w:rPr>
          <w:rStyle w:val="Appelnotedebasdep"/>
        </w:rPr>
        <w:footnoteReference w:id="1280"/>
      </w:r>
      <w:r w:rsidRPr="00320A86">
        <w:t xml:space="preserve"> a</w:t>
      </w:r>
      <w:r w:rsidRPr="00320A86">
        <w:t>u</w:t>
      </w:r>
      <w:r w:rsidRPr="00320A86">
        <w:t>trement dit, quel changement du contexte international est suscept</w:t>
      </w:r>
      <w:r w:rsidRPr="00320A86">
        <w:t>i</w:t>
      </w:r>
      <w:r w:rsidRPr="00320A86">
        <w:t xml:space="preserve">ble de compromettre la sécurité nationale au point qu’il soit nécessaire de s’y opposer, quelle que soit la forme revêtue par la menace ou </w:t>
      </w:r>
      <w:r w:rsidRPr="007932F8">
        <w:rPr>
          <w:i/>
        </w:rPr>
        <w:t>si lég</w:t>
      </w:r>
      <w:r w:rsidRPr="007932F8">
        <w:rPr>
          <w:i/>
        </w:rPr>
        <w:t>i</w:t>
      </w:r>
      <w:r w:rsidRPr="007932F8">
        <w:rPr>
          <w:i/>
        </w:rPr>
        <w:t>time que paraisse ce changement </w:t>
      </w:r>
      <w:r w:rsidRPr="00320A86">
        <w:t>» (</w:t>
      </w:r>
      <w:r>
        <w:t> </w:t>
      </w:r>
      <w:r>
        <w:rPr>
          <w:rStyle w:val="Appelnotedebasdep"/>
        </w:rPr>
        <w:footnoteReference w:id="1281"/>
      </w:r>
      <w:r w:rsidRPr="00320A86">
        <w:t xml:space="preserve"> et</w:t>
      </w:r>
      <w:r>
        <w:t> </w:t>
      </w:r>
      <w:r>
        <w:rPr>
          <w:rStyle w:val="Appelnotedebasdep"/>
        </w:rPr>
        <w:footnoteReference w:id="1282"/>
      </w:r>
      <w:r w:rsidRPr="00320A86">
        <w:t>).</w:t>
      </w:r>
    </w:p>
    <w:p w14:paraId="0B3BF959" w14:textId="77777777" w:rsidR="00B01930" w:rsidRPr="00320A86" w:rsidRDefault="00B01930" w:rsidP="00B01930">
      <w:pPr>
        <w:spacing w:before="120" w:after="120"/>
        <w:jc w:val="both"/>
      </w:pPr>
      <w:r w:rsidRPr="00320A86">
        <w:t>La Paix c’est l’équilibre – c’est-à-dire la régulation –, mais la rég</w:t>
      </w:r>
      <w:r w:rsidRPr="00320A86">
        <w:t>u</w:t>
      </w:r>
      <w:r w:rsidRPr="00320A86">
        <w:t>lation n’est pas l’absence de conflits.</w:t>
      </w:r>
    </w:p>
    <w:p w14:paraId="16D976F1" w14:textId="77777777" w:rsidR="00B01930" w:rsidRPr="00320A86" w:rsidRDefault="00B01930" w:rsidP="00B01930">
      <w:pPr>
        <w:spacing w:before="120" w:after="120"/>
        <w:jc w:val="both"/>
      </w:pPr>
      <w:r w:rsidRPr="00320A86">
        <w:t xml:space="preserve">La Guerre, </w:t>
      </w:r>
      <w:r w:rsidRPr="007932F8">
        <w:rPr>
          <w:i/>
        </w:rPr>
        <w:t>conçue alors comme processus de rupture du Système</w:t>
      </w:r>
      <w:r w:rsidRPr="00320A86">
        <w:t>, suppos</w:t>
      </w:r>
      <w:r w:rsidRPr="00320A86">
        <w:t>e</w:t>
      </w:r>
      <w:r w:rsidRPr="00320A86">
        <w:t>rait un certain nombre de conditions. Avant tout, l’implication des principaux acteurs, soit directement, soit par le biais de centres de Puissance, connectés d</w:t>
      </w:r>
      <w:r w:rsidRPr="00320A86">
        <w:t>i</w:t>
      </w:r>
      <w:r w:rsidRPr="00320A86">
        <w:t>rectement sur les centres vitaux du système, et qui seraient considérés eux-mêmes comme vitaux.</w:t>
      </w:r>
    </w:p>
    <w:p w14:paraId="2FB4CA74" w14:textId="77777777" w:rsidR="00B01930" w:rsidRPr="00320A86" w:rsidRDefault="00B01930" w:rsidP="00B01930">
      <w:pPr>
        <w:spacing w:before="120" w:after="120"/>
        <w:jc w:val="both"/>
      </w:pPr>
      <w:r w:rsidRPr="00320A86">
        <w:t>On peut donc admettre qu’il y aurait des guerres fonctionnelles : elles d</w:t>
      </w:r>
      <w:r w:rsidRPr="00320A86">
        <w:t>e</w:t>
      </w:r>
      <w:r w:rsidRPr="00320A86">
        <w:t>vraient être périphériques aux centres vitaux, ou connectés à eux, qui en contr</w:t>
      </w:r>
      <w:r w:rsidRPr="00320A86">
        <w:t>ô</w:t>
      </w:r>
      <w:r w:rsidRPr="00320A86">
        <w:t>lent le processus, ou s’accordent sur l’expectative (ces guerres serviraient alors à maintenir le système ou à éliminer des déséquilibres). La connexion est la sph</w:t>
      </w:r>
      <w:r w:rsidRPr="00320A86">
        <w:t>è</w:t>
      </w:r>
      <w:r w:rsidRPr="00320A86">
        <w:t>re du passage de la guerre fonctionnelle à la « guerre-rupture », ce qui dépend des systèmes de croyances, des circuits de communication, etc. La « crise » est la zone de dangereuse incertitude où se nouent les fils de ce qui peut basculer vers un conflit qui lui-même peut dériver de la fonctionnalité vers la « guerre-rupture » ; dont il peut s’avérer qu’elle n’est que la traduction d’une réorganisation inéluctable – considérée comme telle par des a</w:t>
      </w:r>
      <w:r w:rsidRPr="00320A86">
        <w:t>c</w:t>
      </w:r>
      <w:r w:rsidRPr="00320A86">
        <w:t>teurs – du système, par redistribution de la Puissance (la guerre dev</w:t>
      </w:r>
      <w:r w:rsidRPr="00320A86">
        <w:t>e</w:t>
      </w:r>
      <w:r w:rsidRPr="00320A86">
        <w:t>nant alors, par là même, fonctionne</w:t>
      </w:r>
      <w:r w:rsidRPr="00320A86">
        <w:t>l</w:t>
      </w:r>
      <w:r w:rsidRPr="00320A86">
        <w:t>le…).</w:t>
      </w:r>
    </w:p>
    <w:p w14:paraId="45C781E2" w14:textId="77777777" w:rsidR="00B01930" w:rsidRPr="00320A86" w:rsidRDefault="00B01930" w:rsidP="00B01930">
      <w:pPr>
        <w:spacing w:before="120" w:after="120"/>
        <w:jc w:val="both"/>
      </w:pPr>
      <w:r w:rsidRPr="00320A86">
        <w:t>Enfin, on pourrait envisager des guerres « afonctionnelles », c’est-à-dire p</w:t>
      </w:r>
      <w:r w:rsidRPr="00320A86">
        <w:t>é</w:t>
      </w:r>
      <w:r w:rsidRPr="00320A86">
        <w:t>riphériques et non connectées aux centres vitaux. Car il existe toujours, selon la configuration réelle du système, des lieux périphér</w:t>
      </w:r>
      <w:r w:rsidRPr="00320A86">
        <w:t>i</w:t>
      </w:r>
      <w:r w:rsidRPr="00320A86">
        <w:t>ques qui ne suscitent guère de l’intérêt et où la violence peut s’exprimer sans troubler l’ordre international.</w:t>
      </w:r>
    </w:p>
    <w:p w14:paraId="11CE885B" w14:textId="77777777" w:rsidR="00B01930" w:rsidRPr="00320A86" w:rsidRDefault="00B01930" w:rsidP="00B01930">
      <w:pPr>
        <w:spacing w:before="120" w:after="120"/>
        <w:jc w:val="both"/>
      </w:pPr>
      <w:r w:rsidRPr="00320A86">
        <w:t>– Or tout comme la guerre doit s’entendre selon une acception sp</w:t>
      </w:r>
      <w:r w:rsidRPr="00320A86">
        <w:t>é</w:t>
      </w:r>
      <w:r w:rsidRPr="00320A86">
        <w:t xml:space="preserve">cifique au regard de ce qu’est la régulation du système, l’Empire doit également, conceptuellement, se définir par rapport au </w:t>
      </w:r>
      <w:r w:rsidRPr="007932F8">
        <w:rPr>
          <w:i/>
        </w:rPr>
        <w:t>modèle</w:t>
      </w:r>
      <w:r w:rsidRPr="00320A86">
        <w:t xml:space="preserve"> con</w:t>
      </w:r>
      <w:r w:rsidRPr="00320A86">
        <w:t>s</w:t>
      </w:r>
      <w:r w:rsidRPr="00320A86">
        <w:t>truit. Pour cela, il faut revenir à la conception réticulaire induite par la notion de système retenue.</w:t>
      </w:r>
    </w:p>
    <w:p w14:paraId="3B51C8F3" w14:textId="77777777" w:rsidR="00B01930" w:rsidRPr="00320A86" w:rsidRDefault="00B01930" w:rsidP="00B01930">
      <w:pPr>
        <w:spacing w:before="120" w:after="120"/>
        <w:jc w:val="both"/>
      </w:pPr>
      <w:r w:rsidRPr="00320A86">
        <w:t>Le système peut donc se concevoir comme constitué sur le même mode que les réseaux de neurones. C’est-à-dire suffisamment inte</w:t>
      </w:r>
      <w:r w:rsidRPr="00320A86">
        <w:t>r</w:t>
      </w:r>
      <w:r w:rsidRPr="00320A86">
        <w:t>connectés pour que l’activité de chacun dépende des activités des a</w:t>
      </w:r>
      <w:r w:rsidRPr="00320A86">
        <w:t>u</w:t>
      </w:r>
      <w:r w:rsidRPr="00320A86">
        <w:t>tres neurones. Or il s’avère que lorsque « la connectivité » d’un réseau de neurones est complète, le réseau év</w:t>
      </w:r>
      <w:r w:rsidRPr="00320A86">
        <w:t>o</w:t>
      </w:r>
      <w:r w:rsidRPr="00320A86">
        <w:t>lue jusqu’à un état particulier, ou attracteur, c’est-à-dire un état d’activité de r</w:t>
      </w:r>
      <w:r w:rsidRPr="00320A86">
        <w:t>é</w:t>
      </w:r>
      <w:r w:rsidRPr="00320A86">
        <w:t>seau qui porte sens. Autrement dit c’est la réponse apportée par l’évolution du réseau à un moment donné, l’apprentissage conduisant à la formation d’attracteurs qui représentent les objets à mémoriser.</w:t>
      </w:r>
    </w:p>
    <w:p w14:paraId="4B96ED77" w14:textId="77777777" w:rsidR="00B01930" w:rsidRPr="00320A86" w:rsidRDefault="00B01930" w:rsidP="00B01930">
      <w:pPr>
        <w:spacing w:before="120" w:after="120"/>
        <w:jc w:val="both"/>
      </w:pPr>
      <w:r w:rsidRPr="00320A86">
        <w:t>Au regard de la définition de la Puissance donnée et des cons</w:t>
      </w:r>
      <w:r w:rsidRPr="00320A86">
        <w:t>é</w:t>
      </w:r>
      <w:r w:rsidRPr="00320A86">
        <w:t>quences sur le fonctionnement du système, on peut formuler l’hypothèse que l’Empire est un attracteur inscrit dans tout système de relations internationales. Cet « état » just</w:t>
      </w:r>
      <w:r w:rsidRPr="00320A86">
        <w:t>i</w:t>
      </w:r>
      <w:r w:rsidRPr="00320A86">
        <w:t>fierait la rémanence de l’idée d’Empire, mais aussi, et surtout, la récurrence de sa traduction dans l’Histoire.</w:t>
      </w:r>
    </w:p>
    <w:p w14:paraId="7820CA3D" w14:textId="77777777" w:rsidR="00B01930" w:rsidRPr="00320A86" w:rsidRDefault="00B01930" w:rsidP="00B01930">
      <w:pPr>
        <w:spacing w:before="120" w:after="120"/>
        <w:jc w:val="both"/>
      </w:pPr>
      <w:r w:rsidRPr="00320A86">
        <w:t>Mais pour expliquer la possibilité d’existence de cet attracteur, il faut adme</w:t>
      </w:r>
      <w:r w:rsidRPr="00320A86">
        <w:t>t</w:t>
      </w:r>
      <w:r w:rsidRPr="00320A86">
        <w:t>tre que l’Empire est constitutivement lié à la régulation. Il en est l’acmé, la réalisation dans sa plénitude, redonnant toute sa s</w:t>
      </w:r>
      <w:r w:rsidRPr="00320A86">
        <w:t>i</w:t>
      </w:r>
      <w:r w:rsidRPr="00320A86">
        <w:t>gnification à la formule : la Paix par l’Empire (c.-à-d. l’absence de guerre au sens ci-dessus).</w:t>
      </w:r>
    </w:p>
    <w:p w14:paraId="1CFB8877" w14:textId="77777777" w:rsidR="00B01930" w:rsidRPr="00320A86" w:rsidRDefault="00B01930" w:rsidP="00B01930">
      <w:pPr>
        <w:spacing w:before="120" w:after="120"/>
        <w:jc w:val="both"/>
      </w:pPr>
      <w:r w:rsidRPr="00320A86">
        <w:t>L’Empire est donc un attracteur, mais un attracteur caché. En car</w:t>
      </w:r>
      <w:r w:rsidRPr="00320A86">
        <w:t>i</w:t>
      </w:r>
      <w:r w:rsidRPr="00320A86">
        <w:t>caturant un peu on pourrait dire que les Empires sont partout dans l’histoire des relations internationales, mais l’Empire n’est nulle part dans les modèles. Il y a un hiatus entre d’une part l’utilisation de la notion d’Empire en relations internationales, qui relève de la descri</w:t>
      </w:r>
      <w:r w:rsidRPr="00320A86">
        <w:t>p</w:t>
      </w:r>
      <w:r w:rsidRPr="00320A86">
        <w:t>tion</w:t>
      </w:r>
      <w:r>
        <w:t> </w:t>
      </w:r>
      <w:r>
        <w:rPr>
          <w:rStyle w:val="Appelnotedebasdep"/>
        </w:rPr>
        <w:footnoteReference w:id="1283"/>
      </w:r>
      <w:r w:rsidRPr="00320A86">
        <w:t>, et, d’autre part, l’explication conceptuelle de la nature d’un mécanisme permanent des relations internationales.</w:t>
      </w:r>
    </w:p>
    <w:p w14:paraId="78AEEBE8" w14:textId="77777777" w:rsidR="00B01930" w:rsidRPr="00320A86" w:rsidRDefault="00B01930" w:rsidP="00B01930">
      <w:pPr>
        <w:spacing w:before="120" w:after="120"/>
        <w:jc w:val="both"/>
      </w:pPr>
      <w:r w:rsidRPr="00320A86">
        <w:t xml:space="preserve">L’Empire est </w:t>
      </w:r>
      <w:r w:rsidRPr="007932F8">
        <w:rPr>
          <w:i/>
        </w:rPr>
        <w:t>constaté empiriquement</w:t>
      </w:r>
      <w:r w:rsidRPr="00320A86">
        <w:t xml:space="preserve"> (il n’est certes pas ignoré), mais il n’est pas pensé théoriquement. Il n’est pas </w:t>
      </w:r>
      <w:r w:rsidRPr="007932F8">
        <w:rPr>
          <w:i/>
        </w:rPr>
        <w:t>nommé</w:t>
      </w:r>
      <w:r w:rsidRPr="00320A86">
        <w:t>. Les Emp</w:t>
      </w:r>
      <w:r w:rsidRPr="00320A86">
        <w:t>i</w:t>
      </w:r>
      <w:r w:rsidRPr="00320A86">
        <w:t>res relèveraient du visible, l’Empire serait de l’ordre du caché, de l’invisible… de fait il ne peut en être qu’ainsi.</w:t>
      </w:r>
    </w:p>
    <w:p w14:paraId="699D29B3" w14:textId="77777777" w:rsidR="00B01930" w:rsidRPr="00320A86" w:rsidRDefault="00B01930" w:rsidP="00B01930">
      <w:pPr>
        <w:spacing w:before="120" w:after="120"/>
        <w:jc w:val="both"/>
      </w:pPr>
      <w:r w:rsidRPr="00320A86">
        <w:t>C’est bien l’analyse phénoménale de la Puissance qui conduit à la structure de la Puissance, au fonctionnement théorique du Système, et nous dévoile l’essence de l’Empire, forme archétypale de la régul</w:t>
      </w:r>
      <w:r w:rsidRPr="00320A86">
        <w:t>a</w:t>
      </w:r>
      <w:r w:rsidRPr="00320A86">
        <w:t>tion, attracteur caché qui tend à répondre à l’entropie qui guette tout système.</w:t>
      </w:r>
    </w:p>
    <w:p w14:paraId="4D55B322" w14:textId="77777777" w:rsidR="00B01930" w:rsidRPr="00320A86" w:rsidRDefault="00B01930" w:rsidP="00B01930">
      <w:pPr>
        <w:spacing w:before="120" w:after="120"/>
        <w:jc w:val="both"/>
      </w:pPr>
      <w:r w:rsidRPr="00320A86">
        <w:t>L’Empire c’est le cumul des contrôles des réseaux. Un acteur, o</w:t>
      </w:r>
      <w:r w:rsidRPr="00320A86">
        <w:t>p</w:t>
      </w:r>
      <w:r w:rsidRPr="00320A86">
        <w:t>timisant les facteurs de la Puissance va agir sur la structure de la Pui</w:t>
      </w:r>
      <w:r w:rsidRPr="00320A86">
        <w:t>s</w:t>
      </w:r>
      <w:r w:rsidRPr="00320A86">
        <w:t>sance de telle sorte qu’il puisse déterminer, à son profit, le fonctio</w:t>
      </w:r>
      <w:r w:rsidRPr="00320A86">
        <w:t>n</w:t>
      </w:r>
      <w:r w:rsidRPr="00320A86">
        <w:t>nement du système pendant une période donnée en maîtrisant, voire en annexant, l’ensemble des interrelations, de manière parfois dém</w:t>
      </w:r>
      <w:r w:rsidRPr="00320A86">
        <w:t>e</w:t>
      </w:r>
      <w:r w:rsidRPr="00320A86">
        <w:t>surée à l’aune des ressources dont il dispose.</w:t>
      </w:r>
    </w:p>
    <w:p w14:paraId="6BC609E6" w14:textId="77777777" w:rsidR="00B01930" w:rsidRPr="00320A86" w:rsidRDefault="00B01930" w:rsidP="00B01930">
      <w:pPr>
        <w:spacing w:before="120" w:after="120"/>
        <w:jc w:val="both"/>
      </w:pPr>
      <w:r w:rsidRPr="00320A86">
        <w:t xml:space="preserve">Mais, conformément à la structure de Puissance, il n’y a d’Empire que pour autant qu’il soit </w:t>
      </w:r>
      <w:r w:rsidRPr="007932F8">
        <w:rPr>
          <w:i/>
        </w:rPr>
        <w:t>perçu</w:t>
      </w:r>
      <w:r w:rsidRPr="00320A86">
        <w:t xml:space="preserve"> comme mondial dans l’univers dans lequel il se déploie, aussi bien par les minorités (les élites) qui le go</w:t>
      </w:r>
      <w:r w:rsidRPr="00320A86">
        <w:t>u</w:t>
      </w:r>
      <w:r w:rsidRPr="00320A86">
        <w:t>vernent que par ceux qui, bon gré mal gré, vivent sous sa « loi ».</w:t>
      </w:r>
    </w:p>
    <w:p w14:paraId="2776A1A3" w14:textId="77777777" w:rsidR="00B01930" w:rsidRPr="00320A86" w:rsidRDefault="00B01930" w:rsidP="00B01930">
      <w:pPr>
        <w:spacing w:before="120" w:after="120"/>
        <w:jc w:val="both"/>
      </w:pPr>
      <w:r w:rsidRPr="00320A86">
        <w:t>En fonction de l’Histoire, de la technique, de l’économie, des idé</w:t>
      </w:r>
      <w:r w:rsidRPr="00320A86">
        <w:t>o</w:t>
      </w:r>
      <w:r w:rsidRPr="00320A86">
        <w:t>logies, il y a possibilité d’une variété de réseaux, de leur forme ou de leur fonction, et donc des modalités multiples de contrôle de ces r</w:t>
      </w:r>
      <w:r w:rsidRPr="00320A86">
        <w:t>é</w:t>
      </w:r>
      <w:r w:rsidRPr="00320A86">
        <w:t>seaux. Il y a donc une pluralité de formes d’Empire.</w:t>
      </w:r>
    </w:p>
    <w:p w14:paraId="0D239F0B" w14:textId="77777777" w:rsidR="00B01930" w:rsidRPr="00320A86" w:rsidRDefault="00B01930" w:rsidP="00B01930">
      <w:pPr>
        <w:spacing w:before="120" w:after="120"/>
        <w:jc w:val="both"/>
      </w:pPr>
      <w:r w:rsidRPr="00320A86">
        <w:t>Si, de tout temps, l’information et les réseaux de communication ont été les éléments clés des Empires, en revanche le, ou les, él</w:t>
      </w:r>
      <w:r w:rsidRPr="00320A86">
        <w:t>é</w:t>
      </w:r>
      <w:r w:rsidRPr="00320A86">
        <w:t>ment(s) déterminant(s) – ou perçu (s) comme tel(s) – dans leur const</w:t>
      </w:r>
      <w:r w:rsidRPr="00320A86">
        <w:t>i</w:t>
      </w:r>
      <w:r w:rsidRPr="00320A86">
        <w:t>tution et/ou leur maintien ont varié (force militaire pure, capacités économiques et/ou financières, capacités techn</w:t>
      </w:r>
      <w:r w:rsidRPr="00320A86">
        <w:t>o</w:t>
      </w:r>
      <w:r w:rsidRPr="00320A86">
        <w:t>logiques…).</w:t>
      </w:r>
    </w:p>
    <w:p w14:paraId="2A991EA5" w14:textId="77777777" w:rsidR="00B01930" w:rsidRPr="00320A86" w:rsidRDefault="00B01930" w:rsidP="00B01930">
      <w:pPr>
        <w:spacing w:before="120" w:after="120"/>
        <w:jc w:val="both"/>
      </w:pPr>
      <w:r w:rsidRPr="00320A86">
        <w:t>Le point commun des différentes formes est que le contrôle des r</w:t>
      </w:r>
      <w:r w:rsidRPr="00320A86">
        <w:t>é</w:t>
      </w:r>
      <w:r w:rsidRPr="00320A86">
        <w:t xml:space="preserve">seaux </w:t>
      </w:r>
      <w:r w:rsidRPr="007932F8">
        <w:rPr>
          <w:i/>
        </w:rPr>
        <w:t>pe</w:t>
      </w:r>
      <w:r w:rsidRPr="007932F8">
        <w:rPr>
          <w:i/>
        </w:rPr>
        <w:t>r</w:t>
      </w:r>
      <w:r w:rsidRPr="007932F8">
        <w:rPr>
          <w:i/>
        </w:rPr>
        <w:t>tinents</w:t>
      </w:r>
      <w:r w:rsidRPr="00320A86">
        <w:t xml:space="preserve"> dans le contexte considéré, contribue à accroître et à magnifier la Puissance de l’acteur qui prend figure de l’Empire. L</w:t>
      </w:r>
      <w:r w:rsidRPr="00320A86">
        <w:t>e</w:t>
      </w:r>
      <w:r w:rsidRPr="00320A86">
        <w:t>quel à son tour accroît son rôle dans la régulation du système. Rôle identifié par les groupes sociaux comme ayant vocation à absorber – ou à tout le moins – à unifier les modes de fonctio</w:t>
      </w:r>
      <w:r w:rsidRPr="00320A86">
        <w:t>n</w:t>
      </w:r>
      <w:r w:rsidRPr="00320A86">
        <w:t>nement des divers centres de Puissance que ce soit en termes culturels (croya</w:t>
      </w:r>
      <w:r w:rsidRPr="00320A86">
        <w:t>n</w:t>
      </w:r>
      <w:r w:rsidRPr="00320A86">
        <w:t>ces, modes de vie, art…) ou politiques (formes de pouvoir, idéologies).</w:t>
      </w:r>
    </w:p>
    <w:p w14:paraId="4F397BE1" w14:textId="77777777" w:rsidR="00B01930" w:rsidRPr="00320A86" w:rsidRDefault="00B01930" w:rsidP="00B01930">
      <w:pPr>
        <w:spacing w:before="120" w:after="120"/>
        <w:jc w:val="both"/>
      </w:pPr>
      <w:r w:rsidRPr="00320A86">
        <w:t>Au sens universel, c’est-à-dire ayant couvert la totalité du globe, à ce jour, l’Empire n’est pas de l’ordre de la réalité. Mais au sens d’une logique tendant à englober tous les peuples du monde ayant – « à ses yeux ou à leurs yeux » – une quelconque importance, et à incarner la régulation du système</w:t>
      </w:r>
      <w:r>
        <w:t> </w:t>
      </w:r>
      <w:r>
        <w:rPr>
          <w:rStyle w:val="Appelnotedebasdep"/>
        </w:rPr>
        <w:footnoteReference w:id="1284"/>
      </w:r>
      <w:r w:rsidRPr="00320A86">
        <w:t>, l’Empire s’est bien matérialisé à travers l’Histoire sous différents Empires.</w:t>
      </w:r>
    </w:p>
    <w:p w14:paraId="6B523BB4" w14:textId="77777777" w:rsidR="00B01930" w:rsidRPr="00320A86" w:rsidRDefault="00B01930" w:rsidP="00B01930">
      <w:pPr>
        <w:spacing w:before="120" w:after="120"/>
        <w:jc w:val="both"/>
      </w:pPr>
      <w:r w:rsidRPr="00320A86">
        <w:t>Le modèle systémique proposé permet de mettre à jour les facteurs qui d</w:t>
      </w:r>
      <w:r w:rsidRPr="00320A86">
        <w:t>é</w:t>
      </w:r>
      <w:r w:rsidRPr="00320A86">
        <w:t>terminent la Structure du système des relations internationales étudiées et, à pa</w:t>
      </w:r>
      <w:r w:rsidRPr="00320A86">
        <w:t>r</w:t>
      </w:r>
      <w:r w:rsidRPr="00320A86">
        <w:t>tir de là, d’en élaborer les règles de fonctionnement, les acteurs agissant dans ce cadre.</w:t>
      </w:r>
    </w:p>
    <w:p w14:paraId="4CC967D8" w14:textId="77777777" w:rsidR="00B01930" w:rsidRPr="00320A86" w:rsidRDefault="00B01930" w:rsidP="00B01930">
      <w:pPr>
        <w:spacing w:before="120" w:after="120"/>
        <w:jc w:val="both"/>
      </w:pPr>
      <w:r w:rsidRPr="00320A86">
        <w:t>Mais les acteurs, comme nous l’avons vu, par leurs actions et leurs comportements, influencent ou modifient les déterminants de la stru</w:t>
      </w:r>
      <w:r w:rsidRPr="00320A86">
        <w:t>c</w:t>
      </w:r>
      <w:r w:rsidRPr="00320A86">
        <w:t>ture et donc font bouger le système, avec toute la part d’incertitude inhérente à l’humain. En supposant des décideurs parfaitement ratio</w:t>
      </w:r>
      <w:r w:rsidRPr="00320A86">
        <w:t>n</w:t>
      </w:r>
      <w:r w:rsidRPr="00320A86">
        <w:t>nels, ceux-ci ne maîtrisent cependant pas la dimension temporelle de leur décision, et le temps peut rendre négative une action jugée, à un moment précis, positive (et inversement).</w:t>
      </w:r>
    </w:p>
    <w:p w14:paraId="65A1A242" w14:textId="77777777" w:rsidR="00B01930" w:rsidRPr="00320A86" w:rsidRDefault="00B01930" w:rsidP="00B01930">
      <w:pPr>
        <w:spacing w:before="120" w:after="120"/>
        <w:jc w:val="both"/>
      </w:pPr>
      <w:r w:rsidRPr="00320A86">
        <w:t>Sur le plan conceptuel, le modèle proposé, par son abstraction, nous semble posséder une fonction heuristique permettant au che</w:t>
      </w:r>
      <w:r w:rsidRPr="00320A86">
        <w:t>r</w:t>
      </w:r>
      <w:r w:rsidRPr="00320A86">
        <w:t>cheur de se situer, mais aussi de situer sa problématique et d’expliquer ainsi le caractère aléatoire, ou partiel, de l’explication proposée. L</w:t>
      </w:r>
      <w:r w:rsidRPr="00320A86">
        <w:t>a</w:t>
      </w:r>
      <w:r w:rsidRPr="00320A86">
        <w:t>quelle trouve son fondement dans une a</w:t>
      </w:r>
      <w:r w:rsidRPr="00320A86">
        <w:t>p</w:t>
      </w:r>
      <w:r w:rsidRPr="00320A86">
        <w:t>proche « scientifique »</w:t>
      </w:r>
      <w:r>
        <w:t> </w:t>
      </w:r>
      <w:r>
        <w:rPr>
          <w:rStyle w:val="Appelnotedebasdep"/>
        </w:rPr>
        <w:footnoteReference w:id="1285"/>
      </w:r>
      <w:r w:rsidRPr="00320A86">
        <w:t xml:space="preserve"> qui s’appuie sur l’apport des différentes approches (ou théories) – qui chacune comporte une part de « vérité » – et non sur un postulat « métaphysique ».</w:t>
      </w:r>
    </w:p>
    <w:p w14:paraId="04DAA130" w14:textId="77777777" w:rsidR="00B01930" w:rsidRPr="00320A86" w:rsidRDefault="00B01930" w:rsidP="00B01930">
      <w:pPr>
        <w:spacing w:before="120" w:after="120"/>
        <w:jc w:val="both"/>
      </w:pPr>
      <w:r w:rsidRPr="00320A86">
        <w:t>Le modèle a donc l’avantage d’intégrer les niveaux d’études et leurs encha</w:t>
      </w:r>
      <w:r w:rsidRPr="00320A86">
        <w:t>î</w:t>
      </w:r>
      <w:r w:rsidRPr="00320A86">
        <w:t>nements et justifie, par là même, le recours aux multiples méthodes qui retro</w:t>
      </w:r>
      <w:r w:rsidRPr="00320A86">
        <w:t>u</w:t>
      </w:r>
      <w:r w:rsidRPr="00320A86">
        <w:t>vent leur complémentarité. Le concept de système (et ses implications) suscite, nécessairement, le recours à cette plural</w:t>
      </w:r>
      <w:r w:rsidRPr="00320A86">
        <w:t>i</w:t>
      </w:r>
      <w:r w:rsidRPr="00320A86">
        <w:t>té d’approches qui reprennent tout leur intérêt en les situant chacune à leur niveau par rapport au modèle unifiant.</w:t>
      </w:r>
    </w:p>
    <w:p w14:paraId="52664E6E" w14:textId="77777777" w:rsidR="00B01930" w:rsidRPr="00320A86" w:rsidRDefault="00B01930" w:rsidP="00B01930">
      <w:pPr>
        <w:spacing w:before="120" w:after="120"/>
        <w:jc w:val="both"/>
      </w:pPr>
      <w:r w:rsidRPr="00320A86">
        <w:t>Toutefois méthodologiquement, comme en mécanique quantique, on peut se demander si lors de l’étude d’un phénomène international il est possible d’analyser simultanément le processus et la structure… Étudier la structure obl</w:t>
      </w:r>
      <w:r w:rsidRPr="00320A86">
        <w:t>i</w:t>
      </w:r>
      <w:r w:rsidRPr="00320A86">
        <w:t>ge à « figer » les choses, mais concrètement cela permet de pouvoir les décrire et les nommer. Étudier le processus c’est intégrer de la complexité, le Temps, l’incertain, le flou même, voire l’inconnu.</w:t>
      </w:r>
    </w:p>
    <w:p w14:paraId="39DBC14E" w14:textId="77777777" w:rsidR="00B01930" w:rsidRPr="00320A86" w:rsidRDefault="00B01930" w:rsidP="00B01930">
      <w:pPr>
        <w:spacing w:before="120" w:after="120"/>
        <w:jc w:val="both"/>
      </w:pPr>
      <w:r w:rsidRPr="00320A86">
        <w:t>Sur le plan épistémologique, ce modèle écarte le déterminisme, car il n’exclut ni l’incertitude ni la probabilité. Il n’écarte pas non plus l’apprentissage des « lois » du système et ne fait donc pas fi de l’erreur, de l’échec et du hasard.</w:t>
      </w:r>
    </w:p>
    <w:p w14:paraId="3E93A407" w14:textId="77777777" w:rsidR="00B01930" w:rsidRPr="00320A86" w:rsidRDefault="00B01930" w:rsidP="00B01930">
      <w:pPr>
        <w:spacing w:before="120" w:after="120"/>
        <w:jc w:val="both"/>
      </w:pPr>
      <w:r w:rsidRPr="00320A86">
        <w:t>On comprend aussi qu’historiquement les Empires peuvent être analysés aussi bien comme des moments d’effondrement des civilis</w:t>
      </w:r>
      <w:r w:rsidRPr="00320A86">
        <w:t>a</w:t>
      </w:r>
      <w:r w:rsidRPr="00320A86">
        <w:t>tions qui viennent compenser, provisoirement, le vide social qui m</w:t>
      </w:r>
      <w:r w:rsidRPr="00320A86">
        <w:t>e</w:t>
      </w:r>
      <w:r w:rsidRPr="00320A86">
        <w:t>nace à l’issue de périodes d’anarchie dont ils procèdent</w:t>
      </w:r>
      <w:r>
        <w:t> </w:t>
      </w:r>
      <w:r>
        <w:rPr>
          <w:rStyle w:val="Appelnotedebasdep"/>
        </w:rPr>
        <w:footnoteReference w:id="1286"/>
      </w:r>
      <w:r w:rsidRPr="00320A86">
        <w:t>, que co</w:t>
      </w:r>
      <w:r w:rsidRPr="00320A86">
        <w:t>m</w:t>
      </w:r>
      <w:r w:rsidRPr="00320A86">
        <w:t>me le résultat d’une dynamique de conquête qui vient s’épuiser dans le rêve de l’immuable.</w:t>
      </w:r>
    </w:p>
    <w:p w14:paraId="41088074" w14:textId="77777777" w:rsidR="00B01930" w:rsidRPr="00320A86" w:rsidRDefault="00B01930" w:rsidP="00B01930">
      <w:pPr>
        <w:spacing w:before="120" w:after="120"/>
        <w:jc w:val="both"/>
      </w:pPr>
    </w:p>
    <w:p w14:paraId="7E34A8CB" w14:textId="77777777" w:rsidR="00B01930" w:rsidRPr="00320A86" w:rsidRDefault="00B01930" w:rsidP="00B01930">
      <w:pPr>
        <w:pStyle w:val="planche"/>
      </w:pPr>
      <w:bookmarkStart w:id="229" w:name="Analyser_idees_pol_pt_4_texte_13_II"/>
      <w:r w:rsidRPr="00320A86">
        <w:t>II. De la bonne c</w:t>
      </w:r>
      <w:r>
        <w:t>ompréhension du Bien et du Mal.</w:t>
      </w:r>
      <w:r>
        <w:br/>
      </w:r>
      <w:r w:rsidRPr="00320A86">
        <w:t>Ruse et métamorphose de la morale</w:t>
      </w:r>
      <w:r>
        <w:br/>
      </w:r>
      <w:r w:rsidRPr="00320A86">
        <w:t>en Relations i</w:t>
      </w:r>
      <w:r w:rsidRPr="00320A86">
        <w:t>n</w:t>
      </w:r>
      <w:r w:rsidRPr="00320A86">
        <w:t>ternationales. À propos de</w:t>
      </w:r>
      <w:r>
        <w:br/>
      </w:r>
      <w:r w:rsidRPr="00387308">
        <w:rPr>
          <w:i/>
        </w:rPr>
        <w:t>La Grande Méprise</w:t>
      </w:r>
      <w:r w:rsidRPr="00320A86">
        <w:t xml:space="preserve"> de Cha</w:t>
      </w:r>
      <w:r w:rsidRPr="00320A86">
        <w:t>n</w:t>
      </w:r>
      <w:r w:rsidRPr="00320A86">
        <w:t>tal Delsol</w:t>
      </w:r>
      <w:r>
        <w:t> </w:t>
      </w:r>
      <w:r>
        <w:rPr>
          <w:rStyle w:val="Appelnotedebasdep"/>
        </w:rPr>
        <w:footnoteReference w:id="1287"/>
      </w:r>
    </w:p>
    <w:bookmarkEnd w:id="229"/>
    <w:p w14:paraId="453C7EF6" w14:textId="77777777" w:rsidR="00B01930" w:rsidRDefault="00B01930" w:rsidP="00B01930">
      <w:pPr>
        <w:spacing w:before="120" w:after="120"/>
        <w:jc w:val="both"/>
      </w:pPr>
    </w:p>
    <w:p w14:paraId="3CDF9017"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67A78B55" w14:textId="77777777" w:rsidR="00B01930" w:rsidRPr="00320A86" w:rsidRDefault="00B01930" w:rsidP="00B01930">
      <w:pPr>
        <w:spacing w:before="120" w:after="120"/>
        <w:jc w:val="both"/>
      </w:pPr>
      <w:r w:rsidRPr="00320A86">
        <w:t>Lorsque nous avons effectué la lecture critique de la pensée de Chantal De</w:t>
      </w:r>
      <w:r w:rsidRPr="00320A86">
        <w:t>l</w:t>
      </w:r>
      <w:r w:rsidRPr="00320A86">
        <w:t>sol en matière de Relations internationales en 2009-2010, nous avons mis en évidence les contradictions de celle-ci et le fait que partie d’une récusation du moralisme elle aboutissait à réintroduire celui-ci par des arguties pour le moins étranges, mais qui laissait dev</w:t>
      </w:r>
      <w:r w:rsidRPr="00320A86">
        <w:t>i</w:t>
      </w:r>
      <w:r w:rsidRPr="00320A86">
        <w:t>ner une problématique plus profonde. L’auteur a validé en 2011 au plus haut point ce que nous envisagions antérieurement</w:t>
      </w:r>
      <w:r>
        <w:t> </w:t>
      </w:r>
      <w:r>
        <w:rPr>
          <w:rStyle w:val="Appelnotedebasdep"/>
        </w:rPr>
        <w:footnoteReference w:id="1288"/>
      </w:r>
      <w:r w:rsidRPr="00320A86">
        <w:t xml:space="preserve">, car dans l’interview, elle affirme sa foi en la vérité du judéo-christianisme. Certes, son essai </w:t>
      </w:r>
      <w:r w:rsidRPr="007932F8">
        <w:rPr>
          <w:i/>
        </w:rPr>
        <w:t>La Grand Méprise</w:t>
      </w:r>
      <w:r w:rsidRPr="00320A86">
        <w:t>, ne manque pas d’intérêt. Non pas tant du fait de sa mise en cause des Droits de l’homme – Edmund Burke l’avait fait dès 1790 – ou de la contestation du droit actuel « d’ingérence humanitaire » – après tout, celui-ci était déjà présent par exemple en 1774 dans le traité russo-turc de Kutchuk-Kaïnardji</w:t>
      </w:r>
      <w:r>
        <w:t> </w:t>
      </w:r>
      <w:r>
        <w:rPr>
          <w:rStyle w:val="Appelnotedebasdep"/>
        </w:rPr>
        <w:footnoteReference w:id="1289"/>
      </w:r>
      <w:r w:rsidRPr="00320A86">
        <w:t xml:space="preserve"> et il a servi d’instrument au lent dépeçage de « la Sublime Porte » –, mais pour la notion de morale qu’il investit.</w:t>
      </w:r>
    </w:p>
    <w:p w14:paraId="219938F0" w14:textId="77777777" w:rsidR="00B01930" w:rsidRPr="00320A86" w:rsidRDefault="00B01930" w:rsidP="00B01930">
      <w:pPr>
        <w:spacing w:before="120" w:after="120"/>
        <w:jc w:val="both"/>
      </w:pPr>
      <w:r w:rsidRPr="00320A86">
        <w:t>Droits de l’homme, justice internationale, guerre d’ingérence, to</w:t>
      </w:r>
      <w:r w:rsidRPr="00320A86">
        <w:t>u</w:t>
      </w:r>
      <w:r w:rsidRPr="00320A86">
        <w:t>tes choses éminemment dangereuses, sont à bannir parce que fondées sur la morale. Tout</w:t>
      </w:r>
      <w:r w:rsidRPr="00320A86">
        <w:t>e</w:t>
      </w:r>
      <w:r w:rsidRPr="00320A86">
        <w:t>fois en un même mouvement l’auteur justifie le principe d’une guerre d’ingérence opérée par un acteur</w:t>
      </w:r>
      <w:r>
        <w:t> </w:t>
      </w:r>
      <w:r>
        <w:rPr>
          <w:rStyle w:val="Appelnotedebasdep"/>
        </w:rPr>
        <w:footnoteReference w:id="1290"/>
      </w:r>
      <w:r w:rsidRPr="00320A86">
        <w:t xml:space="preserve"> au nom de… la morale.</w:t>
      </w:r>
    </w:p>
    <w:p w14:paraId="0E2A08BC" w14:textId="77777777" w:rsidR="00B01930" w:rsidRPr="00320A86" w:rsidRDefault="00B01930" w:rsidP="00B01930">
      <w:pPr>
        <w:spacing w:before="120" w:after="120"/>
        <w:jc w:val="both"/>
      </w:pPr>
      <w:r w:rsidRPr="00320A86">
        <w:t>Singulier paradoxe. Sauf à en déduire que c’est parce qu’il y a deux natures de morale. Mais rien de tel n’est dit ou défini. C’est donc une lecture critique, au sens premier du terme, qui s’impose avec pour objet de saisir tout le sens et le contenu du terme afin de comprendre paradoxes, ambivalences ou contradi</w:t>
      </w:r>
      <w:r w:rsidRPr="00320A86">
        <w:t>c</w:t>
      </w:r>
      <w:r w:rsidRPr="00320A86">
        <w:t>tions, et d’expliquer en quoi il ne peut y avoir, sur le plan de la Science polit</w:t>
      </w:r>
      <w:r w:rsidRPr="00320A86">
        <w:t>i</w:t>
      </w:r>
      <w:r w:rsidRPr="00320A86">
        <w:t>que, deux morales dans le domaine abordé par Chantal Delsol.</w:t>
      </w:r>
    </w:p>
    <w:p w14:paraId="7D9DDAF3" w14:textId="77777777" w:rsidR="00B01930" w:rsidRPr="00320A86" w:rsidRDefault="00B01930" w:rsidP="00B01930">
      <w:pPr>
        <w:spacing w:before="120" w:after="120"/>
        <w:jc w:val="both"/>
      </w:pPr>
      <w:r w:rsidRPr="00320A86">
        <w:t>Si phénoménologiquement la morale apparaît diverse – au point que de prime abord toutes les possibilités quant aux rapports avec le politique seraient ouvertes – ce ne sont que métamorphoses qui ma</w:t>
      </w:r>
      <w:r w:rsidRPr="00320A86">
        <w:t>s</w:t>
      </w:r>
      <w:r w:rsidRPr="00320A86">
        <w:t>quent une essence (et les conséquences qui s’en évincent) structur</w:t>
      </w:r>
      <w:r w:rsidRPr="00320A86">
        <w:t>a</w:t>
      </w:r>
      <w:r w:rsidRPr="00320A86">
        <w:t>lement immuable (car logique et nécessaire) qui font que sa nature est unique. Chaque fois qu’on voudra la réaliser, elle se déploiera to</w:t>
      </w:r>
      <w:r w:rsidRPr="00320A86">
        <w:t>u</w:t>
      </w:r>
      <w:r w:rsidRPr="00320A86">
        <w:t>jours selon le même schéma logique implacable, jusqu’à ses ult</w:t>
      </w:r>
      <w:r w:rsidRPr="00320A86">
        <w:t>i</w:t>
      </w:r>
      <w:r w:rsidRPr="00320A86">
        <w:t>mes conséquences si le contexte s’y prête. Quand bien même arguerait-on de la différence du discours ou d’une mauvaise compréhension ou de tout autre argument – la ruse de la morale étant en la matière inépu</w:t>
      </w:r>
      <w:r w:rsidRPr="00320A86">
        <w:t>i</w:t>
      </w:r>
      <w:r w:rsidRPr="00320A86">
        <w:t>sable ! Il faut et il suffit que les prémisses soient présentes dans la th</w:t>
      </w:r>
      <w:r w:rsidRPr="00320A86">
        <w:t>è</w:t>
      </w:r>
      <w:r w:rsidRPr="00320A86">
        <w:t>se pour ne pas pouvoir y échapper.</w:t>
      </w:r>
    </w:p>
    <w:p w14:paraId="2BE5A77F" w14:textId="77777777" w:rsidR="00B01930" w:rsidRPr="00320A86" w:rsidRDefault="00B01930" w:rsidP="00B01930">
      <w:pPr>
        <w:spacing w:before="120" w:after="120"/>
        <w:jc w:val="both"/>
      </w:pPr>
      <w:r w:rsidRPr="00320A86">
        <w:t>Chantal Delsol se livre à une critique radicale de la justice intern</w:t>
      </w:r>
      <w:r w:rsidRPr="00320A86">
        <w:t>a</w:t>
      </w:r>
      <w:r w:rsidRPr="00320A86">
        <w:t>tionale qui s’incarne en une juridiction internationale fondée sur les Droits de l’homme, nouvelle forme de la morale, qui ne peut conduire qu’à la création d’un gouve</w:t>
      </w:r>
      <w:r w:rsidRPr="00320A86">
        <w:t>r</w:t>
      </w:r>
      <w:r w:rsidRPr="00320A86">
        <w:t>nement mondial pratiquant des opérations de police. Or la conjonction de l’unicité du pouvoir et de la morale ouvre la voie au despotisme. En effet, l’Histoire montre que seule la diversité de communautés politiques (en l’occurrence les États) gara</w:t>
      </w:r>
      <w:r w:rsidRPr="00320A86">
        <w:t>n</w:t>
      </w:r>
      <w:r w:rsidRPr="00320A86">
        <w:t>tit la liberté.</w:t>
      </w:r>
    </w:p>
    <w:p w14:paraId="2457797F" w14:textId="77777777" w:rsidR="00B01930" w:rsidRPr="00320A86" w:rsidRDefault="00B01930" w:rsidP="00B01930">
      <w:pPr>
        <w:spacing w:before="120" w:after="120"/>
        <w:jc w:val="both"/>
      </w:pPr>
      <w:r w:rsidRPr="00320A86">
        <w:t>Aristote, Montesquieu – on pourrait ajouter Machiavel – ont mis en évidence la relativité du bien et du mal (la morale) tant dans l’espace que dans le temps. Il ne saurait donc y avoir une seule Loi qui a pour corrélas la guerre d’ingérence et la désignation de l’ennemi (et non l’adversaire), ainsi que le principe de culpab</w:t>
      </w:r>
      <w:r w:rsidRPr="00320A86">
        <w:t>i</w:t>
      </w:r>
      <w:r w:rsidRPr="00320A86">
        <w:t>lité de ce dernier, puisqu’immoral (du fait de transgression du bien).</w:t>
      </w:r>
    </w:p>
    <w:p w14:paraId="4ADCC61E" w14:textId="77777777" w:rsidR="00B01930" w:rsidRPr="00320A86" w:rsidRDefault="00B01930" w:rsidP="00B01930">
      <w:pPr>
        <w:spacing w:before="120" w:after="120"/>
        <w:jc w:val="both"/>
      </w:pPr>
      <w:r w:rsidRPr="00320A86">
        <w:t>En toute logique on s’attend à ce que l’auteur conclut, qu’en rel</w:t>
      </w:r>
      <w:r w:rsidRPr="00320A86">
        <w:t>a</w:t>
      </w:r>
      <w:r w:rsidRPr="00320A86">
        <w:t>tions inte</w:t>
      </w:r>
      <w:r w:rsidRPr="00320A86">
        <w:t>r</w:t>
      </w:r>
      <w:r w:rsidRPr="00320A86">
        <w:t>nationales, seule ne vaut que la Realpolitik d’équilibre des Puissances à l’étalon de leurs intérêts. Or il n’en est rien. Chantal De</w:t>
      </w:r>
      <w:r w:rsidRPr="00320A86">
        <w:t>l</w:t>
      </w:r>
      <w:r w:rsidRPr="00320A86">
        <w:t>sol, au terme de sa démonstr</w:t>
      </w:r>
      <w:r w:rsidRPr="00320A86">
        <w:t>a</w:t>
      </w:r>
      <w:r w:rsidRPr="00320A86">
        <w:t>tion, réintroduit la guerre d’ingérence – récusée initialement car morale donc dangereuse – et la légitime pa</w:t>
      </w:r>
      <w:r w:rsidRPr="00320A86">
        <w:t>r</w:t>
      </w:r>
      <w:r w:rsidRPr="00320A86">
        <w:t>ce qu’elle relève alors de la seule décision polit</w:t>
      </w:r>
      <w:r w:rsidRPr="00320A86">
        <w:t>i</w:t>
      </w:r>
      <w:r w:rsidRPr="00320A86">
        <w:t>que, élaborée et mise en œuvre en conscience par un acteur singulier à un m</w:t>
      </w:r>
      <w:r w:rsidRPr="00320A86">
        <w:t>o</w:t>
      </w:r>
      <w:r w:rsidRPr="00320A86">
        <w:t>ment donné.</w:t>
      </w:r>
    </w:p>
    <w:p w14:paraId="12A94398" w14:textId="77777777" w:rsidR="00B01930" w:rsidRPr="00320A86" w:rsidRDefault="00B01930" w:rsidP="00B01930">
      <w:pPr>
        <w:spacing w:before="120" w:after="120"/>
        <w:jc w:val="both"/>
      </w:pPr>
      <w:r w:rsidRPr="00320A86">
        <w:t>Cette surprenante position, à y regarder de près, résulte (à notre sens) d’une oscillation de sa pensée entre, d’une part les implications du relativisme des valeurs qui autorise l’acceptation de toutes les e</w:t>
      </w:r>
      <w:r w:rsidRPr="00320A86">
        <w:t>n</w:t>
      </w:r>
      <w:r w:rsidRPr="00320A86">
        <w:t>treprises, même les plus mon</w:t>
      </w:r>
      <w:r w:rsidRPr="00320A86">
        <w:t>s</w:t>
      </w:r>
      <w:r w:rsidRPr="00320A86">
        <w:t>trueuses (dont elle admet et l’existence et leur caractère inacceptable tel « </w:t>
      </w:r>
      <w:r w:rsidRPr="00F477AD">
        <w:rPr>
          <w:i/>
        </w:rPr>
        <w:t>crime contre l’humanité est unive</w:t>
      </w:r>
      <w:r w:rsidRPr="00F477AD">
        <w:rPr>
          <w:i/>
        </w:rPr>
        <w:t>r</w:t>
      </w:r>
      <w:r w:rsidRPr="00F477AD">
        <w:rPr>
          <w:i/>
        </w:rPr>
        <w:t>sellement grave, quels que soient le temps et l’espace </w:t>
      </w:r>
      <w:r w:rsidRPr="00320A86">
        <w:t>»</w:t>
      </w:r>
      <w:r>
        <w:t> </w:t>
      </w:r>
      <w:r>
        <w:rPr>
          <w:rStyle w:val="Appelnotedebasdep"/>
        </w:rPr>
        <w:footnoteReference w:id="1291"/>
      </w:r>
      <w:r w:rsidRPr="00320A86">
        <w:t>). D’autre part le refus de la morale de la justice internationale porteur d’une vi</w:t>
      </w:r>
      <w:r w:rsidRPr="00320A86">
        <w:t>o</w:t>
      </w:r>
      <w:r w:rsidRPr="00320A86">
        <w:t>lence qui peut être extrême, car au nom du bien, ce qui n’est pas plus acceptable.</w:t>
      </w:r>
    </w:p>
    <w:p w14:paraId="0292D7C5" w14:textId="77777777" w:rsidR="00B01930" w:rsidRPr="00320A86" w:rsidRDefault="00B01930" w:rsidP="00B01930">
      <w:pPr>
        <w:spacing w:before="120" w:after="120"/>
        <w:jc w:val="both"/>
      </w:pPr>
      <w:r w:rsidRPr="00320A86">
        <w:t>Mais alors, puisqu’on ne peut ni définir l’absolu ni tout relativiser, que faire ? Il suffit, dit-elle, de ne pas institutionnaliser la norme. La non-tolérance de ce</w:t>
      </w:r>
      <w:r w:rsidRPr="00320A86">
        <w:t>r</w:t>
      </w:r>
      <w:r w:rsidRPr="00320A86">
        <w:t>tains crimes doit être le fruit d’une décision (et non d’une loi</w:t>
      </w:r>
      <w:r>
        <w:t> </w:t>
      </w:r>
      <w:r>
        <w:rPr>
          <w:rStyle w:val="Appelnotedebasdep"/>
        </w:rPr>
        <w:footnoteReference w:id="1292"/>
      </w:r>
      <w:r w:rsidRPr="00320A86">
        <w:t>). Le tracé des l</w:t>
      </w:r>
      <w:r w:rsidRPr="00320A86">
        <w:t>i</w:t>
      </w:r>
      <w:r w:rsidRPr="00320A86">
        <w:t>mites entre bien et mal ne peut ressortir que de la seule conscience, ultime in</w:t>
      </w:r>
      <w:r w:rsidRPr="00320A86">
        <w:t>s</w:t>
      </w:r>
      <w:r w:rsidRPr="00320A86">
        <w:t>tance en la matière. Ériger une justice internationale revient donc à s’attaquer de plein fouet à la l</w:t>
      </w:r>
      <w:r w:rsidRPr="00320A86">
        <w:t>i</w:t>
      </w:r>
      <w:r w:rsidRPr="00320A86">
        <w:t>berté de conscience personnelle en situation grave et complexe, just</w:t>
      </w:r>
      <w:r w:rsidRPr="00320A86">
        <w:t>i</w:t>
      </w:r>
      <w:r w:rsidRPr="00320A86">
        <w:t>ciable exclusivement du singulier, et non de l’universel.</w:t>
      </w:r>
    </w:p>
    <w:p w14:paraId="566C40DC" w14:textId="77777777" w:rsidR="00B01930" w:rsidRPr="00320A86" w:rsidRDefault="00B01930" w:rsidP="00B01930">
      <w:pPr>
        <w:spacing w:before="120" w:after="120"/>
        <w:jc w:val="both"/>
      </w:pPr>
      <w:r w:rsidRPr="00320A86">
        <w:t>Mais ici aussi l’auteur est ambivalent. D’un côté elle pose que la morale est affaire individuelle, mais ensuite elle écrit que la relativis</w:t>
      </w:r>
      <w:r w:rsidRPr="00320A86">
        <w:t>a</w:t>
      </w:r>
      <w:r w:rsidRPr="00320A86">
        <w:t>tion ne doit pas e</w:t>
      </w:r>
      <w:r w:rsidRPr="00320A86">
        <w:t>m</w:t>
      </w:r>
      <w:r w:rsidRPr="00320A86">
        <w:t xml:space="preserve">pêcher de croire en des valeurs absolues, ni même de vouloir les défendre par tous les moyens, </w:t>
      </w:r>
      <w:r w:rsidRPr="00F477AD">
        <w:rPr>
          <w:i/>
        </w:rPr>
        <w:t>y compris par la fo</w:t>
      </w:r>
      <w:r w:rsidRPr="00F477AD">
        <w:rPr>
          <w:i/>
        </w:rPr>
        <w:t>r</w:t>
      </w:r>
      <w:r w:rsidRPr="00F477AD">
        <w:rPr>
          <w:i/>
        </w:rPr>
        <w:t>ce </w:t>
      </w:r>
      <w:r>
        <w:rPr>
          <w:rStyle w:val="Appelnotedebasdep"/>
        </w:rPr>
        <w:footnoteReference w:id="1293"/>
      </w:r>
      <w:r w:rsidRPr="00320A86">
        <w:t>, c’est-à-dire, écrit-elle, la guerre d’ingérence (qui était pou</w:t>
      </w:r>
      <w:r w:rsidRPr="00320A86">
        <w:t>r</w:t>
      </w:r>
      <w:r w:rsidRPr="00320A86">
        <w:t>tant – en soi – illégitime).</w:t>
      </w:r>
    </w:p>
    <w:p w14:paraId="12011CC8" w14:textId="77777777" w:rsidR="00B01930" w:rsidRPr="00320A86" w:rsidRDefault="00B01930" w:rsidP="00B01930">
      <w:pPr>
        <w:spacing w:before="120" w:after="120"/>
        <w:jc w:val="both"/>
      </w:pPr>
      <w:r w:rsidRPr="00320A86">
        <w:t>Ce qui change la nature de la réponse c’est que la guerre résultera « d’une décision de conscience »</w:t>
      </w:r>
      <w:r>
        <w:t> </w:t>
      </w:r>
      <w:r>
        <w:rPr>
          <w:rStyle w:val="Appelnotedebasdep"/>
        </w:rPr>
        <w:footnoteReference w:id="1294"/>
      </w:r>
      <w:r w:rsidRPr="00320A86">
        <w:t>. La certitude intérieure du bien et du mal n’étant pas posée comme Norme il s’agira d’une guerre sing</w:t>
      </w:r>
      <w:r w:rsidRPr="00320A86">
        <w:t>u</w:t>
      </w:r>
      <w:r w:rsidRPr="00320A86">
        <w:t>lière. Dès lors qu’on n’invoque pas le droit, on peut parfaitement « libérer un peuple »</w:t>
      </w:r>
      <w:r>
        <w:t> </w:t>
      </w:r>
      <w:r>
        <w:rPr>
          <w:rStyle w:val="Appelnotedebasdep"/>
        </w:rPr>
        <w:footnoteReference w:id="1295"/>
      </w:r>
      <w:r w:rsidRPr="00320A86">
        <w:t xml:space="preserve"> puisqu’on agit en conscience.</w:t>
      </w:r>
    </w:p>
    <w:p w14:paraId="4FB9DB81" w14:textId="77777777" w:rsidR="00B01930" w:rsidRPr="00320A86" w:rsidRDefault="00B01930" w:rsidP="00B01930">
      <w:pPr>
        <w:spacing w:before="120" w:after="120"/>
        <w:jc w:val="both"/>
      </w:pPr>
      <w:r w:rsidRPr="00F477AD">
        <w:rPr>
          <w:i/>
        </w:rPr>
        <w:t>In concreto</w:t>
      </w:r>
      <w:r w:rsidRPr="00320A86">
        <w:t>, cela se traduit par le fait qu’à un moment elle affirme que les Américains ont fait la guerre en Irak celle-ci étant Puissance seulement dangereuse (on est proche de la realpolitik) – puis à un a</w:t>
      </w:r>
      <w:r w:rsidRPr="00320A86">
        <w:t>u</w:t>
      </w:r>
      <w:r w:rsidRPr="00320A86">
        <w:t xml:space="preserve">tre moment la même guerre d’Irak est </w:t>
      </w:r>
      <w:r w:rsidRPr="00F477AD">
        <w:rPr>
          <w:i/>
        </w:rPr>
        <w:t>d’ingérence</w:t>
      </w:r>
      <w:r w:rsidRPr="00320A86">
        <w:t>, faite au nom de la morale, mais légitimée à ce titre parce que le bien a été défini « en conscience ». Toutefois, en conclusion, Chantal Delsol en appelle à la supériorité de la quête sur la conquête pour changer les choses.</w:t>
      </w:r>
    </w:p>
    <w:p w14:paraId="2826BC35" w14:textId="77777777" w:rsidR="00B01930" w:rsidRPr="00320A86" w:rsidRDefault="00B01930" w:rsidP="00B01930">
      <w:pPr>
        <w:spacing w:before="120" w:after="120"/>
        <w:jc w:val="both"/>
      </w:pPr>
      <w:r w:rsidRPr="00320A86">
        <w:t xml:space="preserve">Partie de la condamnation de toute justice internationale comme despotique par essence, </w:t>
      </w:r>
      <w:r w:rsidRPr="00F477AD">
        <w:rPr>
          <w:i/>
        </w:rPr>
        <w:t>parce que morale</w:t>
      </w:r>
      <w:r w:rsidRPr="00320A86">
        <w:t>, dont la figure emblémat</w:t>
      </w:r>
      <w:r w:rsidRPr="00320A86">
        <w:t>i</w:t>
      </w:r>
      <w:r w:rsidRPr="00320A86">
        <w:t>que, inacceptable, est la guerre d’ingérence, l’auteur aboutit à la r</w:t>
      </w:r>
      <w:r w:rsidRPr="00320A86">
        <w:t>e</w:t>
      </w:r>
      <w:r w:rsidRPr="00320A86">
        <w:t>connaissance de pouvoir mener une guerre morale pour un acteur pol</w:t>
      </w:r>
      <w:r w:rsidRPr="00320A86">
        <w:t>i</w:t>
      </w:r>
      <w:r w:rsidRPr="00320A86">
        <w:t>tique et à sa faculté de libérer un peuple. C’est-à-dire d’agir au nom du bien qu’il aura défini. La légitimité de l’action réside (uniquement) dans le fait que celle-ci ne trouve pas sa source dans un Droit, une morale, qui présuppose l’universalisme, mais dans une décision pol</w:t>
      </w:r>
      <w:r w:rsidRPr="00320A86">
        <w:t>i</w:t>
      </w:r>
      <w:r w:rsidRPr="00320A86">
        <w:t>tique située, fondée sur une certitude intérieure sur le bien et le mal.</w:t>
      </w:r>
    </w:p>
    <w:p w14:paraId="710EF6A5" w14:textId="77777777" w:rsidR="00B01930" w:rsidRPr="00320A86" w:rsidRDefault="00B01930" w:rsidP="00B01930">
      <w:pPr>
        <w:spacing w:before="120" w:after="120"/>
        <w:jc w:val="both"/>
      </w:pPr>
      <w:r w:rsidRPr="00320A86">
        <w:t xml:space="preserve">Ainsi le même concept, la morale, vient à l’appui de deux thèses </w:t>
      </w:r>
      <w:r w:rsidRPr="00F477AD">
        <w:rPr>
          <w:i/>
        </w:rPr>
        <w:t>a priori</w:t>
      </w:r>
      <w:r w:rsidRPr="00320A86">
        <w:t xml:space="preserve"> p</w:t>
      </w:r>
      <w:r w:rsidRPr="00320A86">
        <w:t>o</w:t>
      </w:r>
      <w:r w:rsidRPr="00320A86">
        <w:t>sées comme antinomiques.</w:t>
      </w:r>
    </w:p>
    <w:p w14:paraId="66191D63" w14:textId="77777777" w:rsidR="00B01930" w:rsidRPr="00320A86" w:rsidRDefault="00B01930" w:rsidP="00B01930">
      <w:pPr>
        <w:spacing w:before="120" w:after="120"/>
        <w:jc w:val="both"/>
      </w:pPr>
      <w:r w:rsidRPr="00320A86">
        <w:t>Définie d’emblée par l’auteur comme relevant de l’éthique, c’est-à-dire un processus d’élaboration individuel, la morale ne relève pas de la foi. En ce sens Chantal Delsol préfère « l’homme juste qui re</w:t>
      </w:r>
      <w:r w:rsidRPr="00320A86">
        <w:t>s</w:t>
      </w:r>
      <w:r w:rsidRPr="00320A86">
        <w:t>pecte avant tout les principes éthiques dictés par sa conscience, à l’homme saint qui met en avant l’obéissance à une autorité discrétio</w:t>
      </w:r>
      <w:r w:rsidRPr="00320A86">
        <w:t>n</w:t>
      </w:r>
      <w:r w:rsidRPr="00320A86">
        <w:t>naire »</w:t>
      </w:r>
      <w:r>
        <w:t> </w:t>
      </w:r>
      <w:r>
        <w:rPr>
          <w:rStyle w:val="Appelnotedebasdep"/>
        </w:rPr>
        <w:footnoteReference w:id="1296"/>
      </w:r>
      <w:r w:rsidRPr="00320A86">
        <w:t>. Car le propre de la morale est la liberté</w:t>
      </w:r>
      <w:r>
        <w:t> </w:t>
      </w:r>
      <w:r>
        <w:rPr>
          <w:rStyle w:val="Appelnotedebasdep"/>
        </w:rPr>
        <w:footnoteReference w:id="1297"/>
      </w:r>
      <w:r w:rsidRPr="00320A86">
        <w:t xml:space="preserve"> et on ne peut contraindre un être libre pour des raisons morales. On est donc dans un schéma relativiste.</w:t>
      </w:r>
    </w:p>
    <w:p w14:paraId="6C894C22" w14:textId="77777777" w:rsidR="00B01930" w:rsidRPr="00320A86" w:rsidRDefault="00B01930" w:rsidP="00B01930">
      <w:pPr>
        <w:spacing w:before="120" w:after="120"/>
        <w:jc w:val="both"/>
      </w:pPr>
      <w:r w:rsidRPr="00320A86">
        <w:t>Mais, nous l’avons vu, en relations internationales, cela ne se tr</w:t>
      </w:r>
      <w:r w:rsidRPr="00320A86">
        <w:t>a</w:t>
      </w:r>
      <w:r w:rsidRPr="00320A86">
        <w:t xml:space="preserve">duit pas par la </w:t>
      </w:r>
      <w:r w:rsidRPr="00F477AD">
        <w:rPr>
          <w:i/>
        </w:rPr>
        <w:t>realpolitik</w:t>
      </w:r>
      <w:r w:rsidRPr="00320A86">
        <w:t>. Mieux, l’auteur pose qu’il y a des crimes monstrueux, universe</w:t>
      </w:r>
      <w:r w:rsidRPr="00320A86">
        <w:t>l</w:t>
      </w:r>
      <w:r w:rsidRPr="00320A86">
        <w:t>lement graves. Ce qui implique donc bien un bien et un mal universels (définis d’une manière ou d’une autre), que ce bien est supérieur au mal – ce qui ouvre la voie à des actions, que</w:t>
      </w:r>
      <w:r w:rsidRPr="00320A86">
        <w:t>l</w:t>
      </w:r>
      <w:r w:rsidRPr="00320A86">
        <w:t>les qu’elles soient. Or elle condamne le recours à la m</w:t>
      </w:r>
      <w:r w:rsidRPr="00320A86">
        <w:t>o</w:t>
      </w:r>
      <w:r w:rsidRPr="00320A86">
        <w:t>rale dont les bonnes intentions pavent l’enfer. C’est pour cela, écrit-elle, qu’il ne saurait y avoir d’État universel « moralement homogène », sous peine de Tyra</w:t>
      </w:r>
      <w:r w:rsidRPr="00320A86">
        <w:t>n</w:t>
      </w:r>
      <w:r w:rsidRPr="00320A86">
        <w:t>nie.</w:t>
      </w:r>
    </w:p>
    <w:p w14:paraId="6A3AA724" w14:textId="77777777" w:rsidR="00B01930" w:rsidRPr="00320A86" w:rsidRDefault="00B01930" w:rsidP="00B01930">
      <w:pPr>
        <w:spacing w:before="120" w:after="120"/>
        <w:jc w:val="both"/>
      </w:pPr>
      <w:r w:rsidRPr="00320A86">
        <w:t xml:space="preserve">Pour résoudre ce propos contradictoire elle assimile, comme d’évidence – par le seul fait de l’utilisation du même terme – le sens individuel de celui-ci à l’acteur </w:t>
      </w:r>
      <w:r w:rsidRPr="00F477AD">
        <w:rPr>
          <w:i/>
        </w:rPr>
        <w:t>politique</w:t>
      </w:r>
      <w:r w:rsidRPr="00320A86">
        <w:t xml:space="preserve"> – dont d’ailleurs on co</w:t>
      </w:r>
      <w:r w:rsidRPr="00320A86">
        <w:t>m</w:t>
      </w:r>
      <w:r w:rsidRPr="00320A86">
        <w:t xml:space="preserve">prend qu’il s’agit de l’État (mais l’ambiguïté est constante). Ce qui a pour effet d’introduire, </w:t>
      </w:r>
      <w:r w:rsidRPr="00F477AD">
        <w:rPr>
          <w:i/>
        </w:rPr>
        <w:t>de facto</w:t>
      </w:r>
      <w:r w:rsidRPr="00320A86">
        <w:t>, une diff</w:t>
      </w:r>
      <w:r w:rsidRPr="00320A86">
        <w:t>é</w:t>
      </w:r>
      <w:r w:rsidRPr="00320A86">
        <w:t>rence de nature selon qui définit le bien et le mal : d’ordre supranational (occ</w:t>
      </w:r>
      <w:r w:rsidRPr="00320A86">
        <w:t>i</w:t>
      </w:r>
      <w:r w:rsidRPr="00320A86">
        <w:t>dental…) c’est un danger pour l’humanité ; d’ordre singulier c’est une garantie de libe</w:t>
      </w:r>
      <w:r w:rsidRPr="00320A86">
        <w:t>r</w:t>
      </w:r>
      <w:r w:rsidRPr="00320A86">
        <w:t>té. Le seul fait que la définition du bien et du mal vient d’un acteur politique singulier (c.-à-d. l’État ?) ou au contraire d’une instance un</w:t>
      </w:r>
      <w:r w:rsidRPr="00320A86">
        <w:t>i</w:t>
      </w:r>
      <w:r w:rsidRPr="00320A86">
        <w:t>que, changerait la nature du problème, en tout cas ses conséquences. La morale n’est plus… la morale.</w:t>
      </w:r>
    </w:p>
    <w:p w14:paraId="672AF468" w14:textId="77777777" w:rsidR="00B01930" w:rsidRPr="00320A86" w:rsidRDefault="00B01930" w:rsidP="00B01930">
      <w:pPr>
        <w:spacing w:before="120" w:after="120"/>
        <w:jc w:val="both"/>
      </w:pPr>
      <w:r w:rsidRPr="00320A86">
        <w:t>Ruse de la morale. Chantal Delsol en l’acceptant pour sa propre thèse comme paradigme n’avait pas d’autre choix, pour transmuter la guerre d’ingérence de mal en bien, que de recourir à une assimilation, discutable, mais incontournable. Sauf qu’elle ne résout pas le probl</w:t>
      </w:r>
      <w:r w:rsidRPr="00320A86">
        <w:t>è</w:t>
      </w:r>
      <w:r w:rsidRPr="00320A86">
        <w:t>me, c’est-à-dire les conséquences de la mor</w:t>
      </w:r>
      <w:r w:rsidRPr="00320A86">
        <w:t>a</w:t>
      </w:r>
      <w:r w:rsidRPr="00320A86">
        <w:t>le (qu’elle dénonce) du fait des implications de ce que, rigoureusement, la mor</w:t>
      </w:r>
      <w:r w:rsidRPr="00320A86">
        <w:t>a</w:t>
      </w:r>
      <w:r w:rsidRPr="00320A86">
        <w:t>le veut dire.</w:t>
      </w:r>
    </w:p>
    <w:p w14:paraId="75EF1BEF" w14:textId="77777777" w:rsidR="00B01930" w:rsidRPr="00320A86" w:rsidRDefault="00B01930" w:rsidP="00B01930">
      <w:pPr>
        <w:spacing w:before="120" w:after="120"/>
        <w:jc w:val="both"/>
      </w:pPr>
      <w:r w:rsidRPr="00320A86">
        <w:t>En effet,</w:t>
      </w:r>
      <w:r>
        <w:t> </w:t>
      </w:r>
      <w:r>
        <w:rPr>
          <w:rStyle w:val="Appelnotedebasdep"/>
        </w:rPr>
        <w:footnoteReference w:id="1298"/>
      </w:r>
      <w:r w:rsidRPr="00320A86">
        <w:t xml:space="preserve"> le jugement sur le Bien et le Mal est à l’origine de toute constru</w:t>
      </w:r>
      <w:r w:rsidRPr="00320A86">
        <w:t>c</w:t>
      </w:r>
      <w:r w:rsidRPr="00320A86">
        <w:t>tion politique. Ainsi dès lors qu’on prétend, qu’on croie, qu’il y a un Bien et un Mal, que ces deux principes sont nécessairement séparés, que le Bien est supérieur au Mal et qu’il y a une poss</w:t>
      </w:r>
      <w:r w:rsidRPr="00320A86">
        <w:t>i</w:t>
      </w:r>
      <w:r w:rsidRPr="00320A86">
        <w:t>bilité individuelle ou sociale de connaître l’application concrète de ces deux principes, il y a un optimisme fondamental qui justifie la capac</w:t>
      </w:r>
      <w:r w:rsidRPr="00320A86">
        <w:t>i</w:t>
      </w:r>
      <w:r w:rsidRPr="00320A86">
        <w:t>té de l’Homme, comme individu ou espèce, à réaliser ce destin par la vi</w:t>
      </w:r>
      <w:r w:rsidRPr="00320A86">
        <w:t>c</w:t>
      </w:r>
      <w:r w:rsidRPr="00320A86">
        <w:t>toire du Bien – le politique étant l’instrument de ce projet.</w:t>
      </w:r>
    </w:p>
    <w:p w14:paraId="710F9E13" w14:textId="77777777" w:rsidR="00B01930" w:rsidRPr="00320A86" w:rsidRDefault="00B01930" w:rsidP="00B01930">
      <w:pPr>
        <w:spacing w:before="120" w:after="120"/>
        <w:jc w:val="both"/>
      </w:pPr>
      <w:r w:rsidRPr="00320A86">
        <w:t>À moins d’être fou ou pervers, on ne saurait refuser le Bien et la possibilité de l’accomplir puisqu’il y va du bonheur de tous. L’homme n’est libre que s’il fait le Bien. Il faut donc le forcer à être libre (ju</w:t>
      </w:r>
      <w:r w:rsidRPr="00320A86">
        <w:t>s</w:t>
      </w:r>
      <w:r w:rsidRPr="00320A86">
        <w:t>qu’à faire le Mal dans la pratique politique). Cela implique nécessa</w:t>
      </w:r>
      <w:r w:rsidRPr="00320A86">
        <w:t>i</w:t>
      </w:r>
      <w:r w:rsidRPr="00320A86">
        <w:t>rement – et non par quelque anormalité ou malignité d’individus – une société totalitaire. C’est de l’ordre de la pure appl</w:t>
      </w:r>
      <w:r w:rsidRPr="00320A86">
        <w:t>i</w:t>
      </w:r>
      <w:r w:rsidRPr="00320A86">
        <w:t>cation de ce « code de pensée manichéen inégalitaire »</w:t>
      </w:r>
      <w:r>
        <w:t> </w:t>
      </w:r>
      <w:r>
        <w:rPr>
          <w:rStyle w:val="Appelnotedebasdep"/>
        </w:rPr>
        <w:footnoteReference w:id="1299"/>
      </w:r>
      <w:r w:rsidRPr="00320A86">
        <w:t>.</w:t>
      </w:r>
    </w:p>
    <w:p w14:paraId="7F3041A6" w14:textId="77777777" w:rsidR="00B01930" w:rsidRPr="00320A86" w:rsidRDefault="00B01930" w:rsidP="00B01930">
      <w:pPr>
        <w:spacing w:before="120" w:after="120"/>
        <w:jc w:val="both"/>
      </w:pPr>
      <w:r w:rsidRPr="00320A86">
        <w:t xml:space="preserve">Ce n’est pas un hasard s’il y a </w:t>
      </w:r>
      <w:r w:rsidRPr="00F477AD">
        <w:rPr>
          <w:i/>
        </w:rPr>
        <w:t>identité des conséquences</w:t>
      </w:r>
      <w:r w:rsidRPr="00320A86">
        <w:t xml:space="preserve"> pour des doctrines ou idéologies</w:t>
      </w:r>
      <w:r>
        <w:t> </w:t>
      </w:r>
      <w:r>
        <w:rPr>
          <w:rStyle w:val="Appelnotedebasdep"/>
        </w:rPr>
        <w:footnoteReference w:id="1300"/>
      </w:r>
      <w:r w:rsidRPr="00320A86">
        <w:t xml:space="preserve"> aussi dissemblables dans le </w:t>
      </w:r>
      <w:r w:rsidRPr="00F477AD">
        <w:rPr>
          <w:i/>
        </w:rPr>
        <w:t>discours</w:t>
      </w:r>
      <w:r w:rsidRPr="00320A86">
        <w:t xml:space="preserve"> que chez Platon, ou dans le christianisme, le marxisme, l’islam, etc. Alors même, d’une part que les doctr</w:t>
      </w:r>
      <w:r w:rsidRPr="00320A86">
        <w:t>i</w:t>
      </w:r>
      <w:r w:rsidRPr="00320A86">
        <w:t>nes ou les idéologies sont espacées dans le temps, dans l’espace, se sont même ignorées, et d’autre part que les définitions du contenu du code de valeurs sont diverses, voire ennemies, car « il y a prévalence de la logique structurale du c</w:t>
      </w:r>
      <w:r w:rsidRPr="00320A86">
        <w:t>o</w:t>
      </w:r>
      <w:r w:rsidRPr="00320A86">
        <w:t>de sur le discours »</w:t>
      </w:r>
      <w:r>
        <w:t> </w:t>
      </w:r>
      <w:r>
        <w:rPr>
          <w:rStyle w:val="Appelnotedebasdep"/>
        </w:rPr>
        <w:footnoteReference w:id="1301"/>
      </w:r>
      <w:r w:rsidRPr="00320A86">
        <w:t>.</w:t>
      </w:r>
    </w:p>
    <w:p w14:paraId="79537C28" w14:textId="77777777" w:rsidR="00B01930" w:rsidRPr="00320A86" w:rsidRDefault="00B01930" w:rsidP="00B01930">
      <w:pPr>
        <w:spacing w:before="120" w:after="120"/>
        <w:jc w:val="both"/>
      </w:pPr>
      <w:r w:rsidRPr="00320A86">
        <w:t>Ce qui se traduit tantôt par des conflits inexpiables, tantôt par des tentatives de récupération, ou par des alliances de circonstances, su</w:t>
      </w:r>
      <w:r w:rsidRPr="00320A86">
        <w:t>r</w:t>
      </w:r>
      <w:r w:rsidRPr="00320A86">
        <w:t xml:space="preserve">tout face à leur plus mortel ennemi : le libéralisme </w:t>
      </w:r>
      <w:r w:rsidRPr="00F477AD">
        <w:rPr>
          <w:i/>
        </w:rPr>
        <w:t>politique</w:t>
      </w:r>
      <w:r w:rsidRPr="00320A86">
        <w:t>, d’essence relativiste, code par nature corrupteur du « manichéisme inégalitaire ». Les Droits de l’homme, tels qu’à l’œuvre et dénoncés par Chantal Delsol, ne seraient qu’une forme de réactualis</w:t>
      </w:r>
      <w:r w:rsidRPr="00320A86">
        <w:t>a</w:t>
      </w:r>
      <w:r w:rsidRPr="00320A86">
        <w:t>tion du contenu du code du Bien et du Mal. C’est d’ailleurs ce qu’elle pre</w:t>
      </w:r>
      <w:r w:rsidRPr="00320A86">
        <w:t>s</w:t>
      </w:r>
      <w:r w:rsidRPr="00320A86">
        <w:t>sent</w:t>
      </w:r>
      <w:r>
        <w:t> </w:t>
      </w:r>
      <w:r>
        <w:rPr>
          <w:rStyle w:val="Appelnotedebasdep"/>
        </w:rPr>
        <w:footnoteReference w:id="1302"/>
      </w:r>
      <w:r w:rsidRPr="00320A86">
        <w:t>. Le fait d’admettre que l’auteur aurait entendu par acteur sing</w:t>
      </w:r>
      <w:r w:rsidRPr="00320A86">
        <w:t>u</w:t>
      </w:r>
      <w:r w:rsidRPr="00320A86">
        <w:t xml:space="preserve">lier réellement l’individu – détenteur ultime </w:t>
      </w:r>
      <w:r w:rsidRPr="00F477AD">
        <w:rPr>
          <w:i/>
        </w:rPr>
        <w:t>in concreto</w:t>
      </w:r>
      <w:r w:rsidRPr="00320A86">
        <w:t xml:space="preserve"> du pouvoir –, d’une part ne peut pro</w:t>
      </w:r>
      <w:r w:rsidRPr="00320A86">
        <w:t>s</w:t>
      </w:r>
      <w:r w:rsidRPr="00320A86">
        <w:t>pérer tel quel au regard de la théorie et de la sociologie des relations internati</w:t>
      </w:r>
      <w:r w:rsidRPr="00320A86">
        <w:t>o</w:t>
      </w:r>
      <w:r w:rsidRPr="00320A86">
        <w:t>nales ; d’autre part il ne modifierait pas notre analyse. Soit « le décideur polit</w:t>
      </w:r>
      <w:r w:rsidRPr="00320A86">
        <w:t>i</w:t>
      </w:r>
      <w:r w:rsidRPr="00320A86">
        <w:t>que » agit en fonction des principes westphaliens et il affiche ceux-ci. Soit il agit selon la morale parce qu’il en est pénétré, et alors nous entrons dans le cadre de la l</w:t>
      </w:r>
      <w:r w:rsidRPr="00320A86">
        <w:t>o</w:t>
      </w:r>
      <w:r w:rsidRPr="00320A86">
        <w:t>gique que nous venons de décrire.</w:t>
      </w:r>
    </w:p>
    <w:p w14:paraId="12CEF84E" w14:textId="77777777" w:rsidR="00B01930" w:rsidRPr="00320A86" w:rsidRDefault="00B01930" w:rsidP="00B01930">
      <w:pPr>
        <w:spacing w:before="120" w:after="120"/>
        <w:jc w:val="both"/>
      </w:pPr>
      <w:r w:rsidRPr="00320A86">
        <w:t>Pour ce qui est de la première hypothèse, celle-ci n’est plus vra</w:t>
      </w:r>
      <w:r w:rsidRPr="00320A86">
        <w:t>i</w:t>
      </w:r>
      <w:r w:rsidRPr="00320A86">
        <w:t>ment poss</w:t>
      </w:r>
      <w:r w:rsidRPr="00320A86">
        <w:t>i</w:t>
      </w:r>
      <w:r w:rsidRPr="00320A86">
        <w:t>ble. En effet la conjonction de la « pensée manichéenne inégalitaire » – qui domine l’Occident depuis la révolution chrétie</w:t>
      </w:r>
      <w:r w:rsidRPr="00320A86">
        <w:t>n</w:t>
      </w:r>
      <w:r w:rsidRPr="00320A86">
        <w:t>ne</w:t>
      </w:r>
      <w:r>
        <w:t> </w:t>
      </w:r>
      <w:r>
        <w:rPr>
          <w:rStyle w:val="Appelnotedebasdep"/>
        </w:rPr>
        <w:footnoteReference w:id="1303"/>
      </w:r>
      <w:r w:rsidRPr="00320A86">
        <w:t> – et de la mobilisation des masses, l’émergence du nation</w:t>
      </w:r>
      <w:r w:rsidRPr="00320A86">
        <w:t>a</w:t>
      </w:r>
      <w:r w:rsidRPr="00320A86">
        <w:t>lisme et les guerres du XX</w:t>
      </w:r>
      <w:r w:rsidRPr="00320A86">
        <w:rPr>
          <w:vertAlign w:val="superscript"/>
        </w:rPr>
        <w:t>e</w:t>
      </w:r>
      <w:r w:rsidRPr="00320A86">
        <w:t xml:space="preserve"> siècle, fait qu’aucun décideur ne peut agir sans recourir à la morale. </w:t>
      </w:r>
      <w:r w:rsidRPr="00F477AD">
        <w:rPr>
          <w:i/>
        </w:rPr>
        <w:t>A fortiori</w:t>
      </w:r>
      <w:r w:rsidRPr="00320A86">
        <w:t xml:space="preserve"> lorsque la nation est pétrie de sa « destinée manifeste »</w:t>
      </w:r>
      <w:r>
        <w:t> </w:t>
      </w:r>
      <w:r>
        <w:rPr>
          <w:rStyle w:val="Appelnotedebasdep"/>
        </w:rPr>
        <w:footnoteReference w:id="1304"/>
      </w:r>
      <w:r w:rsidRPr="00320A86">
        <w:t>.</w:t>
      </w:r>
    </w:p>
    <w:p w14:paraId="29187FDC" w14:textId="77777777" w:rsidR="00B01930" w:rsidRPr="00320A86" w:rsidRDefault="00B01930" w:rsidP="00B01930">
      <w:pPr>
        <w:spacing w:before="120" w:after="120"/>
        <w:jc w:val="both"/>
      </w:pPr>
      <w:r w:rsidRPr="00320A86">
        <w:t>La nature même du code fait qu’il n’y a pas de différence de fond entre d</w:t>
      </w:r>
      <w:r w:rsidRPr="00320A86">
        <w:t>é</w:t>
      </w:r>
      <w:r w:rsidRPr="00320A86">
        <w:t>tention du Bien et du Mal par un acteur politique singulier (quelle que soit l’acception du terme) ou par un acteur supranational. La logique « structurale » se déploiera avec les mêmes conséquences : au mieux le nivellement des Polis par l’hégémonie sous toutes ses formes, dont le recours à la force (libérer les peuples – </w:t>
      </w:r>
      <w:r w:rsidRPr="00F477AD">
        <w:rPr>
          <w:i/>
        </w:rPr>
        <w:t>nation building</w:t>
      </w:r>
      <w:r w:rsidRPr="00320A86">
        <w:t xml:space="preserve"> en Irak), au pire à la tyrannie avec pour horizon le t</w:t>
      </w:r>
      <w:r w:rsidRPr="00320A86">
        <w:t>o</w:t>
      </w:r>
      <w:r w:rsidRPr="00320A86">
        <w:t>talitarisme.</w:t>
      </w:r>
    </w:p>
    <w:p w14:paraId="2BEDE541" w14:textId="77777777" w:rsidR="00B01930" w:rsidRPr="00320A86" w:rsidRDefault="00B01930" w:rsidP="00B01930">
      <w:pPr>
        <w:spacing w:before="120" w:after="120"/>
        <w:jc w:val="both"/>
      </w:pPr>
      <w:r w:rsidRPr="00320A86">
        <w:t>Croyant sortir du cercle de Bien et du Mal qui ne tient que par la contrainte des « corps et [des] consciences »</w:t>
      </w:r>
      <w:r>
        <w:t> </w:t>
      </w:r>
      <w:r>
        <w:rPr>
          <w:rStyle w:val="Appelnotedebasdep"/>
        </w:rPr>
        <w:footnoteReference w:id="1305"/>
      </w:r>
      <w:r w:rsidRPr="00320A86">
        <w:t>, Chantal Delsol y est restée, comme l’écureuil dans sa roue.</w:t>
      </w:r>
    </w:p>
    <w:p w14:paraId="6080A948" w14:textId="77777777" w:rsidR="00B01930" w:rsidRPr="00320A86" w:rsidRDefault="00B01930" w:rsidP="00B01930">
      <w:pPr>
        <w:spacing w:before="120" w:after="120"/>
        <w:jc w:val="both"/>
      </w:pPr>
      <w:r w:rsidRPr="00320A86">
        <w:t>Elle s’est appuyée, à juste titre, sur la « pensée relativiste » pour montrer le potentiel funeste dont peut être porteuse l’idéologie des Droits de l’homme. Mais en restant dans le cadre de la morale elle se retrouve prise, à son tour, dans les rets de la « pensée manichéenne inégalitaire ». Au point, qu’</w:t>
      </w:r>
      <w:r w:rsidRPr="00F477AD">
        <w:rPr>
          <w:i/>
        </w:rPr>
        <w:t xml:space="preserve">in fine </w:t>
      </w:r>
      <w:r w:rsidRPr="00320A86">
        <w:t>elle appelle de ses vœux le cha</w:t>
      </w:r>
      <w:r w:rsidRPr="00320A86">
        <w:t>n</w:t>
      </w:r>
      <w:r w:rsidRPr="00320A86">
        <w:t>gement par… évangélisation, dont on peut dire que c’est l’expression même – l’avers – du code « manichéen inégalitaire » ; son e</w:t>
      </w:r>
      <w:r w:rsidRPr="00320A86">
        <w:t>n</w:t>
      </w:r>
      <w:r w:rsidRPr="00320A86">
        <w:t>vers étant la conquête (c.-à-d. la guerre juste, la guerre d’ingérence…).</w:t>
      </w:r>
    </w:p>
    <w:p w14:paraId="42EB119D" w14:textId="77777777" w:rsidR="00B01930" w:rsidRPr="00320A86" w:rsidRDefault="00B01930" w:rsidP="00B01930">
      <w:pPr>
        <w:spacing w:before="120" w:after="120"/>
        <w:jc w:val="both"/>
      </w:pPr>
      <w:r w:rsidRPr="00320A86">
        <w:t xml:space="preserve">Reste qu’on ne peut que lui donner raison en ce qui concerne la nécessité de </w:t>
      </w:r>
      <w:r w:rsidRPr="00F477AD">
        <w:rPr>
          <w:i/>
        </w:rPr>
        <w:t>Polis</w:t>
      </w:r>
      <w:r w:rsidRPr="00320A86">
        <w:t xml:space="preserve"> diverses, même sous forme d’Empires (au pluriel), seul rempart contre la démesure de la morale associée au Politique, a fortiori lorsqu’elle vise au go</w:t>
      </w:r>
      <w:r w:rsidRPr="00320A86">
        <w:t>u</w:t>
      </w:r>
      <w:r w:rsidRPr="00320A86">
        <w:t>vernement mondial, ou que le Politique s’appuie sur la morale dans le même but.</w:t>
      </w:r>
    </w:p>
    <w:p w14:paraId="4F0F816F" w14:textId="77777777" w:rsidR="00B01930" w:rsidRPr="00320A86" w:rsidRDefault="00B01930" w:rsidP="00B01930">
      <w:pPr>
        <w:spacing w:before="120" w:after="120"/>
        <w:jc w:val="both"/>
        <w:rPr>
          <w:b/>
        </w:rPr>
      </w:pPr>
    </w:p>
    <w:p w14:paraId="20E57184" w14:textId="77777777" w:rsidR="00B01930" w:rsidRPr="00320A86" w:rsidRDefault="00B01930" w:rsidP="00B01930">
      <w:pPr>
        <w:pStyle w:val="planche"/>
      </w:pPr>
      <w:bookmarkStart w:id="230" w:name="Analyser_idees_pol_pt_4_texte_13_III"/>
      <w:r w:rsidRPr="00320A86">
        <w:t>III. Les mondes d’Hubert Védrine,</w:t>
      </w:r>
      <w:r>
        <w:br/>
      </w:r>
      <w:r w:rsidRPr="00320A86">
        <w:t>ou de la « realpolitik » en tro</w:t>
      </w:r>
      <w:r w:rsidRPr="00320A86">
        <w:t>m</w:t>
      </w:r>
      <w:r w:rsidRPr="00320A86">
        <w:t>pe-l’œil</w:t>
      </w:r>
      <w:r>
        <w:br/>
      </w:r>
      <w:r w:rsidRPr="00320A86">
        <w:t xml:space="preserve">(à propos de </w:t>
      </w:r>
      <w:r w:rsidRPr="00C51BF3">
        <w:rPr>
          <w:i/>
        </w:rPr>
        <w:t>Continuer l’Histoire</w:t>
      </w:r>
      <w:r>
        <w:t> </w:t>
      </w:r>
      <w:r>
        <w:rPr>
          <w:rStyle w:val="Appelnotedebasdep"/>
        </w:rPr>
        <w:footnoteReference w:id="1306"/>
      </w:r>
      <w:r w:rsidRPr="00320A86">
        <w:t>)</w:t>
      </w:r>
    </w:p>
    <w:bookmarkEnd w:id="230"/>
    <w:p w14:paraId="1D40A7E7" w14:textId="77777777" w:rsidR="00B01930" w:rsidRDefault="00B01930" w:rsidP="00B01930">
      <w:pPr>
        <w:spacing w:before="120" w:after="120"/>
        <w:jc w:val="both"/>
      </w:pPr>
    </w:p>
    <w:p w14:paraId="5475FF51"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4DD09B52" w14:textId="77777777" w:rsidR="00B01930" w:rsidRPr="00320A86" w:rsidRDefault="00B01930" w:rsidP="00B01930">
      <w:pPr>
        <w:spacing w:before="120" w:after="120"/>
        <w:jc w:val="both"/>
      </w:pPr>
      <w:r w:rsidRPr="00320A86">
        <w:t>En son temps d’aucuns avaient souligné que dans son ouvrage « Les Mondes de François Mitterrand : à l’Élysée (1981-1995) » on pouvait qualifier, à l’aune des faits et des sources disponibles, ces mondes d’imaginaires. Il est intéressant de relever qu’Hubert Védrine écrit, à propos d’un autre ouvrage : « François Mitterrand, le dessein et le destin », qu’il a adopté un ton « historique » [c’est lui qui met les guillemets], mais que « naturellement je donne de François Mitte</w:t>
      </w:r>
      <w:r w:rsidRPr="00320A86">
        <w:t>r</w:t>
      </w:r>
      <w:r w:rsidRPr="00320A86">
        <w:t xml:space="preserve">rand une </w:t>
      </w:r>
      <w:r w:rsidRPr="00F477AD">
        <w:rPr>
          <w:i/>
        </w:rPr>
        <w:t>vision positive </w:t>
      </w:r>
      <w:r w:rsidRPr="00320A86">
        <w:t>»</w:t>
      </w:r>
      <w:r>
        <w:t> </w:t>
      </w:r>
      <w:r>
        <w:rPr>
          <w:rStyle w:val="Appelnotedebasdep"/>
        </w:rPr>
        <w:footnoteReference w:id="1307"/>
      </w:r>
      <w:r w:rsidRPr="00320A86">
        <w:t>. Le « naturellement » exprime la filiation idéolog</w:t>
      </w:r>
      <w:r w:rsidRPr="00320A86">
        <w:t>i</w:t>
      </w:r>
      <w:r w:rsidRPr="00320A86">
        <w:t>que</w:t>
      </w:r>
      <w:r>
        <w:t> </w:t>
      </w:r>
      <w:r>
        <w:rPr>
          <w:rStyle w:val="Appelnotedebasdep"/>
        </w:rPr>
        <w:footnoteReference w:id="1308"/>
      </w:r>
      <w:r w:rsidRPr="00320A86">
        <w:t xml:space="preserve"> de l’auteur et explicite les guillemets à « historique » et, par là même, relativise fortement la connotation scientifique qui est ass</w:t>
      </w:r>
      <w:r w:rsidRPr="00320A86">
        <w:t>o</w:t>
      </w:r>
      <w:r w:rsidRPr="00320A86">
        <w:t>ciée au terme dans l’esprit du public.</w:t>
      </w:r>
    </w:p>
    <w:p w14:paraId="56E36AE9" w14:textId="77777777" w:rsidR="00B01930" w:rsidRPr="00320A86" w:rsidRDefault="00B01930" w:rsidP="00B01930">
      <w:pPr>
        <w:spacing w:before="120" w:after="120"/>
        <w:jc w:val="both"/>
      </w:pPr>
      <w:r w:rsidRPr="00320A86">
        <w:t>C’est, à notre sens, le même esprit qui anime « continuer l’Histoire »</w:t>
      </w:r>
      <w:r>
        <w:t> </w:t>
      </w:r>
      <w:r>
        <w:rPr>
          <w:rStyle w:val="Appelnotedebasdep"/>
        </w:rPr>
        <w:footnoteReference w:id="1309"/>
      </w:r>
      <w:r w:rsidRPr="00320A86">
        <w:t>. Dans ce nouvel opus, l’auteur s’approprie l’appellation d’une école de pensée en théorie des relations internati</w:t>
      </w:r>
      <w:r w:rsidRPr="00320A86">
        <w:t>o</w:t>
      </w:r>
      <w:r w:rsidRPr="00320A86">
        <w:t>nales pour en donner une signification autre. Le public non averti ne peut faire le départage entre, le sens originaire et consacré ainsi que les cons</w:t>
      </w:r>
      <w:r w:rsidRPr="00320A86">
        <w:t>é</w:t>
      </w:r>
      <w:r w:rsidRPr="00320A86">
        <w:t>quences qui s’en évincent en termes de conception de la nature h</w:t>
      </w:r>
      <w:r w:rsidRPr="00320A86">
        <w:t>u</w:t>
      </w:r>
      <w:r w:rsidRPr="00320A86">
        <w:t>maine et d’action (honnies par la gauche et refusées par la dro</w:t>
      </w:r>
      <w:r w:rsidRPr="00320A86">
        <w:t>i</w:t>
      </w:r>
      <w:r w:rsidRPr="00320A86">
        <w:t>te</w:t>
      </w:r>
      <w:r>
        <w:t> </w:t>
      </w:r>
      <w:r>
        <w:rPr>
          <w:rStyle w:val="Appelnotedebasdep"/>
        </w:rPr>
        <w:footnoteReference w:id="1310"/>
      </w:r>
      <w:r w:rsidRPr="00320A86">
        <w:t>) et le sens donné par l’auteur. Il tend à donner au terme « </w:t>
      </w:r>
      <w:r w:rsidRPr="00F477AD">
        <w:rPr>
          <w:i/>
        </w:rPr>
        <w:t>realpolitik </w:t>
      </w:r>
      <w:r w:rsidRPr="00320A86">
        <w:t>» un sens acceptable pour l’idéologie d’appartenance. Mais la démarche doit aussi se décoder à un autre niveau, plus lié au contexte politique immédiat, comme un message e</w:t>
      </w:r>
      <w:r w:rsidRPr="00320A86">
        <w:t>n</w:t>
      </w:r>
      <w:r w:rsidRPr="00320A86">
        <w:t>voyé en direction de dirigeants de l’autre famille politique –  fortement favori pour la magistrature s</w:t>
      </w:r>
      <w:r w:rsidRPr="00320A86">
        <w:t>u</w:t>
      </w:r>
      <w:r w:rsidRPr="00320A86">
        <w:t>prême et de montrer qu’il pouvait y avoir convergence.</w:t>
      </w:r>
    </w:p>
    <w:p w14:paraId="6D89497A" w14:textId="77777777" w:rsidR="00B01930" w:rsidRPr="00320A86" w:rsidRDefault="00B01930" w:rsidP="00B01930">
      <w:pPr>
        <w:spacing w:before="120" w:after="120"/>
        <w:jc w:val="both"/>
      </w:pPr>
      <w:r w:rsidRPr="00320A86">
        <w:t>La séduction opère d’autant mieux qu’Hubert Védrine n’a pas la déplaisante suffisance de Claude Cheysson, ni le brillant, quoiqu’un peu sulfureux, entr</w:t>
      </w:r>
      <w:r w:rsidRPr="00320A86">
        <w:t>e</w:t>
      </w:r>
      <w:r w:rsidRPr="00320A86">
        <w:t>gent de Roland Dumas. À cent lieues de l’évanescent Philippe Douste-Blazy</w:t>
      </w:r>
      <w:r>
        <w:t> </w:t>
      </w:r>
      <w:r>
        <w:rPr>
          <w:rStyle w:val="Appelnotedebasdep"/>
        </w:rPr>
        <w:footnoteReference w:id="1311"/>
      </w:r>
      <w:r w:rsidRPr="00320A86">
        <w:t>, il apparaît – tant dans l’exercice de ses hautes fonctions diplomatiques passées que dans ses prestations médiatiques – comme praticien-penseur pondéré, s</w:t>
      </w:r>
      <w:r w:rsidRPr="00320A86">
        <w:t>é</w:t>
      </w:r>
      <w:r w:rsidRPr="00320A86">
        <w:t>rieux, nourri par l’expérience du pouvoir.</w:t>
      </w:r>
    </w:p>
    <w:p w14:paraId="46D4CF8C" w14:textId="77777777" w:rsidR="00B01930" w:rsidRPr="00320A86" w:rsidRDefault="00B01930" w:rsidP="00B01930">
      <w:pPr>
        <w:spacing w:before="120" w:after="120"/>
        <w:jc w:val="both"/>
      </w:pPr>
      <w:r w:rsidRPr="00320A86">
        <w:t>En dénonçant, sans recourir à la polémique, ce qu’il qualifie « </w:t>
      </w:r>
      <w:r w:rsidRPr="00F477AD">
        <w:rPr>
          <w:i/>
        </w:rPr>
        <w:t>l’irrealpolitik </w:t>
      </w:r>
      <w:r w:rsidRPr="00320A86">
        <w:t>» de la politique étrangère de l’Occident, on imagine que l’auteur va donner une leçon des principes</w:t>
      </w:r>
      <w:r>
        <w:t> </w:t>
      </w:r>
      <w:r>
        <w:rPr>
          <w:rStyle w:val="Appelnotedebasdep"/>
        </w:rPr>
        <w:footnoteReference w:id="1312"/>
      </w:r>
      <w:r w:rsidRPr="00320A86">
        <w:t xml:space="preserve"> de la « </w:t>
      </w:r>
      <w:r w:rsidRPr="00F477AD">
        <w:rPr>
          <w:i/>
        </w:rPr>
        <w:t>realpolitik </w:t>
      </w:r>
      <w:r w:rsidRPr="00320A86">
        <w:t>» à la manière de « dear » Henry Kissinger (archétype moderne de cette école de pensée). Mais, à la lecture, on s’aperçoit que la « </w:t>
      </w:r>
      <w:r w:rsidRPr="00F477AD">
        <w:rPr>
          <w:i/>
        </w:rPr>
        <w:t>realpolitik </w:t>
      </w:r>
      <w:r w:rsidRPr="00320A86">
        <w:t>» d’Hubert Védrine n’est pas, tout à fait, celle enseignée par les spéci</w:t>
      </w:r>
      <w:r w:rsidRPr="00320A86">
        <w:t>a</w:t>
      </w:r>
      <w:r w:rsidRPr="00320A86">
        <w:t>listes des relations internationales.</w:t>
      </w:r>
    </w:p>
    <w:p w14:paraId="6D2AFC02" w14:textId="77777777" w:rsidR="00B01930" w:rsidRPr="00320A86" w:rsidRDefault="00B01930" w:rsidP="00B01930">
      <w:pPr>
        <w:spacing w:before="120" w:after="120"/>
        <w:jc w:val="both"/>
      </w:pPr>
      <w:r w:rsidRPr="00320A86">
        <w:t>La « </w:t>
      </w:r>
      <w:r w:rsidRPr="00F477AD">
        <w:rPr>
          <w:i/>
        </w:rPr>
        <w:t>realpolitik </w:t>
      </w:r>
      <w:r w:rsidRPr="00320A86">
        <w:t>» raisonne en termes de maximisation de la Pui</w:t>
      </w:r>
      <w:r w:rsidRPr="00320A86">
        <w:t>s</w:t>
      </w:r>
      <w:r w:rsidRPr="00320A86">
        <w:t>sance, de « </w:t>
      </w:r>
      <w:r w:rsidRPr="00F477AD">
        <w:rPr>
          <w:i/>
        </w:rPr>
        <w:t>balance of power </w:t>
      </w:r>
      <w:r w:rsidRPr="00320A86">
        <w:t>», de sécurité nationale et de recours à la force pour défendre celle-ci et assurer la survie de la « </w:t>
      </w:r>
      <w:r w:rsidRPr="00F477AD">
        <w:rPr>
          <w:i/>
        </w:rPr>
        <w:t>Polis </w:t>
      </w:r>
      <w:r w:rsidRPr="00320A86">
        <w:t>» dans un monde irréductiblement hobbesien. Hubert Védrine fait bien co</w:t>
      </w:r>
      <w:r w:rsidRPr="00320A86">
        <w:t>m</w:t>
      </w:r>
      <w:r w:rsidRPr="00320A86">
        <w:t>prendre que le moralisme, par son utopi</w:t>
      </w:r>
      <w:r w:rsidRPr="00320A86">
        <w:t>s</w:t>
      </w:r>
      <w:r w:rsidRPr="00320A86">
        <w:t>me, paralyse l’action ou la dévoie en croisade.</w:t>
      </w:r>
    </w:p>
    <w:p w14:paraId="2512C3E0" w14:textId="77777777" w:rsidR="00B01930" w:rsidRPr="00320A86" w:rsidRDefault="00B01930" w:rsidP="00B01930">
      <w:pPr>
        <w:spacing w:before="120" w:after="120"/>
        <w:jc w:val="both"/>
      </w:pPr>
      <w:r w:rsidRPr="00320A86">
        <w:t>En revanche, que ce soit dans les constats sur le monde actuel ou dans les propositions pour le monde futur, on note qu’au fil de l’exposé l’auteur projette, peu ou prou, l’idéalisme de sa famille pol</w:t>
      </w:r>
      <w:r w:rsidRPr="00320A86">
        <w:t>i</w:t>
      </w:r>
      <w:r w:rsidRPr="00320A86">
        <w:t>tique à laquelle il est resté – durant les mois précédant le 6 mai 2007 – partie prenante (soutien à Ségolène Royal)</w:t>
      </w:r>
      <w:r>
        <w:t> </w:t>
      </w:r>
      <w:r>
        <w:rPr>
          <w:rStyle w:val="Appelnotedebasdep"/>
        </w:rPr>
        <w:footnoteReference w:id="1313"/>
      </w:r>
      <w:r w:rsidRPr="00320A86">
        <w:t>. Il n’y a pas eu d’</w:t>
      </w:r>
      <w:r w:rsidRPr="00F477AD">
        <w:rPr>
          <w:i/>
        </w:rPr>
        <w:t>aggiornamento</w:t>
      </w:r>
      <w:r w:rsidRPr="00320A86">
        <w:t xml:space="preserve"> réel de sa part. On est dans l’appropriation d’une notion qui définit une école de pensée de politique étrangère (appelée « réaliste ») par une école (qualifiée « d’idéaliste » par opposition à la première) pour tenter de réactualiser et rendre crédible les invariants français : d’abord, et surtout, restreindre (défier ?) « l’hyperPuissance » (c.-à-d. les États-Unis)</w:t>
      </w:r>
      <w:r>
        <w:t> </w:t>
      </w:r>
      <w:r>
        <w:rPr>
          <w:rStyle w:val="Appelnotedebasdep"/>
        </w:rPr>
        <w:footnoteReference w:id="1314"/>
      </w:r>
      <w:r w:rsidRPr="00320A86">
        <w:t>, pe</w:t>
      </w:r>
      <w:r w:rsidRPr="00320A86">
        <w:t>r</w:t>
      </w:r>
      <w:r w:rsidRPr="00320A86">
        <w:t>pétuer l’image de la France en tant que grande Puissance, légitimer les politiques africa</w:t>
      </w:r>
      <w:r w:rsidRPr="00320A86">
        <w:t>i</w:t>
      </w:r>
      <w:r w:rsidRPr="00320A86">
        <w:t>nes (d’hier et d’aujourd’hui), ainsi que « le rêve oriental ». Là se de</w:t>
      </w:r>
      <w:r w:rsidRPr="00320A86">
        <w:t>s</w:t>
      </w:r>
      <w:r w:rsidRPr="00320A86">
        <w:t>sine le tableau des mondes d’Hubert Védrine qui se voudrait de l’école réaliste, mais dont les couleurs resteraient celles de l’école o</w:t>
      </w:r>
      <w:r w:rsidRPr="00320A86">
        <w:t>p</w:t>
      </w:r>
      <w:r w:rsidRPr="00320A86">
        <w:t>posée. Il faut une lecture attentive pour s’apercevoir, pour reprendre une phrase de Pavan K. Varma</w:t>
      </w:r>
      <w:r>
        <w:t> </w:t>
      </w:r>
      <w:r>
        <w:rPr>
          <w:rStyle w:val="Appelnotedebasdep"/>
        </w:rPr>
        <w:footnoteReference w:id="1315"/>
      </w:r>
      <w:r w:rsidRPr="00320A86">
        <w:t>, qu’il y a un « écart entre la brod</w:t>
      </w:r>
      <w:r w:rsidRPr="00320A86">
        <w:t>e</w:t>
      </w:r>
      <w:r w:rsidRPr="00320A86">
        <w:t>rie et le tissu ».</w:t>
      </w:r>
    </w:p>
    <w:p w14:paraId="5BF1389F" w14:textId="77777777" w:rsidR="00B01930" w:rsidRPr="00320A86" w:rsidRDefault="00B01930" w:rsidP="00B01930">
      <w:pPr>
        <w:spacing w:before="120" w:after="120"/>
        <w:jc w:val="both"/>
      </w:pPr>
      <w:r w:rsidRPr="00320A86">
        <w:t>Le monde actuel vu par Hubert Védrine ne laisse pas d’étonner. Il loue le président Clinton pour « </w:t>
      </w:r>
      <w:r w:rsidRPr="00F477AD">
        <w:rPr>
          <w:i/>
        </w:rPr>
        <w:t>sa perception exceptionnelle des r</w:t>
      </w:r>
      <w:r w:rsidRPr="00F477AD">
        <w:rPr>
          <w:i/>
        </w:rPr>
        <w:t>é</w:t>
      </w:r>
      <w:r w:rsidRPr="00F477AD">
        <w:rPr>
          <w:i/>
        </w:rPr>
        <w:t>alités politiques e</w:t>
      </w:r>
      <w:r w:rsidRPr="00F477AD">
        <w:rPr>
          <w:i/>
        </w:rPr>
        <w:t>x</w:t>
      </w:r>
      <w:r w:rsidRPr="00F477AD">
        <w:rPr>
          <w:i/>
        </w:rPr>
        <w:t>térieures </w:t>
      </w:r>
      <w:r w:rsidRPr="00320A86">
        <w:t>», ajoutant qu’il « </w:t>
      </w:r>
      <w:r w:rsidRPr="00F477AD">
        <w:rPr>
          <w:i/>
        </w:rPr>
        <w:t>bridait une volonté d’hégémonie qui montait des profondeurs de l’opinion américaine </w:t>
      </w:r>
      <w:r w:rsidRPr="00320A86">
        <w:t>». Or Bill Clinton a subordonné sa polit</w:t>
      </w:r>
      <w:r w:rsidRPr="00320A86">
        <w:t>i</w:t>
      </w:r>
      <w:r w:rsidRPr="00320A86">
        <w:t>que extérieure au strict intérêt politique personnel intérieur, comme le montre Charles-Philippe D</w:t>
      </w:r>
      <w:r w:rsidRPr="00320A86">
        <w:t>a</w:t>
      </w:r>
      <w:r w:rsidRPr="00320A86">
        <w:t>vid dans sa « </w:t>
      </w:r>
      <w:r w:rsidRPr="00F477AD">
        <w:rPr>
          <w:i/>
        </w:rPr>
        <w:t>somme </w:t>
      </w:r>
      <w:r w:rsidRPr="00320A86">
        <w:t>»</w:t>
      </w:r>
      <w:r>
        <w:t> </w:t>
      </w:r>
      <w:r>
        <w:rPr>
          <w:rStyle w:val="Appelnotedebasdep"/>
        </w:rPr>
        <w:footnoteReference w:id="1316"/>
      </w:r>
      <w:r w:rsidRPr="00320A86">
        <w:t>.</w:t>
      </w:r>
    </w:p>
    <w:p w14:paraId="50161A35" w14:textId="77777777" w:rsidR="00B01930" w:rsidRPr="00320A86" w:rsidRDefault="00B01930" w:rsidP="00B01930">
      <w:pPr>
        <w:spacing w:before="120" w:after="120"/>
        <w:jc w:val="both"/>
      </w:pPr>
      <w:r w:rsidRPr="00320A86">
        <w:t>Pour ce qui est de la source de la volonté d’hégémonie, on ne peut que rapp</w:t>
      </w:r>
      <w:r w:rsidRPr="00320A86">
        <w:t>e</w:t>
      </w:r>
      <w:r w:rsidRPr="00320A86">
        <w:t>ler que l’Américain moyen est certes patriote, voire chauvin, mais de là à affi</w:t>
      </w:r>
      <w:r w:rsidRPr="00320A86">
        <w:t>r</w:t>
      </w:r>
      <w:r w:rsidRPr="00320A86">
        <w:t>mer que l’opinion avait une volonté hégémonique, c’est considérer qu’un vocable a une réalité tangible : l’opinion, l</w:t>
      </w:r>
      <w:r w:rsidRPr="00320A86">
        <w:t>a</w:t>
      </w:r>
      <w:r w:rsidRPr="00320A86">
        <w:t>quelle est assimilée à une personne, ce qui – à tout le moins – est très discutable. En revanche il y avait une offensive des « </w:t>
      </w:r>
      <w:r w:rsidRPr="00F477AD">
        <w:rPr>
          <w:i/>
        </w:rPr>
        <w:t>think tanks </w:t>
      </w:r>
      <w:r w:rsidRPr="00320A86">
        <w:t>» – en majorité très conservatrices –</w:t>
      </w:r>
      <w:r>
        <w:t> </w:t>
      </w:r>
      <w:r w:rsidRPr="00320A86">
        <w:t>qui arrivait à son ap</w:t>
      </w:r>
      <w:r w:rsidRPr="00320A86">
        <w:t>o</w:t>
      </w:r>
      <w:r w:rsidRPr="00320A86">
        <w:t>gée après des décennies de lente reconquête. Mais il ne faut pas confondre ce mo</w:t>
      </w:r>
      <w:r w:rsidRPr="00320A86">
        <w:t>u</w:t>
      </w:r>
      <w:r w:rsidRPr="00320A86">
        <w:t>vement, qui relève bien de la volonté, et l’opinion elle-même.</w:t>
      </w:r>
    </w:p>
    <w:p w14:paraId="7AF8330D" w14:textId="77777777" w:rsidR="00B01930" w:rsidRPr="00320A86" w:rsidRDefault="00B01930" w:rsidP="00B01930">
      <w:pPr>
        <w:spacing w:before="120" w:after="120"/>
        <w:jc w:val="both"/>
      </w:pPr>
      <w:r w:rsidRPr="00320A86">
        <w:t>L’auteur réitère ce point de vue lorsqu’il estime que la victoire des républ</w:t>
      </w:r>
      <w:r w:rsidRPr="00320A86">
        <w:t>i</w:t>
      </w:r>
      <w:r w:rsidRPr="00320A86">
        <w:t>cains en 1994 a montré l’évolution des tréfonds de l’Amérique : « méfiance e</w:t>
      </w:r>
      <w:r w:rsidRPr="00320A86">
        <w:t>n</w:t>
      </w:r>
      <w:r w:rsidRPr="00320A86">
        <w:t>vers toute dilution de la souveraineté […] croyance dans le règlement militaire des conflits ». Depuis toujours les masses américaines sont plutôt isolationni</w:t>
      </w:r>
      <w:r w:rsidRPr="00320A86">
        <w:t>s</w:t>
      </w:r>
      <w:r w:rsidRPr="00320A86">
        <w:t>tes, et ne s’intéressent guère à la politique étrangère, on ne peut dire qu’il y a eu une évol</w:t>
      </w:r>
      <w:r w:rsidRPr="00320A86">
        <w:t>u</w:t>
      </w:r>
      <w:r w:rsidRPr="00320A86">
        <w:t>tion cette année-là. Il a fallu le 11 septembre 2001 pour qu’elles pe</w:t>
      </w:r>
      <w:r w:rsidRPr="00320A86">
        <w:t>r</w:t>
      </w:r>
      <w:r w:rsidRPr="00320A86">
        <w:t>çoivent les menaces et les dangers et acceptent de leurs dirigeants le « prix à payer » pour leur sécurité, comme cela s’était produit en d’autres temps</w:t>
      </w:r>
      <w:r>
        <w:t> </w:t>
      </w:r>
      <w:r>
        <w:rPr>
          <w:rStyle w:val="Appelnotedebasdep"/>
        </w:rPr>
        <w:footnoteReference w:id="1317"/>
      </w:r>
      <w:r w:rsidRPr="00320A86">
        <w:t>.</w:t>
      </w:r>
    </w:p>
    <w:p w14:paraId="1ECB64B9" w14:textId="77777777" w:rsidR="00B01930" w:rsidRPr="00320A86" w:rsidRDefault="00B01930" w:rsidP="00B01930">
      <w:pPr>
        <w:spacing w:before="120" w:after="120"/>
        <w:jc w:val="both"/>
      </w:pPr>
      <w:r w:rsidRPr="00320A86">
        <w:t>Mais ce sont les « </w:t>
      </w:r>
      <w:r w:rsidRPr="00F477AD">
        <w:rPr>
          <w:i/>
        </w:rPr>
        <w:t>think tanks </w:t>
      </w:r>
      <w:r w:rsidRPr="00320A86">
        <w:t>» qui ont modifié la vision des élites et leur ont ouvert des perspectives nouvelles d’actions sur le monde et sur l’opinion. Écrire que G. Bush Jr. « </w:t>
      </w:r>
      <w:r w:rsidRPr="00F477AD">
        <w:rPr>
          <w:i/>
        </w:rPr>
        <w:t>entre à La Maison Blanche avec des conceptions de politique internationale qui laissaient les E</w:t>
      </w:r>
      <w:r w:rsidRPr="00F477AD">
        <w:rPr>
          <w:i/>
        </w:rPr>
        <w:t>u</w:t>
      </w:r>
      <w:r w:rsidRPr="00F477AD">
        <w:rPr>
          <w:i/>
        </w:rPr>
        <w:t>ropéens aussi stupéfiés qu’effrayés </w:t>
      </w:r>
      <w:r w:rsidRPr="00320A86">
        <w:t>» c’est quelque peu refaire l’histoire. Tous les analystes s’accordent pour dire qu’il n’avait auc</w:t>
      </w:r>
      <w:r w:rsidRPr="00320A86">
        <w:t>u</w:t>
      </w:r>
      <w:r w:rsidRPr="00320A86">
        <w:t>ne politique étrangère digne de la grande Puissance du siècle. Ainsi, au grand dam du département d’État, le conflit israélo-palestinien ne l’intéressait guère. À son arrivée au pouvoir, il était plutôt en retrait par rapport à Bill Cli</w:t>
      </w:r>
      <w:r w:rsidRPr="00320A86">
        <w:t>n</w:t>
      </w:r>
      <w:r w:rsidRPr="00320A86">
        <w:t>ton. Son équipe comportait des « </w:t>
      </w:r>
      <w:r w:rsidRPr="00F477AD">
        <w:rPr>
          <w:i/>
        </w:rPr>
        <w:t>réalistes </w:t>
      </w:r>
      <w:r w:rsidRPr="00320A86">
        <w:t>» (école Kissinger) et des « </w:t>
      </w:r>
      <w:r w:rsidRPr="00F477AD">
        <w:rPr>
          <w:i/>
        </w:rPr>
        <w:t>néoconservateurs </w:t>
      </w:r>
      <w:r w:rsidRPr="00320A86">
        <w:t>»</w:t>
      </w:r>
      <w:r>
        <w:t> </w:t>
      </w:r>
      <w:r>
        <w:rPr>
          <w:rStyle w:val="Appelnotedebasdep"/>
        </w:rPr>
        <w:footnoteReference w:id="1318"/>
      </w:r>
      <w:r w:rsidRPr="00320A86">
        <w:t xml:space="preserve"> – ceux-ci faisant du lobbying pour obtenir le chang</w:t>
      </w:r>
      <w:r w:rsidRPr="00320A86">
        <w:t>e</w:t>
      </w:r>
      <w:r w:rsidRPr="00320A86">
        <w:t>ment décisif qu’ils appelaient de leurs vœux depuis des années. Tout va basc</w:t>
      </w:r>
      <w:r w:rsidRPr="00320A86">
        <w:t>u</w:t>
      </w:r>
      <w:r w:rsidRPr="00320A86">
        <w:t>ler, pour G. Bush, le 11 septembre 2001. Cet événement va donner un sens au discours « néoconservateur » et alimenter la recherche d’une mission à acco</w:t>
      </w:r>
      <w:r w:rsidRPr="00320A86">
        <w:t>m</w:t>
      </w:r>
      <w:r w:rsidRPr="00320A86">
        <w:t>plir.</w:t>
      </w:r>
    </w:p>
    <w:p w14:paraId="7BE3CF5E" w14:textId="77777777" w:rsidR="00B01930" w:rsidRPr="00320A86" w:rsidRDefault="00B01930" w:rsidP="00B01930">
      <w:pPr>
        <w:spacing w:before="120" w:after="120"/>
        <w:jc w:val="both"/>
      </w:pPr>
      <w:r w:rsidRPr="00320A86">
        <w:t>Les affirmations citées, de type général, montrent une prégnance du traditionnel antiaméricanisme</w:t>
      </w:r>
      <w:r>
        <w:t> </w:t>
      </w:r>
      <w:r>
        <w:rPr>
          <w:rStyle w:val="Appelnotedebasdep"/>
        </w:rPr>
        <w:footnoteReference w:id="1319"/>
      </w:r>
      <w:r w:rsidRPr="00320A86">
        <w:t xml:space="preserve"> qu’on retrouve, </w:t>
      </w:r>
      <w:r w:rsidRPr="00F477AD">
        <w:rPr>
          <w:i/>
        </w:rPr>
        <w:t>mezzo voce</w:t>
      </w:r>
      <w:r w:rsidRPr="00320A86">
        <w:t>, lor</w:t>
      </w:r>
      <w:r w:rsidRPr="00320A86">
        <w:t>s</w:t>
      </w:r>
      <w:r w:rsidRPr="00320A86">
        <w:t>qu’Hubert Védrine fait allusion au motif pétrolier pour la guerre en Irak alors que, de l’avis des spécialistes, les États-Unis pouvaient o</w:t>
      </w:r>
      <w:r w:rsidRPr="00320A86">
        <w:t>b</w:t>
      </w:r>
      <w:r w:rsidRPr="00320A86">
        <w:t>tenir le précieux liquide à meilleur compte</w:t>
      </w:r>
      <w:r>
        <w:t> </w:t>
      </w:r>
      <w:r>
        <w:rPr>
          <w:rStyle w:val="Appelnotedebasdep"/>
        </w:rPr>
        <w:footnoteReference w:id="1320"/>
      </w:r>
      <w:r w:rsidRPr="00320A86">
        <w:t>. On retrouve cette pr</w:t>
      </w:r>
      <w:r w:rsidRPr="00320A86">
        <w:t>é</w:t>
      </w:r>
      <w:r w:rsidRPr="00320A86">
        <w:t>gnance dans une phrase comme celle-ci : « </w:t>
      </w:r>
      <w:r w:rsidRPr="00F477AD">
        <w:rPr>
          <w:i/>
        </w:rPr>
        <w:t>l’Amérique délégitimée dans le monde arabe […] par […] son cynisme </w:t>
      </w:r>
      <w:r>
        <w:rPr>
          <w:rStyle w:val="Appelnotedebasdep"/>
        </w:rPr>
        <w:footnoteReference w:id="1321"/>
      </w:r>
      <w:r w:rsidRPr="00320A86">
        <w:t xml:space="preserve"> </w:t>
      </w:r>
      <w:r w:rsidRPr="00F477AD">
        <w:rPr>
          <w:i/>
        </w:rPr>
        <w:t>dans le conflit isra</w:t>
      </w:r>
      <w:r w:rsidRPr="00F477AD">
        <w:rPr>
          <w:i/>
        </w:rPr>
        <w:t>é</w:t>
      </w:r>
      <w:r w:rsidRPr="00F477AD">
        <w:rPr>
          <w:i/>
        </w:rPr>
        <w:t>lo-palestinien </w:t>
      </w:r>
      <w:r w:rsidRPr="00320A86">
        <w:t>». On ne peut critiquer « </w:t>
      </w:r>
      <w:r w:rsidRPr="00F477AD">
        <w:rPr>
          <w:i/>
        </w:rPr>
        <w:t>l’irrealpolitik </w:t>
      </w:r>
      <w:r w:rsidRPr="00320A86">
        <w:t>» (moraliste) et simultanément taxer les États-Unis de « </w:t>
      </w:r>
      <w:r w:rsidRPr="00F477AD">
        <w:rPr>
          <w:i/>
        </w:rPr>
        <w:t>cyniques </w:t>
      </w:r>
      <w:r w:rsidRPr="00320A86">
        <w:t>», terme qui impl</w:t>
      </w:r>
      <w:r w:rsidRPr="00320A86">
        <w:t>i</w:t>
      </w:r>
      <w:r w:rsidRPr="00320A86">
        <w:t>que une réf</w:t>
      </w:r>
      <w:r w:rsidRPr="00320A86">
        <w:t>é</w:t>
      </w:r>
      <w:r w:rsidRPr="00320A86">
        <w:t>rence morale. D’autant qu’en l’espèce, Védrine fait porter tout le poids du conflit sur Israël, sans un mot sur le rôle man</w:t>
      </w:r>
      <w:r w:rsidRPr="00320A86">
        <w:t>i</w:t>
      </w:r>
      <w:r w:rsidRPr="00320A86">
        <w:t>pulateur et néfaste d’Arafat</w:t>
      </w:r>
      <w:r>
        <w:t> </w:t>
      </w:r>
      <w:r>
        <w:rPr>
          <w:rStyle w:val="Appelnotedebasdep"/>
        </w:rPr>
        <w:footnoteReference w:id="1322"/>
      </w:r>
      <w:r w:rsidRPr="00320A86">
        <w:t>, ni surtout sur le point politique essentiel relevé par le « </w:t>
      </w:r>
      <w:r w:rsidRPr="00F477AD">
        <w:rPr>
          <w:i/>
        </w:rPr>
        <w:t>realpolitiker </w:t>
      </w:r>
      <w:r w:rsidRPr="00320A86">
        <w:t>» qu’est He</w:t>
      </w:r>
      <w:r w:rsidRPr="00320A86">
        <w:t>n</w:t>
      </w:r>
      <w:r w:rsidRPr="00320A86">
        <w:t xml:space="preserve">ry Kissinger : « [les Arabes et les Palestiniens] </w:t>
      </w:r>
      <w:r w:rsidRPr="00F477AD">
        <w:rPr>
          <w:i/>
        </w:rPr>
        <w:t>demandent à Israël de céder un territoire conquis, que</w:t>
      </w:r>
      <w:r w:rsidRPr="00F477AD">
        <w:rPr>
          <w:i/>
        </w:rPr>
        <w:t>l</w:t>
      </w:r>
      <w:r w:rsidRPr="00F477AD">
        <w:rPr>
          <w:i/>
        </w:rPr>
        <w:t>que chose de tangible</w:t>
      </w:r>
      <w:r w:rsidRPr="00320A86">
        <w:t xml:space="preserve"> [contre] </w:t>
      </w:r>
      <w:r w:rsidRPr="00F477AD">
        <w:rPr>
          <w:i/>
        </w:rPr>
        <w:t>la reconnaissance de son droit m</w:t>
      </w:r>
      <w:r w:rsidRPr="00F477AD">
        <w:rPr>
          <w:i/>
        </w:rPr>
        <w:t>ê</w:t>
      </w:r>
      <w:r w:rsidRPr="00F477AD">
        <w:rPr>
          <w:i/>
        </w:rPr>
        <w:t>me à l’existence, c’est-à-dire un acte révocable. Ce qui constitue le point départ de la plupart des négociations – la reconnaissance de la lég</w:t>
      </w:r>
      <w:r w:rsidRPr="00F477AD">
        <w:rPr>
          <w:i/>
        </w:rPr>
        <w:t>i</w:t>
      </w:r>
      <w:r w:rsidRPr="00F477AD">
        <w:rPr>
          <w:i/>
        </w:rPr>
        <w:t>timité de différentes parties en présence – est ici le résultat incertain de la diplomatie</w:t>
      </w:r>
      <w:r w:rsidRPr="00320A86">
        <w:t>… », dès lors tout, compromis devient concession di</w:t>
      </w:r>
      <w:r w:rsidRPr="00320A86">
        <w:t>c</w:t>
      </w:r>
      <w:r w:rsidRPr="00320A86">
        <w:t>tée par la nécessité du moment, donc réversible.</w:t>
      </w:r>
    </w:p>
    <w:p w14:paraId="6D9731E5" w14:textId="77777777" w:rsidR="00B01930" w:rsidRPr="00320A86" w:rsidRDefault="00B01930" w:rsidP="00B01930">
      <w:pPr>
        <w:spacing w:before="120" w:after="120"/>
        <w:jc w:val="both"/>
      </w:pPr>
      <w:r w:rsidRPr="00320A86">
        <w:t>Mais dans la logique que nous avons formulée comme grille de lecture, tout est cohérent y compris les termes employés. Pourfendant « </w:t>
      </w:r>
      <w:r w:rsidRPr="00F477AD">
        <w:rPr>
          <w:i/>
        </w:rPr>
        <w:t>l’irrealpolitik </w:t>
      </w:r>
      <w:r w:rsidRPr="00320A86">
        <w:t>», s’il est exact de dire que les Européens refusent la force, il est douteux qu’ils « </w:t>
      </w:r>
      <w:r w:rsidRPr="00F477AD">
        <w:rPr>
          <w:i/>
        </w:rPr>
        <w:t>jugent impératif d’imposer leurs propres valeurs à tous les autres</w:t>
      </w:r>
      <w:r w:rsidRPr="00320A86">
        <w:t>… ». En e</w:t>
      </w:r>
      <w:r w:rsidRPr="00320A86">
        <w:t>f</w:t>
      </w:r>
      <w:r w:rsidRPr="00320A86">
        <w:t>fet, ils oscillent entre relativisme et « </w:t>
      </w:r>
      <w:r w:rsidRPr="00F477AD">
        <w:rPr>
          <w:i/>
        </w:rPr>
        <w:t>droit-de-l’hommisme </w:t>
      </w:r>
      <w:r w:rsidRPr="00320A86">
        <w:t>»</w:t>
      </w:r>
      <w:r>
        <w:t> </w:t>
      </w:r>
      <w:r>
        <w:rPr>
          <w:rStyle w:val="Appelnotedebasdep"/>
        </w:rPr>
        <w:footnoteReference w:id="1323"/>
      </w:r>
      <w:r w:rsidRPr="00320A86">
        <w:t>, ils sont aux « </w:t>
      </w:r>
      <w:r w:rsidRPr="00F477AD">
        <w:rPr>
          <w:i/>
        </w:rPr>
        <w:t>abonnés absents </w:t>
      </w:r>
      <w:r w:rsidRPr="00320A86">
        <w:t>» par exe</w:t>
      </w:r>
      <w:r w:rsidRPr="00320A86">
        <w:t>m</w:t>
      </w:r>
      <w:r w:rsidRPr="00320A86">
        <w:t>ple vis-à-vis de la Chine et du Tibet ou encore de l’Islam</w:t>
      </w:r>
      <w:r>
        <w:t> </w:t>
      </w:r>
      <w:r>
        <w:rPr>
          <w:rStyle w:val="Appelnotedebasdep"/>
        </w:rPr>
        <w:footnoteReference w:id="1324"/>
      </w:r>
      <w:r w:rsidRPr="00320A86">
        <w:t xml:space="preserve"> et sont fe</w:t>
      </w:r>
      <w:r w:rsidRPr="00320A86">
        <w:t>r</w:t>
      </w:r>
      <w:r w:rsidRPr="00320A86">
        <w:t>vents adeptes de « </w:t>
      </w:r>
      <w:r w:rsidRPr="00F477AD">
        <w:rPr>
          <w:i/>
        </w:rPr>
        <w:t>l’appeasement </w:t>
      </w:r>
      <w:r w:rsidRPr="00320A86">
        <w:t>», de si funeste pratique</w:t>
      </w:r>
      <w:r>
        <w:t> </w:t>
      </w:r>
      <w:r>
        <w:rPr>
          <w:rStyle w:val="Appelnotedebasdep"/>
        </w:rPr>
        <w:footnoteReference w:id="1325"/>
      </w:r>
      <w:r w:rsidRPr="00320A86">
        <w:t>, avec de brusques bouffées  d'ingérence moralisatrice, pouvant débo</w:t>
      </w:r>
      <w:r w:rsidRPr="00320A86">
        <w:t>u</w:t>
      </w:r>
      <w:r w:rsidRPr="00320A86">
        <w:t>cher sur des interventions armées (mais à géométrie variable selon la puissance concernée…). Il est tout aussi erroné d’écrire qu’ils cons</w:t>
      </w:r>
      <w:r w:rsidRPr="00320A86">
        <w:t>i</w:t>
      </w:r>
      <w:r w:rsidRPr="00320A86">
        <w:t>dèrent « </w:t>
      </w:r>
      <w:r w:rsidRPr="00F477AD">
        <w:rPr>
          <w:i/>
        </w:rPr>
        <w:t>le chantage à l’aide</w:t>
      </w:r>
      <w:r w:rsidRPr="00320A86">
        <w:t>… » comme légitime. Le financement de Yasser Ar</w:t>
      </w:r>
      <w:r w:rsidRPr="00320A86">
        <w:t>a</w:t>
      </w:r>
      <w:r w:rsidRPr="00320A86">
        <w:t>fat démontre le contraire, et lorsqu’il y a condition à l’aide c’est avec beaucoup de précautions et de palinodies.</w:t>
      </w:r>
    </w:p>
    <w:p w14:paraId="5C621BFF" w14:textId="77777777" w:rsidR="00B01930" w:rsidRPr="00320A86" w:rsidRDefault="00B01930" w:rsidP="00B01930">
      <w:pPr>
        <w:spacing w:before="120" w:after="120"/>
        <w:jc w:val="both"/>
      </w:pPr>
      <w:r w:rsidRPr="00320A86">
        <w:t>Ce monde actuel appelle selon Hubert Védrine une politique qui serait donc plus « réaliste ». Or dans ce second monde, celui de l’avenir, on constate que le juridisme (autre face du moralisme), comme d’ailleurs l’idéalisme plus ou moins irénique, structure ce que l’auteur tend à faire passer pour de la « </w:t>
      </w:r>
      <w:r w:rsidRPr="00F477AD">
        <w:rPr>
          <w:i/>
        </w:rPr>
        <w:t>realpolitik </w:t>
      </w:r>
      <w:r w:rsidRPr="00320A86">
        <w:t>».</w:t>
      </w:r>
    </w:p>
    <w:p w14:paraId="3AD8DE94" w14:textId="77777777" w:rsidR="00B01930" w:rsidRPr="00320A86" w:rsidRDefault="00B01930" w:rsidP="00B01930">
      <w:pPr>
        <w:spacing w:before="120" w:after="120"/>
        <w:jc w:val="both"/>
      </w:pPr>
      <w:r w:rsidRPr="00320A86">
        <w:t>Il part du point de vue selon lequel l’Occident n’a pas le monopole des v</w:t>
      </w:r>
      <w:r w:rsidRPr="00320A86">
        <w:t>a</w:t>
      </w:r>
      <w:r w:rsidRPr="00320A86">
        <w:t>leurs et, sans l’avouer expressément, penche vers une sorte de relativisme qui implique une renonciation à toute prétention morale et il qualifie l’inquiétude vis-à-vis de l’Islam « d’obsidionale ». Pourtant il admet qu’il existe une fracture entre les tenants de telle ou telle civ</w:t>
      </w:r>
      <w:r w:rsidRPr="00320A86">
        <w:t>i</w:t>
      </w:r>
      <w:r w:rsidRPr="00320A86">
        <w:t>lisation et il ajoute « bien sûr [il s’agit] d’infimes minorités […] qui par ignorance […] jouent […] l’affrontement », il s’agit « de chocs d’incultures… »</w:t>
      </w:r>
      <w:r>
        <w:t> </w:t>
      </w:r>
      <w:r>
        <w:rPr>
          <w:rStyle w:val="Appelnotedebasdep"/>
        </w:rPr>
        <w:footnoteReference w:id="1326"/>
      </w:r>
      <w:r w:rsidRPr="00320A86">
        <w:t>. Sur quels critères, par rapport à quelles v</w:t>
      </w:r>
      <w:r w:rsidRPr="00320A86">
        <w:t>a</w:t>
      </w:r>
      <w:r w:rsidRPr="00320A86">
        <w:t>leurs ou pratiques, peut-on estimer qu’il y a ignorance et inculture ? C’est fo</w:t>
      </w:r>
      <w:r w:rsidRPr="00320A86">
        <w:t>r</w:t>
      </w:r>
      <w:r w:rsidRPr="00320A86">
        <w:t>cément par rapport à des valeurs, lesquelles sont alors universelles. Or c’est l’Occident qui véhicule cette conception et jusqu’à a</w:t>
      </w:r>
      <w:r w:rsidRPr="00320A86">
        <w:t>u</w:t>
      </w:r>
      <w:r w:rsidRPr="00320A86">
        <w:t>jourd’hui en a défini le contenu.</w:t>
      </w:r>
    </w:p>
    <w:p w14:paraId="2CDF9E8C" w14:textId="77777777" w:rsidR="00B01930" w:rsidRPr="00320A86" w:rsidRDefault="00B01930" w:rsidP="00B01930">
      <w:pPr>
        <w:spacing w:before="120" w:after="120"/>
        <w:jc w:val="both"/>
      </w:pPr>
      <w:r w:rsidRPr="00320A86">
        <w:t>Autrement dit, H. Védrine ne peut échapper à une échelle de v</w:t>
      </w:r>
      <w:r w:rsidRPr="00320A86">
        <w:t>a</w:t>
      </w:r>
      <w:r w:rsidRPr="00320A86">
        <w:t>leurs, laquelle est, de facto, occidentale. La force du propos réside dans l’évidence et il se ga</w:t>
      </w:r>
      <w:r w:rsidRPr="00320A86">
        <w:t>r</w:t>
      </w:r>
      <w:r w:rsidRPr="00320A86">
        <w:t>de bien d’expliciter d’où « il parle », ce qui révélerait l’aporie. Mais cela est anecdotique au regard de sa perce</w:t>
      </w:r>
      <w:r w:rsidRPr="00320A86">
        <w:t>p</w:t>
      </w:r>
      <w:r w:rsidRPr="00320A86">
        <w:t>tion du fonctionnement des relations intern</w:t>
      </w:r>
      <w:r w:rsidRPr="00320A86">
        <w:t>a</w:t>
      </w:r>
      <w:r w:rsidRPr="00320A86">
        <w:t>tionales à venir. Point de froids constats « réalistes » sur la répartition de la Puissance au sein du système international et l’évaluation des conséquences, y compris quant à la possibilité de mesures drastiques si les intérêts vitaux de la Polis sont en jeu – ce qu’Hubert Védrine ne saurait éluder puisqu’il croit en l’efficacité de la forme étatique du pouvoir.</w:t>
      </w:r>
    </w:p>
    <w:p w14:paraId="19D21EFA" w14:textId="77777777" w:rsidR="00B01930" w:rsidRPr="00320A86" w:rsidRDefault="00B01930" w:rsidP="00B01930">
      <w:pPr>
        <w:spacing w:before="120" w:after="120"/>
        <w:jc w:val="both"/>
      </w:pPr>
      <w:r w:rsidRPr="00320A86">
        <w:t>Or l’auteur verse dans des propositions qui sont d’ordre instit</w:t>
      </w:r>
      <w:r w:rsidRPr="00320A86">
        <w:t>u</w:t>
      </w:r>
      <w:r w:rsidRPr="00320A86">
        <w:t>tionnel, juridique, dans la pure tradition « idéaliste ». Ainsi il précon</w:t>
      </w:r>
      <w:r w:rsidRPr="00320A86">
        <w:t>i</w:t>
      </w:r>
      <w:r w:rsidRPr="00320A86">
        <w:t>se une réforme de Conseil de sécurité de l’O</w:t>
      </w:r>
      <w:r w:rsidRPr="00320A86">
        <w:rPr>
          <w:smallCaps/>
        </w:rPr>
        <w:t>nu</w:t>
      </w:r>
      <w:r w:rsidRPr="00320A86">
        <w:t xml:space="preserve"> qui ressort de l’utopie du gouvernement mondial, en tout cas du mythe de la transposition nécessaire de l’idéologie démocratique dans les rapports entre États. En effet selon lui cinq ou six membres nouveaux, avec droit de veto, devraient siéger dans ce futur Conseil. Rappelons, tant avec la S</w:t>
      </w:r>
      <w:r w:rsidRPr="00320A86">
        <w:rPr>
          <w:smallCaps/>
        </w:rPr>
        <w:t>dn</w:t>
      </w:r>
      <w:r w:rsidRPr="00320A86">
        <w:t xml:space="preserve"> – dans l’entre-deux-guerres mondiales – qu’avec l’O</w:t>
      </w:r>
      <w:r w:rsidRPr="00320A86">
        <w:rPr>
          <w:smallCaps/>
        </w:rPr>
        <w:t>nu</w:t>
      </w:r>
      <w:r w:rsidRPr="00320A86">
        <w:t>, les diff</w:t>
      </w:r>
      <w:r w:rsidRPr="00320A86">
        <w:t>i</w:t>
      </w:r>
      <w:r w:rsidRPr="00320A86">
        <w:t>cultés de fonctionnement, dès lors qu’on multiplie les acteurs décisionna</w:t>
      </w:r>
      <w:r w:rsidRPr="00320A86">
        <w:t>i</w:t>
      </w:r>
      <w:r w:rsidRPr="00320A86">
        <w:t xml:space="preserve">res ; </w:t>
      </w:r>
      <w:r w:rsidRPr="00F477AD">
        <w:rPr>
          <w:i/>
        </w:rPr>
        <w:t>a fortiori</w:t>
      </w:r>
      <w:r w:rsidRPr="00320A86">
        <w:t xml:space="preserve"> lorsqu’il y a décalage avec la hiérarchie des Puissances.</w:t>
      </w:r>
    </w:p>
    <w:p w14:paraId="2CFB268D" w14:textId="77777777" w:rsidR="00B01930" w:rsidRPr="00320A86" w:rsidRDefault="00B01930" w:rsidP="00B01930">
      <w:pPr>
        <w:spacing w:before="120" w:after="120"/>
        <w:jc w:val="both"/>
      </w:pPr>
      <w:r w:rsidRPr="00320A86">
        <w:t>Toutefois, l’auteur refuse de rendre le siège occupé par la France (et pour mieux légitimer ce choix il l’admet aussi pour la Grande-Bretagne) au profit d’un représentant de l’Europe car les mécanismes de décision « à 27 » empêch</w:t>
      </w:r>
      <w:r w:rsidRPr="00320A86">
        <w:t>e</w:t>
      </w:r>
      <w:r w:rsidRPr="00320A86">
        <w:t>raient toute action. Mais quelques lignes plus loin il définit ces nouveaux me</w:t>
      </w:r>
      <w:r w:rsidRPr="00320A86">
        <w:t>m</w:t>
      </w:r>
      <w:r w:rsidRPr="00320A86">
        <w:t>bres et attribue généreusement un seul représentant pour… l’Afrique, de même pour les Arabes ainsi que pour l’Amérique latine ! de surcroît ces représentants siégeraient par roulement… Si « </w:t>
      </w:r>
      <w:r w:rsidRPr="00F477AD">
        <w:rPr>
          <w:i/>
        </w:rPr>
        <w:t>l’irrealpolitik </w:t>
      </w:r>
      <w:r w:rsidRPr="00320A86">
        <w:t>» trouve sa pleine expression, c’est bien ici. La France garde son siège, mais des continents entiers n’ont qu’un représentant et encore, chacun doit s’organiser pour po</w:t>
      </w:r>
      <w:r w:rsidRPr="00320A86">
        <w:t>u</w:t>
      </w:r>
      <w:r w:rsidRPr="00320A86">
        <w:t>voir occuper le seul si</w:t>
      </w:r>
      <w:r w:rsidRPr="00320A86">
        <w:t>è</w:t>
      </w:r>
      <w:r w:rsidRPr="00320A86">
        <w:t xml:space="preserve">ge qui leur est, en fait, attribué. Qui peut croire à de tels mécanismes, à part les thuriféraires de l’idéalisme juridique ? Aucun analyste sérieux, </w:t>
      </w:r>
      <w:r w:rsidRPr="00F477AD">
        <w:rPr>
          <w:i/>
        </w:rPr>
        <w:t>a fortiori</w:t>
      </w:r>
      <w:r w:rsidRPr="00320A86">
        <w:t xml:space="preserve"> « </w:t>
      </w:r>
      <w:r w:rsidRPr="00F477AD">
        <w:rPr>
          <w:i/>
        </w:rPr>
        <w:t>realpolitiker </w:t>
      </w:r>
      <w:r w:rsidRPr="00320A86">
        <w:t>», ne peut y souscr</w:t>
      </w:r>
      <w:r w:rsidRPr="00320A86">
        <w:t>i</w:t>
      </w:r>
      <w:r w:rsidRPr="00320A86">
        <w:t>re.</w:t>
      </w:r>
    </w:p>
    <w:p w14:paraId="3A02BEDF" w14:textId="77777777" w:rsidR="00B01930" w:rsidRPr="00320A86" w:rsidRDefault="00B01930" w:rsidP="00B01930">
      <w:pPr>
        <w:spacing w:before="120" w:after="120"/>
        <w:jc w:val="both"/>
      </w:pPr>
      <w:r w:rsidRPr="00320A86">
        <w:t>Mais cela ne s’arrête pas là. Le droit de veto pourrait être suspendu pendant une certaine période dès lors qu’une population serait décr</w:t>
      </w:r>
      <w:r w:rsidRPr="00320A86">
        <w:t>é</w:t>
      </w:r>
      <w:r w:rsidRPr="00320A86">
        <w:t>tée en danger par « un aréopage mondial à déterminer ». C’est l’utopie du gouvernement mondial, mais en plus complexe ! Qui peut croire qu’une Puissance acceptera de voir son droit de veto suspendu ? Comment déterminer que telle population est « en da</w:t>
      </w:r>
      <w:r w:rsidRPr="00320A86">
        <w:t>n</w:t>
      </w:r>
      <w:r w:rsidRPr="00320A86">
        <w:t>ger », pourquoi plutôt celle-ci que celle-là ? Qui peut croire qu’un aréopage (hypoth</w:t>
      </w:r>
      <w:r w:rsidRPr="00320A86">
        <w:t>é</w:t>
      </w:r>
      <w:r w:rsidRPr="00320A86">
        <w:t>tique tant en ses modalités de constitution qu’en sa représentativité) serait supérieur au Conseil de Sécurité ?</w:t>
      </w:r>
    </w:p>
    <w:p w14:paraId="16614E13" w14:textId="77777777" w:rsidR="00B01930" w:rsidRPr="00320A86" w:rsidRDefault="00B01930" w:rsidP="00B01930">
      <w:pPr>
        <w:spacing w:before="120" w:after="120"/>
        <w:jc w:val="both"/>
      </w:pPr>
      <w:r w:rsidRPr="00320A86">
        <w:t>Ces mécanismes, flous et compliqués, se voient renforcer par un Conseil consultatif mondial de la société civile qui adresserait des vœux et des questio</w:t>
      </w:r>
      <w:r>
        <w:t>ns à l’Assemblée générale de l’</w:t>
      </w:r>
      <w:r w:rsidRPr="00320A86">
        <w:t>O</w:t>
      </w:r>
      <w:r w:rsidRPr="00320A86">
        <w:rPr>
          <w:smallCaps/>
        </w:rPr>
        <w:t>nu</w:t>
      </w:r>
      <w:r w:rsidRPr="00320A86">
        <w:t>. Pourfendant (à juste titre) l’idée qu’il y ait une communauté ou une opinion inte</w:t>
      </w:r>
      <w:r w:rsidRPr="00320A86">
        <w:t>r</w:t>
      </w:r>
      <w:r w:rsidRPr="00320A86">
        <w:t>nationale, il consacre organiquement une s</w:t>
      </w:r>
      <w:r w:rsidRPr="00320A86">
        <w:t>o</w:t>
      </w:r>
      <w:r w:rsidRPr="00320A86">
        <w:t xml:space="preserve">ciété civile internationale ! Qu’est-elle, par quel mécanisme réaliste et accepté prend-elle corps au sein de ce Conseil, on ne sait. Et ainsi de suite. </w:t>
      </w:r>
      <w:r w:rsidRPr="00F477AD">
        <w:rPr>
          <w:i/>
        </w:rPr>
        <w:t>In fine</w:t>
      </w:r>
      <w:r w:rsidRPr="00320A86">
        <w:t xml:space="preserve"> l’auteur affirme que « </w:t>
      </w:r>
      <w:r w:rsidRPr="00F477AD">
        <w:rPr>
          <w:i/>
        </w:rPr>
        <w:t>ces réformes</w:t>
      </w:r>
      <w:r w:rsidRPr="00320A86">
        <w:t xml:space="preserve"> […] </w:t>
      </w:r>
      <w:r w:rsidRPr="00F477AD">
        <w:rPr>
          <w:i/>
        </w:rPr>
        <w:t>tendent</w:t>
      </w:r>
      <w:r w:rsidRPr="00320A86">
        <w:t xml:space="preserve"> […] </w:t>
      </w:r>
      <w:r w:rsidRPr="00F477AD">
        <w:rPr>
          <w:i/>
        </w:rPr>
        <w:t>à rendre plus légitime et plus e</w:t>
      </w:r>
      <w:r w:rsidRPr="00F477AD">
        <w:rPr>
          <w:i/>
        </w:rPr>
        <w:t>f</w:t>
      </w:r>
      <w:r w:rsidRPr="00F477AD">
        <w:rPr>
          <w:i/>
        </w:rPr>
        <w:t>ficace le système multilatéral </w:t>
      </w:r>
      <w:r w:rsidRPr="00320A86">
        <w:t>».</w:t>
      </w:r>
    </w:p>
    <w:p w14:paraId="2DFCF94F" w14:textId="77777777" w:rsidR="00B01930" w:rsidRPr="00320A86" w:rsidRDefault="00B01930" w:rsidP="00B01930">
      <w:pPr>
        <w:spacing w:before="120" w:after="120"/>
        <w:jc w:val="both"/>
      </w:pPr>
      <w:r w:rsidRPr="00320A86">
        <w:t>En réalité, toute la démonstration, sous couvert de la critique de « </w:t>
      </w:r>
      <w:r w:rsidRPr="00F477AD">
        <w:rPr>
          <w:i/>
        </w:rPr>
        <w:t>l’irrealpolitik </w:t>
      </w:r>
      <w:r w:rsidRPr="00320A86">
        <w:t>», ne fait que recourir à l’outil préféré de celle-ci : le juridisme tous azimuts pour compenser la grande faiblesse de la Fra</w:t>
      </w:r>
      <w:r w:rsidRPr="00320A86">
        <w:t>n</w:t>
      </w:r>
      <w:r w:rsidRPr="00320A86">
        <w:t>ce en tissant autour des États-Unis un ensemble de « chaînes » instit</w:t>
      </w:r>
      <w:r w:rsidRPr="00320A86">
        <w:t>u</w:t>
      </w:r>
      <w:r w:rsidRPr="00320A86">
        <w:t>tionnelles qui lui permettraient de paraître comme puissante. Le jeu des alliances au sein de ces organismes, l’élaboration de règles inte</w:t>
      </w:r>
      <w:r w:rsidRPr="00320A86">
        <w:t>r</w:t>
      </w:r>
      <w:r w:rsidRPr="00320A86">
        <w:t>nationales légitimées par leur caractère nécessair</w:t>
      </w:r>
      <w:r w:rsidRPr="00320A86">
        <w:t>e</w:t>
      </w:r>
      <w:r w:rsidRPr="00320A86">
        <w:t>ment moral</w:t>
      </w:r>
      <w:r>
        <w:t> </w:t>
      </w:r>
      <w:r>
        <w:rPr>
          <w:rStyle w:val="Appelnotedebasdep"/>
        </w:rPr>
        <w:footnoteReference w:id="1327"/>
      </w:r>
      <w:r>
        <w:t xml:space="preserve"> </w:t>
      </w:r>
      <w:r w:rsidRPr="00320A86">
        <w:t>et les tribunes multiples seraient les instruments de ce dessein. Reste que, faute de capacités militaires, d’une démographie adéquate</w:t>
      </w:r>
      <w:r>
        <w:t> </w:t>
      </w:r>
      <w:r>
        <w:rPr>
          <w:rStyle w:val="Appelnotedebasdep"/>
        </w:rPr>
        <w:footnoteReference w:id="1328"/>
      </w:r>
      <w:r w:rsidRPr="00320A86">
        <w:t xml:space="preserve"> et d’une économie puissante, seule la politique actuelle du verbe resterait po</w:t>
      </w:r>
      <w:r w:rsidRPr="00320A86">
        <w:t>s</w:t>
      </w:r>
      <w:r w:rsidRPr="00320A86">
        <w:t>sible.</w:t>
      </w:r>
      <w:r>
        <w:t> </w:t>
      </w:r>
      <w:r>
        <w:rPr>
          <w:rStyle w:val="Appelnotedebasdep"/>
        </w:rPr>
        <w:footnoteReference w:id="1329"/>
      </w:r>
    </w:p>
    <w:p w14:paraId="5CF50D56" w14:textId="77777777" w:rsidR="00B01930" w:rsidRPr="00320A86" w:rsidRDefault="00B01930" w:rsidP="00B01930">
      <w:pPr>
        <w:spacing w:before="120" w:after="120"/>
        <w:jc w:val="both"/>
      </w:pPr>
      <w:r w:rsidRPr="00320A86">
        <w:t>Au demeurant, Hubert Védrine exprime ce qui était la prémisse de son opus, lorsqu’il écrit qu’il faut brider les États-Unis ; il y ajoute la Russie et la Chine, qui devraient accepter ainsi les réformes qui s’imposent. Hormis le fait que le vouloir – si typique de la démarche idéaliste – ne signifie pas le pouvoir (cf. ci-dessus), qui détermine que des réformes s’imposent, et quelles réformes, sur quels critères ? Vis</w:t>
      </w:r>
      <w:r w:rsidRPr="00320A86">
        <w:t>i</w:t>
      </w:r>
      <w:r w:rsidRPr="00320A86">
        <w:t>blement ce ne peut être que la France. Ce qui revient à dire que celle-ci détiendrait le Vrai. Or Hubert Védrine refuse l’universalisme pr</w:t>
      </w:r>
      <w:r w:rsidRPr="00320A86">
        <w:t>é</w:t>
      </w:r>
      <w:r w:rsidRPr="00320A86">
        <w:t>tentieux de l’Occident…</w:t>
      </w:r>
    </w:p>
    <w:p w14:paraId="400D7A94" w14:textId="77777777" w:rsidR="00B01930" w:rsidRPr="00320A86" w:rsidRDefault="00B01930" w:rsidP="00B01930">
      <w:pPr>
        <w:spacing w:before="120" w:after="120"/>
        <w:jc w:val="both"/>
      </w:pPr>
      <w:r w:rsidRPr="00320A86">
        <w:t>Les contradictions de la posture de l’auteur se manifestent avec éclat lorsqu’il affirme que les organismes internationaux qu’ils préc</w:t>
      </w:r>
      <w:r w:rsidRPr="00320A86">
        <w:t>o</w:t>
      </w:r>
      <w:r w:rsidRPr="00320A86">
        <w:t>nisent ne doivent pas se substituer (globalement, nuance-t-il) aux go</w:t>
      </w:r>
      <w:r w:rsidRPr="00320A86">
        <w:t>u</w:t>
      </w:r>
      <w:r w:rsidRPr="00320A86">
        <w:t>vernements des États membres. Si on ajoute qu’on oscille, par ai</w:t>
      </w:r>
      <w:r w:rsidRPr="00320A86">
        <w:t>l</w:t>
      </w:r>
      <w:r w:rsidRPr="00320A86">
        <w:t>leurs, entre le multilatéralisme – si la France y participe – et la mult</w:t>
      </w:r>
      <w:r w:rsidRPr="00320A86">
        <w:t>i</w:t>
      </w:r>
      <w:r w:rsidRPr="00320A86">
        <w:t>polarité qui porte en elle un potentiel d’instabilité, on comprend ais</w:t>
      </w:r>
      <w:r w:rsidRPr="00320A86">
        <w:t>é</w:t>
      </w:r>
      <w:r w:rsidRPr="00320A86">
        <w:t>ment que tout le discours sur « </w:t>
      </w:r>
      <w:r w:rsidRPr="00F477AD">
        <w:rPr>
          <w:i/>
        </w:rPr>
        <w:t>l’irrealpolitik </w:t>
      </w:r>
      <w:r w:rsidRPr="00320A86">
        <w:t>» ne vise qu’à légitimer une autre manière d’y recourir en la drapant dans le sérieux connoté par la notion de « réalisme », qui a pourtant une signification très pr</w:t>
      </w:r>
      <w:r w:rsidRPr="00320A86">
        <w:t>é</w:t>
      </w:r>
      <w:r w:rsidRPr="00320A86">
        <w:t>cise en théorie des relations internationales</w:t>
      </w:r>
      <w:r>
        <w:t> </w:t>
      </w:r>
      <w:r>
        <w:rPr>
          <w:rStyle w:val="Appelnotedebasdep"/>
        </w:rPr>
        <w:footnoteReference w:id="1330"/>
      </w:r>
      <w:r w:rsidRPr="00320A86">
        <w:t>.</w:t>
      </w:r>
    </w:p>
    <w:p w14:paraId="60244D8A" w14:textId="77777777" w:rsidR="00B01930" w:rsidRPr="00320A86" w:rsidRDefault="00B01930" w:rsidP="00B01930">
      <w:pPr>
        <w:spacing w:before="120" w:after="120"/>
        <w:jc w:val="both"/>
      </w:pPr>
      <w:r w:rsidRPr="00320A86">
        <w:t>Hubert Védrine en tentant cet exercice veut apparaître comme di</w:t>
      </w:r>
      <w:r w:rsidRPr="00320A86">
        <w:t>f</w:t>
      </w:r>
      <w:r w:rsidRPr="00320A86">
        <w:t>férent, ic</w:t>
      </w:r>
      <w:r w:rsidRPr="00320A86">
        <w:t>o</w:t>
      </w:r>
      <w:r w:rsidRPr="00320A86">
        <w:t>noclaste. En fait, il ne fait que s’appuyer sur deux formes, devenues politiquement correctes, d’appréhension de la réalité polit</w:t>
      </w:r>
      <w:r w:rsidRPr="00320A86">
        <w:t>i</w:t>
      </w:r>
      <w:r w:rsidRPr="00320A86">
        <w:t>que et sociale.</w:t>
      </w:r>
    </w:p>
    <w:p w14:paraId="6BBF95CD" w14:textId="77777777" w:rsidR="00B01930" w:rsidRPr="00320A86" w:rsidRDefault="00B01930" w:rsidP="00B01930">
      <w:pPr>
        <w:spacing w:before="120" w:after="120"/>
        <w:jc w:val="both"/>
      </w:pPr>
      <w:r w:rsidRPr="00320A86">
        <w:t>La première forme, dite « réaliste », « </w:t>
      </w:r>
      <w:r w:rsidRPr="00F477AD">
        <w:rPr>
          <w:i/>
        </w:rPr>
        <w:t>realpolitik </w:t>
      </w:r>
      <w:r w:rsidRPr="00320A86">
        <w:t>» en politique étrangère, a pour « Maîtres » Thucydide, Machiavel, Hobbes, Cla</w:t>
      </w:r>
      <w:r w:rsidRPr="00320A86">
        <w:t>u</w:t>
      </w:r>
      <w:r w:rsidRPr="00320A86">
        <w:t>sewitz, Niebhur, Aron – pour se cantonner à quelques noms de l’Occident. Mais, depuis les années qu</w:t>
      </w:r>
      <w:r w:rsidRPr="00320A86">
        <w:t>a</w:t>
      </w:r>
      <w:r w:rsidRPr="00320A86">
        <w:t>tre-vingt, l’ordre économique s’est imposé aux autres ordres</w:t>
      </w:r>
      <w:r>
        <w:t> </w:t>
      </w:r>
      <w:r>
        <w:rPr>
          <w:rStyle w:val="Appelnotedebasdep"/>
        </w:rPr>
        <w:footnoteReference w:id="1331"/>
      </w:r>
      <w:r w:rsidRPr="00320A86">
        <w:t>. Il s’est approprié le langage de cette forme de pensée en en dénaturant le sens et l’objet, s’est i</w:t>
      </w:r>
      <w:r w:rsidRPr="00320A86">
        <w:t>m</w:t>
      </w:r>
      <w:r w:rsidRPr="00320A86">
        <w:t>posé aussi comme « naturel » : guerre (économique), stratégie</w:t>
      </w:r>
      <w:r>
        <w:t> </w:t>
      </w:r>
      <w:r>
        <w:rPr>
          <w:rStyle w:val="Appelnotedebasdep"/>
        </w:rPr>
        <w:footnoteReference w:id="1332"/>
      </w:r>
      <w:r w:rsidRPr="00320A86">
        <w:t>, référe</w:t>
      </w:r>
      <w:r w:rsidRPr="00320A86">
        <w:t>n</w:t>
      </w:r>
      <w:r w:rsidRPr="00320A86">
        <w:t>ces à Sun Ze, au jeu de go, ou à Machiavel… sont « la vulgate » du man</w:t>
      </w:r>
      <w:r w:rsidRPr="00320A86">
        <w:t>a</w:t>
      </w:r>
      <w:r w:rsidRPr="00320A86">
        <w:t>gement des entreprises et de l’économique au prix de non-sens. Ironie de la situation : le langage « conquérant » – en parole ! – se prat</w:t>
      </w:r>
      <w:r w:rsidRPr="00320A86">
        <w:t>i</w:t>
      </w:r>
      <w:r w:rsidRPr="00320A86">
        <w:t xml:space="preserve">que au nom de la Paix (par le commerce) et la mise à </w:t>
      </w:r>
      <w:r w:rsidRPr="00F477AD">
        <w:t>l’</w:t>
      </w:r>
      <w:r w:rsidRPr="00F477AD">
        <w:rPr>
          <w:i/>
        </w:rPr>
        <w:t>Index</w:t>
      </w:r>
      <w:r w:rsidRPr="00320A86">
        <w:t xml:space="preserve"> de la viole</w:t>
      </w:r>
      <w:r w:rsidRPr="00320A86">
        <w:t>n</w:t>
      </w:r>
      <w:r w:rsidRPr="00320A86">
        <w:t>ce et des conflits armés, considérés comme obsolètes, voire obscènes et pervers. C’était oublier la sagesse des (vrais) « réalistes » (des orig</w:t>
      </w:r>
      <w:r w:rsidRPr="00320A86">
        <w:t>i</w:t>
      </w:r>
      <w:r w:rsidRPr="00320A86">
        <w:t>nes à nos jours), à savoir qu’il y a toujours la même somme de viole</w:t>
      </w:r>
      <w:r w:rsidRPr="00320A86">
        <w:t>n</w:t>
      </w:r>
      <w:r w:rsidRPr="00320A86">
        <w:t>ce, de Bien et de Mal, dans le monde. Bannissez la guerre et la viole</w:t>
      </w:r>
      <w:r w:rsidRPr="00320A86">
        <w:t>n</w:t>
      </w:r>
      <w:r w:rsidRPr="00320A86">
        <w:t>ce ressurgira ailleurs. De fait, celle-ci sourd de tous les « pores » du corps social (sport, rue, école, images…), terrorisme et guerres c</w:t>
      </w:r>
      <w:r w:rsidRPr="00320A86">
        <w:t>i</w:t>
      </w:r>
      <w:r w:rsidRPr="00320A86">
        <w:t>viles explosent.</w:t>
      </w:r>
    </w:p>
    <w:p w14:paraId="2FE2BE2D" w14:textId="77777777" w:rsidR="00B01930" w:rsidRPr="00320A86" w:rsidRDefault="00B01930" w:rsidP="00B01930">
      <w:pPr>
        <w:spacing w:before="120" w:after="120"/>
        <w:jc w:val="both"/>
      </w:pPr>
      <w:r w:rsidRPr="00320A86">
        <w:t>Mais simultanément, « l’idéalisme » n’a jamais autant prospéré. En marche depuis les années soixante-dix le politiquement correct – revendiqué explicitement – s’ingénie à imposer son paradigme, su</w:t>
      </w:r>
      <w:r w:rsidRPr="00320A86">
        <w:t>r</w:t>
      </w:r>
      <w:r w:rsidRPr="00320A86">
        <w:t>tout au Politique, source du Mal. On ne juge plus, c’est immoral ; on doit constamment être en empathie, à l’écoute des autres et entretenir des relations apaisées. L’Autre, devenu figure christique et substitut du pauvre chrétien et du prolétariat marxiste, est par nat</w:t>
      </w:r>
      <w:r w:rsidRPr="00320A86">
        <w:t>u</w:t>
      </w:r>
      <w:r w:rsidRPr="00320A86">
        <w:t>re source de rédemption et révélateur de toutes nos turpitudes qu’il faut avouer. L’Histoire est réécrite selon ce canon, dont les injonctions sont culp</w:t>
      </w:r>
      <w:r w:rsidRPr="00320A86">
        <w:t>a</w:t>
      </w:r>
      <w:r w:rsidRPr="00320A86">
        <w:t>bilité, r</w:t>
      </w:r>
      <w:r w:rsidRPr="00320A86">
        <w:t>e</w:t>
      </w:r>
      <w:r w:rsidRPr="00320A86">
        <w:t>pentance, pardon, devoir de mémoire à tous propos… jusqu’à se nier et se renier soi-même… Chacun est sommé de battre sa coulpe et de tendre l’autre joue s’il est frappé. Ce n’est pas un hasard si Gandhi est plus une icône en Occident qu’en Inde</w:t>
      </w:r>
      <w:r>
        <w:t> </w:t>
      </w:r>
      <w:r>
        <w:rPr>
          <w:rStyle w:val="Appelnotedebasdep"/>
        </w:rPr>
        <w:footnoteReference w:id="1333"/>
      </w:r>
      <w:r w:rsidRPr="00320A86">
        <w:t>…</w:t>
      </w:r>
    </w:p>
    <w:p w14:paraId="28A6A2FC" w14:textId="77777777" w:rsidR="00B01930" w:rsidRDefault="00B01930" w:rsidP="00B01930">
      <w:pPr>
        <w:spacing w:before="120" w:after="120"/>
        <w:jc w:val="both"/>
      </w:pPr>
      <w:r w:rsidRPr="00320A86">
        <w:t>Ce syncrétisme que pratique Hubert Védrine est parfaitement fon</w:t>
      </w:r>
      <w:r w:rsidRPr="00320A86">
        <w:t>c</w:t>
      </w:r>
      <w:r w:rsidRPr="00320A86">
        <w:t>tionnel par rapport à l’objectif visé : « redorer » le discours socialiste en matière internati</w:t>
      </w:r>
      <w:r w:rsidRPr="00320A86">
        <w:t>o</w:t>
      </w:r>
      <w:r w:rsidRPr="00320A86">
        <w:t>nale, tant vis-à-vis des élites externes à la France que vis-à-vis de l’interne, en cette période de redistribution des cartes d’accès au pouvoir</w:t>
      </w:r>
      <w:r>
        <w:t> </w:t>
      </w:r>
      <w:r>
        <w:rPr>
          <w:rStyle w:val="Appelnotedebasdep"/>
        </w:rPr>
        <w:footnoteReference w:id="1334"/>
      </w:r>
      <w:r w:rsidRPr="00320A86">
        <w:t>. Son propos autorise, tant vis-à-vis de la fami</w:t>
      </w:r>
      <w:r w:rsidRPr="00320A86">
        <w:t>l</w:t>
      </w:r>
      <w:r w:rsidRPr="00320A86">
        <w:t>le socialiste, que du jeu du centre, ou par rapport à la famille a</w:t>
      </w:r>
      <w:r w:rsidRPr="00320A86">
        <w:t>d</w:t>
      </w:r>
      <w:r w:rsidRPr="00320A86">
        <w:t>verse, toutes les ouvertures. Cette dernière pourrait voir en Hubert Védrine un acteur de gouvernement « sérieux ». Il peut ainsi revenir, en toute cohérence avec ses thèses, au service du Prince, quelle que soit la po</w:t>
      </w:r>
      <w:r w:rsidRPr="00320A86">
        <w:t>s</w:t>
      </w:r>
      <w:r w:rsidRPr="00320A86">
        <w:t>ture polit</w:t>
      </w:r>
      <w:r w:rsidRPr="00320A86">
        <w:t>i</w:t>
      </w:r>
      <w:r w:rsidRPr="00320A86">
        <w:t>que de celui-ci.</w:t>
      </w:r>
    </w:p>
    <w:p w14:paraId="1BC760D6" w14:textId="77777777" w:rsidR="00B01930" w:rsidRDefault="00B01930" w:rsidP="00B01930">
      <w:pPr>
        <w:jc w:val="both"/>
      </w:pPr>
    </w:p>
    <w:p w14:paraId="4ADAA990" w14:textId="77777777" w:rsidR="00B01930" w:rsidRDefault="00B01930" w:rsidP="00B01930">
      <w:pPr>
        <w:jc w:val="both"/>
      </w:pPr>
    </w:p>
    <w:p w14:paraId="41A7DF84" w14:textId="77777777" w:rsidR="00B01930" w:rsidRDefault="00B01930" w:rsidP="00B01930">
      <w:pPr>
        <w:jc w:val="both"/>
      </w:pPr>
      <w:r>
        <w:br w:type="page"/>
      </w:r>
    </w:p>
    <w:p w14:paraId="60369B80" w14:textId="77777777" w:rsidR="00B01930" w:rsidRDefault="00B01930" w:rsidP="00B01930">
      <w:pPr>
        <w:jc w:val="both"/>
      </w:pPr>
    </w:p>
    <w:p w14:paraId="29F86175" w14:textId="77777777" w:rsidR="00B01930" w:rsidRDefault="00B01930" w:rsidP="00B01930">
      <w:pPr>
        <w:jc w:val="both"/>
      </w:pPr>
    </w:p>
    <w:p w14:paraId="38BF84D2" w14:textId="77777777" w:rsidR="00B01930" w:rsidRPr="009D4882" w:rsidRDefault="00B01930" w:rsidP="00B01930">
      <w:pPr>
        <w:spacing w:after="120"/>
        <w:ind w:firstLine="0"/>
        <w:jc w:val="center"/>
        <w:rPr>
          <w:b/>
          <w:color w:val="000080"/>
        </w:rPr>
      </w:pPr>
      <w:bookmarkStart w:id="231" w:name="Analyser_idees_pol_pt_4_texte_14"/>
      <w:r>
        <w:rPr>
          <w:b/>
          <w:color w:val="000080"/>
        </w:rPr>
        <w:t>Quatrième</w:t>
      </w:r>
      <w:r w:rsidRPr="009D4882">
        <w:rPr>
          <w:b/>
          <w:color w:val="000080"/>
        </w:rPr>
        <w:t xml:space="preserve"> partie</w:t>
      </w:r>
      <w:r w:rsidRPr="009D4882">
        <w:rPr>
          <w:b/>
          <w:color w:val="000080"/>
        </w:rPr>
        <w:br/>
      </w:r>
      <w:r>
        <w:rPr>
          <w:i/>
          <w:color w:val="000080"/>
        </w:rPr>
        <w:t>De quelques idées «internationales»</w:t>
      </w:r>
    </w:p>
    <w:p w14:paraId="2657326D" w14:textId="77777777" w:rsidR="00B01930" w:rsidRDefault="00B01930" w:rsidP="00B01930">
      <w:pPr>
        <w:pStyle w:val="Titreniveau1"/>
        <w:rPr>
          <w:szCs w:val="36"/>
        </w:rPr>
      </w:pPr>
      <w:r>
        <w:rPr>
          <w:szCs w:val="36"/>
        </w:rPr>
        <w:t>14</w:t>
      </w:r>
    </w:p>
    <w:p w14:paraId="7A3633AB" w14:textId="77777777" w:rsidR="00B01930" w:rsidRDefault="00B01930" w:rsidP="00B01930">
      <w:pPr>
        <w:jc w:val="both"/>
        <w:rPr>
          <w:szCs w:val="36"/>
        </w:rPr>
      </w:pPr>
    </w:p>
    <w:p w14:paraId="0C69308B" w14:textId="77777777" w:rsidR="00B01930" w:rsidRPr="00843F3E" w:rsidRDefault="00B01930" w:rsidP="00B01930">
      <w:pPr>
        <w:pStyle w:val="Titreniveau2"/>
      </w:pPr>
      <w:r>
        <w:t>“</w:t>
      </w:r>
      <w:r w:rsidRPr="00C51BF3">
        <w:t>Au-delà des idées internationales ?</w:t>
      </w:r>
      <w:r>
        <w:br/>
      </w:r>
      <w:r w:rsidRPr="00C51BF3">
        <w:t>L’exemple des réseaux de</w:t>
      </w:r>
      <w:r>
        <w:br/>
      </w:r>
      <w:r w:rsidRPr="00C51BF3">
        <w:t>la diplomatie française</w:t>
      </w:r>
      <w:r w:rsidRPr="00A01FC9">
        <w:t>.</w:t>
      </w:r>
      <w:r>
        <w:t>”</w:t>
      </w:r>
    </w:p>
    <w:bookmarkEnd w:id="231"/>
    <w:p w14:paraId="3A77FD11" w14:textId="77777777" w:rsidR="00B01930" w:rsidRDefault="00B01930" w:rsidP="00B01930">
      <w:pPr>
        <w:jc w:val="both"/>
      </w:pPr>
    </w:p>
    <w:p w14:paraId="28345456" w14:textId="77777777" w:rsidR="00B01930" w:rsidRDefault="00B01930" w:rsidP="00B01930">
      <w:pPr>
        <w:pStyle w:val="suite"/>
      </w:pPr>
      <w:r>
        <w:t>Constanze VILLAR</w:t>
      </w:r>
    </w:p>
    <w:p w14:paraId="7A9434F1" w14:textId="77777777" w:rsidR="00B01930" w:rsidRDefault="00B01930" w:rsidP="00B01930">
      <w:pPr>
        <w:jc w:val="both"/>
      </w:pPr>
    </w:p>
    <w:p w14:paraId="22BFE941" w14:textId="77777777" w:rsidR="00B01930" w:rsidRDefault="00B01930" w:rsidP="00B01930">
      <w:pPr>
        <w:jc w:val="both"/>
      </w:pPr>
    </w:p>
    <w:p w14:paraId="37642513" w14:textId="77777777" w:rsidR="00B01930" w:rsidRDefault="00B01930" w:rsidP="00B01930">
      <w:pPr>
        <w:jc w:val="both"/>
      </w:pPr>
    </w:p>
    <w:p w14:paraId="17EF282A"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4CE49A11" w14:textId="77777777" w:rsidR="00B01930" w:rsidRPr="00320A86" w:rsidRDefault="00B01930" w:rsidP="00B01930">
      <w:pPr>
        <w:spacing w:before="120" w:after="120"/>
        <w:jc w:val="both"/>
      </w:pPr>
      <w:r w:rsidRPr="00320A86">
        <w:t>En sciences sociales, le concept opératoire de réseau est relativ</w:t>
      </w:r>
      <w:r w:rsidRPr="00320A86">
        <w:t>e</w:t>
      </w:r>
      <w:r w:rsidRPr="00320A86">
        <w:t>ment jeune. Madeleine Grawitz indique que « l’école des réseaux voit le jour aux États-Unis et en Angleterre en 1970 »</w:t>
      </w:r>
      <w:r>
        <w:t> </w:t>
      </w:r>
      <w:r>
        <w:rPr>
          <w:rStyle w:val="Appelnotedebasdep"/>
        </w:rPr>
        <w:footnoteReference w:id="1335"/>
      </w:r>
      <w:r w:rsidRPr="00320A86">
        <w:t>. Dès 1962 pou</w:t>
      </w:r>
      <w:r w:rsidRPr="00320A86">
        <w:t>r</w:t>
      </w:r>
      <w:r w:rsidRPr="00320A86">
        <w:t>tant, la première édition de son m</w:t>
      </w:r>
      <w:r w:rsidRPr="00320A86">
        <w:t>a</w:t>
      </w:r>
      <w:r w:rsidRPr="00320A86">
        <w:t>nuel contenait deux passages sur la théorie des graphes et l’utilisation des réseaux en sciences s</w:t>
      </w:r>
      <w:r w:rsidRPr="00320A86">
        <w:t>o</w:t>
      </w:r>
      <w:r w:rsidRPr="00320A86">
        <w:t>ciales d’après les chercheurs français</w:t>
      </w:r>
      <w:r>
        <w:t> </w:t>
      </w:r>
      <w:r>
        <w:rPr>
          <w:rStyle w:val="Appelnotedebasdep"/>
        </w:rPr>
        <w:footnoteReference w:id="1336"/>
      </w:r>
      <w:r w:rsidRPr="00320A86">
        <w:t>. Après ces débuts, un certain no</w:t>
      </w:r>
      <w:r w:rsidRPr="00320A86">
        <w:t>m</w:t>
      </w:r>
      <w:r w:rsidRPr="00320A86">
        <w:t>bre d’études sont venues explorer ce champ dans la perspective quantit</w:t>
      </w:r>
      <w:r w:rsidRPr="00320A86">
        <w:t>a</w:t>
      </w:r>
      <w:r w:rsidRPr="00320A86">
        <w:t>tive de l’interactionnisme structural</w:t>
      </w:r>
      <w:r>
        <w:t> </w:t>
      </w:r>
      <w:r>
        <w:rPr>
          <w:rStyle w:val="Appelnotedebasdep"/>
        </w:rPr>
        <w:footnoteReference w:id="1337"/>
      </w:r>
      <w:r w:rsidRPr="00320A86">
        <w:t>.</w:t>
      </w:r>
    </w:p>
    <w:p w14:paraId="78F74A99" w14:textId="77777777" w:rsidR="00B01930" w:rsidRPr="00320A86" w:rsidRDefault="00B01930" w:rsidP="00B01930">
      <w:pPr>
        <w:spacing w:before="120" w:after="120"/>
        <w:jc w:val="both"/>
      </w:pPr>
      <w:r w:rsidRPr="00320A86">
        <w:t>En science politique, également dans les années soixante-dix, le concept a permis d’analyser, par exemple, les élites administratives et politiques</w:t>
      </w:r>
      <w:r>
        <w:t> </w:t>
      </w:r>
      <w:r>
        <w:rPr>
          <w:rStyle w:val="Appelnotedebasdep"/>
        </w:rPr>
        <w:footnoteReference w:id="1338"/>
      </w:r>
      <w:r w:rsidRPr="00320A86">
        <w:t>. Cepe</w:t>
      </w:r>
      <w:r w:rsidRPr="00320A86">
        <w:t>n</w:t>
      </w:r>
      <w:r w:rsidRPr="00320A86">
        <w:t>dant, son usage s’est étendu à l’étude des relations internationales</w:t>
      </w:r>
      <w:r>
        <w:t> </w:t>
      </w:r>
      <w:r>
        <w:rPr>
          <w:rStyle w:val="Appelnotedebasdep"/>
        </w:rPr>
        <w:footnoteReference w:id="1339"/>
      </w:r>
      <w:r w:rsidRPr="00320A86">
        <w:t>. Il a été intégré en effet par les paradigmes concu</w:t>
      </w:r>
      <w:r w:rsidRPr="00320A86">
        <w:t>r</w:t>
      </w:r>
      <w:r w:rsidRPr="00320A86">
        <w:t>rents qui se partagent cette discipline. C’est le cas de certains courants réalistes ou néoréalistes (Hans Morgenthau, Raymond Aron, Kenneth Waltz, Pierre Hassner ou Jean-Jacques Roche). De même, il est utilisé par des institutionnalistes libéraux, qui insistent sur les rel</w:t>
      </w:r>
      <w:r w:rsidRPr="00320A86">
        <w:t>a</w:t>
      </w:r>
      <w:r w:rsidRPr="00320A86">
        <w:t>tions d’interdépendance entre les États et les acteurs transétatiques (Joseph Nye, Robert Keohane, et surtout James Rosenau). Ou encore par des « constructivistes », dont certains réduisent les relations internation</w:t>
      </w:r>
      <w:r w:rsidRPr="00320A86">
        <w:t>a</w:t>
      </w:r>
      <w:r w:rsidRPr="00320A86">
        <w:t>les à un e</w:t>
      </w:r>
      <w:r w:rsidRPr="00320A86">
        <w:t>n</w:t>
      </w:r>
      <w:r w:rsidRPr="00320A86">
        <w:t>semble réticulaire complexe (James Burton, par exemple). Le concept de réseau révèle donc une dimension transpar</w:t>
      </w:r>
      <w:r w:rsidRPr="00320A86">
        <w:t>a</w:t>
      </w:r>
      <w:r w:rsidRPr="00320A86">
        <w:t>digmatique.</w:t>
      </w:r>
    </w:p>
    <w:p w14:paraId="41F5DA46" w14:textId="77777777" w:rsidR="00B01930" w:rsidRPr="00320A86" w:rsidRDefault="00B01930" w:rsidP="00B01930">
      <w:pPr>
        <w:spacing w:before="120" w:after="120"/>
        <w:jc w:val="both"/>
      </w:pPr>
      <w:r w:rsidRPr="00320A86">
        <w:t>Le débat sur l’utilisation de cette notion connaît en France, on le sait, un r</w:t>
      </w:r>
      <w:r w:rsidRPr="00320A86">
        <w:t>e</w:t>
      </w:r>
      <w:r w:rsidRPr="00320A86">
        <w:t>bondissement actuel en science politique internationaliste. Bertrand Badie et Marie-Claude Smouts</w:t>
      </w:r>
      <w:r>
        <w:t> </w:t>
      </w:r>
      <w:r>
        <w:rPr>
          <w:rStyle w:val="Appelnotedebasdep"/>
        </w:rPr>
        <w:footnoteReference w:id="1340"/>
      </w:r>
      <w:r w:rsidRPr="00320A86">
        <w:t xml:space="preserve"> ont suggéré une appr</w:t>
      </w:r>
      <w:r w:rsidRPr="00320A86">
        <w:t>o</w:t>
      </w:r>
      <w:r w:rsidRPr="00320A86">
        <w:t>che du « désordre international », d’un « </w:t>
      </w:r>
      <w:r w:rsidRPr="009D54FA">
        <w:rPr>
          <w:i/>
        </w:rPr>
        <w:t>monde qui se déterritorialise [et qui] est ainsi désormais à la merci des solidarités proposées </w:t>
      </w:r>
      <w:r w:rsidRPr="00320A86">
        <w:t>»</w:t>
      </w:r>
      <w:r>
        <w:t> </w:t>
      </w:r>
      <w:r>
        <w:rPr>
          <w:rStyle w:val="Appelnotedebasdep"/>
        </w:rPr>
        <w:footnoteReference w:id="1341"/>
      </w:r>
      <w:r w:rsidRPr="00320A86">
        <w:t>. Les réseaux transnationaux sont perçus par eux co</w:t>
      </w:r>
      <w:r w:rsidRPr="00320A86">
        <w:t>m</w:t>
      </w:r>
      <w:r w:rsidRPr="00320A86">
        <w:t>me les fossoyeurs de l’État-Nation. Ils parlent crûment de « </w:t>
      </w:r>
      <w:r w:rsidRPr="009D54FA">
        <w:rPr>
          <w:i/>
        </w:rPr>
        <w:t>la fin des territo</w:t>
      </w:r>
      <w:r w:rsidRPr="009D54FA">
        <w:rPr>
          <w:i/>
        </w:rPr>
        <w:t>i</w:t>
      </w:r>
      <w:r w:rsidRPr="009D54FA">
        <w:rPr>
          <w:i/>
        </w:rPr>
        <w:t>res </w:t>
      </w:r>
      <w:r w:rsidRPr="00320A86">
        <w:t>» ou d’un « </w:t>
      </w:r>
      <w:r w:rsidRPr="009D54FA">
        <w:rPr>
          <w:i/>
        </w:rPr>
        <w:t>monde sans souveraineté </w:t>
      </w:r>
      <w:r w:rsidRPr="00320A86">
        <w:t>»</w:t>
      </w:r>
      <w:r>
        <w:t> </w:t>
      </w:r>
      <w:r>
        <w:rPr>
          <w:rStyle w:val="Appelnotedebasdep"/>
        </w:rPr>
        <w:footnoteReference w:id="1342"/>
      </w:r>
      <w:r w:rsidRPr="00320A86">
        <w:t>. À l’inverse, d’autres analystes</w:t>
      </w:r>
      <w:r>
        <w:t> </w:t>
      </w:r>
      <w:r>
        <w:rPr>
          <w:rStyle w:val="Appelnotedebasdep"/>
        </w:rPr>
        <w:footnoteReference w:id="1343"/>
      </w:r>
      <w:r w:rsidRPr="00320A86">
        <w:t xml:space="preserve"> cont</w:t>
      </w:r>
      <w:r w:rsidRPr="00320A86">
        <w:t>i</w:t>
      </w:r>
      <w:r w:rsidRPr="00320A86">
        <w:t>nuent à considérer que l’État reste un objet incontournable dans le système international, un « </w:t>
      </w:r>
      <w:r w:rsidRPr="009D54FA">
        <w:rPr>
          <w:i/>
        </w:rPr>
        <w:t>acteur privilégié </w:t>
      </w:r>
      <w:r w:rsidRPr="00320A86">
        <w:t>» même s’il est effect</w:t>
      </w:r>
      <w:r w:rsidRPr="00320A86">
        <w:t>i</w:t>
      </w:r>
      <w:r w:rsidRPr="00320A86">
        <w:t>vement concurrencé par des réseaux</w:t>
      </w:r>
      <w:r>
        <w:t> </w:t>
      </w:r>
      <w:r>
        <w:rPr>
          <w:rStyle w:val="Appelnotedebasdep"/>
        </w:rPr>
        <w:footnoteReference w:id="1344"/>
      </w:r>
      <w:r w:rsidRPr="00320A86">
        <w:t>. Et si, au lieu d’opposer État et réseaux, comme le font Badie et Smouts, on considérait leurs relations comme indissociables et fonctionne</w:t>
      </w:r>
      <w:r w:rsidRPr="00320A86">
        <w:t>l</w:t>
      </w:r>
      <w:r w:rsidRPr="00320A86">
        <w:t>les ?</w:t>
      </w:r>
    </w:p>
    <w:p w14:paraId="0FC391AA" w14:textId="77777777" w:rsidR="00B01930" w:rsidRDefault="00B01930" w:rsidP="00B01930">
      <w:pPr>
        <w:spacing w:before="120" w:after="120"/>
        <w:jc w:val="both"/>
      </w:pPr>
      <w:r w:rsidRPr="00320A86">
        <w:t>Explorons cette hypothèse. On peut considérer, en effet, que l’État investit à son tour l’espace transnational, le récupère éventuellement. Les politologues précités évoquent parfois cette possibilité :</w:t>
      </w:r>
    </w:p>
    <w:p w14:paraId="5CB7DF41" w14:textId="77777777" w:rsidR="00B01930" w:rsidRPr="00320A86" w:rsidRDefault="00B01930" w:rsidP="00B01930">
      <w:pPr>
        <w:spacing w:before="120" w:after="120"/>
        <w:jc w:val="both"/>
      </w:pPr>
    </w:p>
    <w:p w14:paraId="14FC98CF" w14:textId="77777777" w:rsidR="00B01930" w:rsidRDefault="00B01930" w:rsidP="00B01930">
      <w:pPr>
        <w:pStyle w:val="citation"/>
      </w:pPr>
      <w:r w:rsidRPr="00320A86">
        <w:t>« Les États savent même capter la déterritorialisation pour se créer de nouveaux avantages. […] L’Arabie saoudite ou l’Iran servent leur dipl</w:t>
      </w:r>
      <w:r w:rsidRPr="00320A86">
        <w:t>o</w:t>
      </w:r>
      <w:r w:rsidRPr="00320A86">
        <w:t>matie par un usage massif des réseaux religieux ; bon nombre d’États du Sud-Est asiatique savent utiliser leurs diasporas à leurs pr</w:t>
      </w:r>
      <w:r w:rsidRPr="00320A86">
        <w:t>o</w:t>
      </w:r>
      <w:r w:rsidRPr="00320A86">
        <w:t>fits. Les États-Unis ont fait un usage immodéré des flux de communication, des flux culturels, scientifiques, universitaires pour bénéficier des r</w:t>
      </w:r>
      <w:r w:rsidRPr="00320A86">
        <w:t>e</w:t>
      </w:r>
      <w:r w:rsidRPr="00320A86">
        <w:t>lais de toute nature et confirmer leur emprise polit</w:t>
      </w:r>
      <w:r w:rsidRPr="00320A86">
        <w:t>i</w:t>
      </w:r>
      <w:r w:rsidRPr="00320A86">
        <w:t>que sur tous les continents</w:t>
      </w:r>
      <w:r>
        <w:t> </w:t>
      </w:r>
      <w:r w:rsidRPr="00002B14">
        <w:rPr>
          <w:rStyle w:val="Appelnotedebasdep"/>
          <w:i/>
        </w:rPr>
        <w:footnoteReference w:id="1345"/>
      </w:r>
      <w:r w:rsidRPr="00320A86">
        <w:t>. »</w:t>
      </w:r>
    </w:p>
    <w:p w14:paraId="397EE8A9" w14:textId="77777777" w:rsidR="00B01930" w:rsidRPr="00320A86" w:rsidRDefault="00B01930" w:rsidP="00B01930">
      <w:pPr>
        <w:pStyle w:val="citation"/>
      </w:pPr>
    </w:p>
    <w:p w14:paraId="54B05C5B" w14:textId="77777777" w:rsidR="00B01930" w:rsidRPr="00320A86" w:rsidRDefault="00B01930" w:rsidP="00B01930">
      <w:pPr>
        <w:spacing w:before="120" w:after="120"/>
        <w:jc w:val="both"/>
      </w:pPr>
      <w:r w:rsidRPr="00320A86">
        <w:t>Toutefois Badie et Smouts n’insistent pas sur cette hypothèse et ne reprennent nullement cette idée, ni dans les conclusions de leurs tr</w:t>
      </w:r>
      <w:r w:rsidRPr="00320A86">
        <w:t>a</w:t>
      </w:r>
      <w:r w:rsidRPr="00320A86">
        <w:t>vaux ni pour rév</w:t>
      </w:r>
      <w:r w:rsidRPr="00320A86">
        <w:t>i</w:t>
      </w:r>
      <w:r w:rsidRPr="00320A86">
        <w:t>ser leur thèse principale. D’un côté, on réintègre le phénomène des réseaux dans l’analyse des relations internationales, mais de l’autre, on oppose leur transn</w:t>
      </w:r>
      <w:r w:rsidRPr="00320A86">
        <w:t>a</w:t>
      </w:r>
      <w:r w:rsidRPr="00320A86">
        <w:t>tionalité à la réalité souveraine intrafrontalière des États, dans le contexte mo</w:t>
      </w:r>
      <w:r w:rsidRPr="00320A86">
        <w:t>n</w:t>
      </w:r>
      <w:r w:rsidRPr="00320A86">
        <w:t>dialisé de la fluidité des échanges.</w:t>
      </w:r>
    </w:p>
    <w:p w14:paraId="0CD3FB69" w14:textId="77777777" w:rsidR="00B01930" w:rsidRPr="00320A86" w:rsidRDefault="00B01930" w:rsidP="00B01930">
      <w:pPr>
        <w:spacing w:before="120" w:after="120"/>
        <w:jc w:val="both"/>
      </w:pPr>
      <w:r w:rsidRPr="00320A86">
        <w:t>Par rapport à cette approche exclusiviste, on peut penser que les activités des États, hier comme aujourd’hui, se situent à différents n</w:t>
      </w:r>
      <w:r w:rsidRPr="00320A86">
        <w:t>i</w:t>
      </w:r>
      <w:r w:rsidRPr="00320A86">
        <w:t>veaux officiels et off</w:t>
      </w:r>
      <w:r w:rsidRPr="00320A86">
        <w:t>i</w:t>
      </w:r>
      <w:r w:rsidRPr="00320A86">
        <w:t>cieux, publics et privés, parallèles et concurrents, dans des réseaux. La sphère internationale comme l’univers diplom</w:t>
      </w:r>
      <w:r w:rsidRPr="00320A86">
        <w:t>a</w:t>
      </w:r>
      <w:r w:rsidRPr="00320A86">
        <w:t>tique en constituent un champ singulier où les exemples anciens et modernes foisonnent</w:t>
      </w:r>
      <w:r>
        <w:t> </w:t>
      </w:r>
      <w:r>
        <w:rPr>
          <w:rStyle w:val="Appelnotedebasdep"/>
        </w:rPr>
        <w:footnoteReference w:id="1346"/>
      </w:r>
      <w:r w:rsidRPr="00320A86">
        <w:t>. On peut alors se demander si les rapports e</w:t>
      </w:r>
      <w:r w:rsidRPr="00320A86">
        <w:t>n</w:t>
      </w:r>
      <w:r w:rsidRPr="00320A86">
        <w:t>tre unités stato-nationales et réseaux transnationaux se déroulent uniqu</w:t>
      </w:r>
      <w:r w:rsidRPr="00320A86">
        <w:t>e</w:t>
      </w:r>
      <w:r w:rsidRPr="00320A86">
        <w:t>ment sur le mode concurrentiel ou s’il y a place pour une certaine coop</w:t>
      </w:r>
      <w:r w:rsidRPr="00320A86">
        <w:t>é</w:t>
      </w:r>
      <w:r w:rsidRPr="00320A86">
        <w:t>ration. Au lieu de les opposer en termes conflictuels, ne peut-on envisager une interdépendance qui, au bout du processus, produirait un effet de synergie ? A</w:t>
      </w:r>
      <w:r w:rsidRPr="00320A86">
        <w:t>u</w:t>
      </w:r>
      <w:r w:rsidRPr="00320A86">
        <w:t>trement dit, en relations internationales, l’émergence des réseaux conduirait, ce</w:t>
      </w:r>
      <w:r w:rsidRPr="00320A86">
        <w:t>r</w:t>
      </w:r>
      <w:r w:rsidRPr="00320A86">
        <w:t>tes, à une « </w:t>
      </w:r>
      <w:r w:rsidRPr="009D54FA">
        <w:rPr>
          <w:i/>
        </w:rPr>
        <w:t>dilution de l’autorité centrale dans des liens multiples </w:t>
      </w:r>
      <w:r w:rsidRPr="00320A86">
        <w:t>»</w:t>
      </w:r>
      <w:r>
        <w:t> </w:t>
      </w:r>
      <w:r>
        <w:rPr>
          <w:rStyle w:val="Appelnotedebasdep"/>
        </w:rPr>
        <w:footnoteReference w:id="1347"/>
      </w:r>
      <w:r w:rsidRPr="00320A86">
        <w:t>, mais celle-là procur</w:t>
      </w:r>
      <w:r w:rsidRPr="00320A86">
        <w:t>e</w:t>
      </w:r>
      <w:r w:rsidRPr="00320A86">
        <w:t xml:space="preserve">rait </w:t>
      </w:r>
      <w:r w:rsidRPr="009D54FA">
        <w:rPr>
          <w:i/>
        </w:rPr>
        <w:t>ipso facto</w:t>
      </w:r>
      <w:r w:rsidRPr="00320A86">
        <w:t xml:space="preserve"> à celle-ci des opportunités de ressources supplémenta</w:t>
      </w:r>
      <w:r w:rsidRPr="00320A86">
        <w:t>i</w:t>
      </w:r>
      <w:r w:rsidRPr="00320A86">
        <w:t>res.</w:t>
      </w:r>
    </w:p>
    <w:p w14:paraId="3B609149" w14:textId="77777777" w:rsidR="00B01930" w:rsidRPr="00320A86" w:rsidRDefault="00B01930" w:rsidP="00B01930">
      <w:pPr>
        <w:spacing w:before="120" w:after="120"/>
        <w:jc w:val="both"/>
      </w:pPr>
      <w:r w:rsidRPr="00320A86">
        <w:t>Dans cette perspective de rapprochement des contraires, on peut poser l’existence d’un ordre international dualiste. Nous suivons là Marie-Christine Kessler qui distingue « </w:t>
      </w:r>
      <w:r w:rsidRPr="00817CEB">
        <w:rPr>
          <w:i/>
        </w:rPr>
        <w:t>d’un côté l’univers de l’État, codifié, composé d’un nombre fini d’acteurs connus et identifiables ; de l’autre, un monde multicentré, constitué de participants potentie</w:t>
      </w:r>
      <w:r w:rsidRPr="00817CEB">
        <w:rPr>
          <w:i/>
        </w:rPr>
        <w:t>l</w:t>
      </w:r>
      <w:r w:rsidRPr="00817CEB">
        <w:rPr>
          <w:i/>
        </w:rPr>
        <w:t>lement très nombreux qui ont une capacité d’action autonome par ra</w:t>
      </w:r>
      <w:r w:rsidRPr="00817CEB">
        <w:rPr>
          <w:i/>
        </w:rPr>
        <w:t>p</w:t>
      </w:r>
      <w:r w:rsidRPr="00817CEB">
        <w:rPr>
          <w:i/>
        </w:rPr>
        <w:t>port à l’État dont ils dépendent </w:t>
      </w:r>
      <w:r w:rsidRPr="00320A86">
        <w:t>»</w:t>
      </w:r>
      <w:r>
        <w:t> </w:t>
      </w:r>
      <w:r>
        <w:rPr>
          <w:rStyle w:val="Appelnotedebasdep"/>
        </w:rPr>
        <w:footnoteReference w:id="1348"/>
      </w:r>
      <w:r w:rsidRPr="00320A86">
        <w:t>. Ainsi, les acteurs nationaux sont impliqués dans l’élaboration et la mise en œuvre de la politique étra</w:t>
      </w:r>
      <w:r w:rsidRPr="00320A86">
        <w:t>n</w:t>
      </w:r>
      <w:r w:rsidRPr="00320A86">
        <w:t>gère et dans les réseaux qu’ils constituent.</w:t>
      </w:r>
    </w:p>
    <w:p w14:paraId="02B26275" w14:textId="77777777" w:rsidR="00B01930" w:rsidRPr="00320A86" w:rsidRDefault="00B01930" w:rsidP="00B01930">
      <w:pPr>
        <w:spacing w:before="120" w:after="120"/>
        <w:jc w:val="both"/>
      </w:pPr>
      <w:r w:rsidRPr="00320A86">
        <w:t>États et réseaux s’interpénètrent, s’entremêlent dans des intera</w:t>
      </w:r>
      <w:r w:rsidRPr="00320A86">
        <w:t>c</w:t>
      </w:r>
      <w:r w:rsidRPr="00320A86">
        <w:t>tions complexes. Un secteur étatique reste particulièrement intére</w:t>
      </w:r>
      <w:r w:rsidRPr="00320A86">
        <w:t>s</w:t>
      </w:r>
      <w:r w:rsidRPr="00320A86">
        <w:t>sant, car il permet de dégager l’importance des structures et du fon</w:t>
      </w:r>
      <w:r w:rsidRPr="00320A86">
        <w:t>c</w:t>
      </w:r>
      <w:r w:rsidRPr="00320A86">
        <w:t>tionnement réticulaire dans l’action transfrontalière : la diplomatie. Dans un premier temps, nous rapproch</w:t>
      </w:r>
      <w:r w:rsidRPr="00320A86">
        <w:t>e</w:t>
      </w:r>
      <w:r w:rsidRPr="00320A86">
        <w:t>rons les deux objets, État et réseau, sans pour autant tenter une systématisation théorique (I).</w:t>
      </w:r>
    </w:p>
    <w:p w14:paraId="1077DA2E" w14:textId="77777777" w:rsidR="00B01930" w:rsidRPr="00320A86" w:rsidRDefault="00B01930" w:rsidP="00B01930">
      <w:pPr>
        <w:spacing w:before="120" w:after="120"/>
        <w:jc w:val="both"/>
      </w:pPr>
      <w:r w:rsidRPr="00320A86">
        <w:t>Cependant, attachés à la concrétude indispensable de toute analyse complexe des relations internationales, nous nous efforcerons dans un second temps de voir si les liens envisagés sur le plan intellectuel e</w:t>
      </w:r>
      <w:r w:rsidRPr="00320A86">
        <w:t>n</w:t>
      </w:r>
      <w:r w:rsidRPr="00320A86">
        <w:t>tre État, diplomatie et r</w:t>
      </w:r>
      <w:r w:rsidRPr="00320A86">
        <w:t>é</w:t>
      </w:r>
      <w:r w:rsidRPr="00320A86">
        <w:t>seaux, ont une réalité sur le terrain. Pour cela, nous avons retenu le cas d’un État qui a toujours tenu à se distinguer de façon nationaliste, relativement indépe</w:t>
      </w:r>
      <w:r w:rsidRPr="00320A86">
        <w:t>n</w:t>
      </w:r>
      <w:r w:rsidRPr="00320A86">
        <w:t>dante et « non alignée » par rapport au système international dominant : la Fra</w:t>
      </w:r>
      <w:r w:rsidRPr="00320A86">
        <w:t>n</w:t>
      </w:r>
      <w:r w:rsidRPr="00320A86">
        <w:t>ce de la Cinquième République en situation de cohabitation. Il s’agit là de l’affaire Albe</w:t>
      </w:r>
      <w:r w:rsidRPr="00320A86">
        <w:t>r</w:t>
      </w:r>
      <w:r w:rsidRPr="00320A86">
        <w:t>tini, coopérant français arrêté et emprisonné par le gouvernement d’Afrique du Sud en 1986, que la France s’efforça de faire libérer. Cette affaire diplomatique est susceptible de permettre d’apprécier la capacité d’un État ind</w:t>
      </w:r>
      <w:r w:rsidRPr="00320A86">
        <w:t>é</w:t>
      </w:r>
      <w:r w:rsidRPr="00320A86">
        <w:t>pendant à établir des liens avec d’autres États et des réseaux informels dans une aire d’intervention lointaine par rapport à sa zone d’influence : l’Afrique austr</w:t>
      </w:r>
      <w:r w:rsidRPr="00320A86">
        <w:t>a</w:t>
      </w:r>
      <w:r w:rsidRPr="00320A86">
        <w:t>le (II).</w:t>
      </w:r>
    </w:p>
    <w:p w14:paraId="60F9C89D" w14:textId="77777777" w:rsidR="00B01930" w:rsidRPr="00320A86" w:rsidRDefault="00B01930" w:rsidP="00B01930">
      <w:pPr>
        <w:spacing w:before="120" w:after="120"/>
        <w:jc w:val="both"/>
      </w:pPr>
    </w:p>
    <w:p w14:paraId="69921ED3" w14:textId="77777777" w:rsidR="00B01930" w:rsidRPr="00320A86" w:rsidRDefault="00B01930" w:rsidP="00B01930">
      <w:pPr>
        <w:pStyle w:val="planche"/>
      </w:pPr>
      <w:bookmarkStart w:id="232" w:name="Analyser_idees_pol_pt_4_texte_14_I"/>
      <w:r w:rsidRPr="00320A86">
        <w:t>I. Diplomatie et Réseaux :</w:t>
      </w:r>
      <w:r>
        <w:br/>
      </w:r>
      <w:r w:rsidRPr="00320A86">
        <w:t>les liaisons dangereuses de la souvera</w:t>
      </w:r>
      <w:r w:rsidRPr="00320A86">
        <w:t>i</w:t>
      </w:r>
      <w:r w:rsidRPr="00320A86">
        <w:t>neté</w:t>
      </w:r>
    </w:p>
    <w:bookmarkEnd w:id="232"/>
    <w:p w14:paraId="25B58528" w14:textId="77777777" w:rsidR="00B01930" w:rsidRDefault="00B01930" w:rsidP="00B01930">
      <w:pPr>
        <w:spacing w:before="120" w:after="120"/>
        <w:jc w:val="both"/>
      </w:pPr>
    </w:p>
    <w:p w14:paraId="3FC216B7"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13EE3364" w14:textId="77777777" w:rsidR="00B01930" w:rsidRPr="00320A86" w:rsidRDefault="00B01930" w:rsidP="00B01930">
      <w:pPr>
        <w:spacing w:before="120" w:after="120"/>
        <w:jc w:val="both"/>
      </w:pPr>
      <w:r w:rsidRPr="00320A86">
        <w:t>Est-il pertinent de rapprocher la diplomatie, acte concernant par excellence la puissance d’un État souverain, et l’objet réseau, fluide, opaque, mouvant, par essence informel plus qu’institutionnel ? Les deux objets révèlent, lorsqu’on les met en relation, des éléments communs, mais aussi des différences notables.</w:t>
      </w:r>
    </w:p>
    <w:p w14:paraId="34362CB1" w14:textId="77777777" w:rsidR="00B01930" w:rsidRPr="00320A86" w:rsidRDefault="00B01930" w:rsidP="00B01930">
      <w:pPr>
        <w:spacing w:before="120" w:after="120"/>
        <w:jc w:val="both"/>
      </w:pPr>
      <w:r>
        <w:br w:type="page"/>
      </w:r>
    </w:p>
    <w:p w14:paraId="1D5D3FF8" w14:textId="77777777" w:rsidR="00B01930" w:rsidRDefault="00B01930" w:rsidP="00B01930">
      <w:pPr>
        <w:pStyle w:val="a"/>
      </w:pPr>
      <w:r w:rsidRPr="00320A86">
        <w:t>Des réseaux en général</w:t>
      </w:r>
    </w:p>
    <w:p w14:paraId="1D6BD361" w14:textId="77777777" w:rsidR="00B01930" w:rsidRPr="00320A86" w:rsidRDefault="00B01930" w:rsidP="00B01930">
      <w:pPr>
        <w:spacing w:before="120" w:after="120"/>
        <w:jc w:val="both"/>
      </w:pPr>
    </w:p>
    <w:p w14:paraId="4C98F240" w14:textId="77777777" w:rsidR="00B01930" w:rsidRPr="00320A86" w:rsidRDefault="00B01930" w:rsidP="00B01930">
      <w:pPr>
        <w:spacing w:before="120" w:after="120"/>
        <w:jc w:val="both"/>
      </w:pPr>
      <w:r w:rsidRPr="00320A86">
        <w:t>On définit souvent l’objet réseau comme une répartition des él</w:t>
      </w:r>
      <w:r w:rsidRPr="00320A86">
        <w:t>é</w:t>
      </w:r>
      <w:r w:rsidRPr="00320A86">
        <w:t>ments d’un ensemble en différents points</w:t>
      </w:r>
      <w:r>
        <w:t> </w:t>
      </w:r>
      <w:r>
        <w:rPr>
          <w:rStyle w:val="Appelnotedebasdep"/>
        </w:rPr>
        <w:footnoteReference w:id="1349"/>
      </w:r>
      <w:r w:rsidRPr="00320A86">
        <w:t>. On relève deux caractéri</w:t>
      </w:r>
      <w:r w:rsidRPr="00320A86">
        <w:t>s</w:t>
      </w:r>
      <w:r w:rsidRPr="00320A86">
        <w:t>tiques : pluralité et topographie, dans la mesure où plusieurs él</w:t>
      </w:r>
      <w:r w:rsidRPr="00320A86">
        <w:t>é</w:t>
      </w:r>
      <w:r w:rsidRPr="00320A86">
        <w:t>ments sont répartis dans un espace.</w:t>
      </w:r>
    </w:p>
    <w:p w14:paraId="22925C11" w14:textId="77777777" w:rsidR="00B01930" w:rsidRPr="00320A86" w:rsidRDefault="00B01930" w:rsidP="00B01930">
      <w:pPr>
        <w:spacing w:before="120" w:after="120"/>
        <w:jc w:val="both"/>
      </w:pPr>
      <w:r w:rsidRPr="00320A86">
        <w:t>Lorsque l’on suit, à travers les siècles, ses nombreuses occurre</w:t>
      </w:r>
      <w:r w:rsidRPr="00320A86">
        <w:t>n</w:t>
      </w:r>
      <w:r w:rsidRPr="00320A86">
        <w:t>ces, l’emploi métaphorique du terme réseau se rencontre dans des domaines aussi variés que la médecine, la physique, la broderie, l’architecture ou la télématique, etc., lo</w:t>
      </w:r>
      <w:r w:rsidRPr="00320A86">
        <w:t>n</w:t>
      </w:r>
      <w:r w:rsidRPr="00320A86">
        <w:t>gue série égrainée dans les dictionnaires et les encyclopédies</w:t>
      </w:r>
      <w:r>
        <w:t> </w:t>
      </w:r>
      <w:r>
        <w:rPr>
          <w:rStyle w:val="Appelnotedebasdep"/>
        </w:rPr>
        <w:footnoteReference w:id="1350"/>
      </w:r>
      <w:r w:rsidRPr="00320A86">
        <w:t>. L’emploi du terme va des beaux-arts, où il désigne le dessin qui forme des lignes entrecroisées, entr</w:t>
      </w:r>
      <w:r w:rsidRPr="00320A86">
        <w:t>e</w:t>
      </w:r>
      <w:r w:rsidRPr="00320A86">
        <w:t>lacées (par exemple les nervures d’un remplage, les plombs d’un v</w:t>
      </w:r>
      <w:r w:rsidRPr="00320A86">
        <w:t>i</w:t>
      </w:r>
      <w:r w:rsidRPr="00320A86">
        <w:t>trail, etc.)</w:t>
      </w:r>
      <w:r>
        <w:t> </w:t>
      </w:r>
      <w:r>
        <w:rPr>
          <w:rStyle w:val="Appelnotedebasdep"/>
        </w:rPr>
        <w:footnoteReference w:id="1351"/>
      </w:r>
      <w:r w:rsidRPr="00320A86">
        <w:rPr>
          <w:rFonts w:eastAsia="Times"/>
        </w:rPr>
        <w:t>,</w:t>
      </w:r>
      <w:r w:rsidRPr="00320A86">
        <w:t xml:space="preserve"> à l’informatique, pour quelques ordinateurs géograph</w:t>
      </w:r>
      <w:r w:rsidRPr="00320A86">
        <w:t>i</w:t>
      </w:r>
      <w:r w:rsidRPr="00320A86">
        <w:t>quement éloignés les uns des autres, interconnectés par des téléco</w:t>
      </w:r>
      <w:r w:rsidRPr="00320A86">
        <w:t>m</w:t>
      </w:r>
      <w:r w:rsidRPr="00320A86">
        <w:t>munications, général</w:t>
      </w:r>
      <w:r w:rsidRPr="00320A86">
        <w:t>e</w:t>
      </w:r>
      <w:r w:rsidRPr="00320A86">
        <w:t>ment permanentes</w:t>
      </w:r>
      <w:r>
        <w:t> </w:t>
      </w:r>
      <w:r>
        <w:rPr>
          <w:rStyle w:val="Appelnotedebasdep"/>
        </w:rPr>
        <w:footnoteReference w:id="1352"/>
      </w:r>
      <w:r w:rsidRPr="00320A86">
        <w:t>, aussi bien que par l’Internet. En biologie, le réseau sa</w:t>
      </w:r>
      <w:r w:rsidRPr="00320A86">
        <w:t>n</w:t>
      </w:r>
      <w:r w:rsidRPr="00320A86">
        <w:t>guin décrit l’entrelacement des vaisseaux</w:t>
      </w:r>
      <w:r>
        <w:t> </w:t>
      </w:r>
      <w:r>
        <w:rPr>
          <w:rStyle w:val="Appelnotedebasdep"/>
        </w:rPr>
        <w:footnoteReference w:id="1353"/>
      </w:r>
      <w:r w:rsidRPr="00320A86">
        <w:t>. En zoologie, le terme désigne la deuxi</w:t>
      </w:r>
      <w:r w:rsidRPr="00320A86">
        <w:t>è</w:t>
      </w:r>
      <w:r w:rsidRPr="00320A86">
        <w:t>me poche de l’estomac des ruminants</w:t>
      </w:r>
      <w:r>
        <w:t> </w:t>
      </w:r>
      <w:r>
        <w:rPr>
          <w:rStyle w:val="Appelnotedebasdep"/>
        </w:rPr>
        <w:footnoteReference w:id="1354"/>
      </w:r>
      <w:r w:rsidRPr="00320A86">
        <w:t>. En physique, on parle d’ensemble de traits fins, parallèles très rapprochés, qui diffracte la lumière</w:t>
      </w:r>
      <w:r>
        <w:t> </w:t>
      </w:r>
      <w:r>
        <w:rPr>
          <w:rStyle w:val="Appelnotedebasdep"/>
        </w:rPr>
        <w:footnoteReference w:id="1355"/>
      </w:r>
      <w:r w:rsidRPr="00320A86">
        <w:t>. Mais c’est la géographie qui use ou abuse le plus du concept. Celle-ci an</w:t>
      </w:r>
      <w:r w:rsidRPr="00320A86">
        <w:t>a</w:t>
      </w:r>
      <w:r w:rsidRPr="00320A86">
        <w:t>lyse des réseaux urbains, de voies ferrées, de lignes téléphoniques ou des liens tél</w:t>
      </w:r>
      <w:r w:rsidRPr="00320A86">
        <w:t>é</w:t>
      </w:r>
      <w:r w:rsidRPr="00320A86">
        <w:t>matiques, des lignes électriques, des canalisations d’eau ou de gaz, des liaisons hertziennes</w:t>
      </w:r>
      <w:r>
        <w:t> </w:t>
      </w:r>
      <w:r>
        <w:rPr>
          <w:rStyle w:val="Appelnotedebasdep"/>
        </w:rPr>
        <w:footnoteReference w:id="1356"/>
      </w:r>
      <w:r w:rsidRPr="00320A86">
        <w:t>, des réseaux hydrographiques, des ense</w:t>
      </w:r>
      <w:r w:rsidRPr="00320A86">
        <w:t>m</w:t>
      </w:r>
      <w:r w:rsidRPr="00320A86">
        <w:t>bles de fleuves et d’affluents drainant une région, etc. À travers toutes ces occurrences, nous sommes en présence d’un élément constitutif redondant : le lien qui transforme des points positio</w:t>
      </w:r>
      <w:r w:rsidRPr="00320A86">
        <w:t>n</w:t>
      </w:r>
      <w:r w:rsidRPr="00320A86">
        <w:t>nés dans l’espace en une « machine circulatoire »</w:t>
      </w:r>
      <w:r>
        <w:t> </w:t>
      </w:r>
      <w:r>
        <w:rPr>
          <w:rStyle w:val="Appelnotedebasdep"/>
        </w:rPr>
        <w:footnoteReference w:id="1357"/>
      </w:r>
      <w:r w:rsidRPr="00320A86">
        <w:t>. Le réseau, c’est au</w:t>
      </w:r>
      <w:r w:rsidRPr="00320A86">
        <w:t>s</w:t>
      </w:r>
      <w:r w:rsidRPr="00320A86">
        <w:t>si un système de relations entre des éléments. La réalité de la structure rét</w:t>
      </w:r>
      <w:r w:rsidRPr="00320A86">
        <w:t>i</w:t>
      </w:r>
      <w:r w:rsidRPr="00320A86">
        <w:t>culaire est marquée par la connexité, à moins que l’on préfère parler de « connectivité » ou mieux encore de « connectibilité »</w:t>
      </w:r>
      <w:r>
        <w:t> </w:t>
      </w:r>
      <w:r>
        <w:rPr>
          <w:rStyle w:val="Appelnotedebasdep"/>
        </w:rPr>
        <w:footnoteReference w:id="1358"/>
      </w:r>
      <w:r w:rsidRPr="00320A86">
        <w:t>. Ce trait tr</w:t>
      </w:r>
      <w:r w:rsidRPr="00320A86">
        <w:t>a</w:t>
      </w:r>
      <w:r w:rsidRPr="00320A86">
        <w:t>verse la longue filiation de la notion de réseau, et l’idée que les él</w:t>
      </w:r>
      <w:r w:rsidRPr="00320A86">
        <w:t>é</w:t>
      </w:r>
      <w:r w:rsidRPr="00320A86">
        <w:t>ments de l’ensemble sont reliés e</w:t>
      </w:r>
      <w:r w:rsidRPr="00320A86">
        <w:t>n</w:t>
      </w:r>
      <w:r w:rsidRPr="00320A86">
        <w:t xml:space="preserve">tre eux paraît déjà contenue dans l’origine étymologique du latin </w:t>
      </w:r>
      <w:r w:rsidRPr="00817CEB">
        <w:rPr>
          <w:i/>
        </w:rPr>
        <w:t>retis</w:t>
      </w:r>
      <w:r w:rsidRPr="00320A86">
        <w:t>, « filet ».</w:t>
      </w:r>
    </w:p>
    <w:p w14:paraId="63E2B158" w14:textId="77777777" w:rsidR="00B01930" w:rsidRPr="00320A86" w:rsidRDefault="00B01930" w:rsidP="00B01930">
      <w:pPr>
        <w:spacing w:before="120" w:after="120"/>
        <w:jc w:val="both"/>
      </w:pPr>
      <w:r w:rsidRPr="00320A86">
        <w:t>Autre trait de la configuration réticulaire : la finallité. En effet, pl</w:t>
      </w:r>
      <w:r w:rsidRPr="00320A86">
        <w:t>u</w:t>
      </w:r>
      <w:r w:rsidRPr="00320A86">
        <w:t>ralité, t</w:t>
      </w:r>
      <w:r w:rsidRPr="00320A86">
        <w:t>o</w:t>
      </w:r>
      <w:r w:rsidRPr="00320A86">
        <w:t>pographie et connexité concourent au fonctionnement de la structure. Avec les disciples de Saint-Simon, au dix-neuvième siècle, l’idée du réseau devient ve</w:t>
      </w:r>
      <w:r w:rsidRPr="00320A86">
        <w:t>c</w:t>
      </w:r>
      <w:r w:rsidRPr="00320A86">
        <w:t>trice d’une philosophie du progrès, d’une mystique de la communication généralisée. Le réseau est réputé préf</w:t>
      </w:r>
      <w:r w:rsidRPr="00320A86">
        <w:t>é</w:t>
      </w:r>
      <w:r w:rsidRPr="00320A86">
        <w:t>rable au non-réseau et devient l’instrument du bien collectif</w:t>
      </w:r>
      <w:r>
        <w:t> </w:t>
      </w:r>
      <w:r>
        <w:rPr>
          <w:rStyle w:val="Appelnotedebasdep"/>
        </w:rPr>
        <w:footnoteReference w:id="1359"/>
      </w:r>
      <w:r w:rsidRPr="00320A86">
        <w:t>. Mais surtout, l’idée sous-jacente est que plus qu’une addition des éléments, le réseau procure une économie d’échelle ; son utilité y r</w:t>
      </w:r>
      <w:r w:rsidRPr="00320A86">
        <w:t>é</w:t>
      </w:r>
      <w:r w:rsidRPr="00320A86">
        <w:t>side. C’est ce que souligne A. Colonomos :</w:t>
      </w:r>
    </w:p>
    <w:p w14:paraId="0ABA6D84" w14:textId="77777777" w:rsidR="00B01930" w:rsidRDefault="00B01930" w:rsidP="00B01930">
      <w:pPr>
        <w:pStyle w:val="citation"/>
      </w:pPr>
    </w:p>
    <w:p w14:paraId="2D080DB0" w14:textId="77777777" w:rsidR="00B01930" w:rsidRDefault="00B01930" w:rsidP="00B01930">
      <w:pPr>
        <w:pStyle w:val="citation"/>
      </w:pPr>
      <w:r w:rsidRPr="00320A86">
        <w:t>« La structuration du réseau fait apparaître l’économie qui résulte d’une telle démarche motivée par la recherche d’un profit social, écon</w:t>
      </w:r>
      <w:r w:rsidRPr="00320A86">
        <w:t>o</w:t>
      </w:r>
      <w:r w:rsidRPr="00320A86">
        <w:t>mique et politique. […] Les réseaux sont orientés par la recherche d’une logique utilitaire, le fruit d’une économie d’échelle résultant de l’agrégation de nouveaux interv</w:t>
      </w:r>
      <w:r w:rsidRPr="00320A86">
        <w:t>e</w:t>
      </w:r>
      <w:r w:rsidRPr="00320A86">
        <w:t>nants</w:t>
      </w:r>
      <w:r>
        <w:t> </w:t>
      </w:r>
      <w:r w:rsidRPr="00002B14">
        <w:rPr>
          <w:rStyle w:val="Appelnotedebasdep"/>
          <w:i/>
        </w:rPr>
        <w:footnoteReference w:id="1360"/>
      </w:r>
      <w:r w:rsidRPr="00320A86">
        <w:rPr>
          <w:rFonts w:eastAsia="Times"/>
        </w:rPr>
        <w:t>.</w:t>
      </w:r>
      <w:r w:rsidRPr="00320A86">
        <w:t> »</w:t>
      </w:r>
    </w:p>
    <w:p w14:paraId="2901DD46" w14:textId="77777777" w:rsidR="00B01930" w:rsidRDefault="00B01930" w:rsidP="00B01930">
      <w:pPr>
        <w:pStyle w:val="citation"/>
      </w:pPr>
    </w:p>
    <w:p w14:paraId="47929315" w14:textId="77777777" w:rsidR="00B01930" w:rsidRPr="00320A86" w:rsidRDefault="00B01930" w:rsidP="00B01930">
      <w:pPr>
        <w:spacing w:before="120" w:after="120"/>
        <w:jc w:val="both"/>
      </w:pPr>
      <w:r w:rsidRPr="00320A86">
        <w:t>Ces caractéristiques générales des réseaux sociaux concernent-elles le secteur étatique de la diplomatie ?</w:t>
      </w:r>
    </w:p>
    <w:p w14:paraId="5D215F80" w14:textId="77777777" w:rsidR="00B01930" w:rsidRPr="00320A86" w:rsidRDefault="00B01930" w:rsidP="00B01930">
      <w:pPr>
        <w:spacing w:before="120" w:after="120"/>
        <w:jc w:val="both"/>
      </w:pPr>
      <w:r>
        <w:br w:type="page"/>
      </w:r>
    </w:p>
    <w:p w14:paraId="6459874A" w14:textId="77777777" w:rsidR="00B01930" w:rsidRDefault="00B01930" w:rsidP="00B01930">
      <w:pPr>
        <w:pStyle w:val="a"/>
      </w:pPr>
      <w:r w:rsidRPr="00320A86">
        <w:t>La diplomatie est-elle un réseau ?</w:t>
      </w:r>
    </w:p>
    <w:p w14:paraId="59A82142" w14:textId="77777777" w:rsidR="00B01930" w:rsidRPr="00320A86" w:rsidRDefault="00B01930" w:rsidP="00B01930">
      <w:pPr>
        <w:spacing w:before="120" w:after="120"/>
        <w:jc w:val="both"/>
      </w:pPr>
    </w:p>
    <w:p w14:paraId="2210D917" w14:textId="77777777" w:rsidR="00B01930" w:rsidRPr="00320A86" w:rsidRDefault="00B01930" w:rsidP="00B01930">
      <w:pPr>
        <w:spacing w:before="120" w:after="120"/>
        <w:jc w:val="both"/>
      </w:pPr>
      <w:r w:rsidRPr="00320A86">
        <w:t>Premier élément de réponse : les diplomates parlent eux-mêmes, dans leur logique d’autoréférence, de réseau. Qu’entendent-ils par là ? Associer le terme à l’art de la diplomatie semble aller de soi pour les praticiens de la chose. L’expression est banale et désigne d’abord l’ensemble des représentations d</w:t>
      </w:r>
      <w:r w:rsidRPr="00320A86">
        <w:t>i</w:t>
      </w:r>
      <w:r w:rsidRPr="00320A86">
        <w:t>plomatiques d’un pays à travers le monde. Les hommes politiques, eux, ont bien conscience de cette r</w:t>
      </w:r>
      <w:r w:rsidRPr="00320A86">
        <w:t>é</w:t>
      </w:r>
      <w:r w:rsidRPr="00320A86">
        <w:t>alité. Le président de la République française appréciait par exemple en ces termes, devant un public d’ambassadeurs, la dimension rétic</w:t>
      </w:r>
      <w:r w:rsidRPr="00320A86">
        <w:t>u</w:t>
      </w:r>
      <w:r w:rsidRPr="00320A86">
        <w:t>laire du réseau diplomatique dont dispose la France :</w:t>
      </w:r>
    </w:p>
    <w:p w14:paraId="7B650159" w14:textId="77777777" w:rsidR="00B01930" w:rsidRDefault="00B01930" w:rsidP="00B01930">
      <w:pPr>
        <w:pStyle w:val="citation"/>
      </w:pPr>
    </w:p>
    <w:p w14:paraId="6CF1A3CC" w14:textId="77777777" w:rsidR="00B01930" w:rsidRDefault="00B01930" w:rsidP="00B01930">
      <w:pPr>
        <w:pStyle w:val="citation"/>
      </w:pPr>
      <w:r w:rsidRPr="00320A86">
        <w:t>« En vous recevant avant vos départs en poste, en vous rencontrant lors de mes visites à l’étranger, en lisant chaque jour votre corresponda</w:t>
      </w:r>
      <w:r w:rsidRPr="00320A86">
        <w:t>n</w:t>
      </w:r>
      <w:r w:rsidRPr="00320A86">
        <w:t>ce, j’ai pu mesurer la qu</w:t>
      </w:r>
      <w:r w:rsidRPr="00320A86">
        <w:t>a</w:t>
      </w:r>
      <w:r w:rsidRPr="00320A86">
        <w:t>lité des femmes et des hommes qui animent le deuxième réseau diplomatique et cons</w:t>
      </w:r>
      <w:r w:rsidRPr="00320A86">
        <w:t>u</w:t>
      </w:r>
      <w:r w:rsidRPr="00320A86">
        <w:t>laire du monde, le premier dans le domaine culturel »</w:t>
      </w:r>
      <w:r>
        <w:t> </w:t>
      </w:r>
      <w:r w:rsidRPr="00002B14">
        <w:rPr>
          <w:rStyle w:val="Appelnotedebasdep"/>
          <w:i/>
        </w:rPr>
        <w:footnoteReference w:id="1361"/>
      </w:r>
      <w:r w:rsidRPr="00320A86">
        <w:t xml:space="preserve">. </w:t>
      </w:r>
    </w:p>
    <w:p w14:paraId="0D25BBAE" w14:textId="77777777" w:rsidR="00B01930" w:rsidRPr="00320A86" w:rsidRDefault="00B01930" w:rsidP="00B01930">
      <w:pPr>
        <w:pStyle w:val="citation"/>
      </w:pPr>
    </w:p>
    <w:p w14:paraId="7B9DAB58" w14:textId="77777777" w:rsidR="00B01930" w:rsidRPr="00320A86" w:rsidRDefault="00B01930" w:rsidP="00B01930">
      <w:pPr>
        <w:spacing w:before="120" w:after="120"/>
        <w:jc w:val="both"/>
      </w:pPr>
      <w:r w:rsidRPr="00320A86">
        <w:t>Le ministre des Affaires étrangères déclarait de même :</w:t>
      </w:r>
    </w:p>
    <w:p w14:paraId="6AC34474" w14:textId="77777777" w:rsidR="00B01930" w:rsidRDefault="00B01930" w:rsidP="00B01930">
      <w:pPr>
        <w:pStyle w:val="citation"/>
      </w:pPr>
    </w:p>
    <w:p w14:paraId="60260F26" w14:textId="77777777" w:rsidR="00B01930" w:rsidRDefault="00B01930" w:rsidP="00B01930">
      <w:pPr>
        <w:pStyle w:val="citation"/>
      </w:pPr>
      <w:r w:rsidRPr="00320A86">
        <w:t>« Nos structures, c’est aussi notre réseau diplomatique, consulaire et culturel. Sa densité est un formidable atout, qu’il faut préserver, en l’adaptant. Cette carte doit v</w:t>
      </w:r>
      <w:r w:rsidRPr="00320A86">
        <w:t>i</w:t>
      </w:r>
      <w:r w:rsidRPr="00320A86">
        <w:t>vre, ce qui signifie des ouvertures, et des fermetures, non pas en fonction d’impératifs uniquement budgétaires, mais en considération de l’évolution politique, économique et démogr</w:t>
      </w:r>
      <w:r w:rsidRPr="00320A86">
        <w:t>a</w:t>
      </w:r>
      <w:r w:rsidRPr="00320A86">
        <w:t>phique du monde et des priorités de notre a</w:t>
      </w:r>
      <w:r w:rsidRPr="00320A86">
        <w:t>c</w:t>
      </w:r>
      <w:r w:rsidRPr="00320A86">
        <w:t>tion</w:t>
      </w:r>
      <w:r>
        <w:t> </w:t>
      </w:r>
      <w:r w:rsidRPr="00002B14">
        <w:rPr>
          <w:rStyle w:val="Appelnotedebasdep"/>
          <w:i/>
        </w:rPr>
        <w:footnoteReference w:id="1362"/>
      </w:r>
      <w:r w:rsidRPr="00320A86">
        <w:t>. »</w:t>
      </w:r>
    </w:p>
    <w:p w14:paraId="2F200C0F" w14:textId="77777777" w:rsidR="00B01930" w:rsidRPr="00320A86" w:rsidRDefault="00B01930" w:rsidP="00B01930">
      <w:pPr>
        <w:pStyle w:val="citation"/>
      </w:pPr>
    </w:p>
    <w:p w14:paraId="7B7B5A76" w14:textId="77777777" w:rsidR="00B01930" w:rsidRPr="00320A86" w:rsidRDefault="00B01930" w:rsidP="00B01930">
      <w:pPr>
        <w:spacing w:before="120" w:after="120"/>
        <w:jc w:val="both"/>
      </w:pPr>
      <w:r>
        <w:br w:type="page"/>
      </w:r>
      <w:r w:rsidRPr="00320A86">
        <w:t>Le réseau de la diplomatie évoqué par le ministre français a une r</w:t>
      </w:r>
      <w:r w:rsidRPr="00320A86">
        <w:t>é</w:t>
      </w:r>
      <w:r w:rsidRPr="00320A86">
        <w:t>alité ancienne. On le repère dès l’Antiquité, au treizième et au quato</w:t>
      </w:r>
      <w:r w:rsidRPr="00320A86">
        <w:t>r</w:t>
      </w:r>
      <w:r w:rsidRPr="00320A86">
        <w:t>zième siècle avant J. C.</w:t>
      </w:r>
      <w:r>
        <w:t> </w:t>
      </w:r>
      <w:r>
        <w:rPr>
          <w:rStyle w:val="Appelnotedebasdep"/>
        </w:rPr>
        <w:footnoteReference w:id="1363"/>
      </w:r>
      <w:r w:rsidRPr="00320A86">
        <w:t>. Cependant, c’est la Renaissance qui ma</w:t>
      </w:r>
      <w:r w:rsidRPr="00320A86">
        <w:t>r</w:t>
      </w:r>
      <w:r w:rsidRPr="00320A86">
        <w:t>que un tournant qualitatif avec l’instauration de missions permanentes di</w:t>
      </w:r>
      <w:r w:rsidRPr="00320A86">
        <w:t>s</w:t>
      </w:r>
      <w:r w:rsidRPr="00320A86">
        <w:t>séminées dans un espace de plus en plus large : l’Europe d’abord, l’Asie et les Amériques ensuite, l’Afrique plus tard. Dès lors, certa</w:t>
      </w:r>
      <w:r w:rsidRPr="00320A86">
        <w:t>i</w:t>
      </w:r>
      <w:r w:rsidRPr="00320A86">
        <w:t>nes puissances ont pu compter sur une structure et une org</w:t>
      </w:r>
      <w:r w:rsidRPr="00320A86">
        <w:t>a</w:t>
      </w:r>
      <w:r w:rsidRPr="00320A86">
        <w:t>nisation bureaucratique développées. Il est possible de parler là de « réseau d</w:t>
      </w:r>
      <w:r w:rsidRPr="00320A86">
        <w:t>i</w:t>
      </w:r>
      <w:r w:rsidRPr="00320A86">
        <w:t>plomatique », en ce sens qu’il y avait une occupation du terrain par des postes d’abord peu nombreux, dispersés, reliés à une centrale. Celle-ci pouvait être lointaine, si l’on tient compte des moyens de transport et de transmission de l’époque</w:t>
      </w:r>
      <w:r>
        <w:t> </w:t>
      </w:r>
      <w:r>
        <w:rPr>
          <w:rStyle w:val="Appelnotedebasdep"/>
        </w:rPr>
        <w:footnoteReference w:id="1364"/>
      </w:r>
      <w:r w:rsidRPr="00320A86">
        <w:t>. On peut su</w:t>
      </w:r>
      <w:r w:rsidRPr="00320A86">
        <w:t>i</w:t>
      </w:r>
      <w:r w:rsidRPr="00320A86">
        <w:t>vre à travers l’histoire d’un pays le développement ou le repli de son réseau dipl</w:t>
      </w:r>
      <w:r w:rsidRPr="00320A86">
        <w:t>o</w:t>
      </w:r>
      <w:r w:rsidRPr="00320A86">
        <w:t>matique en fonction de variables environnementales ou endogènes. Ainsi, peuvent intervenir différents éléments : la situation internati</w:t>
      </w:r>
      <w:r w:rsidRPr="00320A86">
        <w:t>o</w:t>
      </w:r>
      <w:r w:rsidRPr="00320A86">
        <w:t>nale (entente/tension, guerre/paix</w:t>
      </w:r>
      <w:r>
        <w:t> </w:t>
      </w:r>
      <w:r>
        <w:rPr>
          <w:rStyle w:val="Appelnotedebasdep"/>
        </w:rPr>
        <w:footnoteReference w:id="1365"/>
      </w:r>
      <w:r w:rsidRPr="00320A86">
        <w:t>, décolonisation</w:t>
      </w:r>
      <w:r>
        <w:t> </w:t>
      </w:r>
      <w:r>
        <w:rPr>
          <w:rStyle w:val="Appelnotedebasdep"/>
        </w:rPr>
        <w:footnoteReference w:id="1366"/>
      </w:r>
      <w:r w:rsidRPr="00320A86">
        <w:t>), les moyens f</w:t>
      </w:r>
      <w:r w:rsidRPr="00320A86">
        <w:t>i</w:t>
      </w:r>
      <w:r w:rsidRPr="00320A86">
        <w:t>nanciers</w:t>
      </w:r>
      <w:r>
        <w:t> </w:t>
      </w:r>
      <w:r>
        <w:rPr>
          <w:rStyle w:val="Appelnotedebasdep"/>
        </w:rPr>
        <w:footnoteReference w:id="1367"/>
      </w:r>
      <w:r w:rsidRPr="00320A86">
        <w:t>, le facteur idéologique</w:t>
      </w:r>
      <w:r>
        <w:t> </w:t>
      </w:r>
      <w:r>
        <w:rPr>
          <w:rStyle w:val="Appelnotedebasdep"/>
        </w:rPr>
        <w:footnoteReference w:id="1368"/>
      </w:r>
      <w:r w:rsidRPr="00320A86">
        <w:t>, le progrès technique</w:t>
      </w:r>
      <w:r>
        <w:t> </w:t>
      </w:r>
      <w:r>
        <w:rPr>
          <w:rStyle w:val="Appelnotedebasdep"/>
        </w:rPr>
        <w:footnoteReference w:id="1369"/>
      </w:r>
      <w:r w:rsidRPr="00320A86">
        <w:t>, des cons</w:t>
      </w:r>
      <w:r w:rsidRPr="00320A86">
        <w:t>i</w:t>
      </w:r>
      <w:r w:rsidRPr="00320A86">
        <w:t>dérations stratég</w:t>
      </w:r>
      <w:r w:rsidRPr="00320A86">
        <w:t>i</w:t>
      </w:r>
      <w:r w:rsidRPr="00320A86">
        <w:t>ques</w:t>
      </w:r>
      <w:r>
        <w:t> </w:t>
      </w:r>
      <w:r>
        <w:rPr>
          <w:rStyle w:val="Appelnotedebasdep"/>
        </w:rPr>
        <w:footnoteReference w:id="1370"/>
      </w:r>
      <w:r w:rsidRPr="00320A86">
        <w:t xml:space="preserve"> ou des motivations plus complexes</w:t>
      </w:r>
      <w:r>
        <w:t> </w:t>
      </w:r>
      <w:r>
        <w:rPr>
          <w:rStyle w:val="Appelnotedebasdep"/>
        </w:rPr>
        <w:footnoteReference w:id="1371"/>
      </w:r>
      <w:r w:rsidRPr="00320A86">
        <w:t>.</w:t>
      </w:r>
    </w:p>
    <w:p w14:paraId="464A57DA" w14:textId="77777777" w:rsidR="00B01930" w:rsidRPr="00320A86" w:rsidRDefault="00B01930" w:rsidP="00B01930">
      <w:pPr>
        <w:spacing w:before="120" w:after="120"/>
        <w:jc w:val="both"/>
      </w:pPr>
      <w:r w:rsidRPr="00320A86">
        <w:t>À travers son histoire, l’appareil diplomatique de l’État s’est donc construit sous la forme d’un vaste réseau de postes structuré, tran</w:t>
      </w:r>
      <w:r w:rsidRPr="00320A86">
        <w:t>s</w:t>
      </w:r>
      <w:r w:rsidRPr="00320A86">
        <w:t>frontalier, déterritorial</w:t>
      </w:r>
      <w:r w:rsidRPr="00320A86">
        <w:t>i</w:t>
      </w:r>
      <w:r w:rsidRPr="00320A86">
        <w:t>sé, unifié depuis une centrale. En France, la clé de voûte de l’ensemble, le ministère des Affaires étrangères, fut ju</w:t>
      </w:r>
      <w:r w:rsidRPr="00320A86">
        <w:t>s</w:t>
      </w:r>
      <w:r w:rsidRPr="00320A86">
        <w:t>tement créée</w:t>
      </w:r>
      <w:r>
        <w:t> </w:t>
      </w:r>
      <w:r>
        <w:rPr>
          <w:rStyle w:val="Appelnotedebasdep"/>
        </w:rPr>
        <w:footnoteReference w:id="1372"/>
      </w:r>
      <w:r w:rsidRPr="00320A86">
        <w:t xml:space="preserve"> par un homme considéré comme le « père de l’État moderne » et le praticien de la « Raison d’État » : R</w:t>
      </w:r>
      <w:r w:rsidRPr="00320A86">
        <w:t>i</w:t>
      </w:r>
      <w:r w:rsidRPr="00320A86">
        <w:t>chelieu</w:t>
      </w:r>
      <w:r>
        <w:t> </w:t>
      </w:r>
      <w:r>
        <w:rPr>
          <w:rStyle w:val="Appelnotedebasdep"/>
        </w:rPr>
        <w:footnoteReference w:id="1373"/>
      </w:r>
      <w:r w:rsidRPr="00320A86">
        <w:t>. Celui-ci édifia un système réticulaire régulier, structuré bureaucrat</w:t>
      </w:r>
      <w:r w:rsidRPr="00320A86">
        <w:t>i</w:t>
      </w:r>
      <w:r w:rsidRPr="00320A86">
        <w:t>quement, et prôna en ces termes la négociation permanente sur tous les do</w:t>
      </w:r>
      <w:r w:rsidRPr="00320A86">
        <w:t>s</w:t>
      </w:r>
      <w:r w:rsidRPr="00320A86">
        <w:t>siers : « </w:t>
      </w:r>
      <w:r w:rsidRPr="00817CEB">
        <w:rPr>
          <w:i/>
        </w:rPr>
        <w:t>Négocier sans cesse, ouvertement ou secrètement, en tous lieux, e</w:t>
      </w:r>
      <w:r w:rsidRPr="00817CEB">
        <w:rPr>
          <w:i/>
        </w:rPr>
        <w:t>n</w:t>
      </w:r>
      <w:r w:rsidRPr="00817CEB">
        <w:rPr>
          <w:i/>
        </w:rPr>
        <w:t>core même qu’on n’en reçoive pas un fruit présent et que c</w:t>
      </w:r>
      <w:r w:rsidRPr="00817CEB">
        <w:rPr>
          <w:i/>
        </w:rPr>
        <w:t>e</w:t>
      </w:r>
      <w:r w:rsidRPr="00817CEB">
        <w:rPr>
          <w:i/>
        </w:rPr>
        <w:t>lui que l’on peut attendre à l’avenir ne soit pas apparent, est chose du tout n</w:t>
      </w:r>
      <w:r w:rsidRPr="00817CEB">
        <w:rPr>
          <w:i/>
        </w:rPr>
        <w:t>é</w:t>
      </w:r>
      <w:r w:rsidRPr="00817CEB">
        <w:rPr>
          <w:i/>
        </w:rPr>
        <w:t>cessaire pour le bien des États </w:t>
      </w:r>
      <w:r w:rsidRPr="00320A86">
        <w:t>»</w:t>
      </w:r>
      <w:r>
        <w:t> </w:t>
      </w:r>
      <w:r>
        <w:rPr>
          <w:rStyle w:val="Appelnotedebasdep"/>
        </w:rPr>
        <w:footnoteReference w:id="1374"/>
      </w:r>
      <w:r w:rsidRPr="00320A86">
        <w:t>.</w:t>
      </w:r>
    </w:p>
    <w:p w14:paraId="2D19311F" w14:textId="77777777" w:rsidR="00B01930" w:rsidRPr="00320A86" w:rsidRDefault="00B01930" w:rsidP="00B01930">
      <w:pPr>
        <w:spacing w:before="120" w:after="120"/>
        <w:jc w:val="both"/>
      </w:pPr>
      <w:r w:rsidRPr="00320A86">
        <w:t>La carte diplomatique des postes de terrain de même que l’administration centrale sont animées par des hommes, les diplom</w:t>
      </w:r>
      <w:r w:rsidRPr="00320A86">
        <w:t>a</w:t>
      </w:r>
      <w:r w:rsidRPr="00320A86">
        <w:t>tes, qui, à l’origine, divisés en clercs et représentants du souverain, ont fini par former un corps professio</w:t>
      </w:r>
      <w:r w:rsidRPr="00320A86">
        <w:t>n</w:t>
      </w:r>
      <w:r w:rsidRPr="00320A86">
        <w:t>nel unique. Dans ce sens, le terme de « réseau » concerne à la fois les hommes et l’institution, avec ses techniques d’organisation et de fonctionnement réticulaire. Il convient bien à l’instrument bureaucratique qui met en œuvre la politique étrangère d’un État.</w:t>
      </w:r>
    </w:p>
    <w:p w14:paraId="3A7E2D75" w14:textId="77777777" w:rsidR="00B01930" w:rsidRPr="00320A86" w:rsidRDefault="00B01930" w:rsidP="00B01930">
      <w:pPr>
        <w:spacing w:before="120" w:after="120"/>
        <w:jc w:val="both"/>
      </w:pPr>
      <w:r w:rsidRPr="00320A86">
        <w:t>Au sein de l’univers diplomatique, les acteurs sont reliés entre eux de façon réticulaire : leurs relations professionnelles présentent une certaine » connexité. Ils sont rattachés à leur centrale par des liens de nature d’abord hiérarchique. Pensons à l’importance de la procédure d’accréditation, aux instructions plus ou moins détaillées remises au diplomate, aux comptes rendus que celui-ci doit fa</w:t>
      </w:r>
      <w:r w:rsidRPr="00320A86">
        <w:t>i</w:t>
      </w:r>
      <w:r w:rsidRPr="00320A86">
        <w:t>re parvenir : autant de marques d’attachement. Puis, en même temps, la corre</w:t>
      </w:r>
      <w:r w:rsidRPr="00320A86">
        <w:t>s</w:t>
      </w:r>
      <w:r w:rsidRPr="00320A86">
        <w:t>pondance diplomatique, qui est largement flux d’informations, relève d’un autre type des liens, celui de la communication. Enfin, toutes les représent</w:t>
      </w:r>
      <w:r w:rsidRPr="00320A86">
        <w:t>a</w:t>
      </w:r>
      <w:r w:rsidRPr="00320A86">
        <w:t>tions d</w:t>
      </w:r>
      <w:r w:rsidRPr="00320A86">
        <w:t>i</w:t>
      </w:r>
      <w:r w:rsidRPr="00320A86">
        <w:t>plomatiques accréditées auprès d’un État forment le « corps diplomatique ». C</w:t>
      </w:r>
      <w:r w:rsidRPr="00320A86">
        <w:t>e</w:t>
      </w:r>
      <w:r w:rsidRPr="00320A86">
        <w:t>lui-ci se définit donc spatialement par rapport aux chancelleries des ambassades et aux résidences des ambassadeurs dans une capitale étrangère, sauf en cas de double accréditation, ce qui est rare. Mais les liens de ce réseau diplomatique local sont également qualitatifs.</w:t>
      </w:r>
    </w:p>
    <w:p w14:paraId="15A2A804" w14:textId="77777777" w:rsidR="00B01930" w:rsidRPr="00320A86" w:rsidRDefault="00B01930" w:rsidP="00B01930">
      <w:pPr>
        <w:spacing w:before="120" w:after="120"/>
        <w:jc w:val="both"/>
      </w:pPr>
      <w:r w:rsidRPr="00320A86">
        <w:t>D’une part, les diplomates développent des liens de sociabilité</w:t>
      </w:r>
      <w:r>
        <w:t> </w:t>
      </w:r>
      <w:r>
        <w:rPr>
          <w:rStyle w:val="Appelnotedebasdep"/>
        </w:rPr>
        <w:footnoteReference w:id="1375"/>
      </w:r>
      <w:r w:rsidRPr="00320A86">
        <w:t>. D’autre part, des réunions de contacts entre diplomates d’un même champ géographique, idéologique, économique se tiennent par gro</w:t>
      </w:r>
      <w:r w:rsidRPr="00320A86">
        <w:t>u</w:t>
      </w:r>
      <w:r w:rsidRPr="00320A86">
        <w:t>pes d’intérêts communs. On peut ainsi évoquer « des groupes dipl</w:t>
      </w:r>
      <w:r w:rsidRPr="00320A86">
        <w:t>o</w:t>
      </w:r>
      <w:r w:rsidRPr="00320A86">
        <w:t>matiques au sein desquels ils [les ambassadeurs et hauts commissa</w:t>
      </w:r>
      <w:r w:rsidRPr="00320A86">
        <w:t>i</w:t>
      </w:r>
      <w:r w:rsidRPr="00320A86">
        <w:t>res] sont amenés à travailler avec leurs collègues en fonction d’intérêts caractéristiques de l’espace d’activité auquel ils appartie</w:t>
      </w:r>
      <w:r w:rsidRPr="00320A86">
        <w:t>n</w:t>
      </w:r>
      <w:r w:rsidRPr="00320A86">
        <w:t>nent. […] des chefs de missions de la Communauté européenne, le groupe lat</w:t>
      </w:r>
      <w:r w:rsidRPr="00320A86">
        <w:t>i</w:t>
      </w:r>
      <w:r w:rsidRPr="00320A86">
        <w:t>no-américain, le groupe africain, le groupe des pays de l’Est, le groupe du vieux Commonwealth, le groupe des pays me</w:t>
      </w:r>
      <w:r w:rsidRPr="00320A86">
        <w:t>m</w:t>
      </w:r>
      <w:r w:rsidRPr="00320A86">
        <w:t>bres du G-7, le groupe de l’organisation de la conférence islamiste et le groupe arabe</w:t>
      </w:r>
      <w:r>
        <w:t> </w:t>
      </w:r>
      <w:r>
        <w:rPr>
          <w:rStyle w:val="Appelnotedebasdep"/>
        </w:rPr>
        <w:footnoteReference w:id="1376"/>
      </w:r>
      <w:r w:rsidRPr="00320A86">
        <w:t> ».</w:t>
      </w:r>
    </w:p>
    <w:p w14:paraId="1C145202" w14:textId="77777777" w:rsidR="00B01930" w:rsidRPr="00320A86" w:rsidRDefault="00B01930" w:rsidP="00B01930">
      <w:pPr>
        <w:spacing w:before="120" w:after="120"/>
        <w:jc w:val="both"/>
      </w:pPr>
      <w:r w:rsidRPr="00320A86">
        <w:t>Des liens hiérarchiques, sociaux et fonctionnels sont aussi direct</w:t>
      </w:r>
      <w:r w:rsidRPr="00320A86">
        <w:t>e</w:t>
      </w:r>
      <w:r w:rsidRPr="00320A86">
        <w:t>ment o</w:t>
      </w:r>
      <w:r w:rsidRPr="00320A86">
        <w:t>b</w:t>
      </w:r>
      <w:r w:rsidRPr="00320A86">
        <w:t>servables pour les équipes et entourages qui travaillent pour un acteur individuel ou collectif dans l’espace national</w:t>
      </w:r>
      <w:r>
        <w:t> </w:t>
      </w:r>
      <w:r>
        <w:rPr>
          <w:rStyle w:val="Appelnotedebasdep"/>
        </w:rPr>
        <w:footnoteReference w:id="1377"/>
      </w:r>
      <w:r w:rsidRPr="00320A86">
        <w:t>.</w:t>
      </w:r>
    </w:p>
    <w:p w14:paraId="529AE52D" w14:textId="77777777" w:rsidR="00B01930" w:rsidRPr="00320A86" w:rsidRDefault="00B01930" w:rsidP="00B01930">
      <w:pPr>
        <w:spacing w:before="120" w:after="120"/>
        <w:jc w:val="both"/>
      </w:pPr>
      <w:r w:rsidRPr="00320A86">
        <w:t>D’autres types de liens viennent relier les éléments institutionnels : les normes et les valeurs. En quoi consiste la « culture diplomat</w:t>
      </w:r>
      <w:r w:rsidRPr="00320A86">
        <w:t>i</w:t>
      </w:r>
      <w:r w:rsidRPr="00320A86">
        <w:t>que » ? Il s’agit du droit international, notamment diplomatique (par exemple la Convention de Vienne), celui des régimes internationaux, etc. Les valeurs peuvent résulter aussi de liens familiaux communs, de l’origine sociale (la tradition du recrutement aristocratique), d’une culture partagée, d’une même origine géographique (région, national</w:t>
      </w:r>
      <w:r w:rsidRPr="00320A86">
        <w:t>i</w:t>
      </w:r>
      <w:r w:rsidRPr="00320A86">
        <w:t>té, etc.), d’une expérience vécue en commun (par exemple une même scolarité, une affectation antérieure dans une même capitale, voire un même poste pour des diplomates d’un même pays), de pratiques clie</w:t>
      </w:r>
      <w:r w:rsidRPr="00320A86">
        <w:t>n</w:t>
      </w:r>
      <w:r w:rsidRPr="00320A86">
        <w:t>télistes de don et de contre-don, de relations de confiance, de convi</w:t>
      </w:r>
      <w:r w:rsidRPr="00320A86">
        <w:t>c</w:t>
      </w:r>
      <w:r w:rsidRPr="00320A86">
        <w:t>tions politiques, phil</w:t>
      </w:r>
      <w:r w:rsidRPr="00320A86">
        <w:t>o</w:t>
      </w:r>
      <w:r w:rsidRPr="00320A86">
        <w:t>sophiques, religieuses.</w:t>
      </w:r>
    </w:p>
    <w:p w14:paraId="1B56D002" w14:textId="77777777" w:rsidR="00B01930" w:rsidRPr="00320A86" w:rsidRDefault="00B01930" w:rsidP="00B01930">
      <w:pPr>
        <w:spacing w:before="120" w:after="120"/>
        <w:jc w:val="both"/>
      </w:pPr>
      <w:r w:rsidRPr="00320A86">
        <w:t>L’espace réticulaire de l’activité diplomatique est donc structuré par des liens hiérarchiques, fonctionnels et de socialisation. Quel « fluide »</w:t>
      </w:r>
      <w:r>
        <w:t> </w:t>
      </w:r>
      <w:r>
        <w:rPr>
          <w:rStyle w:val="Appelnotedebasdep"/>
        </w:rPr>
        <w:footnoteReference w:id="1378"/>
      </w:r>
      <w:r w:rsidRPr="00320A86">
        <w:t xml:space="preserve"> y circule ? L’information au sens large, trait commun</w:t>
      </w:r>
      <w:r w:rsidRPr="00320A86">
        <w:t>é</w:t>
      </w:r>
      <w:r w:rsidRPr="00320A86">
        <w:t>ment partagé par les tous les dipl</w:t>
      </w:r>
      <w:r w:rsidRPr="00320A86">
        <w:t>o</w:t>
      </w:r>
      <w:r w:rsidRPr="00320A86">
        <w:t>mates. Il s’agit de savoir et de faire savoir afin de faire ou de faire faire, exercer de l’influence aux fins de la puissance… Et y a-t-il une finalité diplomatique ? Sir Ernest Satow, membre du sérail, affirme que la diplomatie constitue « l’intelligence et le tact mis au service des relations officielles entre les gouvern</w:t>
      </w:r>
      <w:r w:rsidRPr="00320A86">
        <w:t>e</w:t>
      </w:r>
      <w:r w:rsidRPr="00320A86">
        <w:t>ments d’États indépendants ».</w:t>
      </w:r>
    </w:p>
    <w:p w14:paraId="6C769C57" w14:textId="77777777" w:rsidR="00B01930" w:rsidRPr="00320A86" w:rsidRDefault="00B01930" w:rsidP="00B01930">
      <w:pPr>
        <w:spacing w:before="120" w:after="120"/>
        <w:jc w:val="both"/>
      </w:pPr>
      <w:r w:rsidRPr="00320A86">
        <w:t>Au service des relations officielles… pour quoi faire ? On peut r</w:t>
      </w:r>
      <w:r w:rsidRPr="00320A86">
        <w:t>é</w:t>
      </w:r>
      <w:r w:rsidRPr="00320A86">
        <w:t>pondre s</w:t>
      </w:r>
      <w:r w:rsidRPr="00320A86">
        <w:t>e</w:t>
      </w:r>
      <w:r w:rsidRPr="00320A86">
        <w:t>lon son inclination : idéaliste ou réaliste… Dans un cas, ce sera la recherche de la paix, dans l’autre celle de la puissance à travers une action orientée vers un profit social, économique ou politique ou plus pudiquement la « représentation des intérêts »</w:t>
      </w:r>
      <w:r>
        <w:t> </w:t>
      </w:r>
      <w:r>
        <w:rPr>
          <w:rStyle w:val="Appelnotedebasdep"/>
        </w:rPr>
        <w:footnoteReference w:id="1379"/>
      </w:r>
      <w:r w:rsidRPr="00320A86">
        <w:t>. Là, le réseau d</w:t>
      </w:r>
      <w:r w:rsidRPr="00320A86">
        <w:t>i</w:t>
      </w:r>
      <w:r w:rsidRPr="00320A86">
        <w:t>plomatique institutionnalisé est porteur de sens différents. Mais il met en œuvre une culture commune, partagée par l’ensemble des diplom</w:t>
      </w:r>
      <w:r w:rsidRPr="00320A86">
        <w:t>a</w:t>
      </w:r>
      <w:r w:rsidRPr="00320A86">
        <w:t>tes du monde entier. Le réseau formel, pourtant, est loin d’être hom</w:t>
      </w:r>
      <w:r w:rsidRPr="00320A86">
        <w:t>o</w:t>
      </w:r>
      <w:r w:rsidRPr="00320A86">
        <w:t>gène sur le plan de son organisation et de son fonctionnement.</w:t>
      </w:r>
    </w:p>
    <w:p w14:paraId="1D58979D" w14:textId="77777777" w:rsidR="00B01930" w:rsidRPr="00320A86" w:rsidRDefault="00B01930" w:rsidP="00B01930">
      <w:pPr>
        <w:spacing w:before="120" w:after="120"/>
        <w:jc w:val="both"/>
      </w:pPr>
      <w:r w:rsidRPr="00320A86">
        <w:t>Globalement parlant, la diplomatie présuppose, par essence, une pluralité d’États. Elle est en effet « </w:t>
      </w:r>
      <w:r w:rsidRPr="00817CEB">
        <w:rPr>
          <w:i/>
        </w:rPr>
        <w:t>science et pratique des relations politiques entre les États </w:t>
      </w:r>
      <w:r w:rsidRPr="00320A86">
        <w:t>»</w:t>
      </w:r>
      <w:r>
        <w:t> </w:t>
      </w:r>
      <w:r>
        <w:rPr>
          <w:rStyle w:val="Appelnotedebasdep"/>
        </w:rPr>
        <w:footnoteReference w:id="1380"/>
      </w:r>
      <w:r w:rsidRPr="00320A86">
        <w:t>. Le réseau diplomatique institutionnal</w:t>
      </w:r>
      <w:r w:rsidRPr="00320A86">
        <w:t>i</w:t>
      </w:r>
      <w:r w:rsidRPr="00320A86">
        <w:t>sé doit donc être décomposé.</w:t>
      </w:r>
    </w:p>
    <w:p w14:paraId="6ABD2BFD" w14:textId="77777777" w:rsidR="00B01930" w:rsidRPr="00320A86" w:rsidRDefault="00B01930" w:rsidP="00B01930">
      <w:pPr>
        <w:spacing w:before="120" w:after="120"/>
        <w:jc w:val="both"/>
      </w:pPr>
      <w:r w:rsidRPr="00320A86">
        <w:t>La sociologie des politiques publiques, contrairement à une vision embra</w:t>
      </w:r>
      <w:r w:rsidRPr="00320A86">
        <w:t>s</w:t>
      </w:r>
      <w:r w:rsidRPr="00320A86">
        <w:t>sant le monde, analyse de l’intérieur les centres de décision et la logique des élites impliquées, montre la multiplicité d’acteurs inte</w:t>
      </w:r>
      <w:r w:rsidRPr="00320A86">
        <w:t>r</w:t>
      </w:r>
      <w:r w:rsidRPr="00320A86">
        <w:t>venant de près ou de loin, de manière permanente ou occasionnelle, à des niveaux divers, dans l’élaboration et la conduite des politiques étrangères. Marie-Christine Kessler, par exemple, rejette « </w:t>
      </w:r>
      <w:r w:rsidRPr="00817CEB">
        <w:rPr>
          <w:i/>
        </w:rPr>
        <w:t>le recours au paradigme du héros ou du bouc émissaire </w:t>
      </w:r>
      <w:r w:rsidRPr="00320A86">
        <w:t>», récuse l’idée d’« </w:t>
      </w:r>
      <w:r w:rsidRPr="00817CEB">
        <w:rPr>
          <w:i/>
        </w:rPr>
        <w:t>un seul acteur : le président de la République </w:t>
      </w:r>
      <w:r w:rsidRPr="00320A86">
        <w:t>», pour affirmer : « </w:t>
      </w:r>
      <w:r w:rsidRPr="00817CEB">
        <w:rPr>
          <w:i/>
        </w:rPr>
        <w:t>Les a</w:t>
      </w:r>
      <w:r w:rsidRPr="00817CEB">
        <w:rPr>
          <w:i/>
        </w:rPr>
        <w:t>c</w:t>
      </w:r>
      <w:r w:rsidRPr="00817CEB">
        <w:rPr>
          <w:i/>
        </w:rPr>
        <w:t>teurs sont nombreux </w:t>
      </w:r>
      <w:r w:rsidRPr="00320A86">
        <w:t>»</w:t>
      </w:r>
      <w:r>
        <w:t> </w:t>
      </w:r>
      <w:r>
        <w:rPr>
          <w:rStyle w:val="Appelnotedebasdep"/>
        </w:rPr>
        <w:footnoteReference w:id="1381"/>
      </w:r>
      <w:r w:rsidRPr="00320A86">
        <w:t>. Puis, formulant l’hypothèse selon laquelle « </w:t>
      </w:r>
      <w:r w:rsidRPr="00817CEB">
        <w:rPr>
          <w:i/>
        </w:rPr>
        <w:t>l’idée que la multiplicité d’acteurs ne se limite pas à la sphère état</w:t>
      </w:r>
      <w:r w:rsidRPr="00817CEB">
        <w:rPr>
          <w:i/>
        </w:rPr>
        <w:t>i</w:t>
      </w:r>
      <w:r w:rsidRPr="00817CEB">
        <w:rPr>
          <w:i/>
        </w:rPr>
        <w:t>que est devenue courante dans les théories des relations internation</w:t>
      </w:r>
      <w:r w:rsidRPr="00817CEB">
        <w:rPr>
          <w:i/>
        </w:rPr>
        <w:t>a</w:t>
      </w:r>
      <w:r w:rsidRPr="00817CEB">
        <w:rPr>
          <w:i/>
        </w:rPr>
        <w:t>les </w:t>
      </w:r>
      <w:r w:rsidRPr="00320A86">
        <w:t>»</w:t>
      </w:r>
      <w:r>
        <w:t> </w:t>
      </w:r>
      <w:r>
        <w:rPr>
          <w:rStyle w:val="Appelnotedebasdep"/>
        </w:rPr>
        <w:footnoteReference w:id="1382"/>
      </w:r>
      <w:r w:rsidRPr="00320A86">
        <w:t>, elle postule cette multiplicité non seulement pour les acteurs de la sphère étatique, mais au</w:t>
      </w:r>
      <w:r w:rsidRPr="00320A86">
        <w:t>s</w:t>
      </w:r>
      <w:r w:rsidRPr="00320A86">
        <w:t>si pour les acteurs transnationaux : « </w:t>
      </w:r>
      <w:r w:rsidRPr="00817CEB">
        <w:rPr>
          <w:i/>
        </w:rPr>
        <w:t>l’ordre international apparaît déterminé par une conception duali</w:t>
      </w:r>
      <w:r w:rsidRPr="00817CEB">
        <w:rPr>
          <w:i/>
        </w:rPr>
        <w:t>s</w:t>
      </w:r>
      <w:r w:rsidRPr="00817CEB">
        <w:rPr>
          <w:i/>
        </w:rPr>
        <w:t>te : […] l’univers de l’État [et] […] un monde multice</w:t>
      </w:r>
      <w:r w:rsidRPr="00817CEB">
        <w:rPr>
          <w:i/>
        </w:rPr>
        <w:t>n</w:t>
      </w:r>
      <w:r w:rsidRPr="00817CEB">
        <w:rPr>
          <w:i/>
        </w:rPr>
        <w:t>tré </w:t>
      </w:r>
      <w:r w:rsidRPr="00320A86">
        <w:t>»</w:t>
      </w:r>
      <w:r>
        <w:t> </w:t>
      </w:r>
      <w:r>
        <w:rPr>
          <w:rStyle w:val="Appelnotedebasdep"/>
        </w:rPr>
        <w:footnoteReference w:id="1383"/>
      </w:r>
      <w:r w:rsidRPr="00320A86">
        <w:t>.</w:t>
      </w:r>
    </w:p>
    <w:p w14:paraId="764D6D76" w14:textId="77777777" w:rsidR="00B01930" w:rsidRPr="00320A86" w:rsidRDefault="00B01930" w:rsidP="00B01930">
      <w:pPr>
        <w:spacing w:before="120" w:after="120"/>
        <w:jc w:val="both"/>
      </w:pPr>
      <w:r w:rsidRPr="00320A86">
        <w:t>On se trouve en effet en présence d’une pluralité d’acteurs (les États), de d</w:t>
      </w:r>
      <w:r w:rsidRPr="00320A86">
        <w:t>é</w:t>
      </w:r>
      <w:r w:rsidRPr="00320A86">
        <w:t>cideurs collectifs stato-nationaux, internationaux ou transnationaux, en relations systémiques d’échanges, de négociations, de conflits, d’interdépendances. Le réseau diplomatique est à la fois spatial et social, c’est-à-dire relationnel. Ces acteurs sont eux-mêmes multiformes, locaux, régionaux voire transnationaux. On doit disti</w:t>
      </w:r>
      <w:r w:rsidRPr="00320A86">
        <w:t>n</w:t>
      </w:r>
      <w:r w:rsidRPr="00320A86">
        <w:t>guer les acteurs officiels, institutionnalisés, des acteurs officiels pér</w:t>
      </w:r>
      <w:r w:rsidRPr="00320A86">
        <w:t>i</w:t>
      </w:r>
      <w:r w:rsidRPr="00320A86">
        <w:t>phériques. Mais « </w:t>
      </w:r>
      <w:r w:rsidRPr="00817CEB">
        <w:rPr>
          <w:i/>
        </w:rPr>
        <w:t>autour de ces acteurs publics gravite une série de gro</w:t>
      </w:r>
      <w:r w:rsidRPr="00817CEB">
        <w:rPr>
          <w:i/>
        </w:rPr>
        <w:t>u</w:t>
      </w:r>
      <w:r w:rsidRPr="00817CEB">
        <w:rPr>
          <w:i/>
        </w:rPr>
        <w:t>pes, d’individus, d’institutions qui collaborent avec eux ou s’opposent à eux </w:t>
      </w:r>
      <w:r w:rsidRPr="00320A86">
        <w:t>»</w:t>
      </w:r>
      <w:r>
        <w:t> </w:t>
      </w:r>
      <w:r>
        <w:rPr>
          <w:rStyle w:val="Appelnotedebasdep"/>
        </w:rPr>
        <w:footnoteReference w:id="1384"/>
      </w:r>
      <w:r w:rsidRPr="00320A86">
        <w:t>. Autant d’espaces et de relations de réseaux où se répartissent acteurs et décideurs politiques, administratifs, bureaucr</w:t>
      </w:r>
      <w:r w:rsidRPr="00320A86">
        <w:t>a</w:t>
      </w:r>
      <w:r w:rsidRPr="00320A86">
        <w:t>tiques, techniques, marchands, cult</w:t>
      </w:r>
      <w:r w:rsidRPr="00320A86">
        <w:t>u</w:t>
      </w:r>
      <w:r w:rsidRPr="00320A86">
        <w:t>rels…</w:t>
      </w:r>
    </w:p>
    <w:p w14:paraId="136D3EEE" w14:textId="77777777" w:rsidR="00B01930" w:rsidRPr="00320A86" w:rsidRDefault="00B01930" w:rsidP="00B01930">
      <w:pPr>
        <w:spacing w:before="120" w:after="120"/>
        <w:jc w:val="both"/>
      </w:pPr>
      <w:r w:rsidRPr="00320A86">
        <w:t>Ce réseau diplomatique officiel multiforme peut être étayé égal</w:t>
      </w:r>
      <w:r w:rsidRPr="00320A86">
        <w:t>e</w:t>
      </w:r>
      <w:r w:rsidRPr="00320A86">
        <w:t>ment par des réseaux informels, révélés par certains travaux de soci</w:t>
      </w:r>
      <w:r w:rsidRPr="00320A86">
        <w:t>o</w:t>
      </w:r>
      <w:r w:rsidRPr="00320A86">
        <w:t>logie politique. Meredith Kingston de Leusse a notamment souligné l’importance des réseaux interpe</w:t>
      </w:r>
      <w:r w:rsidRPr="00320A86">
        <w:t>r</w:t>
      </w:r>
      <w:r w:rsidRPr="00320A86">
        <w:t>sonnels dont les diplomates sont les points d’ancrage : « </w:t>
      </w:r>
      <w:r w:rsidRPr="00817CEB">
        <w:rPr>
          <w:i/>
        </w:rPr>
        <w:t>l’ambassadeur profe</w:t>
      </w:r>
      <w:r w:rsidRPr="00817CEB">
        <w:rPr>
          <w:i/>
        </w:rPr>
        <w:t>s</w:t>
      </w:r>
      <w:r w:rsidRPr="00817CEB">
        <w:rPr>
          <w:i/>
        </w:rPr>
        <w:t>sionnalise sa sociabilité </w:t>
      </w:r>
      <w:r w:rsidRPr="00320A86">
        <w:t>» affirme-t-elle à partir d’une étude sur le métier d’ambassadeur</w:t>
      </w:r>
      <w:r>
        <w:t> </w:t>
      </w:r>
      <w:r>
        <w:rPr>
          <w:rStyle w:val="Appelnotedebasdep"/>
        </w:rPr>
        <w:footnoteReference w:id="1385"/>
      </w:r>
      <w:r w:rsidRPr="00320A86">
        <w:t>. Avant son départ en poste, par les contacts qu’il prend dans son pays d’origine, avec son ministère de tutelle, d’autres ministères, son pr</w:t>
      </w:r>
      <w:r w:rsidRPr="00320A86">
        <w:t>é</w:t>
      </w:r>
      <w:r w:rsidRPr="00320A86">
        <w:t>décesseur, ainsi que, le cas échéant, avec des entreprises implantées dans la région, l’ambassadeur doit mettre en place son réseau et ses relais personnels</w:t>
      </w:r>
      <w:r>
        <w:t> </w:t>
      </w:r>
      <w:r>
        <w:rPr>
          <w:rStyle w:val="Appelnotedebasdep"/>
        </w:rPr>
        <w:footnoteReference w:id="1386"/>
      </w:r>
      <w:r w:rsidRPr="00320A86">
        <w:t>. Sur le terrain, il poursuit le travail de « </w:t>
      </w:r>
      <w:r w:rsidRPr="00817CEB">
        <w:rPr>
          <w:i/>
        </w:rPr>
        <w:t>réseau de contacts </w:t>
      </w:r>
      <w:r w:rsidRPr="00320A86">
        <w:t>»</w:t>
      </w:r>
      <w:r>
        <w:t> </w:t>
      </w:r>
      <w:r>
        <w:rPr>
          <w:rStyle w:val="Appelnotedebasdep"/>
        </w:rPr>
        <w:footnoteReference w:id="1387"/>
      </w:r>
      <w:r w:rsidRPr="00320A86">
        <w:t>, notamment par son intégration au corps diplomatique l</w:t>
      </w:r>
      <w:r w:rsidRPr="00320A86">
        <w:t>o</w:t>
      </w:r>
      <w:r w:rsidRPr="00320A86">
        <w:t>cal. L’ensemble est concrétisé par « </w:t>
      </w:r>
      <w:r w:rsidRPr="00817CEB">
        <w:rPr>
          <w:i/>
        </w:rPr>
        <w:t>le carnet de l’ambassadeur </w:t>
      </w:r>
      <w:r w:rsidRPr="00320A86">
        <w:t>»</w:t>
      </w:r>
      <w:r>
        <w:t> </w:t>
      </w:r>
      <w:r>
        <w:rPr>
          <w:rStyle w:val="Appelnotedebasdep"/>
        </w:rPr>
        <w:footnoteReference w:id="1388"/>
      </w:r>
      <w:r w:rsidRPr="00320A86">
        <w:t>. Véritable ressource du professionnel de la d</w:t>
      </w:r>
      <w:r w:rsidRPr="00320A86">
        <w:t>i</w:t>
      </w:r>
      <w:r w:rsidRPr="00320A86">
        <w:t>plomatie et de l’État au service duquel elle exerce, cette dimension réticulaire du métier d</w:t>
      </w:r>
      <w:r w:rsidRPr="00320A86">
        <w:t>i</w:t>
      </w:r>
      <w:r w:rsidRPr="00320A86">
        <w:t>plomatique a été peu étudiée dans ses effets par les recherches intern</w:t>
      </w:r>
      <w:r w:rsidRPr="00320A86">
        <w:t>a</w:t>
      </w:r>
      <w:r w:rsidRPr="00320A86">
        <w:t>tionalistes.</w:t>
      </w:r>
    </w:p>
    <w:p w14:paraId="6113FC10" w14:textId="77777777" w:rsidR="00B01930" w:rsidRPr="00320A86" w:rsidRDefault="00B01930" w:rsidP="00B01930">
      <w:pPr>
        <w:spacing w:before="120" w:after="120"/>
        <w:jc w:val="both"/>
      </w:pPr>
      <w:r w:rsidRPr="00320A86">
        <w:t>Enfin un troisième type de pratiques réticulaires pourrait être pris en compte : les réseaux informels non directement dépendants de l’appareil diplomatique, mais liés à ses actions. Si les praticiens év</w:t>
      </w:r>
      <w:r w:rsidRPr="00320A86">
        <w:t>a</w:t>
      </w:r>
      <w:r w:rsidRPr="00320A86">
        <w:t>luent volontiers le rendement d’un réseau diplomatique, les che</w:t>
      </w:r>
      <w:r w:rsidRPr="00320A86">
        <w:t>r</w:t>
      </w:r>
      <w:r w:rsidRPr="00320A86">
        <w:t>cheurs le négligent souvent. Cet objet est absent des manuels qui, soit se refusent à l’étudier sur le terrain, soit privilégient l’exposé form</w:t>
      </w:r>
      <w:r w:rsidRPr="00320A86">
        <w:t>a</w:t>
      </w:r>
      <w:r w:rsidRPr="00320A86">
        <w:t>liste des seuls moyens officiels et des institutions diplomat</w:t>
      </w:r>
      <w:r w:rsidRPr="00320A86">
        <w:t>i</w:t>
      </w:r>
      <w:r w:rsidRPr="00320A86">
        <w:t>ques</w:t>
      </w:r>
      <w:r>
        <w:t> </w:t>
      </w:r>
      <w:r>
        <w:rPr>
          <w:rStyle w:val="Appelnotedebasdep"/>
        </w:rPr>
        <w:footnoteReference w:id="1389"/>
      </w:r>
      <w:r w:rsidRPr="00320A86">
        <w:t>. Quelle est sa réalité ? À quelles fonctions sert-il ? Bertrand Badie l</w:t>
      </w:r>
      <w:r w:rsidRPr="00320A86">
        <w:t>i</w:t>
      </w:r>
      <w:r w:rsidRPr="00320A86">
        <w:t>mite ces réseaux à des acteurs agissant en dehors ou contre les États. Il parle en effet des « </w:t>
      </w:r>
      <w:r w:rsidRPr="00817CEB">
        <w:rPr>
          <w:i/>
        </w:rPr>
        <w:t>liens entre acteurs (individus ou collectifs) qui transcendent les frontières et qui, à ce titre, entrent en concurrence avec les États dans les structurations de la scène internationale (r</w:t>
      </w:r>
      <w:r w:rsidRPr="00817CEB">
        <w:rPr>
          <w:i/>
        </w:rPr>
        <w:t>é</w:t>
      </w:r>
      <w:r w:rsidRPr="00817CEB">
        <w:rPr>
          <w:i/>
        </w:rPr>
        <w:t>seaux migratoires, réseaux marchands, réseaux religieux, réseaux associatifs, etc.) </w:t>
      </w:r>
      <w:r>
        <w:rPr>
          <w:rStyle w:val="Appelnotedebasdep"/>
        </w:rPr>
        <w:footnoteReference w:id="1390"/>
      </w:r>
      <w:r w:rsidRPr="00320A86">
        <w:t>. Ne peut-on pas, à l’inverse, tout en adme</w:t>
      </w:r>
      <w:r w:rsidRPr="00320A86">
        <w:t>t</w:t>
      </w:r>
      <w:r w:rsidRPr="00320A86">
        <w:t>tant la réalité de ce niveau d’appréhension du problème, envisager la co</w:t>
      </w:r>
      <w:r w:rsidRPr="00320A86">
        <w:t>m</w:t>
      </w:r>
      <w:r w:rsidRPr="00320A86">
        <w:t>plémentarité entre les réseaux institutionnels de l’État et des réseaux info</w:t>
      </w:r>
      <w:r w:rsidRPr="00320A86">
        <w:t>r</w:t>
      </w:r>
      <w:r w:rsidRPr="00320A86">
        <w:t>mels ?</w:t>
      </w:r>
    </w:p>
    <w:p w14:paraId="56B9D637" w14:textId="77777777" w:rsidR="00B01930" w:rsidRPr="00320A86" w:rsidRDefault="00B01930" w:rsidP="00B01930">
      <w:pPr>
        <w:spacing w:before="120" w:after="120"/>
        <w:jc w:val="both"/>
      </w:pPr>
      <w:r w:rsidRPr="00320A86">
        <w:t>La diplomatie semble riche d’exemples qui le démontrent. En constatant la congruence entre le concept général de réseau, dans to</w:t>
      </w:r>
      <w:r w:rsidRPr="00320A86">
        <w:t>u</w:t>
      </w:r>
      <w:r w:rsidRPr="00320A86">
        <w:t>tes ses dimensions, et ce secteur caractéristique de la souveraineté de l’État, nous allons vérifier sur le terrain la compatibilité posée ici comme hypothèse, contraire aux assertions de Badie, entre l’institutionnel et l’informel.</w:t>
      </w:r>
    </w:p>
    <w:p w14:paraId="325BE51B" w14:textId="77777777" w:rsidR="00B01930" w:rsidRPr="00320A86" w:rsidRDefault="00B01930" w:rsidP="00B01930">
      <w:pPr>
        <w:spacing w:before="120" w:after="120"/>
        <w:jc w:val="both"/>
      </w:pPr>
      <w:r w:rsidRPr="00320A86">
        <w:t>Pour cela, nous avons retenu un cas qui paraît particulièrement pe</w:t>
      </w:r>
      <w:r w:rsidRPr="00320A86">
        <w:t>r</w:t>
      </w:r>
      <w:r w:rsidRPr="00320A86">
        <w:t>tinent : l’affaire Albertini, caractéristique de la façon dont un État i</w:t>
      </w:r>
      <w:r w:rsidRPr="00320A86">
        <w:t>n</w:t>
      </w:r>
      <w:r w:rsidRPr="00320A86">
        <w:t>dépendant, la Fra</w:t>
      </w:r>
      <w:r w:rsidRPr="00320A86">
        <w:t>n</w:t>
      </w:r>
      <w:r w:rsidRPr="00320A86">
        <w:t>ce, a établi des liens entre son appareil officiel et des réseaux informels, afin de résoudre une crise diplomatique e</w:t>
      </w:r>
      <w:r w:rsidRPr="00320A86">
        <w:t>n</w:t>
      </w:r>
      <w:r w:rsidRPr="00320A86">
        <w:t>combrante. Y aurait-il congruence entre l’État et réseau ?</w:t>
      </w:r>
    </w:p>
    <w:p w14:paraId="0A711095" w14:textId="77777777" w:rsidR="00B01930" w:rsidRDefault="00B01930" w:rsidP="00B01930">
      <w:pPr>
        <w:spacing w:before="120" w:after="120"/>
        <w:jc w:val="both"/>
      </w:pPr>
    </w:p>
    <w:p w14:paraId="2E95DA74" w14:textId="77777777" w:rsidR="00B01930" w:rsidRPr="00320A86" w:rsidRDefault="00B01930" w:rsidP="00B01930">
      <w:pPr>
        <w:spacing w:before="120" w:after="120"/>
        <w:jc w:val="both"/>
      </w:pPr>
    </w:p>
    <w:p w14:paraId="45EA6211" w14:textId="77777777" w:rsidR="00B01930" w:rsidRPr="00320A86" w:rsidRDefault="00B01930" w:rsidP="00B01930">
      <w:pPr>
        <w:pStyle w:val="planche"/>
      </w:pPr>
      <w:bookmarkStart w:id="233" w:name="Analyser_idees_pol_pt_4_texte_14_II"/>
      <w:r w:rsidRPr="00320A86">
        <w:t>II. Les réseaux français dans tous leurs états :</w:t>
      </w:r>
      <w:r>
        <w:br/>
      </w:r>
      <w:r w:rsidRPr="00320A86">
        <w:t>le cas Albertini</w:t>
      </w:r>
    </w:p>
    <w:bookmarkEnd w:id="233"/>
    <w:p w14:paraId="4BC0FC6B" w14:textId="77777777" w:rsidR="00B01930" w:rsidRDefault="00B01930" w:rsidP="00B01930">
      <w:pPr>
        <w:spacing w:before="120" w:after="120"/>
        <w:jc w:val="both"/>
      </w:pPr>
    </w:p>
    <w:p w14:paraId="45A07155"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3728A943" w14:textId="77777777" w:rsidR="00B01930" w:rsidRPr="00320A86" w:rsidRDefault="00B01930" w:rsidP="00B01930">
      <w:pPr>
        <w:spacing w:before="120" w:after="120"/>
        <w:jc w:val="both"/>
      </w:pPr>
      <w:r w:rsidRPr="00320A86">
        <w:t>Pierre-André Albertini, jeune coopérant français, fut arrêté le 23 octobre 1986 en Afrique du Sud, pour trafic d’armes et de fonds. Le 20 mars 1987, il se vit condamné à quatre ans de prison pour refus de témoigner. Pendant plus de dix mois, en pleine cohabitation, l’affaire Albertini mobilisa diplomates, ho</w:t>
      </w:r>
      <w:r w:rsidRPr="00320A86">
        <w:t>m</w:t>
      </w:r>
      <w:r w:rsidRPr="00320A86">
        <w:t>mes politiques, opinion publique et média. Elle entraîna une crise dans les rel</w:t>
      </w:r>
      <w:r w:rsidRPr="00320A86">
        <w:t>a</w:t>
      </w:r>
      <w:r w:rsidRPr="00320A86">
        <w:t>tions entre les deux pays, dont le point culminant fut atteint le 19 juin 1987, avec l’ajournement, par le président de la République française, de la rem</w:t>
      </w:r>
      <w:r w:rsidRPr="00320A86">
        <w:t>i</w:t>
      </w:r>
      <w:r w:rsidRPr="00320A86">
        <w:t>se des le</w:t>
      </w:r>
      <w:r w:rsidRPr="00320A86">
        <w:t>t</w:t>
      </w:r>
      <w:r w:rsidRPr="00320A86">
        <w:t>tres de créance de l’ambassadeur sud-africain. La crise ne trouva son dénou</w:t>
      </w:r>
      <w:r w:rsidRPr="00320A86">
        <w:t>e</w:t>
      </w:r>
      <w:r w:rsidRPr="00320A86">
        <w:t>ment que le 7 septembre 1987, avec la libération du jeune Français dans le cadre d’un vaste échange de prisonniers qui impliqua cinq pays (l’Afrique du Sud, l’Angola, la France, le Moza</w:t>
      </w:r>
      <w:r w:rsidRPr="00320A86">
        <w:t>m</w:t>
      </w:r>
      <w:r w:rsidRPr="00320A86">
        <w:t>bique, les Pays-Bas).</w:t>
      </w:r>
    </w:p>
    <w:p w14:paraId="2DF251F2" w14:textId="77777777" w:rsidR="00B01930" w:rsidRPr="00320A86" w:rsidRDefault="00B01930" w:rsidP="00B01930">
      <w:pPr>
        <w:spacing w:before="120" w:after="120"/>
        <w:jc w:val="both"/>
      </w:pPr>
      <w:r w:rsidRPr="00320A86">
        <w:t>Ce cas peut nous permettre d’illustrer de quelle manière les autor</w:t>
      </w:r>
      <w:r w:rsidRPr="00320A86">
        <w:t>i</w:t>
      </w:r>
      <w:r w:rsidRPr="00320A86">
        <w:t>tés frança</w:t>
      </w:r>
      <w:r w:rsidRPr="00320A86">
        <w:t>i</w:t>
      </w:r>
      <w:r w:rsidRPr="00320A86">
        <w:t>ses (et étrangères) ont géré le problème en relation avec des réseaux</w:t>
      </w:r>
      <w:r>
        <w:t> </w:t>
      </w:r>
      <w:r>
        <w:rPr>
          <w:rStyle w:val="Appelnotedebasdep"/>
        </w:rPr>
        <w:footnoteReference w:id="1391"/>
      </w:r>
      <w:r w:rsidRPr="00320A86">
        <w:t>. Plusieurs phases peuvent être dégagées dans cette crise, qui font ressortir le lien indissociable entre État et réseau, conjugué diff</w:t>
      </w:r>
      <w:r w:rsidRPr="00320A86">
        <w:t>é</w:t>
      </w:r>
      <w:r w:rsidRPr="00320A86">
        <w:t>remment à chaque étape.</w:t>
      </w:r>
    </w:p>
    <w:p w14:paraId="443E8C40" w14:textId="77777777" w:rsidR="00B01930" w:rsidRPr="00320A86" w:rsidRDefault="00B01930" w:rsidP="00B01930">
      <w:pPr>
        <w:spacing w:before="120" w:after="120"/>
        <w:jc w:val="both"/>
      </w:pPr>
    </w:p>
    <w:p w14:paraId="2E975D33" w14:textId="77777777" w:rsidR="00B01930" w:rsidRPr="00320A86" w:rsidRDefault="00B01930" w:rsidP="00B01930">
      <w:pPr>
        <w:pStyle w:val="a"/>
      </w:pPr>
      <w:r w:rsidRPr="00320A86">
        <w:t>Les États et leurs rése</w:t>
      </w:r>
      <w:r>
        <w:t>aux institutionnels officiels :</w:t>
      </w:r>
      <w:r>
        <w:br/>
      </w:r>
      <w:r w:rsidRPr="00320A86">
        <w:t>l’impasse</w:t>
      </w:r>
    </w:p>
    <w:p w14:paraId="7FDF4138" w14:textId="77777777" w:rsidR="00B01930" w:rsidRDefault="00B01930" w:rsidP="00B01930">
      <w:pPr>
        <w:spacing w:before="120" w:after="120"/>
        <w:jc w:val="both"/>
      </w:pPr>
    </w:p>
    <w:p w14:paraId="32D5FD6D" w14:textId="77777777" w:rsidR="00B01930" w:rsidRPr="00320A86" w:rsidRDefault="00B01930" w:rsidP="00B01930">
      <w:pPr>
        <w:spacing w:before="120" w:after="120"/>
        <w:jc w:val="both"/>
      </w:pPr>
      <w:r w:rsidRPr="00320A86">
        <w:t>Dès que l’incident surgit (le 23 octobre 1986), les appareils jud</w:t>
      </w:r>
      <w:r w:rsidRPr="00320A86">
        <w:t>i</w:t>
      </w:r>
      <w:r w:rsidRPr="00320A86">
        <w:t>ciaires et p</w:t>
      </w:r>
      <w:r w:rsidRPr="00320A86">
        <w:t>o</w:t>
      </w:r>
      <w:r w:rsidRPr="00320A86">
        <w:t>litico-administratifs sud-africains et français le traitèrent selon les procédures habituelles. Cette tâche incomba d’abord aux r</w:t>
      </w:r>
      <w:r w:rsidRPr="00320A86">
        <w:t>é</w:t>
      </w:r>
      <w:r w:rsidRPr="00320A86">
        <w:t>seaux institutionnels destinés à gérer les infractions au droit et les r</w:t>
      </w:r>
      <w:r w:rsidRPr="00320A86">
        <w:t>e</w:t>
      </w:r>
      <w:r w:rsidRPr="00320A86">
        <w:t>lations entre les États, c’est-à-dire les instances judiciaires et les r</w:t>
      </w:r>
      <w:r w:rsidRPr="00320A86">
        <w:t>é</w:t>
      </w:r>
      <w:r w:rsidRPr="00320A86">
        <w:t>seaux diplomatiques. Mais, pour différentes raisons, les acteurs se heurtèrent à un blocage. En fait, il s’agit d’une série de blocages à di</w:t>
      </w:r>
      <w:r w:rsidRPr="00320A86">
        <w:t>f</w:t>
      </w:r>
      <w:r w:rsidRPr="00320A86">
        <w:t>férents niveaux, cristallisés autour de deux dates charnières : le 20 mars 1987 (condamnation d’Albertini) et le 19 juin 1987 (ajou</w:t>
      </w:r>
      <w:r w:rsidRPr="00320A86">
        <w:t>r</w:t>
      </w:r>
      <w:r w:rsidRPr="00320A86">
        <w:t>nement de la remise des le</w:t>
      </w:r>
      <w:r w:rsidRPr="00320A86">
        <w:t>t</w:t>
      </w:r>
      <w:r w:rsidRPr="00320A86">
        <w:t>tres de créance).</w:t>
      </w:r>
    </w:p>
    <w:p w14:paraId="566810A5" w14:textId="77777777" w:rsidR="00B01930" w:rsidRPr="00320A86" w:rsidRDefault="00B01930" w:rsidP="00B01930">
      <w:pPr>
        <w:spacing w:before="120" w:after="120"/>
        <w:jc w:val="both"/>
      </w:pPr>
    </w:p>
    <w:p w14:paraId="71535FCE" w14:textId="77777777" w:rsidR="00B01930" w:rsidRPr="00320A86" w:rsidRDefault="00B01930" w:rsidP="00B01930">
      <w:pPr>
        <w:pStyle w:val="a"/>
      </w:pPr>
      <w:r w:rsidRPr="00320A86">
        <w:t>Le blocage judiciaire</w:t>
      </w:r>
    </w:p>
    <w:p w14:paraId="268F682F" w14:textId="77777777" w:rsidR="00B01930" w:rsidRDefault="00B01930" w:rsidP="00B01930">
      <w:pPr>
        <w:spacing w:before="120" w:after="120"/>
        <w:jc w:val="both"/>
      </w:pPr>
    </w:p>
    <w:p w14:paraId="669CA0C6" w14:textId="77777777" w:rsidR="00B01930" w:rsidRPr="00320A86" w:rsidRDefault="00B01930" w:rsidP="00B01930">
      <w:pPr>
        <w:spacing w:before="120" w:after="120"/>
        <w:jc w:val="both"/>
      </w:pPr>
      <w:r w:rsidRPr="00320A86">
        <w:t>Comme le fait remarquer Jean-François Deniau, au début, « </w:t>
      </w:r>
      <w:r w:rsidRPr="00817CEB">
        <w:rPr>
          <w:i/>
        </w:rPr>
        <w:t>le cas se prése</w:t>
      </w:r>
      <w:r w:rsidRPr="00817CEB">
        <w:rPr>
          <w:i/>
        </w:rPr>
        <w:t>n</w:t>
      </w:r>
      <w:r w:rsidRPr="00817CEB">
        <w:rPr>
          <w:i/>
        </w:rPr>
        <w:t>te mal </w:t>
      </w:r>
      <w:r w:rsidRPr="00320A86">
        <w:t>»</w:t>
      </w:r>
      <w:r>
        <w:t> </w:t>
      </w:r>
      <w:r>
        <w:rPr>
          <w:rStyle w:val="Appelnotedebasdep"/>
        </w:rPr>
        <w:footnoteReference w:id="1392"/>
      </w:r>
      <w:r w:rsidRPr="00320A86">
        <w:t>. Le « héros » des événements se trouvait dans une situation tripl</w:t>
      </w:r>
      <w:r w:rsidRPr="00320A86">
        <w:t>e</w:t>
      </w:r>
      <w:r w:rsidRPr="00320A86">
        <w:t>ment bloquée. Bénéficiant du statut de coopérant qui lui imposait un devoir de rése</w:t>
      </w:r>
      <w:r w:rsidRPr="00320A86">
        <w:t>r</w:t>
      </w:r>
      <w:r w:rsidRPr="00320A86">
        <w:t>ve, il enfreint cette obligation et prit une posture engagée. Toutefois, cet aspect – la faute statutaire – ne fut évoqué, en public, qu’assez tardivement. Ai</w:t>
      </w:r>
      <w:r w:rsidRPr="00320A86">
        <w:t>n</w:t>
      </w:r>
      <w:r w:rsidRPr="00320A86">
        <w:t xml:space="preserve">si, </w:t>
      </w:r>
      <w:r w:rsidRPr="00817CEB">
        <w:rPr>
          <w:i/>
        </w:rPr>
        <w:t>Le Monde</w:t>
      </w:r>
      <w:r w:rsidRPr="00320A86">
        <w:t xml:space="preserve"> ne s’interrogea qu’en juin 1987 : « </w:t>
      </w:r>
      <w:r w:rsidRPr="00817CEB">
        <w:rPr>
          <w:i/>
        </w:rPr>
        <w:t>on peut se demander si l’engagement aux côtés de l’Anc </w:t>
      </w:r>
      <w:r>
        <w:rPr>
          <w:rStyle w:val="Appelnotedebasdep"/>
        </w:rPr>
        <w:footnoteReference w:id="1393"/>
      </w:r>
      <w:r w:rsidRPr="00320A86">
        <w:t xml:space="preserve"> </w:t>
      </w:r>
      <w:r w:rsidRPr="00817CEB">
        <w:rPr>
          <w:i/>
        </w:rPr>
        <w:t>en lutte contre le pouvoir établi était compat</w:t>
      </w:r>
      <w:r w:rsidRPr="00817CEB">
        <w:rPr>
          <w:i/>
        </w:rPr>
        <w:t>i</w:t>
      </w:r>
      <w:r w:rsidRPr="00817CEB">
        <w:rPr>
          <w:i/>
        </w:rPr>
        <w:t>ble avec le statut de coopérant </w:t>
      </w:r>
      <w:r w:rsidRPr="00320A86">
        <w:t>»</w:t>
      </w:r>
      <w:r>
        <w:t> </w:t>
      </w:r>
      <w:r>
        <w:rPr>
          <w:rStyle w:val="Appelnotedebasdep"/>
        </w:rPr>
        <w:footnoteReference w:id="1394"/>
      </w:r>
      <w:r w:rsidRPr="00320A86">
        <w:t>. La diplomatie française, probablement so</w:t>
      </w:r>
      <w:r w:rsidRPr="00320A86">
        <w:t>u</w:t>
      </w:r>
      <w:r w:rsidRPr="00320A86">
        <w:t>cieuse de ne pas alimenter l’argumentaire des autorités sud-africaines, resta longtemps très discrète à ce sujet. Jean-Bernard Ra</w:t>
      </w:r>
      <w:r w:rsidRPr="00320A86">
        <w:t>i</w:t>
      </w:r>
      <w:r w:rsidRPr="00320A86">
        <w:t>mond, ministre des Affaires étrangères, après dix mois de tract</w:t>
      </w:r>
      <w:r w:rsidRPr="00320A86">
        <w:t>a</w:t>
      </w:r>
      <w:r w:rsidRPr="00320A86">
        <w:t>tions et seulement quelques jours avant la libération du prisonnier dont on pouvait penser qu’elle était désormais acqu</w:t>
      </w:r>
      <w:r w:rsidRPr="00320A86">
        <w:t>i</w:t>
      </w:r>
      <w:r w:rsidRPr="00320A86">
        <w:t>se</w:t>
      </w:r>
      <w:r>
        <w:t> </w:t>
      </w:r>
      <w:r>
        <w:rPr>
          <w:rStyle w:val="Appelnotedebasdep"/>
        </w:rPr>
        <w:footnoteReference w:id="1395"/>
      </w:r>
      <w:r w:rsidRPr="00320A86">
        <w:t>, jugea le 29 août 1987 que celui-ci ne s’était pas comporté comme il aurait dû. Cela fut inte</w:t>
      </w:r>
      <w:r w:rsidRPr="00320A86">
        <w:t>r</w:t>
      </w:r>
      <w:r w:rsidRPr="00320A86">
        <w:t>prété par le journaliste comme un possible, un ultime gage donné aux autorités sud-africaines</w:t>
      </w:r>
      <w:r>
        <w:t> </w:t>
      </w:r>
      <w:r>
        <w:rPr>
          <w:rStyle w:val="Appelnotedebasdep"/>
        </w:rPr>
        <w:footnoteReference w:id="1396"/>
      </w:r>
      <w:r w:rsidRPr="00320A86">
        <w:t>. Il n’y eut d’ailleurs pas de suite disciplina</w:t>
      </w:r>
      <w:r w:rsidRPr="00320A86">
        <w:t>i</w:t>
      </w:r>
      <w:r w:rsidRPr="00320A86">
        <w:t>re en France : interrogé sur l’éventualité d’une sanction, le représentant du Quai d’Orsay</w:t>
      </w:r>
      <w:r>
        <w:t> </w:t>
      </w:r>
      <w:r>
        <w:rPr>
          <w:rStyle w:val="Appelnotedebasdep"/>
        </w:rPr>
        <w:footnoteReference w:id="1397"/>
      </w:r>
      <w:r w:rsidRPr="00320A86">
        <w:t xml:space="preserve"> r</w:t>
      </w:r>
      <w:r w:rsidRPr="00320A86">
        <w:t>é</w:t>
      </w:r>
      <w:r w:rsidRPr="00320A86">
        <w:t>pondit : « </w:t>
      </w:r>
      <w:r w:rsidRPr="00817CEB">
        <w:rPr>
          <w:i/>
        </w:rPr>
        <w:t>La sanction, il l’a déjà eue </w:t>
      </w:r>
      <w:r w:rsidRPr="00320A86">
        <w:t>»</w:t>
      </w:r>
      <w:r>
        <w:t> </w:t>
      </w:r>
      <w:r>
        <w:rPr>
          <w:rStyle w:val="Appelnotedebasdep"/>
        </w:rPr>
        <w:footnoteReference w:id="1398"/>
      </w:r>
      <w:r w:rsidRPr="00320A86">
        <w:t>. Cet écart du jeune Français ne semble donc pas avoir pesé bien lourd. Mais, fait bien plus gênant, Albertini avait tout raconté à la police sud-africaine. N’avait-il pas écrit ses aveux (sept pages manuscr</w:t>
      </w:r>
      <w:r w:rsidRPr="00320A86">
        <w:t>i</w:t>
      </w:r>
      <w:r w:rsidRPr="00320A86">
        <w:t>tes)</w:t>
      </w:r>
      <w:r>
        <w:t> </w:t>
      </w:r>
      <w:r>
        <w:rPr>
          <w:rStyle w:val="Appelnotedebasdep"/>
        </w:rPr>
        <w:footnoteReference w:id="1399"/>
      </w:r>
      <w:r w:rsidRPr="00320A86">
        <w:t> ? Difficile de s’en tirer au bénéfice du doute. De plus, « </w:t>
      </w:r>
      <w:r w:rsidRPr="00817CEB">
        <w:rPr>
          <w:i/>
        </w:rPr>
        <w:t>reconnaissant n’avoir jamais été maltraité </w:t>
      </w:r>
      <w:r>
        <w:rPr>
          <w:rStyle w:val="Appelnotedebasdep"/>
        </w:rPr>
        <w:footnoteReference w:id="1400"/>
      </w:r>
      <w:r w:rsidRPr="00320A86">
        <w:t>, il lui était impossible de plaider la contrainte…</w:t>
      </w:r>
    </w:p>
    <w:p w14:paraId="21D0B3A2" w14:textId="77777777" w:rsidR="00B01930" w:rsidRPr="00320A86" w:rsidRDefault="00B01930" w:rsidP="00B01930">
      <w:pPr>
        <w:spacing w:before="120" w:after="120"/>
        <w:jc w:val="both"/>
      </w:pPr>
      <w:r w:rsidRPr="00320A86">
        <w:t>Dans un premier temps, Albertini, ressortissant français, envoyé dans le c</w:t>
      </w:r>
      <w:r w:rsidRPr="00320A86">
        <w:t>a</w:t>
      </w:r>
      <w:r w:rsidRPr="00320A86">
        <w:t>dre d’un accord de coopération, arrêté et emprisonné à l’étranger, le problème fut pris en charge par les diplomates. L’ambassadeur français à Pretoria entra en contact avec les services du ministre sud-africain des Affaires étrangères, « Pik » Botha : Le Quai d’Orsay à Paris traita de même avec l’ambassadeur sud-africain</w:t>
      </w:r>
      <w:r>
        <w:t> </w:t>
      </w:r>
      <w:r>
        <w:rPr>
          <w:rStyle w:val="Appelnotedebasdep"/>
        </w:rPr>
        <w:footnoteReference w:id="1401"/>
      </w:r>
      <w:r w:rsidRPr="00320A86">
        <w:t>. En décembre 1986, on crut avoir obtenu un compromis consistant à abandonner les poursuites malgré de solides présom</w:t>
      </w:r>
      <w:r w:rsidRPr="00320A86">
        <w:t>p</w:t>
      </w:r>
      <w:r w:rsidRPr="00320A86">
        <w:t>tions, en échange d’un t</w:t>
      </w:r>
      <w:r w:rsidRPr="00320A86">
        <w:t>é</w:t>
      </w:r>
      <w:r w:rsidRPr="00320A86">
        <w:t>moignage à charge. Cette sortie, avec une expulsion après la fin du procès, se</w:t>
      </w:r>
      <w:r w:rsidRPr="00320A86">
        <w:t>m</w:t>
      </w:r>
      <w:r w:rsidRPr="00320A86">
        <w:t>bla « </w:t>
      </w:r>
      <w:r w:rsidRPr="00817CEB">
        <w:rPr>
          <w:i/>
        </w:rPr>
        <w:t>convenir à tout le monde dans un premier temps </w:t>
      </w:r>
      <w:r w:rsidRPr="00320A86">
        <w:t>»</w:t>
      </w:r>
      <w:r>
        <w:t> </w:t>
      </w:r>
      <w:r>
        <w:rPr>
          <w:rStyle w:val="Appelnotedebasdep"/>
        </w:rPr>
        <w:footnoteReference w:id="1402"/>
      </w:r>
      <w:r w:rsidRPr="00320A86">
        <w:t>. En conséquence, le 15 janvier 1987, le magistrat sud-africain décida de lever toutes les présom</w:t>
      </w:r>
      <w:r w:rsidRPr="00320A86">
        <w:t>p</w:t>
      </w:r>
      <w:r w:rsidRPr="00320A86">
        <w:t>tions de charges pesant sur Albertini, mais il ordonna son maintien en déte</w:t>
      </w:r>
      <w:r w:rsidRPr="00320A86">
        <w:t>n</w:t>
      </w:r>
      <w:r w:rsidRPr="00320A86">
        <w:t>tion afin de l’utiliser comme témoin à charge</w:t>
      </w:r>
      <w:r>
        <w:t> </w:t>
      </w:r>
      <w:r>
        <w:rPr>
          <w:rStyle w:val="Appelnotedebasdep"/>
        </w:rPr>
        <w:footnoteReference w:id="1403"/>
      </w:r>
      <w:r w:rsidRPr="00320A86">
        <w:t>. Or, jamais – c’est ce qu’il affirma après sa libération – Albertini n’aurait accepté d’être t</w:t>
      </w:r>
      <w:r w:rsidRPr="00320A86">
        <w:t>é</w:t>
      </w:r>
      <w:r w:rsidRPr="00320A86">
        <w:t>moin à charge. Le proc</w:t>
      </w:r>
      <w:r w:rsidRPr="00320A86">
        <w:t>u</w:t>
      </w:r>
      <w:r w:rsidRPr="00320A86">
        <w:t>reur général décida d’en faire « son témoin », sans le consulter. (Il est formel, il l’a appris par son avocat</w:t>
      </w:r>
      <w:r>
        <w:t> </w:t>
      </w:r>
      <w:r>
        <w:rPr>
          <w:rStyle w:val="Appelnotedebasdep"/>
        </w:rPr>
        <w:footnoteReference w:id="1404"/>
      </w:r>
      <w:r w:rsidRPr="00320A86">
        <w:t>).</w:t>
      </w:r>
    </w:p>
    <w:p w14:paraId="5E881050" w14:textId="77777777" w:rsidR="00B01930" w:rsidRPr="00320A86" w:rsidRDefault="00B01930" w:rsidP="00B01930">
      <w:pPr>
        <w:spacing w:before="120" w:after="120"/>
        <w:jc w:val="both"/>
      </w:pPr>
      <w:r w:rsidRPr="00320A86">
        <w:t>Face à ce blocage, le Quai utilisa la voie diplomatique normale. On convoqua une nouvelle fois l’ambassadeur sud-africain, afin de lui signifier la détermin</w:t>
      </w:r>
      <w:r w:rsidRPr="00320A86">
        <w:t>a</w:t>
      </w:r>
      <w:r w:rsidRPr="00320A86">
        <w:t>tion de la France de récupérer au plus vite son ressortissant. « </w:t>
      </w:r>
      <w:r w:rsidRPr="00817CEB">
        <w:rPr>
          <w:i/>
        </w:rPr>
        <w:t>Le gouvernement […] s’était efforcé d’éviter qu’on en arrivât à cette situation embarrassante. À deux reprises, en déce</w:t>
      </w:r>
      <w:r w:rsidRPr="00817CEB">
        <w:rPr>
          <w:i/>
        </w:rPr>
        <w:t>m</w:t>
      </w:r>
      <w:r w:rsidRPr="00817CEB">
        <w:rPr>
          <w:i/>
        </w:rPr>
        <w:t>bre 1986 et en février 1987, le précédent ambassadeur d’Afrique du Sud avait été convoqué au Quai d’Orsay </w:t>
      </w:r>
      <w:r w:rsidRPr="00320A86">
        <w:t>»</w:t>
      </w:r>
      <w:r>
        <w:t> </w:t>
      </w:r>
      <w:r>
        <w:rPr>
          <w:rStyle w:val="Appelnotedebasdep"/>
        </w:rPr>
        <w:footnoteReference w:id="1405"/>
      </w:r>
      <w:r w:rsidRPr="00320A86">
        <w:t>. Sans résultat…</w:t>
      </w:r>
    </w:p>
    <w:p w14:paraId="24E6AB53" w14:textId="77777777" w:rsidR="00B01930" w:rsidRPr="00320A86" w:rsidRDefault="00B01930" w:rsidP="00B01930">
      <w:pPr>
        <w:spacing w:before="120" w:after="120"/>
        <w:jc w:val="both"/>
      </w:pPr>
      <w:r w:rsidRPr="00320A86">
        <w:t>Lors de son procès, Albertini refusa effectivement de témoigner contre les cinq coaccusés, ses amis, membres de l’U</w:t>
      </w:r>
      <w:r w:rsidRPr="00320A86">
        <w:rPr>
          <w:smallCaps/>
        </w:rPr>
        <w:t>df</w:t>
      </w:r>
      <w:r>
        <w:rPr>
          <w:smallCaps/>
        </w:rPr>
        <w:t> </w:t>
      </w:r>
      <w:r>
        <w:rPr>
          <w:rStyle w:val="Appelnotedebasdep"/>
          <w:smallCaps/>
        </w:rPr>
        <w:footnoteReference w:id="1406"/>
      </w:r>
      <w:r w:rsidRPr="00320A86">
        <w:t>. Sur les ind</w:t>
      </w:r>
      <w:r w:rsidRPr="00320A86">
        <w:t>i</w:t>
      </w:r>
      <w:r w:rsidRPr="00320A86">
        <w:t>cations du gouvernement français</w:t>
      </w:r>
      <w:r>
        <w:t> </w:t>
      </w:r>
      <w:r>
        <w:rPr>
          <w:rStyle w:val="Appelnotedebasdep"/>
        </w:rPr>
        <w:footnoteReference w:id="1407"/>
      </w:r>
      <w:r w:rsidRPr="00320A86">
        <w:t> ? Par déontologie personne</w:t>
      </w:r>
      <w:r w:rsidRPr="00320A86">
        <w:t>l</w:t>
      </w:r>
      <w:r w:rsidRPr="00320A86">
        <w:t>le</w:t>
      </w:r>
      <w:r>
        <w:t> </w:t>
      </w:r>
      <w:r>
        <w:rPr>
          <w:rStyle w:val="Appelnotedebasdep"/>
        </w:rPr>
        <w:footnoteReference w:id="1408"/>
      </w:r>
      <w:r w:rsidRPr="00320A86">
        <w:t> ? Peut-être pour ces deux ra</w:t>
      </w:r>
      <w:r w:rsidRPr="00320A86">
        <w:t>i</w:t>
      </w:r>
      <w:r w:rsidRPr="00320A86">
        <w:t>sons. Il fut en tout cas condamné, le 20 mars 1987, à quatre ans de prison pour refus de témoigner. Même si, le 26 juin 1987, le magistrat W. F. Jurgens</w:t>
      </w:r>
      <w:r>
        <w:t> </w:t>
      </w:r>
      <w:r>
        <w:rPr>
          <w:rStyle w:val="Appelnotedebasdep"/>
        </w:rPr>
        <w:footnoteReference w:id="1409"/>
      </w:r>
      <w:r w:rsidRPr="00320A86">
        <w:t xml:space="preserve"> « </w:t>
      </w:r>
      <w:r w:rsidRPr="00817CEB">
        <w:rPr>
          <w:i/>
        </w:rPr>
        <w:t>après réflexion </w:t>
      </w:r>
      <w:r w:rsidRPr="00320A86">
        <w:t>» d</w:t>
      </w:r>
      <w:r w:rsidRPr="00320A86">
        <w:t>é</w:t>
      </w:r>
      <w:r w:rsidRPr="00320A86">
        <w:t>cida « </w:t>
      </w:r>
      <w:r w:rsidRPr="00817CEB">
        <w:rPr>
          <w:i/>
        </w:rPr>
        <w:t>de ne pas poursuivre P.-A. Albertini pour d’autres chefs d’accusation que le refus de témoigner </w:t>
      </w:r>
      <w:r w:rsidRPr="00320A86">
        <w:t>», sa condamnation – toujours pour refus de témoigner – fut confirmée</w:t>
      </w:r>
      <w:r>
        <w:t> </w:t>
      </w:r>
      <w:r>
        <w:rPr>
          <w:rStyle w:val="Appelnotedebasdep"/>
        </w:rPr>
        <w:footnoteReference w:id="1410"/>
      </w:r>
      <w:r w:rsidRPr="00320A86">
        <w:t>. Allait-il être contraint d’accomplir sa peine ? La France réussirait-elle à faire libérer son re</w:t>
      </w:r>
      <w:r w:rsidRPr="00320A86">
        <w:t>s</w:t>
      </w:r>
      <w:r w:rsidRPr="00320A86">
        <w:t>sortissant ?</w:t>
      </w:r>
    </w:p>
    <w:p w14:paraId="404755F6" w14:textId="77777777" w:rsidR="00B01930" w:rsidRPr="00320A86" w:rsidRDefault="00B01930" w:rsidP="00B01930">
      <w:pPr>
        <w:spacing w:before="120" w:after="120"/>
        <w:jc w:val="both"/>
      </w:pPr>
      <w:r>
        <w:br w:type="page"/>
      </w:r>
    </w:p>
    <w:p w14:paraId="0BB98ACC" w14:textId="77777777" w:rsidR="00B01930" w:rsidRPr="00320A86" w:rsidRDefault="00B01930" w:rsidP="00B01930">
      <w:pPr>
        <w:pStyle w:val="a"/>
      </w:pPr>
      <w:r w:rsidRPr="00320A86">
        <w:t>Le blocage diplomatique</w:t>
      </w:r>
    </w:p>
    <w:p w14:paraId="680E7213" w14:textId="77777777" w:rsidR="00B01930" w:rsidRDefault="00B01930" w:rsidP="00B01930">
      <w:pPr>
        <w:spacing w:before="120" w:after="120"/>
        <w:jc w:val="both"/>
      </w:pPr>
    </w:p>
    <w:p w14:paraId="0D3B2510" w14:textId="77777777" w:rsidR="00B01930" w:rsidRPr="00320A86" w:rsidRDefault="00B01930" w:rsidP="00B01930">
      <w:pPr>
        <w:spacing w:before="120" w:after="120"/>
        <w:jc w:val="both"/>
      </w:pPr>
      <w:r w:rsidRPr="00320A86">
        <w:t>La tâche des diplomates se trouva compliquée du fait de la situ</w:t>
      </w:r>
      <w:r w:rsidRPr="00320A86">
        <w:t>a</w:t>
      </w:r>
      <w:r w:rsidRPr="00320A86">
        <w:t>tion diplom</w:t>
      </w:r>
      <w:r w:rsidRPr="00320A86">
        <w:t>a</w:t>
      </w:r>
      <w:r w:rsidRPr="00320A86">
        <w:t>tique de deux des États impliqués. D’une part, un État – l’Afrique du Sud – qui existait, mais qui, en 1987, était de plus en plus isolé sur le plan diplomatique. De l’autre, un non-État – le Ci</w:t>
      </w:r>
      <w:r w:rsidRPr="00320A86">
        <w:t>s</w:t>
      </w:r>
      <w:r w:rsidRPr="00320A86">
        <w:t>kei – qui avait une apparence étatique, mais n’existait pas diplomat</w:t>
      </w:r>
      <w:r w:rsidRPr="00320A86">
        <w:t>i</w:t>
      </w:r>
      <w:r w:rsidRPr="00320A86">
        <w:t>quement, car n’était pas reconnu sur la scène internati</w:t>
      </w:r>
      <w:r w:rsidRPr="00320A86">
        <w:t>o</w:t>
      </w:r>
      <w:r w:rsidRPr="00320A86">
        <w:t>nale.</w:t>
      </w:r>
    </w:p>
    <w:p w14:paraId="31098857" w14:textId="77777777" w:rsidR="00B01930" w:rsidRPr="00320A86" w:rsidRDefault="00B01930" w:rsidP="00B01930">
      <w:pPr>
        <w:spacing w:before="120" w:after="120"/>
        <w:jc w:val="both"/>
      </w:pPr>
      <w:r w:rsidRPr="00320A86">
        <w:t>En effet, Pierre-André Albertini, coopérant et lecteur à l’université de Fort-Hare au Ciskei, y fut emprisonné et condamné. Or, le Ciskei était l’un des quatre Bantoustans noirs déclarés indépendants par Pr</w:t>
      </w:r>
      <w:r w:rsidRPr="00320A86">
        <w:t>e</w:t>
      </w:r>
      <w:r w:rsidRPr="00320A86">
        <w:t>toria en 1981, afin de sceller le destin politique séparé des Africains : un tiers de la population noire avait ainsi perdu sa citoyenneté sud-africaine suite à la séparation constitutionnelle du Ciskei, du Bop</w:t>
      </w:r>
      <w:r w:rsidRPr="00320A86">
        <w:t>h</w:t>
      </w:r>
      <w:r w:rsidRPr="00320A86">
        <w:t>tatswana, du Transkei et du Venda. Conférer l’indépendance aux Ba</w:t>
      </w:r>
      <w:r w:rsidRPr="00320A86">
        <w:t>n</w:t>
      </w:r>
      <w:r w:rsidRPr="00320A86">
        <w:t>toustans constituait bien sûr une étape capitale pour l’apartheid, le but étant de faire des vingt deux millions d’Africains des étrangers n’ayant pas à réclamer le droit de vote</w:t>
      </w:r>
      <w:r>
        <w:t> </w:t>
      </w:r>
      <w:r>
        <w:rPr>
          <w:rStyle w:val="Appelnotedebasdep"/>
        </w:rPr>
        <w:footnoteReference w:id="1411"/>
      </w:r>
      <w:r w:rsidRPr="00320A86">
        <w:t>.</w:t>
      </w:r>
    </w:p>
    <w:p w14:paraId="55C04DEB" w14:textId="77777777" w:rsidR="00B01930" w:rsidRPr="00320A86" w:rsidRDefault="00B01930" w:rsidP="00B01930">
      <w:pPr>
        <w:spacing w:before="120" w:after="120"/>
        <w:jc w:val="both"/>
      </w:pPr>
      <w:r w:rsidRPr="00320A86">
        <w:t>Dans ces conditions, la France comme toute la communauté inte</w:t>
      </w:r>
      <w:r w:rsidRPr="00320A86">
        <w:t>r</w:t>
      </w:r>
      <w:r w:rsidRPr="00320A86">
        <w:t xml:space="preserve">nationale ne reconnut pas les </w:t>
      </w:r>
      <w:r w:rsidRPr="00817CEB">
        <w:rPr>
          <w:i/>
        </w:rPr>
        <w:t>homelands</w:t>
      </w:r>
      <w:r w:rsidRPr="00320A86">
        <w:t>. Du début jusqu’à la fin de l’affaire, elle se refusa à traiter au niveau diplomatique avec les autor</w:t>
      </w:r>
      <w:r w:rsidRPr="00320A86">
        <w:t>i</w:t>
      </w:r>
      <w:r w:rsidRPr="00320A86">
        <w:t>tés du Ciskei, ce qui aurait impl</w:t>
      </w:r>
      <w:r w:rsidRPr="00320A86">
        <w:t>i</w:t>
      </w:r>
      <w:r w:rsidRPr="00320A86">
        <w:t>qué une reconnaissance de fait. Ainsi, toutes les démarches durent passer par la mission diplomatique en Afrique du Sud et le gouvernement de Pretoria. Cepe</w:t>
      </w:r>
      <w:r w:rsidRPr="00320A86">
        <w:t>n</w:t>
      </w:r>
      <w:r w:rsidRPr="00320A86">
        <w:t>dant, « </w:t>
      </w:r>
      <w:r w:rsidRPr="00817CEB">
        <w:rPr>
          <w:i/>
        </w:rPr>
        <w:t>la voie consulaire a été utilisée pour la demande de permis de visite, mais il n’est pas question que Paris utilise la voie diplomatique à laquelle l’Afrique du Sud voudrait contraindre la France en vue d’une reco</w:t>
      </w:r>
      <w:r w:rsidRPr="00817CEB">
        <w:rPr>
          <w:i/>
        </w:rPr>
        <w:t>n</w:t>
      </w:r>
      <w:r w:rsidRPr="00817CEB">
        <w:rPr>
          <w:i/>
        </w:rPr>
        <w:t>naissance de facto de ce homeland </w:t>
      </w:r>
      <w:r w:rsidRPr="00320A86">
        <w:t>»</w:t>
      </w:r>
      <w:r>
        <w:t> </w:t>
      </w:r>
      <w:r>
        <w:rPr>
          <w:rStyle w:val="Appelnotedebasdep"/>
        </w:rPr>
        <w:footnoteReference w:id="1412"/>
      </w:r>
      <w:r w:rsidRPr="00320A86">
        <w:t>. Aussi, Jean-François D</w:t>
      </w:r>
      <w:r w:rsidRPr="00320A86">
        <w:t>e</w:t>
      </w:r>
      <w:r w:rsidRPr="00320A86">
        <w:t>niau, contrairement à ce qui fut évoqué lors de sa discussion avec le mini</w:t>
      </w:r>
      <w:r w:rsidRPr="00320A86">
        <w:t>s</w:t>
      </w:r>
      <w:r w:rsidRPr="00320A86">
        <w:t>tre sud-africain des Affaires étrangères, « Pik » Botha, début mars 1987, ne fit pas avec l’ambassadeur une visite officielle au chef du Bantoustan où Albertini se trouvait incarcéré. Il écr</w:t>
      </w:r>
      <w:r w:rsidRPr="00320A86">
        <w:t>i</w:t>
      </w:r>
      <w:r w:rsidRPr="00320A86">
        <w:t>vit à ce propos : « </w:t>
      </w:r>
      <w:r w:rsidRPr="00817CEB">
        <w:rPr>
          <w:i/>
        </w:rPr>
        <w:t>Impossible. La France ne reconnaît pas le Bantoustan, décision e</w:t>
      </w:r>
      <w:r w:rsidRPr="00817CEB">
        <w:rPr>
          <w:i/>
        </w:rPr>
        <w:t>u</w:t>
      </w:r>
      <w:r w:rsidRPr="00817CEB">
        <w:rPr>
          <w:i/>
        </w:rPr>
        <w:t>ropéenne et internationale, l’ambassadeur ne peut pas y déroger. Blocage </w:t>
      </w:r>
      <w:r w:rsidRPr="00320A86">
        <w:t>»</w:t>
      </w:r>
      <w:r>
        <w:t> </w:t>
      </w:r>
      <w:r>
        <w:rPr>
          <w:rStyle w:val="Appelnotedebasdep"/>
        </w:rPr>
        <w:footnoteReference w:id="1413"/>
      </w:r>
      <w:r w:rsidRPr="00320A86">
        <w:t>. De même, le 19 juillet 1987, le ministre français des A</w:t>
      </w:r>
      <w:r w:rsidRPr="00320A86">
        <w:t>f</w:t>
      </w:r>
      <w:r w:rsidRPr="00320A86">
        <w:t>fa</w:t>
      </w:r>
      <w:r w:rsidRPr="00320A86">
        <w:t>i</w:t>
      </w:r>
      <w:r w:rsidRPr="00320A86">
        <w:t>res étrangères, Jean-Bernard Raimond, rejeta l’offre faite par le porte-parole du Bantoustan de régler l’affaire « </w:t>
      </w:r>
      <w:r w:rsidRPr="00817CEB">
        <w:rPr>
          <w:i/>
        </w:rPr>
        <w:t>en une demi-heure </w:t>
      </w:r>
      <w:r w:rsidRPr="00320A86">
        <w:t>» par un entretien entre le président du Ci</w:t>
      </w:r>
      <w:r w:rsidRPr="00320A86">
        <w:t>s</w:t>
      </w:r>
      <w:r w:rsidRPr="00320A86">
        <w:t>kei, Lennox Sebe, et l’ambassadeur de France, M. Boyer. Celui-ci serait reparti avec Albe</w:t>
      </w:r>
      <w:r w:rsidRPr="00320A86">
        <w:t>r</w:t>
      </w:r>
      <w:r w:rsidRPr="00320A86">
        <w:t>tini</w:t>
      </w:r>
      <w:r>
        <w:t> </w:t>
      </w:r>
      <w:r>
        <w:rPr>
          <w:rStyle w:val="Appelnotedebasdep"/>
        </w:rPr>
        <w:footnoteReference w:id="1414"/>
      </w:r>
      <w:r w:rsidRPr="00320A86">
        <w:t>, une telle rencontre ne devant pas impliquer la reconnaissance diplomatique du Ciskei par Paris</w:t>
      </w:r>
      <w:r>
        <w:t> </w:t>
      </w:r>
      <w:r>
        <w:rPr>
          <w:rStyle w:val="Appelnotedebasdep"/>
        </w:rPr>
        <w:footnoteReference w:id="1415"/>
      </w:r>
      <w:r w:rsidRPr="00320A86">
        <w:t>. Le chef de la diplomatie frança</w:t>
      </w:r>
      <w:r w:rsidRPr="00320A86">
        <w:t>i</w:t>
      </w:r>
      <w:r w:rsidRPr="00320A86">
        <w:t>se ne céda pas. Il déclara publiquement :</w:t>
      </w:r>
    </w:p>
    <w:p w14:paraId="4D7A01D1" w14:textId="77777777" w:rsidR="00B01930" w:rsidRDefault="00B01930" w:rsidP="00B01930">
      <w:pPr>
        <w:pStyle w:val="citation"/>
      </w:pPr>
    </w:p>
    <w:p w14:paraId="5CA499C6" w14:textId="77777777" w:rsidR="00B01930" w:rsidRDefault="00B01930" w:rsidP="00B01930">
      <w:pPr>
        <w:pStyle w:val="citation"/>
      </w:pPr>
      <w:r w:rsidRPr="00320A86">
        <w:t>« “Le Ciskei n’est pas vraiment indépendant… C’est tout le probl</w:t>
      </w:r>
      <w:r w:rsidRPr="00320A86">
        <w:t>è</w:t>
      </w:r>
      <w:r w:rsidRPr="00320A86">
        <w:t>me”</w:t>
      </w:r>
      <w:r>
        <w:t> </w:t>
      </w:r>
      <w:r w:rsidRPr="00002B14">
        <w:rPr>
          <w:rStyle w:val="Appelnotedebasdep"/>
          <w:i/>
        </w:rPr>
        <w:footnoteReference w:id="1416"/>
      </w:r>
      <w:r w:rsidRPr="00320A86">
        <w:t>. Enfin, Bernard Bosson</w:t>
      </w:r>
      <w:r>
        <w:t> </w:t>
      </w:r>
      <w:r w:rsidRPr="00002B14">
        <w:rPr>
          <w:rStyle w:val="Appelnotedebasdep"/>
          <w:i/>
        </w:rPr>
        <w:footnoteReference w:id="1417"/>
      </w:r>
      <w:r w:rsidRPr="00320A86">
        <w:t>, le 21 juillet 1987, rejeta égal</w:t>
      </w:r>
      <w:r w:rsidRPr="00320A86">
        <w:t>e</w:t>
      </w:r>
      <w:r w:rsidRPr="00320A86">
        <w:t>ment « toute possibilité de contacts directs entre les autorités frança</w:t>
      </w:r>
      <w:r w:rsidRPr="00320A86">
        <w:t>i</w:t>
      </w:r>
      <w:r w:rsidRPr="00320A86">
        <w:t>ses et le Ciskei. Le fait même que l’ambassadeur se rende dans un pays que nous ne reconnaissons pas […] est une reconnaissance de fait […]. Il s’agit là pour l’essentiel d’un piège [...]. Nous sommes prêts à toute discussion avec l’Afrique du Sud, mais pas avec le Ci</w:t>
      </w:r>
      <w:r w:rsidRPr="00320A86">
        <w:t>s</w:t>
      </w:r>
      <w:r w:rsidRPr="00320A86">
        <w:t>kei</w:t>
      </w:r>
      <w:r>
        <w:t> </w:t>
      </w:r>
      <w:r w:rsidRPr="00002B14">
        <w:rPr>
          <w:rStyle w:val="Appelnotedebasdep"/>
          <w:i/>
        </w:rPr>
        <w:footnoteReference w:id="1418"/>
      </w:r>
      <w:r w:rsidRPr="00320A86">
        <w:t>, qui est un État qui n’existe pas</w:t>
      </w:r>
      <w:r>
        <w:t> </w:t>
      </w:r>
      <w:r w:rsidRPr="00002B14">
        <w:rPr>
          <w:rStyle w:val="Appelnotedebasdep"/>
          <w:i/>
        </w:rPr>
        <w:footnoteReference w:id="1419"/>
      </w:r>
      <w:r w:rsidRPr="00320A86">
        <w:t>. »</w:t>
      </w:r>
    </w:p>
    <w:p w14:paraId="31AC1B85" w14:textId="77777777" w:rsidR="00B01930" w:rsidRPr="00320A86" w:rsidRDefault="00B01930" w:rsidP="00B01930">
      <w:pPr>
        <w:pStyle w:val="citation"/>
      </w:pPr>
    </w:p>
    <w:p w14:paraId="32A887F2" w14:textId="77777777" w:rsidR="00B01930" w:rsidRPr="00320A86" w:rsidRDefault="00B01930" w:rsidP="00B01930">
      <w:pPr>
        <w:spacing w:before="120" w:after="120"/>
        <w:jc w:val="both"/>
      </w:pPr>
      <w:r w:rsidRPr="00320A86">
        <w:t>Quant à l’Afrique du Sud, elle se trouvait, en 1987, dans une situ</w:t>
      </w:r>
      <w:r w:rsidRPr="00320A86">
        <w:t>a</w:t>
      </w:r>
      <w:r w:rsidRPr="00320A86">
        <w:t>tion polit</w:t>
      </w:r>
      <w:r w:rsidRPr="00320A86">
        <w:t>i</w:t>
      </w:r>
      <w:r w:rsidRPr="00320A86">
        <w:t>que, économique et diplomatique difficile.</w:t>
      </w:r>
    </w:p>
    <w:p w14:paraId="06742576" w14:textId="77777777" w:rsidR="00B01930" w:rsidRPr="00320A86" w:rsidRDefault="00B01930" w:rsidP="00B01930">
      <w:pPr>
        <w:spacing w:before="120" w:after="120"/>
        <w:jc w:val="both"/>
      </w:pPr>
      <w:r w:rsidRPr="00320A86">
        <w:t>Certes, – comme le fait remarquer Jacques Foccart dans ses entr</w:t>
      </w:r>
      <w:r w:rsidRPr="00320A86">
        <w:t>e</w:t>
      </w:r>
      <w:r w:rsidRPr="00320A86">
        <w:t>tiens avec Philippe Gaillard –, le président sud-africain, Pieter W. B</w:t>
      </w:r>
      <w:r w:rsidRPr="00320A86">
        <w:t>o</w:t>
      </w:r>
      <w:r w:rsidRPr="00320A86">
        <w:t>tha, était venu en France en juin 1984 et avait été salué alors par le ministre socialiste des anciens combattants, Jean Lorrain. Quant à Pik Botha (le ministre des Affaires étrang</w:t>
      </w:r>
      <w:r w:rsidRPr="00320A86">
        <w:t>è</w:t>
      </w:r>
      <w:r w:rsidRPr="00320A86">
        <w:t>res), il avait été reçu au Quai d’Orsay par Roland Dumas en janvier 1985</w:t>
      </w:r>
      <w:r>
        <w:t> </w:t>
      </w:r>
      <w:r>
        <w:rPr>
          <w:rStyle w:val="Appelnotedebasdep"/>
        </w:rPr>
        <w:footnoteReference w:id="1420"/>
      </w:r>
      <w:r w:rsidRPr="00320A86">
        <w:t>. Mais, au lendemain de la proclamation par Pretoria de l’état d’urgence, le 21 juillet 1985, la France, autrefois considérée comme la « </w:t>
      </w:r>
      <w:r w:rsidRPr="00817CEB">
        <w:rPr>
          <w:i/>
        </w:rPr>
        <w:t>meilleure amie </w:t>
      </w:r>
      <w:r w:rsidRPr="00320A86">
        <w:t>» de l’Afrique du Sud, « </w:t>
      </w:r>
      <w:r w:rsidRPr="00817CEB">
        <w:rPr>
          <w:i/>
        </w:rPr>
        <w:t>du temps où elle équipait son armée et signait des contrats nucléaires </w:t>
      </w:r>
      <w:r w:rsidRPr="00320A86">
        <w:t>», rappela son ambassadeur</w:t>
      </w:r>
      <w:r>
        <w:t> </w:t>
      </w:r>
      <w:r>
        <w:rPr>
          <w:rStyle w:val="Appelnotedebasdep"/>
        </w:rPr>
        <w:footnoteReference w:id="1421"/>
      </w:r>
      <w:r w:rsidRPr="00320A86">
        <w:t>.</w:t>
      </w:r>
    </w:p>
    <w:p w14:paraId="30CDCB7A" w14:textId="77777777" w:rsidR="00B01930" w:rsidRPr="00320A86" w:rsidRDefault="00B01930" w:rsidP="00B01930">
      <w:pPr>
        <w:spacing w:before="120" w:after="120"/>
        <w:jc w:val="both"/>
      </w:pPr>
      <w:r w:rsidRPr="00320A86">
        <w:t>Isolée, à cette époque, sur le continent africain – où un seul pays, le Mal</w:t>
      </w:r>
      <w:r w:rsidRPr="00320A86">
        <w:t>a</w:t>
      </w:r>
      <w:r w:rsidRPr="00320A86">
        <w:t>wi</w:t>
      </w:r>
      <w:r>
        <w:t> </w:t>
      </w:r>
      <w:r>
        <w:rPr>
          <w:rStyle w:val="Appelnotedebasdep"/>
        </w:rPr>
        <w:footnoteReference w:id="1422"/>
      </w:r>
      <w:r w:rsidRPr="00320A86">
        <w:t>, entretenait des relations diplomatiques au niveau d’ambassadeur avec e</w:t>
      </w:r>
      <w:r w:rsidRPr="00320A86">
        <w:t>l</w:t>
      </w:r>
      <w:r w:rsidRPr="00320A86">
        <w:t>le</w:t>
      </w:r>
      <w:r>
        <w:t> </w:t>
      </w:r>
      <w:r>
        <w:rPr>
          <w:rStyle w:val="Appelnotedebasdep"/>
        </w:rPr>
        <w:footnoteReference w:id="1423"/>
      </w:r>
      <w:r w:rsidRPr="00320A86">
        <w:t>, engagée dans une politique de domination et d’intervention en Afrique au</w:t>
      </w:r>
      <w:r w:rsidRPr="00320A86">
        <w:t>s</w:t>
      </w:r>
      <w:r w:rsidRPr="00320A86">
        <w:t>trale, l’Afrique du Sud était soumise aux pressions internationales, notamment des sanctions économ</w:t>
      </w:r>
      <w:r w:rsidRPr="00320A86">
        <w:t>i</w:t>
      </w:r>
      <w:r w:rsidRPr="00320A86">
        <w:t>ques</w:t>
      </w:r>
      <w:r>
        <w:t> </w:t>
      </w:r>
      <w:r>
        <w:rPr>
          <w:rStyle w:val="Appelnotedebasdep"/>
        </w:rPr>
        <w:footnoteReference w:id="1424"/>
      </w:r>
      <w:r w:rsidRPr="00320A86">
        <w:t>, à cause de l’apartheid. Après le 16 mars 1986, Jacques Ch</w:t>
      </w:r>
      <w:r w:rsidRPr="00320A86">
        <w:t>i</w:t>
      </w:r>
      <w:r w:rsidRPr="00320A86">
        <w:t>rac, Premier ministre du temps de la cohabitation, décida de rétablir les relations diplomatiques, mais les tensions persistèrent comme en t</w:t>
      </w:r>
      <w:r w:rsidRPr="00320A86">
        <w:t>é</w:t>
      </w:r>
      <w:r w:rsidRPr="00320A86">
        <w:t>moigne la visite privée, le 11 novembre 1986, du président sud-africain P.W. Botha « </w:t>
      </w:r>
      <w:r w:rsidRPr="00817CEB">
        <w:rPr>
          <w:i/>
        </w:rPr>
        <w:t>traité en véritable paria intouchable </w:t>
      </w:r>
      <w:r w:rsidRPr="00320A86">
        <w:t>»</w:t>
      </w:r>
      <w:r>
        <w:t> </w:t>
      </w:r>
      <w:r>
        <w:rPr>
          <w:rStyle w:val="Appelnotedebasdep"/>
        </w:rPr>
        <w:footnoteReference w:id="1425"/>
      </w:r>
      <w:r w:rsidRPr="00320A86">
        <w:t>. Puis, malgré l’agrément a</w:t>
      </w:r>
      <w:r w:rsidRPr="00320A86">
        <w:t>c</w:t>
      </w:r>
      <w:r w:rsidRPr="00320A86">
        <w:t>cordé au nouvel ambassadeur d’Afrique du Sud en France, alors que Pierre-André Albe</w:t>
      </w:r>
      <w:r w:rsidRPr="00320A86">
        <w:t>r</w:t>
      </w:r>
      <w:r w:rsidRPr="00320A86">
        <w:t>tini était déjà arrêté, mais pas encore condamné, F. Mitterrand décida d’ajourner la remise des le</w:t>
      </w:r>
      <w:r w:rsidRPr="00320A86">
        <w:t>t</w:t>
      </w:r>
      <w:r w:rsidRPr="00320A86">
        <w:t>tres de créance prévue le 24 juin 1987. Cela afin de « manifester sa réprobation du traitement infligé » à Pierre-André Albert</w:t>
      </w:r>
      <w:r w:rsidRPr="00320A86">
        <w:t>i</w:t>
      </w:r>
      <w:r w:rsidRPr="00320A86">
        <w:t>ni</w:t>
      </w:r>
      <w:r>
        <w:t> </w:t>
      </w:r>
      <w:r>
        <w:rPr>
          <w:rStyle w:val="Appelnotedebasdep"/>
        </w:rPr>
        <w:footnoteReference w:id="1426"/>
      </w:r>
      <w:r w:rsidRPr="00320A86">
        <w:t>.</w:t>
      </w:r>
    </w:p>
    <w:p w14:paraId="6203D638" w14:textId="77777777" w:rsidR="00B01930" w:rsidRPr="00320A86" w:rsidRDefault="00B01930" w:rsidP="00B01930">
      <w:pPr>
        <w:spacing w:before="120" w:after="120"/>
        <w:jc w:val="both"/>
      </w:pPr>
      <w:r w:rsidRPr="00320A86">
        <w:t>Or, contrairement à ce que laissa entendre l’Afrique du Sud par sa très vive réaction, qualifiant de « cynique » la décision de François Mitterrand</w:t>
      </w:r>
      <w:r>
        <w:t> </w:t>
      </w:r>
      <w:r>
        <w:rPr>
          <w:rStyle w:val="Appelnotedebasdep"/>
        </w:rPr>
        <w:footnoteReference w:id="1427"/>
      </w:r>
      <w:r w:rsidRPr="00320A86">
        <w:t>, l’agrément ne vaut pas accréditation. Et refuser la s</w:t>
      </w:r>
      <w:r w:rsidRPr="00320A86">
        <w:t>e</w:t>
      </w:r>
      <w:r w:rsidRPr="00320A86">
        <w:t>conde après avoir accordé la première n’était pas contraire aux usages diplomatiques. Des événements passés attestent que ce type de prat</w:t>
      </w:r>
      <w:r w:rsidRPr="00320A86">
        <w:t>i</w:t>
      </w:r>
      <w:r w:rsidRPr="00320A86">
        <w:t>que fait partie de l’arsenal diplomatique, même si l’emploi de cette arme reste exceptionnel.</w:t>
      </w:r>
    </w:p>
    <w:p w14:paraId="483E0673" w14:textId="77777777" w:rsidR="00B01930" w:rsidRPr="00320A86" w:rsidRDefault="00B01930" w:rsidP="00B01930">
      <w:pPr>
        <w:spacing w:before="120" w:after="120"/>
        <w:jc w:val="both"/>
      </w:pPr>
      <w:r w:rsidRPr="00320A86">
        <w:t>En effet, on peut évoquer le cas de l’ambassadeur de Hongrie, arr</w:t>
      </w:r>
      <w:r w:rsidRPr="00320A86">
        <w:t>i</w:t>
      </w:r>
      <w:r w:rsidRPr="00320A86">
        <w:t>vé en se</w:t>
      </w:r>
      <w:r w:rsidRPr="00320A86">
        <w:t>p</w:t>
      </w:r>
      <w:r w:rsidRPr="00320A86">
        <w:t>tembre 1968 à Alger, pour lequel, après l’obtention de l’agrément, l’audience de présentation des lettres de créance fut re</w:t>
      </w:r>
      <w:r w:rsidRPr="00320A86">
        <w:t>n</w:t>
      </w:r>
      <w:r w:rsidRPr="00320A86">
        <w:t>voyée, après que le gouvernement a</w:t>
      </w:r>
      <w:r w:rsidRPr="00320A86">
        <w:t>l</w:t>
      </w:r>
      <w:r w:rsidRPr="00320A86">
        <w:t>gérien ait appris que son propre parti communiste, interdit, avait participé, à B</w:t>
      </w:r>
      <w:r w:rsidRPr="00320A86">
        <w:t>u</w:t>
      </w:r>
      <w:r w:rsidRPr="00320A86">
        <w:t>dapest, à la réunion préparatoire de la conférence mondiale des partis comm</w:t>
      </w:r>
      <w:r w:rsidRPr="00320A86">
        <w:t>u</w:t>
      </w:r>
      <w:r w:rsidRPr="00320A86">
        <w:t>nistes qui devait se tenir à Moscou. Après avoir vainement attendu pendant trois mois à Alger, l’ambassadeur repartit peu avant Noël. Il fallut dix-huit mois avant qu’un autre ambassadeur puisse présenter ses lettres de créance</w:t>
      </w:r>
      <w:r>
        <w:t> </w:t>
      </w:r>
      <w:r>
        <w:rPr>
          <w:rStyle w:val="Appelnotedebasdep"/>
        </w:rPr>
        <w:footnoteReference w:id="1428"/>
      </w:r>
      <w:r w:rsidRPr="00320A86">
        <w:t>.</w:t>
      </w:r>
    </w:p>
    <w:p w14:paraId="0E8A3708" w14:textId="77777777" w:rsidR="00B01930" w:rsidRPr="00320A86" w:rsidRDefault="00B01930" w:rsidP="00B01930">
      <w:pPr>
        <w:spacing w:before="120" w:after="120"/>
        <w:jc w:val="both"/>
      </w:pPr>
      <w:r w:rsidRPr="00320A86">
        <w:t>Dans l’affaire Albertini, plus de trois mois s’écoulèrent avant que l’Élisée n’annonçât, le 25 septembre, après le retour du coopérant, que la date de remise de lettres de créance du nouvel ambassadeur était fixée au 2 octobre 1987.</w:t>
      </w:r>
    </w:p>
    <w:p w14:paraId="676DEBCC" w14:textId="77777777" w:rsidR="00B01930" w:rsidRPr="00320A86" w:rsidRDefault="00B01930" w:rsidP="00B01930">
      <w:pPr>
        <w:spacing w:before="120" w:after="120"/>
        <w:jc w:val="both"/>
      </w:pPr>
      <w:r w:rsidRPr="00320A86">
        <w:t>En attendant, l’Afrique du Sud, en réponse au geste symbolique du chef de l’État français, renvoya la France au Ciskei, pays avec lequel elle devait traiter ce problème</w:t>
      </w:r>
      <w:r>
        <w:t> </w:t>
      </w:r>
      <w:r>
        <w:rPr>
          <w:rStyle w:val="Appelnotedebasdep"/>
        </w:rPr>
        <w:footnoteReference w:id="1429"/>
      </w:r>
      <w:r w:rsidRPr="00320A86">
        <w:t>. Comment sortir du blocage diplom</w:t>
      </w:r>
      <w:r w:rsidRPr="00320A86">
        <w:t>a</w:t>
      </w:r>
      <w:r w:rsidRPr="00320A86">
        <w:t>tique ? C’était aux hommes politiques d’entrer en scène.</w:t>
      </w:r>
    </w:p>
    <w:p w14:paraId="7EFBCC4B" w14:textId="77777777" w:rsidR="00B01930" w:rsidRPr="00320A86" w:rsidRDefault="00B01930" w:rsidP="00B01930">
      <w:pPr>
        <w:spacing w:before="120" w:after="120"/>
        <w:jc w:val="both"/>
      </w:pPr>
      <w:r>
        <w:br w:type="page"/>
      </w:r>
    </w:p>
    <w:p w14:paraId="1CD95BA0" w14:textId="77777777" w:rsidR="00B01930" w:rsidRPr="00320A86" w:rsidRDefault="00B01930" w:rsidP="00B01930">
      <w:pPr>
        <w:pStyle w:val="a"/>
      </w:pPr>
      <w:r w:rsidRPr="00320A86">
        <w:t>Le blocage politique</w:t>
      </w:r>
    </w:p>
    <w:p w14:paraId="599CBEB3" w14:textId="77777777" w:rsidR="00B01930" w:rsidRDefault="00B01930" w:rsidP="00B01930">
      <w:pPr>
        <w:spacing w:before="120" w:after="120"/>
        <w:jc w:val="both"/>
      </w:pPr>
    </w:p>
    <w:p w14:paraId="6D4CADFE" w14:textId="77777777" w:rsidR="00B01930" w:rsidRPr="00320A86" w:rsidRDefault="00B01930" w:rsidP="00B01930">
      <w:pPr>
        <w:spacing w:before="120" w:after="120"/>
        <w:jc w:val="both"/>
      </w:pPr>
      <w:r w:rsidRPr="00320A86">
        <w:t>Nous ne décrirons pas ici le blocage politique en Afrique du Sud : « la révolte des ghettos noirs et le pouvoir blanc ébranlé »</w:t>
      </w:r>
      <w:r>
        <w:t> </w:t>
      </w:r>
      <w:r>
        <w:rPr>
          <w:rStyle w:val="Appelnotedebasdep"/>
        </w:rPr>
        <w:footnoteReference w:id="1430"/>
      </w:r>
      <w:r w:rsidRPr="00320A86">
        <w:t> : cela d</w:t>
      </w:r>
      <w:r w:rsidRPr="00320A86">
        <w:t>é</w:t>
      </w:r>
      <w:r w:rsidRPr="00320A86">
        <w:t>passerait notre cadre.</w:t>
      </w:r>
    </w:p>
    <w:p w14:paraId="31BBE8BA" w14:textId="77777777" w:rsidR="00B01930" w:rsidRPr="00320A86" w:rsidRDefault="00B01930" w:rsidP="00B01930">
      <w:pPr>
        <w:spacing w:before="120" w:after="120"/>
        <w:jc w:val="both"/>
      </w:pPr>
      <w:r w:rsidRPr="00320A86">
        <w:t>En France, la situation politique était autrement subtile. Sous le septennat d’un président de gauche, les élections de mars 1986 e</w:t>
      </w:r>
      <w:r w:rsidRPr="00320A86">
        <w:t>n</w:t>
      </w:r>
      <w:r w:rsidRPr="00320A86">
        <w:t>voyèrent une majorité de droite à l’Assemblée nationale. Jacques Ch</w:t>
      </w:r>
      <w:r w:rsidRPr="00320A86">
        <w:t>i</w:t>
      </w:r>
      <w:r w:rsidRPr="00320A86">
        <w:t>rac, Premier ministre et leader du parti majoritaire à l’Assemblée, d</w:t>
      </w:r>
      <w:r w:rsidRPr="00320A86">
        <w:t>é</w:t>
      </w:r>
      <w:r w:rsidRPr="00320A86">
        <w:t>cida de jouer un rôle important dans la polit</w:t>
      </w:r>
      <w:r w:rsidRPr="00320A86">
        <w:t>i</w:t>
      </w:r>
      <w:r w:rsidRPr="00320A86">
        <w:t>que étrangère. Or, comme on le sait, celle-ci fait partie du domaine réservé du chef de l’État qui entend rester le maître du jeu en la matière.</w:t>
      </w:r>
    </w:p>
    <w:p w14:paraId="10DC005D" w14:textId="77777777" w:rsidR="00B01930" w:rsidRPr="00320A86" w:rsidRDefault="00B01930" w:rsidP="00B01930">
      <w:pPr>
        <w:spacing w:before="120" w:after="120"/>
        <w:jc w:val="both"/>
      </w:pPr>
      <w:r w:rsidRPr="00320A86">
        <w:t>Un Premier ministre aux ambitions présidentielles bloqué par la cohabitation ? En fait, l’ajournement de la remise des lettres de créa</w:t>
      </w:r>
      <w:r w:rsidRPr="00320A86">
        <w:t>n</w:t>
      </w:r>
      <w:r w:rsidRPr="00320A86">
        <w:t>ce eut une portée double : diplomatique – nous l’avons vu –, mais au</w:t>
      </w:r>
      <w:r w:rsidRPr="00320A86">
        <w:t>s</w:t>
      </w:r>
      <w:r w:rsidRPr="00320A86">
        <w:t>si politique. Ce geste mit Jacques Chirac sous pression : il devait réu</w:t>
      </w:r>
      <w:r w:rsidRPr="00320A86">
        <w:t>s</w:t>
      </w:r>
      <w:r w:rsidRPr="00320A86">
        <w:t>sir la sortie non plus pour sauver Albertini, mais pour se préserver lui-même.</w:t>
      </w:r>
    </w:p>
    <w:p w14:paraId="6306ACA0" w14:textId="77777777" w:rsidR="00B01930" w:rsidRPr="00320A86" w:rsidRDefault="00B01930" w:rsidP="00B01930">
      <w:pPr>
        <w:spacing w:before="120" w:after="120"/>
        <w:jc w:val="both"/>
      </w:pPr>
    </w:p>
    <w:p w14:paraId="121962D9" w14:textId="77777777" w:rsidR="00B01930" w:rsidRPr="00320A86" w:rsidRDefault="00B01930" w:rsidP="00B01930">
      <w:pPr>
        <w:pStyle w:val="a"/>
      </w:pPr>
      <w:r w:rsidRPr="00320A86">
        <w:t>Les États s’appuient sur des réseaux de contournement</w:t>
      </w:r>
    </w:p>
    <w:p w14:paraId="72F1E7CF" w14:textId="77777777" w:rsidR="00B01930" w:rsidRDefault="00B01930" w:rsidP="00B01930">
      <w:pPr>
        <w:spacing w:before="120" w:after="120"/>
        <w:jc w:val="both"/>
      </w:pPr>
    </w:p>
    <w:p w14:paraId="4556ED41" w14:textId="77777777" w:rsidR="00B01930" w:rsidRPr="00320A86" w:rsidRDefault="00B01930" w:rsidP="00B01930">
      <w:pPr>
        <w:spacing w:before="120" w:after="120"/>
        <w:jc w:val="both"/>
      </w:pPr>
      <w:r w:rsidRPr="00320A86">
        <w:t>L’Afrique du Sud et la France, chacune de leur côté, tentèrent de débloquer la situation en activant des réseaux, soit pour agir sur l’opinion publique, soit pour négocier discrètement, voire en secret.</w:t>
      </w:r>
    </w:p>
    <w:p w14:paraId="32D8B699" w14:textId="77777777" w:rsidR="00B01930" w:rsidRPr="00320A86" w:rsidRDefault="00B01930" w:rsidP="00B01930">
      <w:pPr>
        <w:spacing w:before="120" w:after="120"/>
        <w:jc w:val="both"/>
      </w:pPr>
      <w:r>
        <w:br w:type="page"/>
      </w:r>
    </w:p>
    <w:p w14:paraId="3EE1D935" w14:textId="77777777" w:rsidR="00B01930" w:rsidRPr="00320A86" w:rsidRDefault="00B01930" w:rsidP="00B01930">
      <w:pPr>
        <w:pStyle w:val="b"/>
      </w:pPr>
      <w:r w:rsidRPr="00320A86">
        <w:t>Des réseaux partisans</w:t>
      </w:r>
    </w:p>
    <w:p w14:paraId="7956A6FC" w14:textId="77777777" w:rsidR="00B01930" w:rsidRDefault="00B01930" w:rsidP="00B01930">
      <w:pPr>
        <w:spacing w:before="120" w:after="120"/>
        <w:jc w:val="both"/>
      </w:pPr>
    </w:p>
    <w:p w14:paraId="0C50FE7F" w14:textId="77777777" w:rsidR="00B01930" w:rsidRPr="00320A86" w:rsidRDefault="00B01930" w:rsidP="00B01930">
      <w:pPr>
        <w:spacing w:before="120" w:after="120"/>
        <w:jc w:val="both"/>
      </w:pPr>
      <w:r w:rsidRPr="00320A86">
        <w:t>L’Afrique du Sud, par ses forces politiques au pouvoir, et la Fra</w:t>
      </w:r>
      <w:r w:rsidRPr="00320A86">
        <w:t>n</w:t>
      </w:r>
      <w:r w:rsidRPr="00320A86">
        <w:t>ce, par ses forces d’opposition, déplacèrent leur jeu respectif au n</w:t>
      </w:r>
      <w:r w:rsidRPr="00320A86">
        <w:t>i</w:t>
      </w:r>
      <w:r w:rsidRPr="00320A86">
        <w:t>veau de l’opinion publ</w:t>
      </w:r>
      <w:r w:rsidRPr="00320A86">
        <w:t>i</w:t>
      </w:r>
      <w:r w:rsidRPr="00320A86">
        <w:t>que française et internationale.</w:t>
      </w:r>
    </w:p>
    <w:p w14:paraId="1A4005D0" w14:textId="77777777" w:rsidR="00B01930" w:rsidRPr="00320A86" w:rsidRDefault="00B01930" w:rsidP="00B01930">
      <w:pPr>
        <w:spacing w:before="120" w:after="120"/>
        <w:jc w:val="both"/>
      </w:pPr>
      <w:r w:rsidRPr="00320A86">
        <w:t>De manière presque symétrique, les deux pays activèrent des r</w:t>
      </w:r>
      <w:r w:rsidRPr="00320A86">
        <w:t>é</w:t>
      </w:r>
      <w:r w:rsidRPr="00320A86">
        <w:t>seaux de sympathisants ainsi que les médias, surtout en France. Ces réseaux reposaient sur des milieux d’affaires et politiques, sur les t</w:t>
      </w:r>
      <w:r w:rsidRPr="00320A86">
        <w:t>e</w:t>
      </w:r>
      <w:r w:rsidRPr="00320A86">
        <w:t>nants d’une Afrique du Sud plus ou moins réformable et sur les mo</w:t>
      </w:r>
      <w:r w:rsidRPr="00320A86">
        <w:t>u</w:t>
      </w:r>
      <w:r w:rsidRPr="00320A86">
        <w:t>vances communistes aux mobiles mult</w:t>
      </w:r>
      <w:r w:rsidRPr="00320A86">
        <w:t>i</w:t>
      </w:r>
      <w:r w:rsidRPr="00320A86">
        <w:t>ples.</w:t>
      </w:r>
    </w:p>
    <w:p w14:paraId="252BAE77" w14:textId="77777777" w:rsidR="00B01930" w:rsidRPr="00320A86" w:rsidRDefault="00B01930" w:rsidP="00B01930">
      <w:pPr>
        <w:spacing w:before="120" w:after="120"/>
        <w:jc w:val="both"/>
      </w:pPr>
      <w:r w:rsidRPr="00320A86">
        <w:t xml:space="preserve">Neuf parlementaires français, membres du groupe </w:t>
      </w:r>
      <w:r w:rsidRPr="00817CEB">
        <w:rPr>
          <w:i/>
        </w:rPr>
        <w:t>Amitié France-Afrique-du-Sud</w:t>
      </w:r>
      <w:r w:rsidRPr="00320A86">
        <w:t>, se rendirent dans le pays, à l’invitation du gouvern</w:t>
      </w:r>
      <w:r w:rsidRPr="00320A86">
        <w:t>e</w:t>
      </w:r>
      <w:r w:rsidRPr="00320A86">
        <w:t>ment sud-africain</w:t>
      </w:r>
      <w:r>
        <w:t> </w:t>
      </w:r>
      <w:r>
        <w:rPr>
          <w:rStyle w:val="Appelnotedebasdep"/>
        </w:rPr>
        <w:footnoteReference w:id="1431"/>
      </w:r>
      <w:r w:rsidRPr="00320A86">
        <w:t>. À l’issue de leur voyage, ils firent part de leur satisfaction :</w:t>
      </w:r>
    </w:p>
    <w:p w14:paraId="17D0E406" w14:textId="77777777" w:rsidR="00B01930" w:rsidRDefault="00B01930" w:rsidP="00B01930">
      <w:pPr>
        <w:pStyle w:val="citation"/>
      </w:pPr>
    </w:p>
    <w:p w14:paraId="43C87706" w14:textId="77777777" w:rsidR="00B01930" w:rsidRDefault="00B01930" w:rsidP="00B01930">
      <w:pPr>
        <w:pStyle w:val="citation"/>
      </w:pPr>
      <w:r w:rsidRPr="00320A86">
        <w:t>« L’apartheid n’existait plus et […] la paix et la sécurité régnaient ! Ils se montrèrent confiants : “dans un an […] (après les élections présidentie</w:t>
      </w:r>
      <w:r w:rsidRPr="00320A86">
        <w:t>l</w:t>
      </w:r>
      <w:r w:rsidRPr="00320A86">
        <w:t>les), l’Afrique du Sud sera de nouveau une grande amie de la Fra</w:t>
      </w:r>
      <w:r w:rsidRPr="00320A86">
        <w:t>n</w:t>
      </w:r>
      <w:r w:rsidRPr="00320A86">
        <w:t>ce”. On joua l’ancienneté des relations traditionnelles</w:t>
      </w:r>
      <w:r>
        <w:t> </w:t>
      </w:r>
      <w:r w:rsidRPr="00002B14">
        <w:rPr>
          <w:rStyle w:val="Appelnotedebasdep"/>
          <w:i/>
        </w:rPr>
        <w:footnoteReference w:id="1432"/>
      </w:r>
      <w:r w:rsidRPr="00320A86">
        <w:t>. »</w:t>
      </w:r>
    </w:p>
    <w:p w14:paraId="7C8AE789" w14:textId="77777777" w:rsidR="00B01930" w:rsidRPr="00320A86" w:rsidRDefault="00B01930" w:rsidP="00B01930">
      <w:pPr>
        <w:pStyle w:val="citation"/>
      </w:pPr>
    </w:p>
    <w:p w14:paraId="77E1621C" w14:textId="77777777" w:rsidR="00B01930" w:rsidRPr="00320A86" w:rsidRDefault="00B01930" w:rsidP="00B01930">
      <w:pPr>
        <w:spacing w:before="120" w:after="120"/>
        <w:jc w:val="both"/>
      </w:pPr>
      <w:r w:rsidRPr="00320A86">
        <w:t>Selon le point de vue que l’on souhaite adopter, on qualifiera cette action de promotion ou de propagande. Pour évacuer l’éthique, les relais réactivèrent l’aspect judiciaire : une copie de la déposition d’Albertini fut remise à la délég</w:t>
      </w:r>
      <w:r w:rsidRPr="00320A86">
        <w:t>a</w:t>
      </w:r>
      <w:r w:rsidRPr="00320A86">
        <w:t xml:space="preserve">tion parlementaire. Ces « aveux » furent produits par Jean-Pierre Stirbois du Front national lors d’une conférence de presse à Paris, le 12 juillet 1987, ainsi que publiés dans le </w:t>
      </w:r>
      <w:r w:rsidRPr="00817CEB">
        <w:rPr>
          <w:i/>
        </w:rPr>
        <w:t>Sunday Times</w:t>
      </w:r>
      <w:r w:rsidRPr="00320A86">
        <w:t>, le plus grand journal sud-africain, en premi</w:t>
      </w:r>
      <w:r w:rsidRPr="00320A86">
        <w:t>è</w:t>
      </w:r>
      <w:r w:rsidRPr="00320A86">
        <w:t xml:space="preserve">re page, et en France, dans </w:t>
      </w:r>
      <w:r w:rsidRPr="00817CEB">
        <w:rPr>
          <w:i/>
        </w:rPr>
        <w:t>Valeurs actuelles </w:t>
      </w:r>
      <w:r>
        <w:rPr>
          <w:rStyle w:val="Appelnotedebasdep"/>
        </w:rPr>
        <w:footnoteReference w:id="1433"/>
      </w:r>
      <w:r w:rsidRPr="00320A86">
        <w:t>. Se faisant l’interprète du go</w:t>
      </w:r>
      <w:r w:rsidRPr="00320A86">
        <w:t>u</w:t>
      </w:r>
      <w:r w:rsidRPr="00320A86">
        <w:t>vernement sud-africain, ils défendirent la thèse que le dossier était i</w:t>
      </w:r>
      <w:r w:rsidRPr="00320A86">
        <w:t>n</w:t>
      </w:r>
      <w:r w:rsidRPr="00320A86">
        <w:t>défendable</w:t>
      </w:r>
      <w:r>
        <w:t> </w:t>
      </w:r>
      <w:r>
        <w:rPr>
          <w:rStyle w:val="Appelnotedebasdep"/>
        </w:rPr>
        <w:footnoteReference w:id="1434"/>
      </w:r>
      <w:r w:rsidRPr="00320A86">
        <w:t>. Mais devant les très vives critiques d’hommes polit</w:t>
      </w:r>
      <w:r w:rsidRPr="00320A86">
        <w:t>i</w:t>
      </w:r>
      <w:r w:rsidRPr="00320A86">
        <w:t>ques de gauche, tel Claude Malhuret, secrétaire d’État aux droits de l’homme, mais aussi de leurs propres rangs – Pierre Méhaignerie et Jacques Barrot – certains membres de la délégation, Jean Briane, d</w:t>
      </w:r>
      <w:r w:rsidRPr="00320A86">
        <w:t>é</w:t>
      </w:r>
      <w:r w:rsidRPr="00320A86">
        <w:t>puté U</w:t>
      </w:r>
      <w:r w:rsidRPr="00320A86">
        <w:rPr>
          <w:smallCaps/>
        </w:rPr>
        <w:t>df</w:t>
      </w:r>
      <w:r w:rsidRPr="00320A86">
        <w:t>-C</w:t>
      </w:r>
      <w:r w:rsidRPr="00320A86">
        <w:rPr>
          <w:smallCaps/>
        </w:rPr>
        <w:t>ds</w:t>
      </w:r>
      <w:r w:rsidRPr="00320A86">
        <w:t>, et René Couveinhes (R</w:t>
      </w:r>
      <w:r w:rsidRPr="00320A86">
        <w:rPr>
          <w:smallCaps/>
        </w:rPr>
        <w:t>pr</w:t>
      </w:r>
      <w:r w:rsidRPr="00320A86">
        <w:t>) nuancèrent leurs propos. J. Briane évoqua d’ailleurs une possible manipulation d’Albertini par l’Anc, ce qui était aussi la conclusion à laquelle arriva Jean-François Deniau. Mais surtout, les réseaux, compte tenu de la composition de la délégation, ne furent pas vraiment efficaces : la manipulation ne ma</w:t>
      </w:r>
      <w:r w:rsidRPr="00320A86">
        <w:t>r</w:t>
      </w:r>
      <w:r w:rsidRPr="00320A86">
        <w:t>cha pas, la ficelle était trop grosse. Ressenti comme contre-productif par les initiateurs de l’opération eux-mêmes, ce voyage eut une suite : deux mois après la polémique déclenchée en France – et deux sema</w:t>
      </w:r>
      <w:r w:rsidRPr="00320A86">
        <w:t>i</w:t>
      </w:r>
      <w:r w:rsidRPr="00320A86">
        <w:t>nes après la libération de Pierre-André Albertini – cinq autres parl</w:t>
      </w:r>
      <w:r w:rsidRPr="00320A86">
        <w:t>e</w:t>
      </w:r>
      <w:r w:rsidRPr="00320A86">
        <w:t xml:space="preserve">mentaires firent le déplacement, dont le président du groupe </w:t>
      </w:r>
      <w:r w:rsidRPr="00817CEB">
        <w:rPr>
          <w:i/>
        </w:rPr>
        <w:t>Amitié France-Afrique-du-Sud</w:t>
      </w:r>
      <w:r w:rsidRPr="00320A86">
        <w:t xml:space="preserve"> à l’Assemblée nationale, Albert Brochard (U</w:t>
      </w:r>
      <w:r w:rsidRPr="00320A86">
        <w:rPr>
          <w:smallCaps/>
        </w:rPr>
        <w:t>df</w:t>
      </w:r>
      <w:r w:rsidRPr="00320A86">
        <w:t>)</w:t>
      </w:r>
      <w:r>
        <w:t> </w:t>
      </w:r>
      <w:r>
        <w:rPr>
          <w:rStyle w:val="Appelnotedebasdep"/>
        </w:rPr>
        <w:footnoteReference w:id="1435"/>
      </w:r>
      <w:r w:rsidRPr="00320A86">
        <w:t>.</w:t>
      </w:r>
    </w:p>
    <w:p w14:paraId="1C7DC961" w14:textId="77777777" w:rsidR="00B01930" w:rsidRPr="00320A86" w:rsidRDefault="00B01930" w:rsidP="00B01930">
      <w:pPr>
        <w:spacing w:before="120" w:after="120"/>
        <w:jc w:val="both"/>
      </w:pPr>
      <w:r w:rsidRPr="00320A86">
        <w:t>Les réactions furent d’ailleurs révélatrices. Elles ne portèrent pas sur les a</w:t>
      </w:r>
      <w:r w:rsidRPr="00320A86">
        <w:t>r</w:t>
      </w:r>
      <w:r w:rsidRPr="00320A86">
        <w:t xml:space="preserve">guments judiciaires, mais sur le nœud du problème : </w:t>
      </w:r>
      <w:r w:rsidRPr="00817CEB">
        <w:rPr>
          <w:i/>
        </w:rPr>
        <w:t>l’apartheid</w:t>
      </w:r>
      <w:r w:rsidRPr="00320A86">
        <w:t>.</w:t>
      </w:r>
    </w:p>
    <w:p w14:paraId="20A355CC" w14:textId="77777777" w:rsidR="00B01930" w:rsidRPr="00320A86" w:rsidRDefault="00B01930" w:rsidP="00B01930">
      <w:pPr>
        <w:spacing w:before="120" w:after="120"/>
        <w:jc w:val="both"/>
      </w:pPr>
      <w:r w:rsidRPr="00320A86">
        <w:t>C’est sur le terrain éthique des droits de l’homme qu’agirent quant à elles les forces communistes en France. La mobilisation de ce réseau ne surprend pas puisque les parents du prisonnier étaient membres du P</w:t>
      </w:r>
      <w:r w:rsidRPr="00320A86">
        <w:rPr>
          <w:smallCaps/>
        </w:rPr>
        <w:t>cf</w:t>
      </w:r>
      <w:r w:rsidRPr="00320A86">
        <w:t>, sa mère étant même conseillère municipale à Évreux. Toutefois, le jeune Albertini n’avait pas la ca</w:t>
      </w:r>
      <w:r w:rsidRPr="00320A86">
        <w:t>r</w:t>
      </w:r>
      <w:r w:rsidRPr="00320A86">
        <w:t>te du parti. Cependant, après sa libération, il rendit hommage au travail des communistes en partic</w:t>
      </w:r>
      <w:r w:rsidRPr="00320A86">
        <w:t>i</w:t>
      </w:r>
      <w:r w:rsidRPr="00320A86">
        <w:t xml:space="preserve">pant à la </w:t>
      </w:r>
      <w:r w:rsidRPr="00817CEB">
        <w:rPr>
          <w:i/>
        </w:rPr>
        <w:t>Fête de l’Huma </w:t>
      </w:r>
      <w:r w:rsidRPr="00320A86">
        <w:t xml:space="preserve">et par sa présence sur le plateau de </w:t>
      </w:r>
      <w:r w:rsidRPr="00817CEB">
        <w:rPr>
          <w:i/>
        </w:rPr>
        <w:t>L’Heure de vérité</w:t>
      </w:r>
      <w:r w:rsidRPr="00320A86">
        <w:t xml:space="preserve"> du candidat communiste aux présidentielles, André Lajo</w:t>
      </w:r>
      <w:r w:rsidRPr="00320A86">
        <w:t>i</w:t>
      </w:r>
      <w:r w:rsidRPr="00320A86">
        <w:t>nie.</w:t>
      </w:r>
    </w:p>
    <w:p w14:paraId="351F387E" w14:textId="77777777" w:rsidR="00B01930" w:rsidRPr="00320A86" w:rsidRDefault="00B01930" w:rsidP="00B01930">
      <w:pPr>
        <w:spacing w:before="120" w:after="120"/>
        <w:jc w:val="both"/>
      </w:pPr>
      <w:r w:rsidRPr="00320A86">
        <w:t>Le P</w:t>
      </w:r>
      <w:r w:rsidRPr="00320A86">
        <w:rPr>
          <w:smallCaps/>
        </w:rPr>
        <w:t>cf</w:t>
      </w:r>
      <w:r w:rsidRPr="00320A86">
        <w:t xml:space="preserve"> – fait caractéristique – créa le prix des droits de l’homme en janvier 1987 et le remit, en première attribution, aux parents Albe</w:t>
      </w:r>
      <w:r w:rsidRPr="00320A86">
        <w:t>r</w:t>
      </w:r>
      <w:r w:rsidRPr="00320A86">
        <w:t>tini. Dans la campagne de mobilisation, le jeune coopérant fut appelé « l’otage de l’apartheid »</w:t>
      </w:r>
      <w:r>
        <w:t> </w:t>
      </w:r>
      <w:r>
        <w:rPr>
          <w:rStyle w:val="Appelnotedebasdep"/>
        </w:rPr>
        <w:footnoteReference w:id="1436"/>
      </w:r>
      <w:r w:rsidRPr="00320A86">
        <w:t>, ce qui revint à retourner l’argument jud</w:t>
      </w:r>
      <w:r w:rsidRPr="00320A86">
        <w:t>i</w:t>
      </w:r>
      <w:r w:rsidRPr="00320A86">
        <w:t>ciaire en criminalisant le gouvernement sud-africain comme preneur d’otages. Tous les réseaux comm</w:t>
      </w:r>
      <w:r w:rsidRPr="00320A86">
        <w:t>u</w:t>
      </w:r>
      <w:r w:rsidRPr="00320A86">
        <w:t>nistes furent activés ; par exemple, outre le P</w:t>
      </w:r>
      <w:r w:rsidRPr="00320A86">
        <w:rPr>
          <w:smallCaps/>
        </w:rPr>
        <w:t>cf</w:t>
      </w:r>
      <w:r w:rsidRPr="00320A86">
        <w:t xml:space="preserve"> lui-même, le </w:t>
      </w:r>
      <w:r w:rsidRPr="00320A86">
        <w:rPr>
          <w:smallCaps/>
        </w:rPr>
        <w:t>Mjcf,</w:t>
      </w:r>
      <w:r w:rsidRPr="00320A86">
        <w:t xml:space="preserve"> et la </w:t>
      </w:r>
      <w:r w:rsidRPr="00320A86">
        <w:rPr>
          <w:smallCaps/>
        </w:rPr>
        <w:t>Cgt</w:t>
      </w:r>
      <w:r w:rsidRPr="00320A86">
        <w:t>. Les milieux socialistes f</w:t>
      </w:r>
      <w:r w:rsidRPr="00320A86">
        <w:t>u</w:t>
      </w:r>
      <w:r w:rsidRPr="00320A86">
        <w:t>rent aussi impliqués. On appela à manifester, on man</w:t>
      </w:r>
      <w:r w:rsidRPr="00320A86">
        <w:t>i</w:t>
      </w:r>
      <w:r w:rsidRPr="00320A86">
        <w:t>festa devant l’Ambassade d’Afrique du Sud, et lorsque celle-ci, suite aux dégrad</w:t>
      </w:r>
      <w:r w:rsidRPr="00320A86">
        <w:t>a</w:t>
      </w:r>
      <w:r w:rsidRPr="00320A86">
        <w:t>tions du 20 mars, fut protégée par un important détachement policier, les m</w:t>
      </w:r>
      <w:r w:rsidRPr="00320A86">
        <w:t>a</w:t>
      </w:r>
      <w:r w:rsidRPr="00320A86">
        <w:t>nifestants prirent pour cible l’office du tourisme sud-africain. Enfin, fait révélateur, dès la libération d’Albertini, le P</w:t>
      </w:r>
      <w:r w:rsidRPr="00320A86">
        <w:rPr>
          <w:smallCaps/>
        </w:rPr>
        <w:t>cf</w:t>
      </w:r>
      <w:r w:rsidRPr="00320A86">
        <w:t xml:space="preserve"> laissa auss</w:t>
      </w:r>
      <w:r w:rsidRPr="00320A86">
        <w:t>i</w:t>
      </w:r>
      <w:r w:rsidRPr="00320A86">
        <w:t>tôt tomber la campagne contre l’apartheid… pour les « neuf de R</w:t>
      </w:r>
      <w:r w:rsidRPr="00320A86">
        <w:t>e</w:t>
      </w:r>
      <w:r w:rsidRPr="00320A86">
        <w:t xml:space="preserve">nault-Billancourt ». Au point qu’en quelques heures, </w:t>
      </w:r>
      <w:r w:rsidRPr="00817CEB">
        <w:rPr>
          <w:i/>
        </w:rPr>
        <w:t>L’Humanité D</w:t>
      </w:r>
      <w:r w:rsidRPr="00817CEB">
        <w:rPr>
          <w:i/>
        </w:rPr>
        <w:t>i</w:t>
      </w:r>
      <w:r w:rsidRPr="00817CEB">
        <w:rPr>
          <w:i/>
        </w:rPr>
        <w:t>manche</w:t>
      </w:r>
      <w:r w:rsidRPr="00320A86">
        <w:t xml:space="preserve"> changea d’article entre la première et la deuxième édition du même jour</w:t>
      </w:r>
      <w:r>
        <w:t> </w:t>
      </w:r>
      <w:r>
        <w:rPr>
          <w:rStyle w:val="Appelnotedebasdep"/>
        </w:rPr>
        <w:footnoteReference w:id="1437"/>
      </w:r>
      <w:r w:rsidRPr="00320A86">
        <w:t> !</w:t>
      </w:r>
    </w:p>
    <w:p w14:paraId="09C71B42" w14:textId="77777777" w:rsidR="00B01930" w:rsidRPr="00320A86" w:rsidRDefault="00B01930" w:rsidP="00B01930">
      <w:pPr>
        <w:spacing w:before="120" w:after="120"/>
        <w:jc w:val="both"/>
      </w:pPr>
      <w:r w:rsidRPr="00320A86">
        <w:t>Deux réseaux partisans, décidément, car dès que le problème A</w:t>
      </w:r>
      <w:r w:rsidRPr="00320A86">
        <w:t>l</w:t>
      </w:r>
      <w:r w:rsidRPr="00320A86">
        <w:t>bertini fut r</w:t>
      </w:r>
      <w:r w:rsidRPr="00320A86">
        <w:t>é</w:t>
      </w:r>
      <w:r w:rsidRPr="00320A86">
        <w:t>solu, le « combat pour l’Afrique du Sud et contre l’apartheid » passa au second plan dans les rangs communistes. Et, soulignons-le, la solution vint non pas des réseaux partisans, lesquels se servirent de l’affaire afin de renforcer leur propre image, mais des relais en marge ou hors des institutions qui, activés par les acteurs o</w:t>
      </w:r>
      <w:r w:rsidRPr="00320A86">
        <w:t>f</w:t>
      </w:r>
      <w:r w:rsidRPr="00320A86">
        <w:t>ficiels, se mirent et mirent leurs réseaux et leur savoir-faire – direct</w:t>
      </w:r>
      <w:r w:rsidRPr="00320A86">
        <w:t>e</w:t>
      </w:r>
      <w:r w:rsidRPr="00320A86">
        <w:t>ment ou indirectement – au service de l’État.</w:t>
      </w:r>
    </w:p>
    <w:p w14:paraId="366D7284" w14:textId="77777777" w:rsidR="00B01930" w:rsidRPr="00320A86" w:rsidRDefault="00B01930" w:rsidP="00B01930">
      <w:pPr>
        <w:spacing w:before="120" w:after="120"/>
        <w:jc w:val="both"/>
      </w:pPr>
    </w:p>
    <w:p w14:paraId="1FCF0CFE" w14:textId="77777777" w:rsidR="00B01930" w:rsidRPr="00320A86" w:rsidRDefault="00B01930" w:rsidP="00B01930">
      <w:pPr>
        <w:pStyle w:val="b"/>
      </w:pPr>
      <w:r w:rsidRPr="00320A86">
        <w:t>Les réseaux parallèles au service de l’État</w:t>
      </w:r>
    </w:p>
    <w:p w14:paraId="65323A59" w14:textId="77777777" w:rsidR="00B01930" w:rsidRDefault="00B01930" w:rsidP="00B01930">
      <w:pPr>
        <w:spacing w:before="120" w:after="120"/>
        <w:jc w:val="both"/>
      </w:pPr>
    </w:p>
    <w:p w14:paraId="52F54C83" w14:textId="77777777" w:rsidR="00B01930" w:rsidRPr="00320A86" w:rsidRDefault="00B01930" w:rsidP="00B01930">
      <w:pPr>
        <w:spacing w:before="120" w:after="120"/>
        <w:jc w:val="both"/>
      </w:pPr>
      <w:r w:rsidRPr="00320A86">
        <w:t>Dans l’affaire Albertini apparurent trois blocages majeurs, nous l’avons vu : l’un judiciaire, l’autre diplomatique, le dernier politique. Ces blocages résult</w:t>
      </w:r>
      <w:r w:rsidRPr="00320A86">
        <w:t>è</w:t>
      </w:r>
      <w:r w:rsidRPr="00320A86">
        <w:t>rent de deux décisions importantes, de la part de chacune des deux parties : la condamnation au procès par le juge sud-africain et l’ajournement des lettres de créance par le président fra</w:t>
      </w:r>
      <w:r w:rsidRPr="00320A86">
        <w:t>n</w:t>
      </w:r>
      <w:r w:rsidRPr="00320A86">
        <w:t>çais. Pour en sortir, par deux fois, le gouvernement français prit l’initiative, en activant des hommes et des réseaux non officiell</w:t>
      </w:r>
      <w:r w:rsidRPr="00320A86">
        <w:t>e</w:t>
      </w:r>
      <w:r w:rsidRPr="00320A86">
        <w:t>ment en charge de sa diplomatie.</w:t>
      </w:r>
    </w:p>
    <w:p w14:paraId="278511D0" w14:textId="77777777" w:rsidR="00B01930" w:rsidRPr="00320A86" w:rsidRDefault="00B01930" w:rsidP="00B01930">
      <w:pPr>
        <w:spacing w:before="120" w:after="120"/>
        <w:jc w:val="both"/>
      </w:pPr>
      <w:r w:rsidRPr="00320A86">
        <w:t>La première tentative officieuse eut lieu avant la condamnation d’Albertini, qui se profilait comme une épée de Damoclès. Début mars 1987, avant le pr</w:t>
      </w:r>
      <w:r w:rsidRPr="00320A86">
        <w:t>o</w:t>
      </w:r>
      <w:r w:rsidRPr="00320A86">
        <w:t>cès</w:t>
      </w:r>
      <w:r>
        <w:t> </w:t>
      </w:r>
      <w:r>
        <w:rPr>
          <w:rStyle w:val="Appelnotedebasdep"/>
        </w:rPr>
        <w:footnoteReference w:id="1438"/>
      </w:r>
      <w:r w:rsidRPr="00320A86">
        <w:t>, le ministère des Affaires étrangères fit appel à l’homme des situations d</w:t>
      </w:r>
      <w:r w:rsidRPr="00320A86">
        <w:t>é</w:t>
      </w:r>
      <w:r w:rsidRPr="00320A86">
        <w:t>licates, le « </w:t>
      </w:r>
      <w:r w:rsidRPr="00817CEB">
        <w:rPr>
          <w:i/>
        </w:rPr>
        <w:t>baroudeur et</w:t>
      </w:r>
      <w:r w:rsidRPr="00320A86">
        <w:t xml:space="preserve"> [futur</w:t>
      </w:r>
      <w:r>
        <w:t> </w:t>
      </w:r>
      <w:r>
        <w:rPr>
          <w:rStyle w:val="Appelnotedebasdep"/>
        </w:rPr>
        <w:footnoteReference w:id="1439"/>
      </w:r>
      <w:r w:rsidRPr="00320A86">
        <w:t xml:space="preserve">] </w:t>
      </w:r>
      <w:r w:rsidRPr="00817CEB">
        <w:rPr>
          <w:i/>
        </w:rPr>
        <w:t>académicien, marin et énarque </w:t>
      </w:r>
      <w:r>
        <w:rPr>
          <w:rStyle w:val="Appelnotedebasdep"/>
        </w:rPr>
        <w:footnoteReference w:id="1440"/>
      </w:r>
      <w:r w:rsidRPr="00320A86">
        <w:t>, [ancien</w:t>
      </w:r>
      <w:r>
        <w:t> </w:t>
      </w:r>
      <w:r>
        <w:rPr>
          <w:rStyle w:val="Appelnotedebasdep"/>
        </w:rPr>
        <w:footnoteReference w:id="1441"/>
      </w:r>
      <w:r w:rsidRPr="00320A86">
        <w:t xml:space="preserve">] </w:t>
      </w:r>
      <w:r w:rsidRPr="00817CEB">
        <w:rPr>
          <w:i/>
        </w:rPr>
        <w:t>ambassadeur et</w:t>
      </w:r>
      <w:r w:rsidRPr="00320A86">
        <w:t xml:space="preserve"> [ancien</w:t>
      </w:r>
      <w:r>
        <w:t> </w:t>
      </w:r>
      <w:r>
        <w:rPr>
          <w:rStyle w:val="Appelnotedebasdep"/>
        </w:rPr>
        <w:footnoteReference w:id="1442"/>
      </w:r>
      <w:r w:rsidRPr="00320A86">
        <w:t xml:space="preserve">] </w:t>
      </w:r>
      <w:r w:rsidRPr="00817CEB">
        <w:rPr>
          <w:i/>
        </w:rPr>
        <w:t>ministre </w:t>
      </w:r>
      <w:r w:rsidRPr="00320A86">
        <w:t>»</w:t>
      </w:r>
      <w:r>
        <w:t> </w:t>
      </w:r>
      <w:r>
        <w:rPr>
          <w:rStyle w:val="Appelnotedebasdep"/>
        </w:rPr>
        <w:footnoteReference w:id="1443"/>
      </w:r>
      <w:r w:rsidRPr="00320A86">
        <w:t>, négociateur chevronné</w:t>
      </w:r>
      <w:r>
        <w:t> </w:t>
      </w:r>
      <w:r>
        <w:rPr>
          <w:rStyle w:val="Appelnotedebasdep"/>
        </w:rPr>
        <w:footnoteReference w:id="1444"/>
      </w:r>
      <w:r w:rsidRPr="00320A86">
        <w:t> : Jean-François Deniau. « </w:t>
      </w:r>
      <w:r w:rsidRPr="00817CEB">
        <w:rPr>
          <w:i/>
        </w:rPr>
        <w:t>Le cabinet du ministre des Affaires étrangères me d</w:t>
      </w:r>
      <w:r w:rsidRPr="00817CEB">
        <w:rPr>
          <w:i/>
        </w:rPr>
        <w:t>e</w:t>
      </w:r>
      <w:r w:rsidRPr="00817CEB">
        <w:rPr>
          <w:i/>
        </w:rPr>
        <w:t>mande d’essayer d’obtenir sa libération </w:t>
      </w:r>
      <w:r w:rsidRPr="00320A86">
        <w:t xml:space="preserve">», écrivit-il dans ses </w:t>
      </w:r>
      <w:r w:rsidRPr="00817CEB">
        <w:rPr>
          <w:i/>
        </w:rPr>
        <w:t>Mémoires de sept vies </w:t>
      </w:r>
      <w:r>
        <w:rPr>
          <w:rStyle w:val="Appelnotedebasdep"/>
        </w:rPr>
        <w:footnoteReference w:id="1445"/>
      </w:r>
      <w:r w:rsidRPr="00320A86">
        <w:t>. Son passé, sa culture, sa sociabilité diplomatique, sa passion du b</w:t>
      </w:r>
      <w:r w:rsidRPr="00320A86">
        <w:t>a</w:t>
      </w:r>
      <w:r w:rsidRPr="00320A86">
        <w:t>roud et des missions secrètes</w:t>
      </w:r>
      <w:r>
        <w:t> </w:t>
      </w:r>
      <w:r>
        <w:rPr>
          <w:rStyle w:val="Appelnotedebasdep"/>
        </w:rPr>
        <w:footnoteReference w:id="1446"/>
      </w:r>
      <w:r w:rsidRPr="00320A86">
        <w:t xml:space="preserve"> en faisaient un émissaire tout dés</w:t>
      </w:r>
      <w:r w:rsidRPr="00320A86">
        <w:t>i</w:t>
      </w:r>
      <w:r w:rsidRPr="00320A86">
        <w:t>gné. Sa situation professionnelle – élu député depuis 1978, il était alors en disponibilité et ne faisait pas partie du corps diplomatique français –, ainsi que sa non-appartenance au gouvernement, le désignaient co</w:t>
      </w:r>
      <w:r w:rsidRPr="00320A86">
        <w:t>m</w:t>
      </w:r>
      <w:r w:rsidRPr="00320A86">
        <w:t>me médiateur idéal. Institutionnellement, il n’appartenait ni au go</w:t>
      </w:r>
      <w:r w:rsidRPr="00320A86">
        <w:t>u</w:t>
      </w:r>
      <w:r w:rsidRPr="00320A86">
        <w:t>vernement ni aux Affaires étrangères. Tout en partageant la culture diplom</w:t>
      </w:r>
      <w:r w:rsidRPr="00320A86">
        <w:t>a</w:t>
      </w:r>
      <w:r w:rsidRPr="00320A86">
        <w:t>tique, il n’engageait pas le ministère, et ainsi, en cas d’échec, sa démarche ne pouvait porter préjudice à la France. Il pr</w:t>
      </w:r>
      <w:r w:rsidRPr="00320A86">
        <w:t>o</w:t>
      </w:r>
      <w:r w:rsidRPr="00320A86">
        <w:t>longeait l’action des diplomates du Quai, mais son intervention permettait de décrocher par rapport au niveau officiel : son action se s</w:t>
      </w:r>
      <w:r w:rsidRPr="00320A86">
        <w:t>i</w:t>
      </w:r>
      <w:r w:rsidRPr="00320A86">
        <w:t>tuait sur un plan officieux.</w:t>
      </w:r>
    </w:p>
    <w:p w14:paraId="37091255" w14:textId="77777777" w:rsidR="00B01930" w:rsidRPr="00320A86" w:rsidRDefault="00B01930" w:rsidP="00B01930">
      <w:pPr>
        <w:spacing w:before="120" w:after="120"/>
        <w:jc w:val="both"/>
      </w:pPr>
      <w:r w:rsidRPr="00320A86">
        <w:t>Cependant, l’absence de couverture officielle le privait de l’accès facile aux autorités sud-africaines. Il avait besoin d’une introduction, qui ne pouvait être celle du ministère des Affaires étrangères – il lui était évidemment impossible de faire appel aux services de l’ambassade de France à Pretoria pour demander d’établir le contact. Il devait activer un réseau personnel. Il eut alors recours à un parl</w:t>
      </w:r>
      <w:r w:rsidRPr="00320A86">
        <w:t>e</w:t>
      </w:r>
      <w:r w:rsidRPr="00320A86">
        <w:t>mentaire et écrivain comme lui : Jacques Soustelle. Ce gaulliste de la pr</w:t>
      </w:r>
      <w:r w:rsidRPr="00320A86">
        <w:t>e</w:t>
      </w:r>
      <w:r w:rsidRPr="00320A86">
        <w:t>mière heure, défenseur de l’Algérie française, était devenu « </w:t>
      </w:r>
      <w:r w:rsidRPr="00817CEB">
        <w:rPr>
          <w:i/>
        </w:rPr>
        <w:t>champion de la présence blanche en Afrique […], il soutient, sinon la politique de l’apartheid, du moins les velléités réformatrices du gouvernement sud-africain et la création des bantoustans </w:t>
      </w:r>
      <w:r w:rsidRPr="00320A86">
        <w:t>»</w:t>
      </w:r>
      <w:r>
        <w:t> </w:t>
      </w:r>
      <w:r>
        <w:rPr>
          <w:rStyle w:val="Appelnotedebasdep"/>
        </w:rPr>
        <w:footnoteReference w:id="1447"/>
      </w:r>
      <w:r w:rsidRPr="00320A86">
        <w:t>. De nouveau apparaît ici l’intervention du réseau parleme</w:t>
      </w:r>
      <w:r w:rsidRPr="00320A86">
        <w:t>n</w:t>
      </w:r>
      <w:r w:rsidRPr="00320A86">
        <w:t>taire : Amitié Fra</w:t>
      </w:r>
      <w:r w:rsidRPr="00320A86">
        <w:t>n</w:t>
      </w:r>
      <w:r w:rsidRPr="00320A86">
        <w:t>ce-Afrique-du-Sud. Jacques Soustelle, « </w:t>
      </w:r>
      <w:r w:rsidRPr="00817CEB">
        <w:rPr>
          <w:i/>
        </w:rPr>
        <w:t>devenu le porte-parole du lobby sud-africain en France</w:t>
      </w:r>
      <w:r w:rsidRPr="00320A86">
        <w:t xml:space="preserve"> […] </w:t>
      </w:r>
      <w:r w:rsidRPr="00817CEB">
        <w:rPr>
          <w:i/>
        </w:rPr>
        <w:t>promet</w:t>
      </w:r>
      <w:r w:rsidRPr="00320A86">
        <w:t xml:space="preserve"> [à Jean-François Deniau] </w:t>
      </w:r>
      <w:r w:rsidRPr="00817CEB">
        <w:rPr>
          <w:i/>
        </w:rPr>
        <w:t>de faire passer le message </w:t>
      </w:r>
      <w:r w:rsidRPr="00320A86">
        <w:t>»</w:t>
      </w:r>
      <w:r>
        <w:t> </w:t>
      </w:r>
      <w:r>
        <w:rPr>
          <w:rStyle w:val="Appelnotedebasdep"/>
        </w:rPr>
        <w:footnoteReference w:id="1448"/>
      </w:r>
      <w:r w:rsidRPr="00320A86">
        <w:t>.</w:t>
      </w:r>
    </w:p>
    <w:p w14:paraId="72112270" w14:textId="77777777" w:rsidR="00B01930" w:rsidRPr="00320A86" w:rsidRDefault="00B01930" w:rsidP="00B01930">
      <w:pPr>
        <w:spacing w:before="120" w:after="120"/>
        <w:jc w:val="both"/>
      </w:pPr>
      <w:r w:rsidRPr="00320A86">
        <w:t>L’émissaire « privé » rencontra Pik Botha, le ministre des Affaires étrangères sud-africaines à Pretoria, obtint un accord sur le principe d’une expulsion, mais achoppa sur les modalités pour y parvenir. La demande sud-africaine tendant à engager l’ambassadeur de France accompagné de Jean-François Deniau dans une visite auprès du Prés</w:t>
      </w:r>
      <w:r w:rsidRPr="00320A86">
        <w:t>i</w:t>
      </w:r>
      <w:r w:rsidRPr="00320A86">
        <w:t>dent du Ciskei ne pouvait être satisfaite. Cette déma</w:t>
      </w:r>
      <w:r w:rsidRPr="00320A86">
        <w:t>r</w:t>
      </w:r>
      <w:r w:rsidRPr="00320A86">
        <w:t>che aurait valu reconnaissance implicite. Le blocage diplomatique persistait dès qu’il s’agissait d’impliquer un représentant officiel… Selon Le Monde, Jean-François Deniau se serait de nouveau rendu en Afrique du Sud début avril</w:t>
      </w:r>
      <w:r>
        <w:t> </w:t>
      </w:r>
      <w:r>
        <w:rPr>
          <w:rStyle w:val="Appelnotedebasdep"/>
        </w:rPr>
        <w:footnoteReference w:id="1449"/>
      </w:r>
      <w:r w:rsidRPr="00320A86">
        <w:t>. Mais nous n’en avons pas confirmation dans ses Mémo</w:t>
      </w:r>
      <w:r w:rsidRPr="00320A86">
        <w:t>i</w:t>
      </w:r>
      <w:r w:rsidRPr="00320A86">
        <w:t>res. Il nota sobrement : « </w:t>
      </w:r>
      <w:r w:rsidRPr="00817CEB">
        <w:rPr>
          <w:i/>
        </w:rPr>
        <w:t>L’ambassadeur Wibaux a pris le relais de la négociation dans une opération triangulaire particulièrement co</w:t>
      </w:r>
      <w:r w:rsidRPr="00817CEB">
        <w:rPr>
          <w:i/>
        </w:rPr>
        <w:t>m</w:t>
      </w:r>
      <w:r w:rsidRPr="00817CEB">
        <w:rPr>
          <w:i/>
        </w:rPr>
        <w:t>plexe </w:t>
      </w:r>
      <w:r w:rsidRPr="00320A86">
        <w:t>»</w:t>
      </w:r>
      <w:r>
        <w:t> </w:t>
      </w:r>
      <w:r>
        <w:rPr>
          <w:rStyle w:val="Appelnotedebasdep"/>
        </w:rPr>
        <w:footnoteReference w:id="1450"/>
      </w:r>
      <w:r w:rsidRPr="00320A86">
        <w:t>. Toujours est-il que la solution ne vint pas par la mi</w:t>
      </w:r>
      <w:r w:rsidRPr="00320A86">
        <w:t>s</w:t>
      </w:r>
      <w:r w:rsidRPr="00320A86">
        <w:t>sion Deniau.</w:t>
      </w:r>
    </w:p>
    <w:p w14:paraId="1663218B" w14:textId="77777777" w:rsidR="00B01930" w:rsidRPr="00320A86" w:rsidRDefault="00B01930" w:rsidP="00B01930">
      <w:pPr>
        <w:spacing w:before="120" w:after="120"/>
        <w:jc w:val="both"/>
      </w:pPr>
      <w:r w:rsidRPr="00320A86">
        <w:t>La deuxième tentative de médiation par les réseaux parallèles se déroula pendant l’été 1987, dans un moment de crise aiguë, décle</w:t>
      </w:r>
      <w:r w:rsidRPr="00320A86">
        <w:t>n</w:t>
      </w:r>
      <w:r w:rsidRPr="00320A86">
        <w:t>chée le 19 juin, lorsque François Mitterrand décida d’ajourner la rem</w:t>
      </w:r>
      <w:r w:rsidRPr="00320A86">
        <w:t>i</w:t>
      </w:r>
      <w:r w:rsidRPr="00320A86">
        <w:t>se des lettres de créance du nouvel ambassadeur de Pretoria à Paris, pour protester contre le maintien en détention de Pierre-André Albe</w:t>
      </w:r>
      <w:r w:rsidRPr="00320A86">
        <w:t>r</w:t>
      </w:r>
      <w:r w:rsidRPr="00320A86">
        <w:t>tini</w:t>
      </w:r>
      <w:r>
        <w:t> </w:t>
      </w:r>
      <w:r>
        <w:rPr>
          <w:rStyle w:val="Appelnotedebasdep"/>
        </w:rPr>
        <w:footnoteReference w:id="1451"/>
      </w:r>
      <w:r w:rsidRPr="00320A86">
        <w:t>. Pour notre analyse, c’est la situation d’urgence qui importe et non la question de savoir qui fut à l’initiative, soit le responsable pol</w:t>
      </w:r>
      <w:r w:rsidRPr="00320A86">
        <w:t>i</w:t>
      </w:r>
      <w:r w:rsidRPr="00320A86">
        <w:t>tique, Jacques Chirac – comme le soulignent les communiqués et i</w:t>
      </w:r>
      <w:r w:rsidRPr="00320A86">
        <w:t>n</w:t>
      </w:r>
      <w:r w:rsidRPr="00320A86">
        <w:t>formations à la presse après l’issue heureuse – soit le deuxième émi</w:t>
      </w:r>
      <w:r w:rsidRPr="00320A86">
        <w:t>s</w:t>
      </w:r>
      <w:r w:rsidRPr="00320A86">
        <w:t>saire privé, Jean-Yves Ollivier. Celui-ci aurait joué ici un rôle d’homme d’influence</w:t>
      </w:r>
      <w:r>
        <w:t> </w:t>
      </w:r>
      <w:r>
        <w:rPr>
          <w:rStyle w:val="Appelnotedebasdep"/>
        </w:rPr>
        <w:footnoteReference w:id="1452"/>
      </w:r>
      <w:r w:rsidRPr="00320A86">
        <w:t>, qui à l’été 1987 partit pour plusieurs mois de pèlerinage en Afrique australe</w:t>
      </w:r>
      <w:r>
        <w:t> </w:t>
      </w:r>
      <w:r>
        <w:rPr>
          <w:rStyle w:val="Appelnotedebasdep"/>
        </w:rPr>
        <w:footnoteReference w:id="1453"/>
      </w:r>
      <w:r w:rsidRPr="00320A86">
        <w:t xml:space="preserve"> et qui « </w:t>
      </w:r>
      <w:r w:rsidRPr="00817CEB">
        <w:rPr>
          <w:i/>
        </w:rPr>
        <w:t>entre deux portes</w:t>
      </w:r>
      <w:r w:rsidRPr="00320A86">
        <w:t xml:space="preserve"> […] </w:t>
      </w:r>
      <w:r w:rsidRPr="00817CEB">
        <w:rPr>
          <w:i/>
        </w:rPr>
        <w:t>arr</w:t>
      </w:r>
      <w:r w:rsidRPr="00817CEB">
        <w:rPr>
          <w:i/>
        </w:rPr>
        <w:t>a</w:t>
      </w:r>
      <w:r w:rsidRPr="00817CEB">
        <w:rPr>
          <w:i/>
        </w:rPr>
        <w:t>cha à Jacques Chirac son accord pour faire quelque chose </w:t>
      </w:r>
      <w:r w:rsidRPr="00320A86">
        <w:t>»</w:t>
      </w:r>
      <w:r>
        <w:t> </w:t>
      </w:r>
      <w:r>
        <w:rPr>
          <w:rStyle w:val="Appelnotedebasdep"/>
        </w:rPr>
        <w:footnoteReference w:id="1454"/>
      </w:r>
      <w:r w:rsidRPr="00320A86">
        <w:t>. Selon certaines sources, il aurait conçu l’idée d’un grand échange, déjà bien avant l’affaire Albertini, dès le 31 janvier 1986, jour du di</w:t>
      </w:r>
      <w:r w:rsidRPr="00320A86">
        <w:t>s</w:t>
      </w:r>
      <w:r w:rsidRPr="00320A86">
        <w:t>cours de P. W. Botha proposant de libérer Nelson Mandela, à cond</w:t>
      </w:r>
      <w:r w:rsidRPr="00320A86">
        <w:t>i</w:t>
      </w:r>
      <w:r w:rsidRPr="00320A86">
        <w:t>tion que les Soviétiques en fissent autant pour Andréï Sakharov et Anatoly Chtcharansky</w:t>
      </w:r>
      <w:r>
        <w:t> </w:t>
      </w:r>
      <w:r>
        <w:rPr>
          <w:rStyle w:val="Appelnotedebasdep"/>
        </w:rPr>
        <w:footnoteReference w:id="1455"/>
      </w:r>
      <w:r w:rsidRPr="00320A86">
        <w:t>.</w:t>
      </w:r>
    </w:p>
    <w:p w14:paraId="740A98E6" w14:textId="77777777" w:rsidR="00B01930" w:rsidRPr="00320A86" w:rsidRDefault="00B01930" w:rsidP="00B01930">
      <w:pPr>
        <w:spacing w:before="120" w:after="120"/>
        <w:jc w:val="both"/>
      </w:pPr>
      <w:r w:rsidRPr="00320A86">
        <w:t>Ce qui est révélateur pour cette deuxième tentative de sortie de l’impasse, c’est le « qui » et le « comment ». En effet, tout comme Jean-François Deniau, Jean-Yves Ollivier, l’homme sur qui « tout a reposé »</w:t>
      </w:r>
      <w:r>
        <w:t> </w:t>
      </w:r>
      <w:r>
        <w:rPr>
          <w:rStyle w:val="Appelnotedebasdep"/>
        </w:rPr>
        <w:footnoteReference w:id="1456"/>
      </w:r>
      <w:r w:rsidRPr="00320A86">
        <w:t xml:space="preserve"> ne faisait ni partie du gouvernement, ni du corps diplomat</w:t>
      </w:r>
      <w:r w:rsidRPr="00320A86">
        <w:t>i</w:t>
      </w:r>
      <w:r w:rsidRPr="00320A86">
        <w:t>que. Il n’appartenait pas aux appareils politiques ou administr</w:t>
      </w:r>
      <w:r w:rsidRPr="00320A86">
        <w:t>a</w:t>
      </w:r>
      <w:r w:rsidRPr="00320A86">
        <w:t>tifs. Il n’était ni diplomate ni homme politique, et ne l’avait jamais été. Bien plus, avec le deuxième émissaire officieux, on descendait d’un cran dans la gradation public-privé. Non seulement c’était un homme d’affaires « </w:t>
      </w:r>
      <w:r w:rsidRPr="00817CEB">
        <w:rPr>
          <w:i/>
        </w:rPr>
        <w:t>du type de ceux qu’on appelle des agents d’influence </w:t>
      </w:r>
      <w:r w:rsidRPr="00320A86">
        <w:t>»</w:t>
      </w:r>
      <w:r>
        <w:t> </w:t>
      </w:r>
      <w:r>
        <w:rPr>
          <w:rStyle w:val="Appelnotedebasdep"/>
        </w:rPr>
        <w:footnoteReference w:id="1457"/>
      </w:r>
      <w:r w:rsidRPr="00320A86">
        <w:t>, mais c’était un acteur au passé trouble qui aurait m</w:t>
      </w:r>
      <w:r w:rsidRPr="00320A86">
        <w:t>ê</w:t>
      </w:r>
      <w:r w:rsidRPr="00320A86">
        <w:t xml:space="preserve">me été « impliqué (...) </w:t>
      </w:r>
      <w:r w:rsidRPr="00817CEB">
        <w:rPr>
          <w:i/>
        </w:rPr>
        <w:t>dans une sorte d’Irangate à la française : l’échange d’armes contre du pétrole transitant par les Comores, organisé par des r</w:t>
      </w:r>
      <w:r w:rsidRPr="00817CEB">
        <w:rPr>
          <w:i/>
        </w:rPr>
        <w:t>é</w:t>
      </w:r>
      <w:r w:rsidRPr="00817CEB">
        <w:rPr>
          <w:i/>
        </w:rPr>
        <w:t>seaux para</w:t>
      </w:r>
      <w:r w:rsidRPr="00817CEB">
        <w:rPr>
          <w:i/>
        </w:rPr>
        <w:t>l</w:t>
      </w:r>
      <w:r w:rsidRPr="00817CEB">
        <w:rPr>
          <w:i/>
        </w:rPr>
        <w:t>lèles proches du R</w:t>
      </w:r>
      <w:r w:rsidRPr="00817CEB">
        <w:rPr>
          <w:i/>
          <w:smallCaps/>
        </w:rPr>
        <w:t>pr</w:t>
      </w:r>
      <w:r w:rsidRPr="00817CEB">
        <w:rPr>
          <w:i/>
        </w:rPr>
        <w:t> </w:t>
      </w:r>
      <w:r w:rsidRPr="00320A86">
        <w:t>»</w:t>
      </w:r>
      <w:r>
        <w:t> </w:t>
      </w:r>
      <w:r>
        <w:rPr>
          <w:rStyle w:val="Appelnotedebasdep"/>
        </w:rPr>
        <w:footnoteReference w:id="1458"/>
      </w:r>
      <w:r w:rsidRPr="00320A86">
        <w:t>.</w:t>
      </w:r>
    </w:p>
    <w:p w14:paraId="5598B3BA" w14:textId="77777777" w:rsidR="00B01930" w:rsidRPr="00320A86" w:rsidRDefault="00B01930" w:rsidP="00B01930">
      <w:pPr>
        <w:spacing w:before="120" w:after="120"/>
        <w:jc w:val="both"/>
      </w:pPr>
      <w:r w:rsidRPr="00320A86">
        <w:t>Jean-Yves Ollivier incarnait la rupture totale avec l’institution par son passé, par sa culture, par ses mobiles. D’origine pied-noir, c’était un ancien de l’O</w:t>
      </w:r>
      <w:r w:rsidRPr="00320A86">
        <w:rPr>
          <w:smallCaps/>
        </w:rPr>
        <w:t>as</w:t>
      </w:r>
      <w:r w:rsidRPr="00320A86">
        <w:t xml:space="preserve"> et il avait fait de la prison. Il présentait « </w:t>
      </w:r>
      <w:r w:rsidRPr="00817CEB">
        <w:rPr>
          <w:i/>
        </w:rPr>
        <w:t>d’étonnantes failles orthographiques </w:t>
      </w:r>
      <w:r w:rsidRPr="00320A86">
        <w:t>»</w:t>
      </w:r>
      <w:r>
        <w:t> </w:t>
      </w:r>
      <w:r>
        <w:rPr>
          <w:rStyle w:val="Appelnotedebasdep"/>
        </w:rPr>
        <w:footnoteReference w:id="1459"/>
      </w:r>
      <w:r w:rsidRPr="00320A86">
        <w:t>. Ce n’était pas un serv</w:t>
      </w:r>
      <w:r w:rsidRPr="00320A86">
        <w:t>i</w:t>
      </w:r>
      <w:r w:rsidRPr="00320A86">
        <w:t>teur de l’État : il travaillait pour son compte personnel</w:t>
      </w:r>
      <w:r>
        <w:t> </w:t>
      </w:r>
      <w:r>
        <w:rPr>
          <w:rStyle w:val="Appelnotedebasdep"/>
        </w:rPr>
        <w:footnoteReference w:id="1460"/>
      </w:r>
      <w:r w:rsidRPr="00320A86">
        <w:t>. Mais étant donné la pression qui, dans le contexte politique, pesait sur le Premier mini</w:t>
      </w:r>
      <w:r w:rsidRPr="00320A86">
        <w:t>s</w:t>
      </w:r>
      <w:r w:rsidRPr="00320A86">
        <w:t>tre cohabitationniste, Jean-Yves Ollivier offrait une voie de r</w:t>
      </w:r>
      <w:r w:rsidRPr="00320A86">
        <w:t>e</w:t>
      </w:r>
      <w:r w:rsidRPr="00320A86">
        <w:t>cours, il constituait le pont vers le réseau parallèle qui passait par les affaires. Nommé, en 1986, par Jacques Chirac, comme administrateur aux Charbonnages de France où il avait débuté sa carrière</w:t>
      </w:r>
      <w:r>
        <w:t> </w:t>
      </w:r>
      <w:r>
        <w:rPr>
          <w:rStyle w:val="Appelnotedebasdep"/>
        </w:rPr>
        <w:footnoteReference w:id="1461"/>
      </w:r>
      <w:r w:rsidRPr="00320A86">
        <w:t>, ce « </w:t>
      </w:r>
      <w:r w:rsidRPr="00817CEB">
        <w:rPr>
          <w:i/>
        </w:rPr>
        <w:t>V</w:t>
      </w:r>
      <w:r w:rsidRPr="00817CEB">
        <w:rPr>
          <w:i/>
          <w:smallCaps/>
        </w:rPr>
        <w:t>rp</w:t>
      </w:r>
      <w:r w:rsidRPr="00817CEB">
        <w:rPr>
          <w:i/>
        </w:rPr>
        <w:t xml:space="preserve"> mu</w:t>
      </w:r>
      <w:r w:rsidRPr="00817CEB">
        <w:rPr>
          <w:i/>
        </w:rPr>
        <w:t>l</w:t>
      </w:r>
      <w:r w:rsidRPr="00817CEB">
        <w:rPr>
          <w:i/>
        </w:rPr>
        <w:t>ticartes de haute volée </w:t>
      </w:r>
      <w:r w:rsidRPr="00320A86">
        <w:t>», installé dans les locaux de la Minemet</w:t>
      </w:r>
      <w:r>
        <w:t> </w:t>
      </w:r>
      <w:r>
        <w:rPr>
          <w:rStyle w:val="Appelnotedebasdep"/>
        </w:rPr>
        <w:footnoteReference w:id="1462"/>
      </w:r>
      <w:r w:rsidRPr="00320A86">
        <w:t>, d</w:t>
      </w:r>
      <w:r w:rsidRPr="00320A86">
        <w:t>i</w:t>
      </w:r>
      <w:r w:rsidRPr="00320A86">
        <w:t>recteur de société (la C</w:t>
      </w:r>
      <w:r w:rsidRPr="00320A86">
        <w:rPr>
          <w:smallCaps/>
        </w:rPr>
        <w:t>omoil</w:t>
      </w:r>
      <w:r>
        <w:rPr>
          <w:smallCaps/>
        </w:rPr>
        <w:t> </w:t>
      </w:r>
      <w:r>
        <w:rPr>
          <w:rStyle w:val="Appelnotedebasdep"/>
          <w:smallCaps/>
        </w:rPr>
        <w:footnoteReference w:id="1463"/>
      </w:r>
      <w:r w:rsidRPr="00320A86">
        <w:t>), détenait également des particip</w:t>
      </w:r>
      <w:r w:rsidRPr="00320A86">
        <w:t>a</w:t>
      </w:r>
      <w:r w:rsidRPr="00320A86">
        <w:t>tions dans des complexes touristiques en Afrique australe et aux Com</w:t>
      </w:r>
      <w:r w:rsidRPr="00320A86">
        <w:t>o</w:t>
      </w:r>
      <w:r w:rsidRPr="00320A86">
        <w:t>res</w:t>
      </w:r>
      <w:r>
        <w:t> </w:t>
      </w:r>
      <w:r>
        <w:rPr>
          <w:rStyle w:val="Appelnotedebasdep"/>
        </w:rPr>
        <w:footnoteReference w:id="1464"/>
      </w:r>
      <w:r w:rsidRPr="00320A86">
        <w:t>.</w:t>
      </w:r>
    </w:p>
    <w:p w14:paraId="5E33D04B" w14:textId="77777777" w:rsidR="00B01930" w:rsidRDefault="00B01930" w:rsidP="00B01930">
      <w:pPr>
        <w:pStyle w:val="citation"/>
      </w:pPr>
    </w:p>
    <w:p w14:paraId="04CAB267" w14:textId="77777777" w:rsidR="00B01930" w:rsidRDefault="00B01930" w:rsidP="00B01930">
      <w:pPr>
        <w:pStyle w:val="citation"/>
      </w:pPr>
      <w:r w:rsidRPr="00320A86">
        <w:t>« Il a de nombreux contacts en Afrique australe. Il a des moyens et il s’en sert</w:t>
      </w:r>
      <w:r>
        <w:t> </w:t>
      </w:r>
      <w:r w:rsidRPr="00002B14">
        <w:rPr>
          <w:rStyle w:val="Appelnotedebasdep"/>
          <w:i/>
        </w:rPr>
        <w:footnoteReference w:id="1465"/>
      </w:r>
      <w:r w:rsidRPr="00320A86">
        <w:t>. »</w:t>
      </w:r>
    </w:p>
    <w:p w14:paraId="6F2AD522" w14:textId="77777777" w:rsidR="00B01930" w:rsidRPr="00320A86" w:rsidRDefault="00B01930" w:rsidP="00B01930">
      <w:pPr>
        <w:pStyle w:val="citation"/>
      </w:pPr>
    </w:p>
    <w:p w14:paraId="593F70A3" w14:textId="77777777" w:rsidR="00B01930" w:rsidRPr="00320A86" w:rsidRDefault="00B01930" w:rsidP="00B01930">
      <w:pPr>
        <w:spacing w:before="120" w:after="120"/>
        <w:jc w:val="both"/>
      </w:pPr>
      <w:r w:rsidRPr="00320A86">
        <w:t>En effet, ce « célibataire sans enfants »</w:t>
      </w:r>
      <w:r>
        <w:t> </w:t>
      </w:r>
      <w:r>
        <w:rPr>
          <w:rStyle w:val="Appelnotedebasdep"/>
        </w:rPr>
        <w:footnoteReference w:id="1466"/>
      </w:r>
      <w:r w:rsidRPr="00320A86">
        <w:t xml:space="preserve"> a une « famille » que r</w:t>
      </w:r>
      <w:r w:rsidRPr="00320A86">
        <w:t>é</w:t>
      </w:r>
      <w:r w:rsidRPr="00320A86">
        <w:t>vèlent les photos dont il s’entoure : Léo Rusty Evans, à l’époque d</w:t>
      </w:r>
      <w:r w:rsidRPr="00320A86">
        <w:t>i</w:t>
      </w:r>
      <w:r w:rsidRPr="00320A86">
        <w:t>recteur adjoint des Affaires africaines à Pretoria, Jacinto Veloso, m</w:t>
      </w:r>
      <w:r w:rsidRPr="00320A86">
        <w:t>i</w:t>
      </w:r>
      <w:r w:rsidRPr="00320A86">
        <w:t>nistre mozambicain de la Coop</w:t>
      </w:r>
      <w:r w:rsidRPr="00320A86">
        <w:t>é</w:t>
      </w:r>
      <w:r w:rsidRPr="00320A86">
        <w:t>ration, et Alexandre Kito Rodriguez, ministre angolais de l’Intérieur</w:t>
      </w:r>
      <w:r>
        <w:t> </w:t>
      </w:r>
      <w:r>
        <w:rPr>
          <w:rStyle w:val="Appelnotedebasdep"/>
        </w:rPr>
        <w:footnoteReference w:id="1467"/>
      </w:r>
      <w:r w:rsidRPr="00320A86">
        <w:t>. Ce f</w:t>
      </w:r>
      <w:r w:rsidRPr="00320A86">
        <w:t>u</w:t>
      </w:r>
      <w:r w:rsidRPr="00320A86">
        <w:t>rent les têtes de pont de son réseau en Afrique australe. Ces liens le rendirent intéressant pour M</w:t>
      </w:r>
      <w:r w:rsidRPr="00320A86">
        <w:t>a</w:t>
      </w:r>
      <w:r w:rsidRPr="00320A86">
        <w:t>tignon qu’il appelait « fréquemment »</w:t>
      </w:r>
      <w:r>
        <w:t> </w:t>
      </w:r>
      <w:r>
        <w:rPr>
          <w:rStyle w:val="Appelnotedebasdep"/>
        </w:rPr>
        <w:footnoteReference w:id="1468"/>
      </w:r>
      <w:r w:rsidRPr="00320A86">
        <w:t>.</w:t>
      </w:r>
    </w:p>
    <w:p w14:paraId="71D0FDA5" w14:textId="77777777" w:rsidR="00B01930" w:rsidRPr="00320A86" w:rsidRDefault="00B01930" w:rsidP="00B01930">
      <w:pPr>
        <w:spacing w:before="120" w:after="120"/>
        <w:jc w:val="both"/>
      </w:pPr>
      <w:r w:rsidRPr="00320A86">
        <w:t>Quant aux modalités de son intervention, lui non plus n’avait a</w:t>
      </w:r>
      <w:r w:rsidRPr="00320A86">
        <w:t>u</w:t>
      </w:r>
      <w:r w:rsidRPr="00320A86">
        <w:t>cune couve</w:t>
      </w:r>
      <w:r w:rsidRPr="00320A86">
        <w:t>r</w:t>
      </w:r>
      <w:r w:rsidRPr="00320A86">
        <w:t>ture officielle : il agissait sans aucun titre dont il aurait pu se prévaloir, sans même une lettre d’introduction. « </w:t>
      </w:r>
      <w:r w:rsidRPr="00817CEB">
        <w:rPr>
          <w:i/>
        </w:rPr>
        <w:t>Je n’ai eu que ma parole, mais, partout, on m’a fait confiance </w:t>
      </w:r>
      <w:r w:rsidRPr="00320A86">
        <w:t>»</w:t>
      </w:r>
      <w:r>
        <w:t> </w:t>
      </w:r>
      <w:r>
        <w:rPr>
          <w:rStyle w:val="Appelnotedebasdep"/>
        </w:rPr>
        <w:footnoteReference w:id="1469"/>
      </w:r>
      <w:r w:rsidRPr="00320A86">
        <w:t>. Il établit la commun</w:t>
      </w:r>
      <w:r w:rsidRPr="00320A86">
        <w:t>i</w:t>
      </w:r>
      <w:r w:rsidRPr="00320A86">
        <w:t>cation dans une « </w:t>
      </w:r>
      <w:r w:rsidRPr="00817CEB">
        <w:rPr>
          <w:i/>
        </w:rPr>
        <w:t>discrétion tot</w:t>
      </w:r>
      <w:r w:rsidRPr="00817CEB">
        <w:rPr>
          <w:i/>
        </w:rPr>
        <w:t>a</w:t>
      </w:r>
      <w:r w:rsidRPr="00817CEB">
        <w:rPr>
          <w:i/>
        </w:rPr>
        <w:t>le </w:t>
      </w:r>
      <w:r w:rsidRPr="00320A86">
        <w:t>»</w:t>
      </w:r>
      <w:r>
        <w:t> </w:t>
      </w:r>
      <w:r>
        <w:rPr>
          <w:rStyle w:val="Appelnotedebasdep"/>
        </w:rPr>
        <w:footnoteReference w:id="1470"/>
      </w:r>
      <w:r w:rsidRPr="00320A86">
        <w:t>, condition impérieuse qui, en cas d’échec, aurait évité à la diplomatie officielle, au Premier mini</w:t>
      </w:r>
      <w:r w:rsidRPr="00320A86">
        <w:t>s</w:t>
      </w:r>
      <w:r w:rsidRPr="00320A86">
        <w:t>tre, à la France, d’être compromis.</w:t>
      </w:r>
    </w:p>
    <w:p w14:paraId="799F9A60" w14:textId="77777777" w:rsidR="00B01930" w:rsidRPr="00320A86" w:rsidRDefault="00B01930" w:rsidP="00B01930">
      <w:pPr>
        <w:spacing w:before="120" w:after="120"/>
        <w:jc w:val="both"/>
      </w:pPr>
      <w:r w:rsidRPr="00320A86">
        <w:t>Une fois les ponts jetés, il y eut « </w:t>
      </w:r>
      <w:r w:rsidRPr="00817CEB">
        <w:rPr>
          <w:i/>
        </w:rPr>
        <w:t>besoin d’une caution officielle pour que le geste se joigne à la parole </w:t>
      </w:r>
      <w:r w:rsidRPr="00320A86">
        <w:t>»</w:t>
      </w:r>
      <w:r>
        <w:t> </w:t>
      </w:r>
      <w:r>
        <w:rPr>
          <w:rStyle w:val="Appelnotedebasdep"/>
        </w:rPr>
        <w:footnoteReference w:id="1471"/>
      </w:r>
      <w:r w:rsidRPr="00320A86">
        <w:t>. Il fallut adjoindre à Jean-Yves Ollivier un deuxième homme pour remonter – d’un petit degré – dans l’échelle socioprofe</w:t>
      </w:r>
      <w:r w:rsidRPr="00320A86">
        <w:t>s</w:t>
      </w:r>
      <w:r w:rsidRPr="00320A86">
        <w:t>sionnelle de l’interlocuteur : ni homme d’affaires ni représentant du gouvern</w:t>
      </w:r>
      <w:r w:rsidRPr="00320A86">
        <w:t>e</w:t>
      </w:r>
      <w:r w:rsidRPr="00320A86">
        <w:t>ment, Fernand Wibaux était en effet un diplomate de carrière, mais – restriction de taille – depuis un mois, il n’était plus rien puisqu’il avait pris sa retraite. Ancien amba</w:t>
      </w:r>
      <w:r w:rsidRPr="00320A86">
        <w:t>s</w:t>
      </w:r>
      <w:r w:rsidRPr="00320A86">
        <w:t>sadeur au Tchad, au Liban, négociateur à Nouméa, ami de Jacques Foccart avec qui, comme conseiller diplomatique, il avait travaillé d</w:t>
      </w:r>
      <w:r w:rsidRPr="00320A86">
        <w:t>e</w:t>
      </w:r>
      <w:r w:rsidRPr="00320A86">
        <w:t>puis 1986 à la cellule africaine de Matignon, « </w:t>
      </w:r>
      <w:r w:rsidRPr="00817CEB">
        <w:rPr>
          <w:i/>
        </w:rPr>
        <w:t>cet homme de courage n’a plus rien à apprendre des “missions impossibles” et… du fon</w:t>
      </w:r>
      <w:r w:rsidRPr="00817CEB">
        <w:rPr>
          <w:i/>
        </w:rPr>
        <w:t>c</w:t>
      </w:r>
      <w:r w:rsidRPr="00817CEB">
        <w:rPr>
          <w:i/>
        </w:rPr>
        <w:t>tionnement des “services”. De plus, il connaît bien l’Afrique australe pour y avoir effectué des missions off</w:t>
      </w:r>
      <w:r w:rsidRPr="00817CEB">
        <w:rPr>
          <w:i/>
        </w:rPr>
        <w:t>i</w:t>
      </w:r>
      <w:r w:rsidRPr="00817CEB">
        <w:rPr>
          <w:i/>
        </w:rPr>
        <w:t>cielles </w:t>
      </w:r>
      <w:r w:rsidRPr="00320A86">
        <w:t>»</w:t>
      </w:r>
      <w:r>
        <w:t> </w:t>
      </w:r>
      <w:r>
        <w:rPr>
          <w:rStyle w:val="Appelnotedebasdep"/>
        </w:rPr>
        <w:footnoteReference w:id="1472"/>
      </w:r>
      <w:r w:rsidRPr="00320A86">
        <w:t>. Pour les Africains et pour les médias, il était connu comme tel. Son intervention bénéf</w:t>
      </w:r>
      <w:r w:rsidRPr="00320A86">
        <w:t>i</w:t>
      </w:r>
      <w:r w:rsidRPr="00320A86">
        <w:t>cia donc de l’ambiguïté de sa situation : une apparence d’officiel (pour les Africains) et un statut de personne privée (pour la France). Cet état lui procura un certain degré de liberté : il était en position de pouvoir se déplacer sans contrainte et de négocier avec souplesse. De plus, il était l’homme du moment : « </w:t>
      </w:r>
      <w:r w:rsidRPr="00817CEB">
        <w:rPr>
          <w:i/>
        </w:rPr>
        <w:t>cohabitationniste, comme unique gaulliste d’une famille proche des socialistes </w:t>
      </w:r>
      <w:r w:rsidRPr="00320A86">
        <w:t>»</w:t>
      </w:r>
      <w:r>
        <w:t> </w:t>
      </w:r>
      <w:r>
        <w:rPr>
          <w:rStyle w:val="Appelnotedebasdep"/>
        </w:rPr>
        <w:footnoteReference w:id="1473"/>
      </w:r>
      <w:r w:rsidRPr="00320A86">
        <w:t>. A-t-il également pu faire jouer les réseaux franc-maçonniques très implantés en Afr</w:t>
      </w:r>
      <w:r w:rsidRPr="00320A86">
        <w:t>i</w:t>
      </w:r>
      <w:r w:rsidRPr="00320A86">
        <w:t>que</w:t>
      </w:r>
      <w:r>
        <w:t> </w:t>
      </w:r>
      <w:r>
        <w:rPr>
          <w:rStyle w:val="Appelnotedebasdep"/>
        </w:rPr>
        <w:footnoteReference w:id="1474"/>
      </w:r>
      <w:r w:rsidRPr="00320A86">
        <w:t> ? Toujours est-il que la dualité de l’apparence et du statut réel lui permit de débloquer la situation.</w:t>
      </w:r>
    </w:p>
    <w:p w14:paraId="7AF24364" w14:textId="77777777" w:rsidR="00B01930" w:rsidRPr="00320A86" w:rsidRDefault="00B01930" w:rsidP="00B01930">
      <w:pPr>
        <w:spacing w:before="120" w:after="120"/>
        <w:jc w:val="both"/>
      </w:pPr>
      <w:r w:rsidRPr="00320A86">
        <w:t>En effet, après avoir vu les Sud-Africains, qui le renvoyèrent au Président du Ciskei, il s’y rendit, chose impensable pour un représe</w:t>
      </w:r>
      <w:r w:rsidRPr="00320A86">
        <w:t>n</w:t>
      </w:r>
      <w:r w:rsidRPr="00320A86">
        <w:t>tant officiel de la France. Puis, nouveau décrochage : lors de l’entrevue avec Lennox Sebe, il ne se plaça pas sur le plan politique, diplomatique ou judiciaire, mais sur celui du droit co</w:t>
      </w:r>
      <w:r w:rsidRPr="00320A86">
        <w:t>u</w:t>
      </w:r>
      <w:r w:rsidRPr="00320A86">
        <w:t>tumier. Ainsi, répondant aux explications du Président Sebe il manifesta sa compr</w:t>
      </w:r>
      <w:r w:rsidRPr="00320A86">
        <w:t>é</w:t>
      </w:r>
      <w:r w:rsidRPr="00320A86">
        <w:t>hension : « </w:t>
      </w:r>
      <w:r w:rsidRPr="00817CEB">
        <w:rPr>
          <w:i/>
        </w:rPr>
        <w:t>Albertini avait été jugé et condamné dans les formes lég</w:t>
      </w:r>
      <w:r w:rsidRPr="00817CEB">
        <w:rPr>
          <w:i/>
        </w:rPr>
        <w:t>a</w:t>
      </w:r>
      <w:r w:rsidRPr="00817CEB">
        <w:rPr>
          <w:i/>
        </w:rPr>
        <w:t>les, et […] devait purger sa peine </w:t>
      </w:r>
      <w:r w:rsidRPr="00320A86">
        <w:t>». Puis il poursuivit : « </w:t>
      </w:r>
      <w:r w:rsidRPr="00817CEB">
        <w:rPr>
          <w:i/>
        </w:rPr>
        <w:t>Vous savez bien […] qu’en Afrique, quand quelqu’un est allé faire des bêtises dans une tribu voisine, les responsables de sa propre tribu consid</w:t>
      </w:r>
      <w:r w:rsidRPr="00817CEB">
        <w:rPr>
          <w:i/>
        </w:rPr>
        <w:t>è</w:t>
      </w:r>
      <w:r w:rsidRPr="00817CEB">
        <w:rPr>
          <w:i/>
        </w:rPr>
        <w:t>rent qu’il doit être puni, mais par eux. Je suis donc venu vous dema</w:t>
      </w:r>
      <w:r w:rsidRPr="00817CEB">
        <w:rPr>
          <w:i/>
        </w:rPr>
        <w:t>n</w:t>
      </w:r>
      <w:r w:rsidRPr="00817CEB">
        <w:rPr>
          <w:i/>
        </w:rPr>
        <w:t>der de me remettre ce mauvais garçon de ma tribu. Séduit par ce la</w:t>
      </w:r>
      <w:r w:rsidRPr="00817CEB">
        <w:rPr>
          <w:i/>
        </w:rPr>
        <w:t>n</w:t>
      </w:r>
      <w:r w:rsidRPr="00817CEB">
        <w:rPr>
          <w:i/>
        </w:rPr>
        <w:t>gage a</w:t>
      </w:r>
      <w:r w:rsidRPr="00817CEB">
        <w:rPr>
          <w:i/>
        </w:rPr>
        <w:t>u</w:t>
      </w:r>
      <w:r w:rsidRPr="00817CEB">
        <w:rPr>
          <w:i/>
        </w:rPr>
        <w:t>quel il n’était pas habitué de la part des Blancs, Sebe donna son a</w:t>
      </w:r>
      <w:r w:rsidRPr="00817CEB">
        <w:rPr>
          <w:i/>
        </w:rPr>
        <w:t>c</w:t>
      </w:r>
      <w:r w:rsidRPr="00817CEB">
        <w:rPr>
          <w:i/>
        </w:rPr>
        <w:t>cord </w:t>
      </w:r>
      <w:r w:rsidRPr="00320A86">
        <w:t>»</w:t>
      </w:r>
      <w:r>
        <w:t> </w:t>
      </w:r>
      <w:r>
        <w:rPr>
          <w:rStyle w:val="Appelnotedebasdep"/>
        </w:rPr>
        <w:footnoteReference w:id="1475"/>
      </w:r>
      <w:r w:rsidRPr="00320A86">
        <w:t>. Jean-Yves Ollivier dit l’avoir pressenti : « </w:t>
      </w:r>
      <w:r w:rsidRPr="00817CEB">
        <w:rPr>
          <w:i/>
        </w:rPr>
        <w:t>Du fait de son âge, de son calme et de ses cheveux blancs de vieux sage, je s</w:t>
      </w:r>
      <w:r w:rsidRPr="00817CEB">
        <w:rPr>
          <w:i/>
        </w:rPr>
        <w:t>a</w:t>
      </w:r>
      <w:r w:rsidRPr="00817CEB">
        <w:rPr>
          <w:i/>
        </w:rPr>
        <w:t>vais que W</w:t>
      </w:r>
      <w:r w:rsidRPr="00817CEB">
        <w:rPr>
          <w:i/>
        </w:rPr>
        <w:t>i</w:t>
      </w:r>
      <w:r w:rsidRPr="00817CEB">
        <w:rPr>
          <w:i/>
        </w:rPr>
        <w:t>baux passerait bien chez les Africains </w:t>
      </w:r>
      <w:r w:rsidRPr="00320A86">
        <w:t>»</w:t>
      </w:r>
      <w:r>
        <w:t> </w:t>
      </w:r>
      <w:r>
        <w:rPr>
          <w:rStyle w:val="Appelnotedebasdep"/>
        </w:rPr>
        <w:footnoteReference w:id="1476"/>
      </w:r>
      <w:r w:rsidRPr="00320A86">
        <w:t>. Mais comme le montra la suite, de contact en contact – l’Afrique du Sud, l’Angola, l’Unita</w:t>
      </w:r>
      <w:r>
        <w:t> </w:t>
      </w:r>
      <w:r>
        <w:rPr>
          <w:rStyle w:val="Appelnotedebasdep"/>
        </w:rPr>
        <w:footnoteReference w:id="1477"/>
      </w:r>
      <w:r w:rsidRPr="00320A86">
        <w:t>, ce fut l’ensemble du réseau austral d’Ollivier qui fut activé. À travers les paroles rapportées par Ja</w:t>
      </w:r>
      <w:r w:rsidRPr="00320A86">
        <w:t>c</w:t>
      </w:r>
      <w:r w:rsidRPr="00320A86">
        <w:t>ques Foccart, la suite se lit comme le scénario d’un film :</w:t>
      </w:r>
    </w:p>
    <w:p w14:paraId="3B105089" w14:textId="77777777" w:rsidR="00B01930" w:rsidRDefault="00B01930" w:rsidP="00B01930">
      <w:pPr>
        <w:pStyle w:val="citation"/>
      </w:pPr>
    </w:p>
    <w:p w14:paraId="7BEE5F53" w14:textId="77777777" w:rsidR="00B01930" w:rsidRDefault="00B01930" w:rsidP="00B01930">
      <w:pPr>
        <w:pStyle w:val="citation"/>
      </w:pPr>
      <w:r w:rsidRPr="00320A86">
        <w:t>« Cela ne faisait pas l’affaire des Sud-Africains. En effet, s’ils étaient prêts à libérer Albertini, ils voulaient, par une étrange compensation, obt</w:t>
      </w:r>
      <w:r w:rsidRPr="00320A86">
        <w:t>e</w:t>
      </w:r>
      <w:r w:rsidRPr="00320A86">
        <w:t>nir la libération du c</w:t>
      </w:r>
      <w:r w:rsidRPr="00320A86">
        <w:t>a</w:t>
      </w:r>
      <w:r w:rsidRPr="00320A86">
        <w:t>pitaine Wynand du Toit, chef d’un commando qui avait été fait pr</w:t>
      </w:r>
      <w:r w:rsidRPr="00320A86">
        <w:t>i</w:t>
      </w:r>
      <w:r w:rsidRPr="00320A86">
        <w:t>sonnier au Cabinda et qui était détenu par les Angolais. C’est ainsi que Wibaux est parti pour Luanda avec Ollivier. Il est passé par Maputo, pour demander au président Chiss</w:t>
      </w:r>
      <w:r w:rsidRPr="00320A86">
        <w:t>a</w:t>
      </w:r>
      <w:r w:rsidRPr="00320A86">
        <w:t>no, qu’il connaissait bien, de l’aider dans sa mission, et Chissano l’a fait accompagner par Jacinto Vel</w:t>
      </w:r>
      <w:r w:rsidRPr="00320A86">
        <w:t>o</w:t>
      </w:r>
      <w:r w:rsidRPr="00320A86">
        <w:t>so, son ministre de la Coopération, d’origine portugaise et ami d’Ollivier. À Luanda, Wibaux a trouvé le président Dos Santos préoccupé par l’intransigeance des militaires sud-africains, qui torpillaient des a</w:t>
      </w:r>
      <w:r w:rsidRPr="00320A86">
        <w:t>c</w:t>
      </w:r>
      <w:r w:rsidRPr="00320A86">
        <w:t>cords conclus avec le gouvern</w:t>
      </w:r>
      <w:r w:rsidRPr="00320A86">
        <w:t>e</w:t>
      </w:r>
      <w:r w:rsidRPr="00320A86">
        <w:t>ment de Pretoria. Il a saisi la balle au bond. “Vous avez une bonne carte à jouer auprès d’eux, lui a-t-il dit : vous dét</w:t>
      </w:r>
      <w:r w:rsidRPr="00320A86">
        <w:t>e</w:t>
      </w:r>
      <w:r w:rsidRPr="00320A86">
        <w:t>nez un des leurs. En libérant Du Toit, vous les amadouerez”. Dos Santos s’est montré prêt à le faire tout de suite, et c’est Wibaux qui a dû freiner. Afin d’éviter qu’on puisse parler d’échange entre du Toit et Albertini, il a conseillé à son interlocuteur de proposer l’échange du cap</w:t>
      </w:r>
      <w:r w:rsidRPr="00320A86">
        <w:t>i</w:t>
      </w:r>
      <w:r w:rsidRPr="00320A86">
        <w:t>taine sud-africain contre des priso</w:t>
      </w:r>
      <w:r w:rsidRPr="00320A86">
        <w:t>n</w:t>
      </w:r>
      <w:r w:rsidRPr="00320A86">
        <w:t>niers angolais. […] Au début, il n’en était pas question [de mêler l’U</w:t>
      </w:r>
      <w:r w:rsidRPr="00320A86">
        <w:rPr>
          <w:smallCaps/>
        </w:rPr>
        <w:t>nita</w:t>
      </w:r>
      <w:r w:rsidRPr="00320A86">
        <w:t xml:space="preserve"> à l’affaire], mais Ollivier souhaitait que W</w:t>
      </w:r>
      <w:r w:rsidRPr="00320A86">
        <w:t>i</w:t>
      </w:r>
      <w:r w:rsidRPr="00320A86">
        <w:t>baux prenne contact avec Savimbi, ce qui s’est fait avec l’accord de Dos Santos. Le chef de l’</w:t>
      </w:r>
      <w:r w:rsidRPr="00320A86">
        <w:rPr>
          <w:smallCaps/>
        </w:rPr>
        <w:t>Unita</w:t>
      </w:r>
      <w:r w:rsidRPr="00320A86">
        <w:t xml:space="preserve"> voulait obtenir que le gouvernement fasse une ouverture vers le désengagement des troupes cubaines en échange de la l</w:t>
      </w:r>
      <w:r w:rsidRPr="00320A86">
        <w:t>i</w:t>
      </w:r>
      <w:r w:rsidRPr="00320A86">
        <w:t>bération par l’Unita, de prisonniers, parmi lesquels deux Cubains, dont l’un était un proche de Fidel Castro. Bref, le marchandage s’est compl</w:t>
      </w:r>
      <w:r w:rsidRPr="00320A86">
        <w:t>i</w:t>
      </w:r>
      <w:r w:rsidRPr="00320A86">
        <w:t>qué. Il a abouti, le 7 septembre 1987, à la libération simult</w:t>
      </w:r>
      <w:r w:rsidRPr="00320A86">
        <w:t>a</w:t>
      </w:r>
      <w:r w:rsidRPr="00320A86">
        <w:t>née, par les Sud-Africains, d’Albertini et d’un Hollandais ; par le gouvernement ang</w:t>
      </w:r>
      <w:r w:rsidRPr="00320A86">
        <w:t>o</w:t>
      </w:r>
      <w:r w:rsidRPr="00320A86">
        <w:t>lais, de Du Toit ; par l’Unita, d’une ce</w:t>
      </w:r>
      <w:r w:rsidRPr="00320A86">
        <w:t>n</w:t>
      </w:r>
      <w:r w:rsidRPr="00320A86">
        <w:t>taine de prisonniers, dont les Cubains</w:t>
      </w:r>
      <w:r>
        <w:t> </w:t>
      </w:r>
      <w:r w:rsidRPr="00002B14">
        <w:rPr>
          <w:rStyle w:val="Appelnotedebasdep"/>
          <w:i/>
        </w:rPr>
        <w:footnoteReference w:id="1478"/>
      </w:r>
      <w:r w:rsidRPr="00320A86">
        <w:t>. »</w:t>
      </w:r>
    </w:p>
    <w:p w14:paraId="02CBDEE7" w14:textId="77777777" w:rsidR="00B01930" w:rsidRPr="00320A86" w:rsidRDefault="00B01930" w:rsidP="00B01930">
      <w:pPr>
        <w:pStyle w:val="citation"/>
      </w:pPr>
    </w:p>
    <w:p w14:paraId="6232FF2F" w14:textId="77777777" w:rsidR="00B01930" w:rsidRPr="00320A86" w:rsidRDefault="00B01930" w:rsidP="00B01930">
      <w:pPr>
        <w:spacing w:before="120" w:after="120"/>
        <w:jc w:val="both"/>
      </w:pPr>
      <w:r w:rsidRPr="00320A86">
        <w:t>Les réseaux négocient, les réseaux réconcilient les États… mais les États r</w:t>
      </w:r>
      <w:r w:rsidRPr="00320A86">
        <w:t>e</w:t>
      </w:r>
      <w:r w:rsidRPr="00320A86">
        <w:t>prennent la main dès que la crise se dénoue.</w:t>
      </w:r>
    </w:p>
    <w:p w14:paraId="5974A1EA" w14:textId="77777777" w:rsidR="00B01930" w:rsidRPr="00320A86" w:rsidRDefault="00B01930" w:rsidP="00B01930">
      <w:pPr>
        <w:spacing w:before="120" w:after="120"/>
        <w:jc w:val="both"/>
      </w:pPr>
    </w:p>
    <w:p w14:paraId="6A7477CE" w14:textId="77777777" w:rsidR="00B01930" w:rsidRPr="00320A86" w:rsidRDefault="00B01930" w:rsidP="00B01930">
      <w:pPr>
        <w:pStyle w:val="a"/>
      </w:pPr>
      <w:r w:rsidRPr="00320A86">
        <w:t>Les</w:t>
      </w:r>
      <w:r>
        <w:t xml:space="preserve"> États récupèrent les réseaux :</w:t>
      </w:r>
      <w:r>
        <w:br/>
      </w:r>
      <w:r w:rsidRPr="00320A86">
        <w:t>mise à l’écart et intégration</w:t>
      </w:r>
    </w:p>
    <w:p w14:paraId="112505F6" w14:textId="77777777" w:rsidR="00B01930" w:rsidRDefault="00B01930" w:rsidP="00B01930">
      <w:pPr>
        <w:spacing w:before="120" w:after="120"/>
        <w:jc w:val="both"/>
      </w:pPr>
    </w:p>
    <w:p w14:paraId="546265F7" w14:textId="77777777" w:rsidR="00B01930" w:rsidRPr="00320A86" w:rsidRDefault="00B01930" w:rsidP="00B01930">
      <w:pPr>
        <w:pStyle w:val="b"/>
        <w:rPr>
          <w:b/>
        </w:rPr>
      </w:pPr>
      <w:r w:rsidRPr="00320A86">
        <w:t>Une mise à l’écart ostentatoire</w:t>
      </w:r>
    </w:p>
    <w:p w14:paraId="5DEE8607" w14:textId="77777777" w:rsidR="00B01930" w:rsidRDefault="00B01930" w:rsidP="00B01930">
      <w:pPr>
        <w:spacing w:before="120" w:after="120"/>
        <w:jc w:val="both"/>
      </w:pPr>
    </w:p>
    <w:p w14:paraId="22989775" w14:textId="77777777" w:rsidR="00B01930" w:rsidRPr="00320A86" w:rsidRDefault="00B01930" w:rsidP="00B01930">
      <w:pPr>
        <w:spacing w:before="120" w:after="120"/>
        <w:jc w:val="both"/>
      </w:pPr>
      <w:r w:rsidRPr="00320A86">
        <w:t>Au moment où le problème trouva sa solution, à la libération des prisonniers sur l’aéroport de Maputo, capitale du Mozambique, les diplomaties officielles s’ingénièrent à sauver la mise et à écarter les réseaux parallèles des circuits.</w:t>
      </w:r>
    </w:p>
    <w:p w14:paraId="52F71FF8" w14:textId="77777777" w:rsidR="00B01930" w:rsidRPr="00320A86" w:rsidRDefault="00B01930" w:rsidP="00B01930">
      <w:pPr>
        <w:spacing w:before="120" w:after="120"/>
        <w:jc w:val="both"/>
      </w:pPr>
      <w:r w:rsidRPr="00320A86">
        <w:t>D’une part, les diplomates reprirent le devant de la scène : tous les États, parties prenantes de l’échange, furent représentés par des off</w:t>
      </w:r>
      <w:r w:rsidRPr="00320A86">
        <w:t>i</w:t>
      </w:r>
      <w:r w:rsidRPr="00320A86">
        <w:t>ciels pour accueillir leurs prisonniers : pour l’Afrique du Sud, le m</w:t>
      </w:r>
      <w:r w:rsidRPr="00320A86">
        <w:t>i</w:t>
      </w:r>
      <w:r w:rsidRPr="00320A86">
        <w:t>nistre des Affaires étrangères, « Pik » Botha en personne, vint à M</w:t>
      </w:r>
      <w:r w:rsidRPr="00320A86">
        <w:t>a</w:t>
      </w:r>
      <w:r w:rsidRPr="00320A86">
        <w:t>puto à la rencontre de Wynand Du Toit</w:t>
      </w:r>
      <w:r>
        <w:t> </w:t>
      </w:r>
      <w:r>
        <w:rPr>
          <w:rStyle w:val="Appelnotedebasdep"/>
        </w:rPr>
        <w:footnoteReference w:id="1479"/>
      </w:r>
      <w:r w:rsidRPr="00320A86">
        <w:t>. Pour la France, le respons</w:t>
      </w:r>
      <w:r w:rsidRPr="00320A86">
        <w:t>a</w:t>
      </w:r>
      <w:r w:rsidRPr="00320A86">
        <w:t>ble des dossiers africains au cabinet du ministre des Affaires étrang</w:t>
      </w:r>
      <w:r w:rsidRPr="00320A86">
        <w:t>è</w:t>
      </w:r>
      <w:r w:rsidRPr="00320A86">
        <w:t>res, conseiller pour les affaires africaines et malgaches, le d</w:t>
      </w:r>
      <w:r w:rsidRPr="00320A86">
        <w:t>i</w:t>
      </w:r>
      <w:r w:rsidRPr="00320A86">
        <w:t>plomate Jean-Marc Simon, accueillit Albertini</w:t>
      </w:r>
      <w:r w:rsidRPr="00320A86">
        <w:rPr>
          <w:vanish/>
        </w:rPr>
        <w:t>.</w:t>
      </w:r>
    </w:p>
    <w:p w14:paraId="6D925D55" w14:textId="77777777" w:rsidR="00B01930" w:rsidRPr="00320A86" w:rsidRDefault="00B01930" w:rsidP="00B01930">
      <w:pPr>
        <w:spacing w:before="120" w:after="120"/>
        <w:jc w:val="both"/>
      </w:pPr>
      <w:r w:rsidRPr="00320A86">
        <w:t>D’autre part, il s’agissait d’engranger le bénéfice de la réussite, n</w:t>
      </w:r>
      <w:r w:rsidRPr="00320A86">
        <w:t>o</w:t>
      </w:r>
      <w:r w:rsidRPr="00320A86">
        <w:t>tamment auprès de sa propre opinion publique. C’est pourquoi la presse fut présente : au moment de leurs retrouvailles émouvantes, « Pik » Botha et Wynand Du Toit furent « </w:t>
      </w:r>
      <w:r w:rsidRPr="004A78E5">
        <w:rPr>
          <w:i/>
        </w:rPr>
        <w:t>cernés par une meute de journalistes et de photographes </w:t>
      </w:r>
      <w:r w:rsidRPr="00320A86">
        <w:t>»</w:t>
      </w:r>
      <w:r>
        <w:t> </w:t>
      </w:r>
      <w:r>
        <w:rPr>
          <w:rStyle w:val="Appelnotedebasdep"/>
        </w:rPr>
        <w:footnoteReference w:id="1480"/>
      </w:r>
      <w:r w:rsidRPr="00320A86">
        <w:t>. Une fois le vaste échange acco</w:t>
      </w:r>
      <w:r w:rsidRPr="00320A86">
        <w:t>m</w:t>
      </w:r>
      <w:r w:rsidRPr="00320A86">
        <w:t>pli, on formalisa la transaction en signant un protocole e</w:t>
      </w:r>
      <w:r w:rsidRPr="00320A86">
        <w:t>n</w:t>
      </w:r>
      <w:r w:rsidRPr="00320A86">
        <w:t>tre l’Afrique du Sud, l’Angola, la France, les Pays-Bas et le Mozambique qui avait joué le rôle d’intermédiaire.</w:t>
      </w:r>
    </w:p>
    <w:p w14:paraId="231389D4" w14:textId="77777777" w:rsidR="00B01930" w:rsidRPr="00320A86" w:rsidRDefault="00B01930" w:rsidP="00B01930">
      <w:pPr>
        <w:spacing w:before="120" w:after="120"/>
        <w:jc w:val="both"/>
      </w:pPr>
      <w:r w:rsidRPr="00320A86">
        <w:t>Puis vinrent les communiqués officiels construisant, par le di</w:t>
      </w:r>
      <w:r w:rsidRPr="00320A86">
        <w:t>s</w:t>
      </w:r>
      <w:r w:rsidRPr="00320A86">
        <w:t>cours, leurs r</w:t>
      </w:r>
      <w:r w:rsidRPr="00320A86">
        <w:t>é</w:t>
      </w:r>
      <w:r w:rsidRPr="00320A86">
        <w:t>alités et les images. L’Hôtel Matignon, soucieux de mettre en valeur le Premier ministre « présidentiable », souligna que « </w:t>
      </w:r>
      <w:r w:rsidRPr="004A78E5">
        <w:rPr>
          <w:i/>
        </w:rPr>
        <w:t>cette négociation</w:t>
      </w:r>
      <w:r w:rsidRPr="00320A86">
        <w:t xml:space="preserve"> […] </w:t>
      </w:r>
      <w:r w:rsidRPr="004A78E5">
        <w:rPr>
          <w:i/>
        </w:rPr>
        <w:t>a été menée à l’initiative de M. Jacques Ch</w:t>
      </w:r>
      <w:r w:rsidRPr="004A78E5">
        <w:rPr>
          <w:i/>
        </w:rPr>
        <w:t>i</w:t>
      </w:r>
      <w:r w:rsidRPr="004A78E5">
        <w:rPr>
          <w:i/>
        </w:rPr>
        <w:t>rac et du ministre des Affaires étrangères</w:t>
      </w:r>
      <w:r w:rsidRPr="00320A86">
        <w:t xml:space="preserve"> […]. </w:t>
      </w:r>
      <w:r w:rsidRPr="004A78E5">
        <w:rPr>
          <w:i/>
        </w:rPr>
        <w:t>Le Premier ministre a désigné M. Fernand Wibaux pour être son envoyé personnel dans la conduite de cette opération. Depuis le mois de juillet, celui-ci s’est re</w:t>
      </w:r>
      <w:r w:rsidRPr="004A78E5">
        <w:rPr>
          <w:i/>
        </w:rPr>
        <w:t>n</w:t>
      </w:r>
      <w:r w:rsidRPr="004A78E5">
        <w:rPr>
          <w:i/>
        </w:rPr>
        <w:t>du à plusieurs reprises dans les capitales concernées </w:t>
      </w:r>
      <w:r w:rsidRPr="00320A86">
        <w:t>»</w:t>
      </w:r>
      <w:r>
        <w:t> </w:t>
      </w:r>
      <w:r>
        <w:rPr>
          <w:rStyle w:val="Appelnotedebasdep"/>
        </w:rPr>
        <w:footnoteReference w:id="1481"/>
      </w:r>
      <w:r w:rsidRPr="00320A86">
        <w:t>. Aussi, pour le ministre français des Affaires étrangères, Jean-Bernard Ra</w:t>
      </w:r>
      <w:r w:rsidRPr="00320A86">
        <w:t>i</w:t>
      </w:r>
      <w:r w:rsidRPr="00320A86">
        <w:t>mond, « </w:t>
      </w:r>
      <w:r w:rsidRPr="004A78E5">
        <w:rPr>
          <w:i/>
        </w:rPr>
        <w:t>c’est un succès pour le gouvernement français. […] Le go</w:t>
      </w:r>
      <w:r w:rsidRPr="004A78E5">
        <w:rPr>
          <w:i/>
        </w:rPr>
        <w:t>u</w:t>
      </w:r>
      <w:r w:rsidRPr="004A78E5">
        <w:rPr>
          <w:i/>
        </w:rPr>
        <w:t>vernement français s’est trouvé au centre d’une négociation co</w:t>
      </w:r>
      <w:r w:rsidRPr="004A78E5">
        <w:rPr>
          <w:i/>
        </w:rPr>
        <w:t>m</w:t>
      </w:r>
      <w:r w:rsidRPr="004A78E5">
        <w:rPr>
          <w:i/>
        </w:rPr>
        <w:t>plexe, et il a pu jouer le rôle qui a abouti à la libération de M. Albe</w:t>
      </w:r>
      <w:r w:rsidRPr="004A78E5">
        <w:rPr>
          <w:i/>
        </w:rPr>
        <w:t>r</w:t>
      </w:r>
      <w:r w:rsidRPr="004A78E5">
        <w:rPr>
          <w:i/>
        </w:rPr>
        <w:t>tini parce qu’il a su nouer des liens avec tous les États intéressés, au-delà même des relations diplomatiques, notamment l’Angola et le M</w:t>
      </w:r>
      <w:r w:rsidRPr="004A78E5">
        <w:rPr>
          <w:i/>
        </w:rPr>
        <w:t>o</w:t>
      </w:r>
      <w:r w:rsidRPr="004A78E5">
        <w:rPr>
          <w:i/>
        </w:rPr>
        <w:t>zamb</w:t>
      </w:r>
      <w:r w:rsidRPr="004A78E5">
        <w:rPr>
          <w:i/>
        </w:rPr>
        <w:t>i</w:t>
      </w:r>
      <w:r w:rsidRPr="004A78E5">
        <w:rPr>
          <w:i/>
        </w:rPr>
        <w:t>que </w:t>
      </w:r>
      <w:r w:rsidRPr="00320A86">
        <w:t>»</w:t>
      </w:r>
      <w:r>
        <w:t> </w:t>
      </w:r>
      <w:r>
        <w:rPr>
          <w:rStyle w:val="Appelnotedebasdep"/>
        </w:rPr>
        <w:footnoteReference w:id="1482"/>
      </w:r>
      <w:r w:rsidRPr="00320A86">
        <w:t>. Et reconnaissance de la part de l’Afrique du Sud : « les autorités sud-africaines qualifient de “capital” le rôle joué par le go</w:t>
      </w:r>
      <w:r w:rsidRPr="00320A86">
        <w:t>u</w:t>
      </w:r>
      <w:r w:rsidRPr="00320A86">
        <w:t>vern</w:t>
      </w:r>
      <w:r w:rsidRPr="00320A86">
        <w:t>e</w:t>
      </w:r>
      <w:r w:rsidRPr="00320A86">
        <w:t>ment de M. Jacques Chirac dans les négociations, soulignent le “r</w:t>
      </w:r>
      <w:r w:rsidRPr="00320A86">
        <w:t>ô</w:t>
      </w:r>
      <w:r w:rsidRPr="00320A86">
        <w:t>le personnel” du Premier ministre dans la recherche d’un accord ». Les spécialistes décodèrent : « </w:t>
      </w:r>
      <w:r w:rsidRPr="004A78E5">
        <w:rPr>
          <w:i/>
        </w:rPr>
        <w:t>Ces éloges adressés à M. Chirac lai</w:t>
      </w:r>
      <w:r w:rsidRPr="004A78E5">
        <w:rPr>
          <w:i/>
        </w:rPr>
        <w:t>s</w:t>
      </w:r>
      <w:r w:rsidRPr="004A78E5">
        <w:rPr>
          <w:i/>
        </w:rPr>
        <w:t>sent présager un rétablissement des relations entre les deux pays, to</w:t>
      </w:r>
      <w:r w:rsidRPr="004A78E5">
        <w:rPr>
          <w:i/>
        </w:rPr>
        <w:t>m</w:t>
      </w:r>
      <w:r w:rsidRPr="004A78E5">
        <w:rPr>
          <w:i/>
        </w:rPr>
        <w:t>bées au plus bas en raison de l’affaire Albertini. Ils contrastent singulièrement avec les critiques adressées par le ministre sud-africain des A</w:t>
      </w:r>
      <w:r w:rsidRPr="004A78E5">
        <w:rPr>
          <w:i/>
        </w:rPr>
        <w:t>f</w:t>
      </w:r>
      <w:r w:rsidRPr="004A78E5">
        <w:rPr>
          <w:i/>
        </w:rPr>
        <w:t>faires étrangères, M. Roelof “Pik” Botha, en juillet, contre le président Mitte</w:t>
      </w:r>
      <w:r w:rsidRPr="004A78E5">
        <w:rPr>
          <w:i/>
        </w:rPr>
        <w:t>r</w:t>
      </w:r>
      <w:r w:rsidRPr="004A78E5">
        <w:rPr>
          <w:i/>
        </w:rPr>
        <w:t>rand </w:t>
      </w:r>
      <w:r w:rsidRPr="00320A86">
        <w:t>»</w:t>
      </w:r>
      <w:r>
        <w:t> </w:t>
      </w:r>
      <w:r>
        <w:rPr>
          <w:rStyle w:val="Appelnotedebasdep"/>
        </w:rPr>
        <w:footnoteReference w:id="1483"/>
      </w:r>
      <w:r w:rsidRPr="00320A86">
        <w:t>. En situation de cohabitation, le Premier ministre J. Chirac tenta de récupérer l’opération contre le Pr</w:t>
      </w:r>
      <w:r w:rsidRPr="00320A86">
        <w:t>é</w:t>
      </w:r>
      <w:r w:rsidRPr="00320A86">
        <w:t>sident Mitte</w:t>
      </w:r>
      <w:r w:rsidRPr="00320A86">
        <w:t>r</w:t>
      </w:r>
      <w:r w:rsidRPr="00320A86">
        <w:t>rand.</w:t>
      </w:r>
    </w:p>
    <w:p w14:paraId="3F9B5EE9" w14:textId="77777777" w:rsidR="00B01930" w:rsidRPr="00320A86" w:rsidRDefault="00B01930" w:rsidP="00B01930">
      <w:pPr>
        <w:spacing w:before="120" w:after="120"/>
        <w:jc w:val="both"/>
      </w:pPr>
      <w:r w:rsidRPr="00320A86">
        <w:t>Il en alla de même pour les réseaux partisans : Georges Marchais parla de la « </w:t>
      </w:r>
      <w:r w:rsidRPr="004A78E5">
        <w:rPr>
          <w:i/>
        </w:rPr>
        <w:t>défaite magistrale de l’apartheid </w:t>
      </w:r>
      <w:r w:rsidRPr="00320A86">
        <w:t>»</w:t>
      </w:r>
      <w:r>
        <w:t> </w:t>
      </w:r>
      <w:r>
        <w:rPr>
          <w:rStyle w:val="Appelnotedebasdep"/>
        </w:rPr>
        <w:footnoteReference w:id="1484"/>
      </w:r>
      <w:r w:rsidRPr="00320A86">
        <w:t>.</w:t>
      </w:r>
    </w:p>
    <w:p w14:paraId="4694E2C4" w14:textId="77777777" w:rsidR="00B01930" w:rsidRPr="00320A86" w:rsidRDefault="00B01930" w:rsidP="00B01930">
      <w:pPr>
        <w:spacing w:before="120" w:after="120"/>
        <w:jc w:val="both"/>
      </w:pPr>
      <w:r w:rsidRPr="00320A86">
        <w:t>Il est significatif que le nom de Jean-Yves Ollivier ne fût pas pr</w:t>
      </w:r>
      <w:r w:rsidRPr="00320A86">
        <w:t>o</w:t>
      </w:r>
      <w:r w:rsidRPr="00320A86">
        <w:t>noncé par les officiels et qu’il restât « seul sur le tarmac à Maputo, […], “oublié” dans son propre scénario […] [il a] vu partir un à un tous les appareils officiels. À un aviateur resté en plan avec une panne de moteur, il finit par demander une place à bord. C’est ainsi qu’il passera sa nuit de gloire dans un hôtel anonyme de Port Elizabeth, en Afrique du Sud »</w:t>
      </w:r>
      <w:r>
        <w:t> </w:t>
      </w:r>
      <w:r>
        <w:rPr>
          <w:rStyle w:val="Appelnotedebasdep"/>
        </w:rPr>
        <w:footnoteReference w:id="1485"/>
      </w:r>
      <w:r w:rsidRPr="00320A86">
        <w:t>. L’homme du réseau austral passa à la trappe. Pas d’avion officiel pour Jean-Yves Ollivier qui fit de l’avion-stop… pour reg</w:t>
      </w:r>
      <w:r w:rsidRPr="00320A86">
        <w:t>a</w:t>
      </w:r>
      <w:r w:rsidRPr="00320A86">
        <w:t>gner le chemin du retour.</w:t>
      </w:r>
    </w:p>
    <w:p w14:paraId="58CC560A" w14:textId="77777777" w:rsidR="00B01930" w:rsidRPr="00320A86" w:rsidRDefault="00B01930" w:rsidP="00B01930">
      <w:pPr>
        <w:spacing w:before="120" w:after="120"/>
        <w:jc w:val="both"/>
      </w:pPr>
      <w:r w:rsidRPr="00320A86">
        <w:t>De même, l’U</w:t>
      </w:r>
      <w:r w:rsidRPr="00320A86">
        <w:rPr>
          <w:smallCaps/>
        </w:rPr>
        <w:t>nita</w:t>
      </w:r>
      <w:r w:rsidRPr="00320A86">
        <w:t xml:space="preserve"> fut écartée : les communiqués officiels ne la mentionn</w:t>
      </w:r>
      <w:r w:rsidRPr="00320A86">
        <w:t>è</w:t>
      </w:r>
      <w:r w:rsidRPr="00320A86">
        <w:t>rent pas au titre des acteurs ayant contribué au dénouement de la crise. Il est vrai que, déjà lors de la visite de Savimbi en France, en octobre 1986, le gouvern</w:t>
      </w:r>
      <w:r w:rsidRPr="00320A86">
        <w:t>e</w:t>
      </w:r>
      <w:r w:rsidRPr="00320A86">
        <w:t>ment français lui avait témoigné de la froideur</w:t>
      </w:r>
      <w:r>
        <w:t> </w:t>
      </w:r>
      <w:r>
        <w:rPr>
          <w:rStyle w:val="Appelnotedebasdep"/>
        </w:rPr>
        <w:footnoteReference w:id="1486"/>
      </w:r>
      <w:r w:rsidRPr="00320A86">
        <w:t>. C’était pourtant l’U</w:t>
      </w:r>
      <w:r w:rsidRPr="00320A86">
        <w:rPr>
          <w:smallCaps/>
        </w:rPr>
        <w:t>nita</w:t>
      </w:r>
      <w:r w:rsidRPr="00320A86">
        <w:t xml:space="preserve"> qui détenait – semble-t-il – les pr</w:t>
      </w:r>
      <w:r w:rsidRPr="00320A86">
        <w:t>i</w:t>
      </w:r>
      <w:r w:rsidRPr="00320A86">
        <w:t>sonniers cubains libérés. Le discours officiel ne le signala pas. Quelles promesses lui avaient été faites ? S’agissait-il de compensations f</w:t>
      </w:r>
      <w:r w:rsidRPr="00320A86">
        <w:t>i</w:t>
      </w:r>
      <w:r w:rsidRPr="00320A86">
        <w:t>nancières par le canal de la société Elf-Aquitaine, comme le laissait e</w:t>
      </w:r>
      <w:r w:rsidRPr="00320A86">
        <w:t>n</w:t>
      </w:r>
      <w:r w:rsidRPr="00320A86">
        <w:t>tendre Savimbi qui accusait cette dernière de « </w:t>
      </w:r>
      <w:r w:rsidRPr="004A78E5">
        <w:rPr>
          <w:i/>
        </w:rPr>
        <w:t>faire de la politique et pas se</w:t>
      </w:r>
      <w:r w:rsidRPr="004A78E5">
        <w:rPr>
          <w:i/>
        </w:rPr>
        <w:t>u</w:t>
      </w:r>
      <w:r w:rsidRPr="004A78E5">
        <w:rPr>
          <w:i/>
        </w:rPr>
        <w:t>lement du commerce </w:t>
      </w:r>
      <w:r w:rsidRPr="00320A86">
        <w:t>»</w:t>
      </w:r>
      <w:r>
        <w:t> </w:t>
      </w:r>
      <w:r>
        <w:rPr>
          <w:rStyle w:val="Appelnotedebasdep"/>
        </w:rPr>
        <w:footnoteReference w:id="1487"/>
      </w:r>
      <w:r w:rsidRPr="00320A86">
        <w:t> ? Obtint-il finalement d’autres compensations ?</w:t>
      </w:r>
    </w:p>
    <w:p w14:paraId="320D997F" w14:textId="77777777" w:rsidR="00B01930" w:rsidRPr="00320A86" w:rsidRDefault="00B01930" w:rsidP="00B01930">
      <w:pPr>
        <w:spacing w:before="120" w:after="120"/>
        <w:jc w:val="both"/>
      </w:pPr>
      <w:r w:rsidRPr="00320A86">
        <w:t>Enfin, dans le processus de paix pour la région, l’homme du réseau des affaires et sa vision ne se réalisèrent que partiellement. On le tol</w:t>
      </w:r>
      <w:r w:rsidRPr="00320A86">
        <w:t>é</w:t>
      </w:r>
      <w:r w:rsidRPr="00320A86">
        <w:t>ra à peine et il ne fut qu’un temps le missi dominici entre les gouve</w:t>
      </w:r>
      <w:r w:rsidRPr="00320A86">
        <w:t>r</w:t>
      </w:r>
      <w:r w:rsidRPr="00320A86">
        <w:t>nements sud-africain et fra</w:t>
      </w:r>
      <w:r w:rsidRPr="00320A86">
        <w:t>n</w:t>
      </w:r>
      <w:r w:rsidRPr="00320A86">
        <w:t>çais. Jacques Foccart ne croyait pas à une médiation française dans la grande négociation sur l’Afrique australe : « </w:t>
      </w:r>
      <w:r w:rsidRPr="004A78E5">
        <w:rPr>
          <w:i/>
        </w:rPr>
        <w:t>c’est de l’aventurisme, ça ne marchera pas, tranche [-t-il], à l’automne 1987 </w:t>
      </w:r>
      <w:r w:rsidRPr="00320A86">
        <w:t>»</w:t>
      </w:r>
      <w:r>
        <w:t> </w:t>
      </w:r>
      <w:r>
        <w:rPr>
          <w:rStyle w:val="Appelnotedebasdep"/>
        </w:rPr>
        <w:footnoteReference w:id="1488"/>
      </w:r>
      <w:r w:rsidRPr="00320A86">
        <w:t>. Interrogé par Philippe Gaillard, Ja</w:t>
      </w:r>
      <w:r w:rsidRPr="00320A86">
        <w:t>c</w:t>
      </w:r>
      <w:r w:rsidRPr="00320A86">
        <w:t>ques Foccart répondit ne jamais avoir revu Jean-Yves Ollivier</w:t>
      </w:r>
      <w:r>
        <w:t> </w:t>
      </w:r>
      <w:r>
        <w:rPr>
          <w:rStyle w:val="Appelnotedebasdep"/>
        </w:rPr>
        <w:footnoteReference w:id="1489"/>
      </w:r>
      <w:r w:rsidRPr="00320A86">
        <w:t>. Quant à Chester Crocker, secrétaire d’État adjoint américain pour les affaires africa</w:t>
      </w:r>
      <w:r w:rsidRPr="00320A86">
        <w:t>i</w:t>
      </w:r>
      <w:r w:rsidRPr="00320A86">
        <w:t>nes</w:t>
      </w:r>
      <w:r>
        <w:t> </w:t>
      </w:r>
      <w:r>
        <w:rPr>
          <w:rStyle w:val="Appelnotedebasdep"/>
        </w:rPr>
        <w:footnoteReference w:id="1490"/>
      </w:r>
      <w:r w:rsidRPr="00320A86">
        <w:t>, qui négocia par la suite l’accord quadripartite entre Amér</w:t>
      </w:r>
      <w:r w:rsidRPr="00320A86">
        <w:t>i</w:t>
      </w:r>
      <w:r w:rsidRPr="00320A86">
        <w:t>cains, Angolais, Cubains et Sud-Africains, il avoua, après coup, ne pas avoir compris l’action de Jean-Yves Ollivier et de son « assistant », Jacques Rigault : « </w:t>
      </w:r>
      <w:r w:rsidRPr="004A78E5">
        <w:rPr>
          <w:i/>
        </w:rPr>
        <w:t>votre action personne</w:t>
      </w:r>
      <w:r w:rsidRPr="004A78E5">
        <w:rPr>
          <w:i/>
        </w:rPr>
        <w:t>l</w:t>
      </w:r>
      <w:r w:rsidRPr="004A78E5">
        <w:rPr>
          <w:i/>
        </w:rPr>
        <w:t>le au cours de la négociation (...) nous a plutôt embarrassés </w:t>
      </w:r>
      <w:r w:rsidRPr="00320A86">
        <w:t>», déclara-t-il a posteriori</w:t>
      </w:r>
      <w:r>
        <w:t> </w:t>
      </w:r>
      <w:r>
        <w:rPr>
          <w:rStyle w:val="Appelnotedebasdep"/>
        </w:rPr>
        <w:footnoteReference w:id="1491"/>
      </w:r>
      <w:r w:rsidRPr="00320A86">
        <w:t>. L’ambassadeur sud-africain à Paris, agacé par la « </w:t>
      </w:r>
      <w:r w:rsidRPr="004A78E5">
        <w:rPr>
          <w:i/>
        </w:rPr>
        <w:t>diplomatie parall</w:t>
      </w:r>
      <w:r w:rsidRPr="004A78E5">
        <w:rPr>
          <w:i/>
        </w:rPr>
        <w:t>è</w:t>
      </w:r>
      <w:r w:rsidRPr="004A78E5">
        <w:rPr>
          <w:i/>
        </w:rPr>
        <w:t>le </w:t>
      </w:r>
      <w:r w:rsidRPr="00320A86">
        <w:t>», « </w:t>
      </w:r>
      <w:r w:rsidRPr="004A78E5">
        <w:rPr>
          <w:i/>
        </w:rPr>
        <w:t>fit savoir en haut lieu à Pretoria qu’il n’avait pas besoin d’intermédiaire </w:t>
      </w:r>
      <w:r w:rsidRPr="00320A86">
        <w:t>»</w:t>
      </w:r>
      <w:r>
        <w:t> </w:t>
      </w:r>
      <w:r>
        <w:rPr>
          <w:rStyle w:val="Appelnotedebasdep"/>
        </w:rPr>
        <w:footnoteReference w:id="1492"/>
      </w:r>
      <w:r w:rsidRPr="00320A86">
        <w:t>. Jean-Yves Ollivier devint par la suite l’ami de Jean-Christophe Mi</w:t>
      </w:r>
      <w:r w:rsidRPr="00320A86">
        <w:t>t</w:t>
      </w:r>
      <w:r w:rsidRPr="00320A86">
        <w:t>terrand</w:t>
      </w:r>
      <w:r>
        <w:t> </w:t>
      </w:r>
      <w:r>
        <w:rPr>
          <w:rStyle w:val="Appelnotedebasdep"/>
        </w:rPr>
        <w:footnoteReference w:id="1493"/>
      </w:r>
      <w:r w:rsidRPr="00320A86">
        <w:t>.</w:t>
      </w:r>
    </w:p>
    <w:p w14:paraId="4EC66B23" w14:textId="77777777" w:rsidR="00B01930" w:rsidRPr="00320A86" w:rsidRDefault="00B01930" w:rsidP="00B01930">
      <w:pPr>
        <w:spacing w:before="120" w:after="120"/>
        <w:jc w:val="both"/>
      </w:pPr>
      <w:r w:rsidRPr="00320A86">
        <w:t>Paris, qui était « dépourvu des moyens de sa politique », fut réduit au « </w:t>
      </w:r>
      <w:r w:rsidRPr="004A78E5">
        <w:rPr>
          <w:i/>
        </w:rPr>
        <w:t>rôle de l’observateur avisé, mais impuissant </w:t>
      </w:r>
      <w:r w:rsidRPr="00320A86">
        <w:t>»</w:t>
      </w:r>
      <w:r>
        <w:t> </w:t>
      </w:r>
      <w:r>
        <w:rPr>
          <w:rStyle w:val="Appelnotedebasdep"/>
        </w:rPr>
        <w:footnoteReference w:id="1494"/>
      </w:r>
      <w:r w:rsidRPr="00320A86">
        <w:t>. Quant à la v</w:t>
      </w:r>
      <w:r w:rsidRPr="00320A86">
        <w:t>i</w:t>
      </w:r>
      <w:r w:rsidRPr="00320A86">
        <w:t>sion « </w:t>
      </w:r>
      <w:r w:rsidRPr="004A78E5">
        <w:rPr>
          <w:i/>
        </w:rPr>
        <w:t>d’un magistral gambit sur l’échiquier complexe de l’Afrique austr</w:t>
      </w:r>
      <w:r w:rsidRPr="004A78E5">
        <w:rPr>
          <w:i/>
        </w:rPr>
        <w:t>a</w:t>
      </w:r>
      <w:r w:rsidRPr="004A78E5">
        <w:rPr>
          <w:i/>
        </w:rPr>
        <w:t>le </w:t>
      </w:r>
      <w:r w:rsidRPr="00320A86">
        <w:t>»</w:t>
      </w:r>
      <w:r>
        <w:t> </w:t>
      </w:r>
      <w:r>
        <w:rPr>
          <w:rStyle w:val="Appelnotedebasdep"/>
        </w:rPr>
        <w:footnoteReference w:id="1495"/>
      </w:r>
      <w:r w:rsidRPr="00320A86">
        <w:rPr>
          <w:vertAlign w:val="superscript"/>
        </w:rPr>
        <w:t>,</w:t>
      </w:r>
      <w:r w:rsidRPr="00320A86">
        <w:t xml:space="preserve"> laissant entendre que chaque État de la région libérait un ou plusieurs prisonniers en guise de geste de bonne volonté, déma</w:t>
      </w:r>
      <w:r w:rsidRPr="00320A86">
        <w:t>r</w:t>
      </w:r>
      <w:r w:rsidRPr="00320A86">
        <w:t>rant ainsi le processus de paix, elle sembla se vérifier – mais sans la Fra</w:t>
      </w:r>
      <w:r w:rsidRPr="00320A86">
        <w:t>n</w:t>
      </w:r>
      <w:r w:rsidRPr="00320A86">
        <w:t>ce. Certes, suite à la mise en confiance, les négociations sur le désengagement des troupes débutèrent et débouchèrent au bout d’un cheminement en cinq phases et plus de deux années de travaux dipl</w:t>
      </w:r>
      <w:r w:rsidRPr="00320A86">
        <w:t>o</w:t>
      </w:r>
      <w:r w:rsidRPr="00320A86">
        <w:t>mat</w:t>
      </w:r>
      <w:r w:rsidRPr="00320A86">
        <w:t>i</w:t>
      </w:r>
      <w:r w:rsidRPr="00320A86">
        <w:t>ques, sous la médiation américaine. Mais l’idée d’introduire la France dans la négociation en Afrique australe, de lui ménager un r</w:t>
      </w:r>
      <w:r w:rsidRPr="00320A86">
        <w:t>ô</w:t>
      </w:r>
      <w:r w:rsidRPr="00320A86">
        <w:t>le, ne déboucha pas – réalisme américain oblige. Entre grandes pui</w:t>
      </w:r>
      <w:r w:rsidRPr="00320A86">
        <w:t>s</w:t>
      </w:r>
      <w:r w:rsidRPr="00320A86">
        <w:t>sances, les États-Unis réglèrent la question avec l’U</w:t>
      </w:r>
      <w:r w:rsidRPr="00320A86">
        <w:rPr>
          <w:smallCaps/>
        </w:rPr>
        <w:t>rss</w:t>
      </w:r>
      <w:r w:rsidRPr="00320A86">
        <w:t>. Le rôle de la France se limita à celui d’un garant au titre de membre permanent du Conseil de sécurité de l’</w:t>
      </w:r>
      <w:r w:rsidRPr="00320A86">
        <w:rPr>
          <w:smallCaps/>
        </w:rPr>
        <w:t>Onu</w:t>
      </w:r>
      <w:r w:rsidRPr="00320A86">
        <w:t>.</w:t>
      </w:r>
    </w:p>
    <w:p w14:paraId="2D08FAED" w14:textId="77777777" w:rsidR="00B01930" w:rsidRPr="00320A86" w:rsidRDefault="00B01930" w:rsidP="00B01930">
      <w:pPr>
        <w:spacing w:before="120" w:after="120"/>
        <w:jc w:val="both"/>
      </w:pPr>
    </w:p>
    <w:p w14:paraId="4C8F2E70" w14:textId="77777777" w:rsidR="00B01930" w:rsidRPr="00320A86" w:rsidRDefault="00B01930" w:rsidP="00B01930">
      <w:pPr>
        <w:pStyle w:val="b"/>
      </w:pPr>
      <w:r w:rsidRPr="00320A86">
        <w:t>Une reconnaissance discrète</w:t>
      </w:r>
    </w:p>
    <w:p w14:paraId="2BF55E73" w14:textId="77777777" w:rsidR="00B01930" w:rsidRDefault="00B01930" w:rsidP="00B01930">
      <w:pPr>
        <w:spacing w:before="120" w:after="120"/>
        <w:jc w:val="both"/>
      </w:pPr>
    </w:p>
    <w:p w14:paraId="7F351A7F" w14:textId="77777777" w:rsidR="00B01930" w:rsidRPr="00320A86" w:rsidRDefault="00B01930" w:rsidP="00B01930">
      <w:pPr>
        <w:spacing w:before="120" w:after="120"/>
        <w:jc w:val="both"/>
      </w:pPr>
      <w:r w:rsidRPr="00320A86">
        <w:t>Jaloux de préserver leur monopole pour la conduite de la politique étrangère, et après y être de nouveau parvenus, les États rendirent un certain hommage au travail des réseaux informels – à un niveau m</w:t>
      </w:r>
      <w:r w:rsidRPr="00320A86">
        <w:t>i</w:t>
      </w:r>
      <w:r w:rsidRPr="00320A86">
        <w:t>nimal. En décembre 1987, l’Afrique du Sud honora les négociateurs. Fernand Wibaux et Jean-Yves Oll</w:t>
      </w:r>
      <w:r w:rsidRPr="00320A86">
        <w:t>i</w:t>
      </w:r>
      <w:r w:rsidRPr="00320A86">
        <w:t>vier pour leur rôle dans l’échange de prisonniers entre Luanda et Pretoria, furent « </w:t>
      </w:r>
      <w:r w:rsidRPr="004A78E5">
        <w:rPr>
          <w:i/>
        </w:rPr>
        <w:t>promus dans l’ordre de Bonne Espérance, la plus haute distinction civile sud-africaine qui puisse être décernée à des étrangers […] pour le rôle-clé […] dans la libération […] du commandant Wynand du Toit </w:t>
      </w:r>
      <w:r w:rsidRPr="00320A86">
        <w:t>». Mais la discrétion fut de mise dans le communiqué : le « </w:t>
      </w:r>
      <w:r w:rsidRPr="004A78E5">
        <w:rPr>
          <w:i/>
        </w:rPr>
        <w:t>conseiller diplomatique du gouvernement et l’homme d’affaires ayant effectué dans la région des missions pour le Premier ministre […] avaient demandé à Pretoria que leur identité ne soit pas révélée […] [et le Quai d’Orsay] déclare tout ignorer de cette affaire </w:t>
      </w:r>
      <w:r w:rsidRPr="00320A86">
        <w:t>»</w:t>
      </w:r>
      <w:r>
        <w:t> </w:t>
      </w:r>
      <w:r>
        <w:rPr>
          <w:rStyle w:val="Appelnotedebasdep"/>
        </w:rPr>
        <w:footnoteReference w:id="1496"/>
      </w:r>
      <w:r w:rsidRPr="00320A86">
        <w:t>.</w:t>
      </w:r>
    </w:p>
    <w:p w14:paraId="3346673C" w14:textId="77777777" w:rsidR="00B01930" w:rsidRPr="00320A86" w:rsidRDefault="00B01930" w:rsidP="00B01930">
      <w:pPr>
        <w:spacing w:before="120" w:after="120"/>
        <w:jc w:val="both"/>
      </w:pPr>
      <w:r w:rsidRPr="00320A86">
        <w:t>Ce type de formulation indiquait que les autorités françaises avaient esquivé une prise de position : soit elles n’étaient effectiv</w:t>
      </w:r>
      <w:r w:rsidRPr="00320A86">
        <w:t>e</w:t>
      </w:r>
      <w:r w:rsidRPr="00320A86">
        <w:t>ment pas au courant, soit l’inverse. Toujours est-il qu’elles ne souha</w:t>
      </w:r>
      <w:r w:rsidRPr="00320A86">
        <w:t>i</w:t>
      </w:r>
      <w:r w:rsidRPr="00320A86">
        <w:t>taient pas l’être. Il s’agissait d’une fiction discursive opératoire pour ne pas « accréditer » un envoyé officieux « hors du sérail » qui devait le rester. Cependant, Fernand Wibaux, que le co</w:t>
      </w:r>
      <w:r w:rsidRPr="00320A86">
        <w:t>m</w:t>
      </w:r>
      <w:r w:rsidRPr="00320A86">
        <w:t>muniqué officiel de Matignon avait qualifié d’envoyé personnel du Premier m</w:t>
      </w:r>
      <w:r w:rsidRPr="00320A86">
        <w:t>i</w:t>
      </w:r>
      <w:r w:rsidRPr="00320A86">
        <w:t>nistre, semblait avoir repris du service puisqu’il se trouvait dans la région pour présider la commission mixte franco-mozambicaine à Map</w:t>
      </w:r>
      <w:r w:rsidRPr="00320A86">
        <w:t>u</w:t>
      </w:r>
      <w:r w:rsidRPr="00320A86">
        <w:t>to</w:t>
      </w:r>
      <w:r>
        <w:t> </w:t>
      </w:r>
      <w:r>
        <w:rPr>
          <w:rStyle w:val="Appelnotedebasdep"/>
        </w:rPr>
        <w:footnoteReference w:id="1497"/>
      </w:r>
      <w:r w:rsidRPr="00320A86">
        <w:t>.</w:t>
      </w:r>
    </w:p>
    <w:p w14:paraId="2EF32E42" w14:textId="77777777" w:rsidR="00B01930" w:rsidRPr="00320A86" w:rsidRDefault="00B01930" w:rsidP="00B01930">
      <w:pPr>
        <w:spacing w:before="120" w:after="120"/>
        <w:jc w:val="both"/>
      </w:pPr>
      <w:r w:rsidRPr="00320A86">
        <w:t>Pour Jean-Yves Ollivier, que le discours officiel avait superbement ignoré, la reconnaissance par la France n’intervint que tardivement, en 1994, lorsque, d</w:t>
      </w:r>
      <w:r w:rsidRPr="00320A86">
        <w:t>e</w:t>
      </w:r>
      <w:r w:rsidRPr="00320A86">
        <w:t>venu ami de Jean-Christophe Mitterrand, sous un autre gouvernement dyarch</w:t>
      </w:r>
      <w:r w:rsidRPr="00320A86">
        <w:t>i</w:t>
      </w:r>
      <w:r w:rsidRPr="00320A86">
        <w:t>que, un an avant l’élection présidentielle de Jacques Chirac, il fut promu Chev</w:t>
      </w:r>
      <w:r w:rsidRPr="00320A86">
        <w:t>a</w:t>
      </w:r>
      <w:r w:rsidRPr="00320A86">
        <w:t>lier de la Légion d’honneur au titre du ministère de la Coopération</w:t>
      </w:r>
      <w:r>
        <w:t> </w:t>
      </w:r>
      <w:r>
        <w:rPr>
          <w:rStyle w:val="Appelnotedebasdep"/>
        </w:rPr>
        <w:footnoteReference w:id="1498"/>
      </w:r>
      <w:r w:rsidRPr="00320A86">
        <w:t>. Un produit de la deuxième c</w:t>
      </w:r>
      <w:r w:rsidRPr="00320A86">
        <w:t>o</w:t>
      </w:r>
      <w:r w:rsidRPr="00320A86">
        <w:t>habitation ?</w:t>
      </w:r>
    </w:p>
    <w:p w14:paraId="42425C10" w14:textId="77777777" w:rsidR="00B01930" w:rsidRPr="00320A86" w:rsidRDefault="00B01930" w:rsidP="00B01930">
      <w:pPr>
        <w:spacing w:before="120" w:after="120"/>
        <w:jc w:val="both"/>
      </w:pPr>
      <w:r w:rsidRPr="00320A86">
        <w:t>À la lumière du cas Albertini, nous pouvons donc conclure que les réseaux parallèles, s’il leur arrive de jouer un rôle en diplomatie, sont dominés, cadrés et récupérés par l’institution. L’affaire, analysée ici dans ses grandes lignes, démontre en tout cas la pertinence d’une a</w:t>
      </w:r>
      <w:r w:rsidRPr="00320A86">
        <w:t>p</w:t>
      </w:r>
      <w:r w:rsidRPr="00320A86">
        <w:t>proche réaliste du fonctionnement d</w:t>
      </w:r>
      <w:r w:rsidRPr="00320A86">
        <w:t>i</w:t>
      </w:r>
      <w:r w:rsidRPr="00320A86">
        <w:t>plomatique des États en termes de réseau. Cela perturbe quelque peu les anal</w:t>
      </w:r>
      <w:r w:rsidRPr="00320A86">
        <w:t>y</w:t>
      </w:r>
      <w:r w:rsidRPr="00320A86">
        <w:t>ses exclusivistes, plus attachées parfois au déploiement de leur propre paradigme qu’à la sa</w:t>
      </w:r>
      <w:r w:rsidRPr="00320A86">
        <w:t>i</w:t>
      </w:r>
      <w:r w:rsidRPr="00320A86">
        <w:t>sie de la complexité du réel.</w:t>
      </w:r>
    </w:p>
    <w:p w14:paraId="06D2B399" w14:textId="77777777" w:rsidR="00B01930" w:rsidRDefault="00B01930" w:rsidP="00B01930">
      <w:pPr>
        <w:jc w:val="both"/>
      </w:pPr>
      <w:r>
        <w:br w:type="page"/>
      </w:r>
    </w:p>
    <w:p w14:paraId="5C40A9A1" w14:textId="77777777" w:rsidR="00B01930" w:rsidRDefault="00B01930" w:rsidP="00B01930">
      <w:pPr>
        <w:jc w:val="both"/>
      </w:pPr>
    </w:p>
    <w:p w14:paraId="37B87668" w14:textId="77777777" w:rsidR="00B01930" w:rsidRDefault="00B01930" w:rsidP="00B01930">
      <w:pPr>
        <w:jc w:val="both"/>
      </w:pPr>
    </w:p>
    <w:p w14:paraId="3AA3435B" w14:textId="77777777" w:rsidR="00B01930" w:rsidRPr="009D4882" w:rsidRDefault="00B01930" w:rsidP="00B01930">
      <w:pPr>
        <w:spacing w:after="120"/>
        <w:ind w:firstLine="0"/>
        <w:jc w:val="center"/>
        <w:rPr>
          <w:b/>
          <w:color w:val="000080"/>
        </w:rPr>
      </w:pPr>
      <w:bookmarkStart w:id="234" w:name="Analyser_idees_pol_pt_4_texte_15"/>
      <w:r>
        <w:rPr>
          <w:b/>
          <w:color w:val="000080"/>
        </w:rPr>
        <w:t>Quatrième</w:t>
      </w:r>
      <w:r w:rsidRPr="009D4882">
        <w:rPr>
          <w:b/>
          <w:color w:val="000080"/>
        </w:rPr>
        <w:t xml:space="preserve"> partie</w:t>
      </w:r>
      <w:r w:rsidRPr="009D4882">
        <w:rPr>
          <w:b/>
          <w:color w:val="000080"/>
        </w:rPr>
        <w:br/>
      </w:r>
      <w:r>
        <w:rPr>
          <w:i/>
          <w:color w:val="000080"/>
        </w:rPr>
        <w:t>De quelques idées «internationales»</w:t>
      </w:r>
    </w:p>
    <w:p w14:paraId="245BD027" w14:textId="77777777" w:rsidR="00B01930" w:rsidRDefault="00B01930" w:rsidP="00B01930">
      <w:pPr>
        <w:pStyle w:val="Titreniveau1"/>
        <w:rPr>
          <w:szCs w:val="36"/>
        </w:rPr>
      </w:pPr>
      <w:r>
        <w:rPr>
          <w:szCs w:val="36"/>
        </w:rPr>
        <w:t>15</w:t>
      </w:r>
    </w:p>
    <w:p w14:paraId="714D36B1" w14:textId="77777777" w:rsidR="00B01930" w:rsidRDefault="00B01930" w:rsidP="00B01930">
      <w:pPr>
        <w:jc w:val="both"/>
        <w:rPr>
          <w:szCs w:val="36"/>
        </w:rPr>
      </w:pPr>
    </w:p>
    <w:p w14:paraId="3A380BED" w14:textId="77777777" w:rsidR="00B01930" w:rsidRPr="00843F3E" w:rsidRDefault="00B01930" w:rsidP="00B01930">
      <w:pPr>
        <w:pStyle w:val="Titreniveau2"/>
      </w:pPr>
      <w:r>
        <w:t>“Esquisse d’une interprétation</w:t>
      </w:r>
      <w:r>
        <w:br/>
      </w:r>
      <w:r w:rsidRPr="00C51BF3">
        <w:t>martrienne du néoconservatisme</w:t>
      </w:r>
      <w:r>
        <w:br/>
      </w:r>
      <w:r w:rsidRPr="00C51BF3">
        <w:t>amér</w:t>
      </w:r>
      <w:r w:rsidRPr="00C51BF3">
        <w:t>i</w:t>
      </w:r>
      <w:r w:rsidRPr="00C51BF3">
        <w:t>cain</w:t>
      </w:r>
      <w:r w:rsidRPr="00A01FC9">
        <w:t>.</w:t>
      </w:r>
      <w:r>
        <w:t>”</w:t>
      </w:r>
    </w:p>
    <w:bookmarkEnd w:id="234"/>
    <w:p w14:paraId="132E6508" w14:textId="77777777" w:rsidR="00B01930" w:rsidRDefault="00B01930" w:rsidP="00B01930">
      <w:pPr>
        <w:jc w:val="both"/>
        <w:rPr>
          <w:szCs w:val="36"/>
        </w:rPr>
      </w:pPr>
    </w:p>
    <w:p w14:paraId="75E6A6E4" w14:textId="77777777" w:rsidR="00B01930" w:rsidRDefault="00B01930" w:rsidP="00B01930">
      <w:pPr>
        <w:pStyle w:val="suite"/>
      </w:pPr>
      <w:r>
        <w:t>Daniel LAGRAULA</w:t>
      </w:r>
    </w:p>
    <w:p w14:paraId="2C9D6181" w14:textId="77777777" w:rsidR="00B01930" w:rsidRDefault="00B01930" w:rsidP="00B01930">
      <w:pPr>
        <w:jc w:val="both"/>
      </w:pPr>
    </w:p>
    <w:p w14:paraId="2CB26243" w14:textId="77777777" w:rsidR="00B01930" w:rsidRDefault="00B01930" w:rsidP="00B01930">
      <w:pPr>
        <w:jc w:val="both"/>
      </w:pPr>
    </w:p>
    <w:p w14:paraId="52707A5B" w14:textId="77777777" w:rsidR="00B01930" w:rsidRDefault="00B01930" w:rsidP="00B01930">
      <w:pPr>
        <w:jc w:val="both"/>
      </w:pPr>
    </w:p>
    <w:p w14:paraId="4012E2FB"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2F9A7C92" w14:textId="77777777" w:rsidR="00B01930" w:rsidRPr="00320A86" w:rsidRDefault="00B01930" w:rsidP="00B01930">
      <w:pPr>
        <w:spacing w:before="120" w:after="120"/>
        <w:jc w:val="both"/>
      </w:pPr>
      <w:r w:rsidRPr="00320A86">
        <w:t>Les néoconservateurs américains ne font plus les beaux jours de la presse et de l’édition française. Les noms de certains d’entre eux</w:t>
      </w:r>
      <w:r>
        <w:t> </w:t>
      </w:r>
      <w:r>
        <w:rPr>
          <w:rStyle w:val="Appelnotedebasdep"/>
        </w:rPr>
        <w:footnoteReference w:id="1499"/>
      </w:r>
      <w:r w:rsidRPr="00320A86">
        <w:t xml:space="preserve"> ainsi que les thèses qu’ils défendaient surgirent brusquement, tout au moins en France, à l’occasion de l’intervention américaine en Irak en 2003, destinée à renverser le président Saddam Hussein</w:t>
      </w:r>
      <w:r>
        <w:t> </w:t>
      </w:r>
      <w:r>
        <w:rPr>
          <w:rStyle w:val="Appelnotedebasdep"/>
        </w:rPr>
        <w:footnoteReference w:id="1500"/>
      </w:r>
      <w:r w:rsidRPr="00320A86">
        <w:t>. Dans les mois et les années qui suivirent (jusqu’en 2009) diverses publications se succédèrent, allant d’articles journalistiques à des o</w:t>
      </w:r>
      <w:r w:rsidRPr="00320A86">
        <w:t>u</w:t>
      </w:r>
      <w:r w:rsidRPr="00320A86">
        <w:t>vrages de chercheurs en Science politique. Tous entendaient faire la lumière sur des hommes qui auraient « investi » la Maison-Blanche et conduit le président Georges W. Bush à déclencher cette guerre</w:t>
      </w:r>
      <w:r>
        <w:t> </w:t>
      </w:r>
      <w:r>
        <w:rPr>
          <w:rStyle w:val="Appelnotedebasdep"/>
        </w:rPr>
        <w:footnoteReference w:id="1501"/>
      </w:r>
      <w:r w:rsidRPr="00320A86">
        <w:t>.</w:t>
      </w:r>
    </w:p>
    <w:p w14:paraId="54A9A828" w14:textId="77777777" w:rsidR="00B01930" w:rsidRPr="00320A86" w:rsidRDefault="00B01930" w:rsidP="00B01930">
      <w:pPr>
        <w:spacing w:before="120" w:after="120"/>
        <w:jc w:val="both"/>
      </w:pPr>
      <w:r w:rsidRPr="00320A86">
        <w:t>Dans la mesure où l’antiaméricanisme presque traditionnel des Français</w:t>
      </w:r>
      <w:r>
        <w:t> </w:t>
      </w:r>
      <w:r>
        <w:rPr>
          <w:rStyle w:val="Appelnotedebasdep"/>
        </w:rPr>
        <w:footnoteReference w:id="1502"/>
      </w:r>
      <w:r w:rsidRPr="00320A86">
        <w:t xml:space="preserve"> fut légitimé par une position ostensible qui, à défaut de d</w:t>
      </w:r>
      <w:r w:rsidRPr="00320A86">
        <w:t>é</w:t>
      </w:r>
      <w:r w:rsidRPr="00320A86">
        <w:t>tention de la puissance, pratiqua une politique flamboyante du verbe par la voix de son ministre des A</w:t>
      </w:r>
      <w:r w:rsidRPr="00320A86">
        <w:t>f</w:t>
      </w:r>
      <w:r w:rsidRPr="00320A86">
        <w:t>faires étrangères de l’époque</w:t>
      </w:r>
      <w:r>
        <w:t> </w:t>
      </w:r>
      <w:r>
        <w:rPr>
          <w:rStyle w:val="Appelnotedebasdep"/>
        </w:rPr>
        <w:footnoteReference w:id="1503"/>
      </w:r>
      <w:r w:rsidRPr="00320A86">
        <w:t>, nombre d’écrits – surtout journalistiques, mais pas seulement – furent marqués du sceau de cet état d’esprit. S’en dégageait l’idée, plus ou moins explicite, que le néoconservatisme était une doctrine mal</w:t>
      </w:r>
      <w:r w:rsidRPr="00320A86">
        <w:t>é</w:t>
      </w:r>
      <w:r w:rsidRPr="00320A86">
        <w:t>fique, concoctée dans quelques obscurs cénacles dont les membres – les né</w:t>
      </w:r>
      <w:r w:rsidRPr="00320A86">
        <w:t>o</w:t>
      </w:r>
      <w:r w:rsidRPr="00320A86">
        <w:t>conservateurs – étaient l’avant-garde d’une nouvelle Amérique bottée et casquée qui allait dominer le monde. C’était « l’impérialisme américain » avec de nouveaux atours. En dépit de la publication ult</w:t>
      </w:r>
      <w:r w:rsidRPr="00320A86">
        <w:t>é</w:t>
      </w:r>
      <w:r w:rsidRPr="00320A86">
        <w:t>rieure de travaux plus documentés, cette vision reste prégnante entr</w:t>
      </w:r>
      <w:r w:rsidRPr="00320A86">
        <w:t>e</w:t>
      </w:r>
      <w:r w:rsidRPr="00320A86">
        <w:t>tenue par une certaine intelligentsia. Il est vrai que quelques auteurs crurent bon d’opposer à cette vision, partielle et partiale, la thèse i</w:t>
      </w:r>
      <w:r w:rsidRPr="00320A86">
        <w:t>n</w:t>
      </w:r>
      <w:r w:rsidRPr="00320A86">
        <w:t>verse, presque laudatrice, et donc tout aussi partiale, ce qui ne contr</w:t>
      </w:r>
      <w:r w:rsidRPr="00320A86">
        <w:t>i</w:t>
      </w:r>
      <w:r w:rsidRPr="00320A86">
        <w:t>bua pas à une compréhension sereine de cette pensée.</w:t>
      </w:r>
    </w:p>
    <w:p w14:paraId="0BA4EC70" w14:textId="77777777" w:rsidR="00B01930" w:rsidRPr="00320A86" w:rsidRDefault="00B01930" w:rsidP="00B01930">
      <w:pPr>
        <w:spacing w:before="120" w:after="120"/>
        <w:jc w:val="both"/>
      </w:pPr>
      <w:r w:rsidRPr="00320A86">
        <w:t>Or comme le souligne Justin Vaïsse, « […] on pourrait aussi bien avancer que le néoconservatisme n’existe pas [car la diversité des penseurs et des a</w:t>
      </w:r>
      <w:r w:rsidRPr="00320A86">
        <w:t>c</w:t>
      </w:r>
      <w:r w:rsidRPr="00320A86">
        <w:t>teurs] est telle qu’on peine à en déduire l’existence d’un courant de pensée bien défini, sans même parler d’un courant politique […]. Le néoconservatisme n’a pas de base électorale, éc</w:t>
      </w:r>
      <w:r w:rsidRPr="00320A86">
        <w:t>o</w:t>
      </w:r>
      <w:r w:rsidRPr="00320A86">
        <w:t>nomique ou religieuse, il n’a jamais connu de leader incontesté […] ce n’est en rien un parti politique, c’est tout au plus une école de pensée […]</w:t>
      </w:r>
      <w:r>
        <w:t> </w:t>
      </w:r>
      <w:r>
        <w:rPr>
          <w:rStyle w:val="Appelnotedebasdep"/>
        </w:rPr>
        <w:footnoteReference w:id="1504"/>
      </w:r>
      <w:r w:rsidRPr="00320A86">
        <w:t> ». Mais même cette dernière appellation ne peut vraiment re</w:t>
      </w:r>
      <w:r w:rsidRPr="00320A86">
        <w:t>n</w:t>
      </w:r>
      <w:r w:rsidRPr="00320A86">
        <w:t>dre compte du phénomène. En effet loin de jaillir comme la déesse Athéna de la tête de Zeus avec lance et bouclier en poussant un cri de guerre, « le néoconserv</w:t>
      </w:r>
      <w:r w:rsidRPr="00320A86">
        <w:t>a</w:t>
      </w:r>
      <w:r w:rsidRPr="00320A86">
        <w:t>tisme [entre 1960 et les années 2000, a connu différentes incarnations et] s’est […] transfiguré au point de devenir méconnaissable</w:t>
      </w:r>
      <w:r>
        <w:t> </w:t>
      </w:r>
      <w:r>
        <w:rPr>
          <w:rStyle w:val="Appelnotedebasdep"/>
        </w:rPr>
        <w:footnoteReference w:id="1505"/>
      </w:r>
      <w:r w:rsidRPr="00320A86">
        <w:t> ». De fait, comme le mo</w:t>
      </w:r>
      <w:r w:rsidRPr="00320A86">
        <w:t>n</w:t>
      </w:r>
      <w:r w:rsidRPr="00320A86">
        <w:t>tre l’auteur, il est passé de la gauche à la droite, de la réflexion axée sur les questions intérie</w:t>
      </w:r>
      <w:r w:rsidRPr="00320A86">
        <w:t>u</w:t>
      </w:r>
      <w:r w:rsidRPr="00320A86">
        <w:t>res aux relations internationales, et même, sociologiquement, le lieu de production des idées est passé des milieux intellectuels new-yorkais à Washington, c’est-à-dire vers le Pouvoir et l’influence politique rée</w:t>
      </w:r>
      <w:r w:rsidRPr="00320A86">
        <w:t>l</w:t>
      </w:r>
      <w:r w:rsidRPr="00320A86">
        <w:t>le</w:t>
      </w:r>
      <w:r>
        <w:t> </w:t>
      </w:r>
      <w:r>
        <w:rPr>
          <w:rStyle w:val="Appelnotedebasdep"/>
        </w:rPr>
        <w:footnoteReference w:id="1506"/>
      </w:r>
      <w:r w:rsidRPr="00320A86">
        <w:t>.</w:t>
      </w:r>
    </w:p>
    <w:p w14:paraId="510F395D" w14:textId="77777777" w:rsidR="00B01930" w:rsidRPr="00320A86" w:rsidRDefault="00B01930" w:rsidP="00B01930">
      <w:pPr>
        <w:spacing w:before="120" w:after="120"/>
        <w:jc w:val="both"/>
      </w:pPr>
      <w:r w:rsidRPr="00320A86">
        <w:t>Le néoconservatisme a donc une histoire. Toutefois il n’y a pas de linéarité dans son évolution entre ses débuts et son apex dans les a</w:t>
      </w:r>
      <w:r w:rsidRPr="00320A86">
        <w:t>n</w:t>
      </w:r>
      <w:r w:rsidRPr="00320A86">
        <w:t>nées 2000. Il a connu des énoncés divers, des divergences – parfois notables sur certains points – entre les auteurs, certains glissèrent, au fil du temps et des contextes politiques, d’un point à un autre du « fer à cheval</w:t>
      </w:r>
      <w:r>
        <w:t> </w:t>
      </w:r>
      <w:r>
        <w:rPr>
          <w:rStyle w:val="Appelnotedebasdep"/>
        </w:rPr>
        <w:footnoteReference w:id="1507"/>
      </w:r>
      <w:r w:rsidRPr="00320A86">
        <w:t> » des idées politiques américaines. De même connut-il des mouvements de flux et de reflux. En dépit des vicissitudes, on const</w:t>
      </w:r>
      <w:r w:rsidRPr="00320A86">
        <w:t>a</w:t>
      </w:r>
      <w:r w:rsidRPr="00320A86">
        <w:t>te, alors même que le contexte qui l’a vu naître a disparu, que le né</w:t>
      </w:r>
      <w:r w:rsidRPr="00320A86">
        <w:t>o</w:t>
      </w:r>
      <w:r w:rsidRPr="00320A86">
        <w:t>conservatisme n’en a pas moins survécu</w:t>
      </w:r>
      <w:r>
        <w:t> </w:t>
      </w:r>
      <w:r>
        <w:rPr>
          <w:rStyle w:val="Appelnotedebasdep"/>
        </w:rPr>
        <w:footnoteReference w:id="1508"/>
      </w:r>
      <w:r w:rsidRPr="00320A86">
        <w:t>. Des liens « ténus, [une] filiation […] complexe et indirecte</w:t>
      </w:r>
      <w:r>
        <w:t> </w:t>
      </w:r>
      <w:r>
        <w:rPr>
          <w:rStyle w:val="Appelnotedebasdep"/>
        </w:rPr>
        <w:footnoteReference w:id="1509"/>
      </w:r>
      <w:r w:rsidRPr="00320A86">
        <w:t> » entre les lieux de formulation des idées et entre les a</w:t>
      </w:r>
      <w:r w:rsidRPr="00320A86">
        <w:t>u</w:t>
      </w:r>
      <w:r w:rsidRPr="00320A86">
        <w:t>teurs ont contribué à sa pérennité. Toutefois, prenons garde à ne pas assimiler les néoconservateurs à un Deus ex machina tendu vers un seul but : l’invasion de l’Irak. Lire le phén</w:t>
      </w:r>
      <w:r w:rsidRPr="00320A86">
        <w:t>o</w:t>
      </w:r>
      <w:r w:rsidRPr="00320A86">
        <w:t>mène en partant de cet événement reviendrait à en reconstruire le co</w:t>
      </w:r>
      <w:r w:rsidRPr="00320A86">
        <w:t>r</w:t>
      </w:r>
      <w:r w:rsidRPr="00320A86">
        <w:t>pus selon une conception téléologique</w:t>
      </w:r>
      <w:r>
        <w:t> </w:t>
      </w:r>
      <w:r>
        <w:rPr>
          <w:rStyle w:val="Appelnotedebasdep"/>
        </w:rPr>
        <w:footnoteReference w:id="1510"/>
      </w:r>
      <w:r w:rsidRPr="00320A86">
        <w:t>.</w:t>
      </w:r>
    </w:p>
    <w:p w14:paraId="501872DC" w14:textId="77777777" w:rsidR="00B01930" w:rsidRPr="00320A86" w:rsidRDefault="00B01930" w:rsidP="00B01930">
      <w:pPr>
        <w:spacing w:before="120" w:after="120"/>
        <w:jc w:val="both"/>
      </w:pPr>
      <w:r w:rsidRPr="00320A86">
        <w:t>Cependant, il persista comme pensée spécifique et finit par impr</w:t>
      </w:r>
      <w:r w:rsidRPr="00320A86">
        <w:t>é</w:t>
      </w:r>
      <w:r w:rsidRPr="00320A86">
        <w:t>gner les él</w:t>
      </w:r>
      <w:r w:rsidRPr="00320A86">
        <w:t>i</w:t>
      </w:r>
      <w:r w:rsidRPr="00320A86">
        <w:t>tes, et au-delà, par le truchement de réseaux qui passaient par les universités, les fondations, les think tanks</w:t>
      </w:r>
      <w:r>
        <w:t> </w:t>
      </w:r>
      <w:r>
        <w:rPr>
          <w:rStyle w:val="Appelnotedebasdep"/>
        </w:rPr>
        <w:footnoteReference w:id="1511"/>
      </w:r>
      <w:r w:rsidRPr="00320A86">
        <w:t>, les public</w:t>
      </w:r>
      <w:r w:rsidRPr="00320A86">
        <w:t>a</w:t>
      </w:r>
      <w:r w:rsidRPr="00320A86">
        <w:t>tions, les médias jusqu’aux allées du pouvoir. Si les néoconservateurs ont été tributaires des circonstances pour faire valoir leurs thèses et les voir s’inscrire dans l’action du pouvoir, il n’en demeure pas moins qu’ils illustrent la phrase de Jean-Louis Martres selon laquelle « les idées politiques sont un formidable outil que rien ne justifie de négl</w:t>
      </w:r>
      <w:r w:rsidRPr="00320A86">
        <w:t>i</w:t>
      </w:r>
      <w:r w:rsidRPr="00320A86">
        <w:t>ger</w:t>
      </w:r>
      <w:r>
        <w:t> </w:t>
      </w:r>
      <w:r>
        <w:rPr>
          <w:rStyle w:val="Appelnotedebasdep"/>
        </w:rPr>
        <w:footnoteReference w:id="1512"/>
      </w:r>
      <w:r w:rsidRPr="00320A86">
        <w:t> ». Cette affirmation prend toute sa portée à la lumière des pr</w:t>
      </w:r>
      <w:r w:rsidRPr="00320A86">
        <w:t>o</w:t>
      </w:r>
      <w:r w:rsidRPr="00320A86">
        <w:t>pos tenus vers 1945 par Friedrich Hayek (« pape » de ce qui deviendra l’ultralibéralisme des années quatre-vingt à nos jours) : « si vous vo</w:t>
      </w:r>
      <w:r w:rsidRPr="00320A86">
        <w:t>u</w:t>
      </w:r>
      <w:r w:rsidRPr="00320A86">
        <w:t>lez faire quelque chose pour votre pays, ne faites surtout pas de polit</w:t>
      </w:r>
      <w:r w:rsidRPr="00320A86">
        <w:t>i</w:t>
      </w:r>
      <w:r w:rsidRPr="00320A86">
        <w:t>que ; les hommes politiques ont toujours un train de retard par rapport à l’opinion publique ; et l’opinion publique elle, est toujours à la r</w:t>
      </w:r>
      <w:r w:rsidRPr="00320A86">
        <w:t>e</w:t>
      </w:r>
      <w:r w:rsidRPr="00320A86">
        <w:t>morque des idées véhiculées par les intellectuels ; aussi essayez de changer l’opinion des intellectuels [des enseignants et des auteurs]. Ce qui est un proce</w:t>
      </w:r>
      <w:r w:rsidRPr="00320A86">
        <w:t>s</w:t>
      </w:r>
      <w:r w:rsidRPr="00320A86">
        <w:t>sus qui demande entre 20 et 30 ans</w:t>
      </w:r>
      <w:r>
        <w:t> </w:t>
      </w:r>
      <w:r>
        <w:rPr>
          <w:rStyle w:val="Appelnotedebasdep"/>
        </w:rPr>
        <w:footnoteReference w:id="1513"/>
      </w:r>
      <w:r w:rsidRPr="00320A86">
        <w:t>. »</w:t>
      </w:r>
    </w:p>
    <w:p w14:paraId="54FB461A" w14:textId="77777777" w:rsidR="00B01930" w:rsidRPr="00320A86" w:rsidRDefault="00B01930" w:rsidP="00B01930">
      <w:pPr>
        <w:spacing w:before="120" w:after="120"/>
        <w:jc w:val="both"/>
      </w:pPr>
      <w:r w:rsidRPr="00320A86">
        <w:t>Tel est aussi le point de vue de Justin Vaïsse : « en politique int</w:t>
      </w:r>
      <w:r w:rsidRPr="00320A86">
        <w:t>é</w:t>
      </w:r>
      <w:r w:rsidRPr="00320A86">
        <w:t>rieure co</w:t>
      </w:r>
      <w:r w:rsidRPr="00320A86">
        <w:t>m</w:t>
      </w:r>
      <w:r w:rsidRPr="00320A86">
        <w:t>me en politique étrangère, les idées comptent […] les concepts, les représent</w:t>
      </w:r>
      <w:r w:rsidRPr="00320A86">
        <w:t>a</w:t>
      </w:r>
      <w:r w:rsidRPr="00320A86">
        <w:t>tions, qui servent à appréhender et interpréter le monde jouent un rôle essentiel dans la formulation des politiques. Non seulement chez les dirigeants (ici, le président Bush) et sur le mode de la causalité (telle idée aboutit à telle action), mais également dans le corps politique et l’opinion publique en général, et sur le mode de la condition de possibilité</w:t>
      </w:r>
      <w:r>
        <w:t> </w:t>
      </w:r>
      <w:r>
        <w:rPr>
          <w:rStyle w:val="Appelnotedebasdep"/>
        </w:rPr>
        <w:footnoteReference w:id="1514"/>
      </w:r>
      <w:r w:rsidRPr="00320A86">
        <w:t> ».</w:t>
      </w:r>
    </w:p>
    <w:p w14:paraId="46BD27AA" w14:textId="77777777" w:rsidR="00B01930" w:rsidRPr="00320A86" w:rsidRDefault="00B01930" w:rsidP="00B01930">
      <w:pPr>
        <w:spacing w:before="120" w:after="120"/>
        <w:jc w:val="both"/>
      </w:pPr>
      <w:r w:rsidRPr="00320A86">
        <w:t>Ainsi « pour que l’invasion de l’Irak […] ne rencontre pas une o</w:t>
      </w:r>
      <w:r w:rsidRPr="00320A86">
        <w:t>p</w:t>
      </w:r>
      <w:r w:rsidRPr="00320A86">
        <w:t xml:space="preserve">position massive, il fallait un accord au moins implicite sur le coût exorbitant et le danger du </w:t>
      </w:r>
      <w:r w:rsidRPr="004A78E5">
        <w:rPr>
          <w:i/>
        </w:rPr>
        <w:t>statu quo</w:t>
      </w:r>
      <w:r w:rsidRPr="00320A86">
        <w:t>, et sur la capacité de l’Amérique à recomposer à son profit – et à celui du reste du monde – l’ordre polit</w:t>
      </w:r>
      <w:r w:rsidRPr="00320A86">
        <w:t>i</w:t>
      </w:r>
      <w:r w:rsidRPr="00320A86">
        <w:t>que au Moyen-Orient. C’est là que les néoconservateurs ont joué un rôle important, en diffusant des idées, une vision du monde qui re</w:t>
      </w:r>
      <w:r w:rsidRPr="00320A86">
        <w:t>n</w:t>
      </w:r>
      <w:r w:rsidRPr="00320A86">
        <w:t>dent l’intervention possible et souhaitable</w:t>
      </w:r>
      <w:r>
        <w:t> </w:t>
      </w:r>
      <w:r>
        <w:rPr>
          <w:rStyle w:val="Appelnotedebasdep"/>
        </w:rPr>
        <w:footnoteReference w:id="1515"/>
      </w:r>
      <w:r w:rsidRPr="00320A86">
        <w:t> ».</w:t>
      </w:r>
    </w:p>
    <w:p w14:paraId="61A784E4" w14:textId="77777777" w:rsidR="00B01930" w:rsidRPr="00320A86" w:rsidRDefault="00B01930" w:rsidP="00B01930">
      <w:pPr>
        <w:spacing w:before="120" w:after="120"/>
        <w:jc w:val="both"/>
      </w:pPr>
      <w:r w:rsidRPr="00320A86">
        <w:t>C’est à cette aune de l’importance des idées politiques que nous nous proposons de revisiter le néoconservatisme américain, plus exa</w:t>
      </w:r>
      <w:r w:rsidRPr="00320A86">
        <w:t>c</w:t>
      </w:r>
      <w:r w:rsidRPr="00320A86">
        <w:t>tement de tenter une hypothèse explicative sous les auspices de la pensée martrienne des idées politiques. Plus particulièrement au tr</w:t>
      </w:r>
      <w:r w:rsidRPr="00320A86">
        <w:t>a</w:t>
      </w:r>
      <w:r w:rsidRPr="00320A86">
        <w:t>vers de sa lecture du libéralisme par rapport aux codes de valeurs qu’il a mis en évidence (le code n° 1, dit « manichéen in</w:t>
      </w:r>
      <w:r w:rsidRPr="00320A86">
        <w:t>é</w:t>
      </w:r>
      <w:r w:rsidRPr="00320A86">
        <w:t>galitaire », et le code n° 2, dit « relativiste ») : quels rapports le néoconservatisme e</w:t>
      </w:r>
      <w:r w:rsidRPr="00320A86">
        <w:t>n</w:t>
      </w:r>
      <w:r w:rsidRPr="00320A86">
        <w:t>tretient-il avec ceux-ci ? Comment le situer au regard de cette interr</w:t>
      </w:r>
      <w:r w:rsidRPr="00320A86">
        <w:t>o</w:t>
      </w:r>
      <w:r w:rsidRPr="00320A86">
        <w:t>g</w:t>
      </w:r>
      <w:r w:rsidRPr="00320A86">
        <w:t>a</w:t>
      </w:r>
      <w:r w:rsidRPr="00320A86">
        <w:t>tion de Jean-Louis Martres : « faudrait-il […] attribuer au confort des Amér</w:t>
      </w:r>
      <w:r w:rsidRPr="00320A86">
        <w:t>i</w:t>
      </w:r>
      <w:r w:rsidRPr="00320A86">
        <w:t>cains leur refus des excès politiques</w:t>
      </w:r>
      <w:r>
        <w:t> </w:t>
      </w:r>
      <w:r>
        <w:rPr>
          <w:rStyle w:val="Appelnotedebasdep"/>
        </w:rPr>
        <w:footnoteReference w:id="1516"/>
      </w:r>
      <w:r w:rsidRPr="00320A86">
        <w:t> » ; contrebalancée par cette proposition : « cela ne signifie pas que les États-Unis d’Amérique restent insensibles aux ve</w:t>
      </w:r>
      <w:r w:rsidRPr="00320A86">
        <w:t>r</w:t>
      </w:r>
      <w:r w:rsidRPr="00320A86">
        <w:t>tiges théoriques et abstraits du vieux continent</w:t>
      </w:r>
      <w:r>
        <w:t> </w:t>
      </w:r>
      <w:r>
        <w:rPr>
          <w:rStyle w:val="Appelnotedebasdep"/>
        </w:rPr>
        <w:footnoteReference w:id="1517"/>
      </w:r>
      <w:r w:rsidRPr="00320A86">
        <w:t> ».</w:t>
      </w:r>
    </w:p>
    <w:p w14:paraId="72A1FA63" w14:textId="77777777" w:rsidR="00B01930" w:rsidRPr="00320A86" w:rsidRDefault="00B01930" w:rsidP="00B01930">
      <w:pPr>
        <w:spacing w:before="120" w:after="120"/>
        <w:jc w:val="both"/>
      </w:pPr>
      <w:r w:rsidRPr="00320A86">
        <w:t>Pour ce faire nous consacrerons une première partie à l’exposé simplifié du corpus néoconservateur américain ; autrement dit, il s’agit d’en dégager les grandes lignes de force qui, par-delà les dive</w:t>
      </w:r>
      <w:r w:rsidRPr="00320A86">
        <w:t>r</w:t>
      </w:r>
      <w:r w:rsidRPr="00320A86">
        <w:t>gences, les aléas historiques, en signent la particularité et, surtout, permettent d’en dégager le squelette, donc, selon l’analyse martrienne, d’en esquisser le sens profond au regard des deux codes de valeurs (deuxième partie).</w:t>
      </w:r>
    </w:p>
    <w:p w14:paraId="4B0FA6D1" w14:textId="77777777" w:rsidR="00B01930" w:rsidRPr="00320A86" w:rsidRDefault="00B01930" w:rsidP="00B01930">
      <w:pPr>
        <w:spacing w:before="120" w:after="120"/>
        <w:jc w:val="both"/>
      </w:pPr>
    </w:p>
    <w:p w14:paraId="327F8DB2" w14:textId="77777777" w:rsidR="00B01930" w:rsidRPr="00320A86" w:rsidRDefault="00B01930" w:rsidP="00B01930">
      <w:pPr>
        <w:pStyle w:val="planche"/>
      </w:pPr>
      <w:bookmarkStart w:id="235" w:name="Analyser_idees_pol_pt_4_texte_15_I"/>
      <w:r>
        <w:t>I</w:t>
      </w:r>
      <w:r w:rsidRPr="00320A86">
        <w:t>. Éléments pour l’analyse</w:t>
      </w:r>
    </w:p>
    <w:bookmarkEnd w:id="235"/>
    <w:p w14:paraId="626BC379" w14:textId="77777777" w:rsidR="00B01930" w:rsidRDefault="00B01930" w:rsidP="00B01930">
      <w:pPr>
        <w:spacing w:before="120" w:after="120"/>
        <w:jc w:val="both"/>
      </w:pPr>
    </w:p>
    <w:p w14:paraId="5B36E2AE"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63A3125D" w14:textId="77777777" w:rsidR="00B01930" w:rsidRPr="00320A86" w:rsidRDefault="00B01930" w:rsidP="00B01930">
      <w:pPr>
        <w:spacing w:before="120" w:after="120"/>
        <w:jc w:val="both"/>
      </w:pPr>
      <w:r w:rsidRPr="00320A86">
        <w:t>Pour un lecteur français, notamment, le terme néoconservatisme renvoie, peu ou prou, à la notion de pensée conservatrice, laquelle s</w:t>
      </w:r>
      <w:r w:rsidRPr="00320A86">
        <w:t>e</w:t>
      </w:r>
      <w:r w:rsidRPr="00320A86">
        <w:t>rait aux États-Unis l’apanage du parti républicain ; le libéralisme (ou la pensée progressiste) étant celui du parti démocrate. Toutefois si aux États-Unis être libéral c’est plutôt être « à gauche »</w:t>
      </w:r>
      <w:r>
        <w:t> </w:t>
      </w:r>
      <w:r>
        <w:rPr>
          <w:rStyle w:val="Appelnotedebasdep"/>
        </w:rPr>
        <w:footnoteReference w:id="1518"/>
      </w:r>
      <w:r w:rsidRPr="00320A86">
        <w:t>, et plus dém</w:t>
      </w:r>
      <w:r w:rsidRPr="00320A86">
        <w:t>o</w:t>
      </w:r>
      <w:r w:rsidRPr="00320A86">
        <w:t>crate que républicain, et être conservateur l’inverse, il faut noter que les deux grands partis comportent chacun une aile libérale et une aile conservatrice avec un centre entre les deux composantes</w:t>
      </w:r>
      <w:r>
        <w:t> </w:t>
      </w:r>
      <w:r>
        <w:rPr>
          <w:rStyle w:val="Appelnotedebasdep"/>
        </w:rPr>
        <w:footnoteReference w:id="1519"/>
      </w:r>
      <w:r w:rsidRPr="00320A86">
        <w:t>. Cela étant posé on pourrait penser que le néoconservatisme serait une actualis</w:t>
      </w:r>
      <w:r w:rsidRPr="00320A86">
        <w:t>a</w:t>
      </w:r>
      <w:r w:rsidRPr="00320A86">
        <w:t>tion, une évolution, de la pensée conservatrice or il n’en est rien.</w:t>
      </w:r>
    </w:p>
    <w:p w14:paraId="02045BDF" w14:textId="77777777" w:rsidR="00B01930" w:rsidRPr="00320A86" w:rsidRDefault="00B01930" w:rsidP="00B01930">
      <w:pPr>
        <w:spacing w:before="120" w:after="120"/>
        <w:jc w:val="both"/>
      </w:pPr>
      <w:r w:rsidRPr="00320A86">
        <w:t>Le conservatisme originaire</w:t>
      </w:r>
      <w:r>
        <w:t> </w:t>
      </w:r>
      <w:r>
        <w:rPr>
          <w:rStyle w:val="Appelnotedebasdep"/>
        </w:rPr>
        <w:footnoteReference w:id="1520"/>
      </w:r>
      <w:r w:rsidRPr="00320A86">
        <w:t xml:space="preserve"> du XIX</w:t>
      </w:r>
      <w:r w:rsidRPr="00320A86">
        <w:rPr>
          <w:vertAlign w:val="superscript"/>
        </w:rPr>
        <w:t>e</w:t>
      </w:r>
      <w:r w:rsidRPr="00320A86">
        <w:t> siècle se caractérise par un refus du capitalisme industriel, de l’individualisme, de la démocr</w:t>
      </w:r>
      <w:r w:rsidRPr="00320A86">
        <w:t>a</w:t>
      </w:r>
      <w:r w:rsidRPr="00320A86">
        <w:t>tie, et pour la primauté de la communauté unie par les valeurs bibl</w:t>
      </w:r>
      <w:r w:rsidRPr="00320A86">
        <w:t>i</w:t>
      </w:r>
      <w:r w:rsidRPr="00320A86">
        <w:t>ques et le culte de la vertu sous l’égide d’une élite agrarienne. Il se distingue des libertariens qui croient en l’efficacité du libre marché et de l’individualisme.</w:t>
      </w:r>
    </w:p>
    <w:p w14:paraId="7C452491" w14:textId="77777777" w:rsidR="00B01930" w:rsidRPr="00320A86" w:rsidRDefault="00B01930" w:rsidP="00B01930">
      <w:pPr>
        <w:spacing w:before="120" w:after="120"/>
        <w:jc w:val="both"/>
      </w:pPr>
      <w:r w:rsidRPr="00320A86">
        <w:t>Sur le plan extérieur, en toute logique, l’ancien conservatisme est isolatio</w:t>
      </w:r>
      <w:r w:rsidRPr="00320A86">
        <w:t>n</w:t>
      </w:r>
      <w:r w:rsidRPr="00320A86">
        <w:t xml:space="preserve">niste. Le conservatisme moderne est né avec le </w:t>
      </w:r>
      <w:r w:rsidRPr="004A78E5">
        <w:rPr>
          <w:i/>
        </w:rPr>
        <w:t>New Deal</w:t>
      </w:r>
      <w:r w:rsidRPr="00320A86">
        <w:t xml:space="preserve"> de Franklin Delano Roosevelt</w:t>
      </w:r>
      <w:r>
        <w:t> </w:t>
      </w:r>
      <w:r>
        <w:rPr>
          <w:rStyle w:val="Appelnotedebasdep"/>
        </w:rPr>
        <w:footnoteReference w:id="1521"/>
      </w:r>
      <w:r w:rsidRPr="00320A86">
        <w:t xml:space="preserve"> qui suscita une opposition systémat</w:t>
      </w:r>
      <w:r w:rsidRPr="00320A86">
        <w:t>i</w:t>
      </w:r>
      <w:r w:rsidRPr="00320A86">
        <w:t>que</w:t>
      </w:r>
      <w:r>
        <w:t> </w:t>
      </w:r>
      <w:r>
        <w:rPr>
          <w:rStyle w:val="Appelnotedebasdep"/>
        </w:rPr>
        <w:footnoteReference w:id="1522"/>
      </w:r>
      <w:r w:rsidRPr="00320A86">
        <w:t xml:space="preserve"> s’appuyant, pour refuser tout interventionnisme de l’État, sur : la stri</w:t>
      </w:r>
      <w:r w:rsidRPr="00320A86">
        <w:t>c</w:t>
      </w:r>
      <w:r w:rsidRPr="00320A86">
        <w:t>te séparation des pouvoirs ; une lecture étroite de la Constit</w:t>
      </w:r>
      <w:r w:rsidRPr="00320A86">
        <w:t>u</w:t>
      </w:r>
      <w:r w:rsidRPr="00320A86">
        <w:t xml:space="preserve">tion ; un retour à la Déclaration d’Indépendance ; la liberté et l’autonomie des individus et le refus de tout pouvoir centralisé. Ces opposants furent qualifiés de « conservateurs » et classés à droite du fait de leur volonté de garder le </w:t>
      </w:r>
      <w:r w:rsidRPr="004A78E5">
        <w:rPr>
          <w:i/>
        </w:rPr>
        <w:t>statu quo</w:t>
      </w:r>
      <w:r w:rsidRPr="00320A86">
        <w:t xml:space="preserve"> (qui n’avait plus rien à voir avec le </w:t>
      </w:r>
      <w:r w:rsidRPr="004A78E5">
        <w:rPr>
          <w:i/>
        </w:rPr>
        <w:t>statu quo</w:t>
      </w:r>
      <w:r w:rsidRPr="00320A86">
        <w:t xml:space="preserve"> des « traditionalistes »). Le monde issu de la Seconde Guerre mondi</w:t>
      </w:r>
      <w:r w:rsidRPr="00320A86">
        <w:t>a</w:t>
      </w:r>
      <w:r w:rsidRPr="00320A86">
        <w:t>le, partagé par le « rideau de fer », va faire naître aux États-Unis un anticommunisme virulent qui va rapprocher les l</w:t>
      </w:r>
      <w:r w:rsidRPr="00320A86">
        <w:t>i</w:t>
      </w:r>
      <w:r w:rsidRPr="00320A86">
        <w:t>bertariens et les « traditionalistes » et faire naître un conservatisme « nouvelle mani</w:t>
      </w:r>
      <w:r w:rsidRPr="00320A86">
        <w:t>è</w:t>
      </w:r>
      <w:r w:rsidRPr="00320A86">
        <w:t>re ». Deux traits le caractérisent : le refus de l’État providence et, en politique étrangère, la préconisation, non plus du simple endiguement de l’</w:t>
      </w:r>
      <w:r w:rsidRPr="00320A86">
        <w:rPr>
          <w:smallCaps/>
        </w:rPr>
        <w:t>Urss</w:t>
      </w:r>
      <w:r w:rsidRPr="00320A86">
        <w:t>, mais une vraie politique de « libération » ; ce qui tou</w:t>
      </w:r>
      <w:r w:rsidRPr="00320A86">
        <w:t>r</w:t>
      </w:r>
      <w:r w:rsidRPr="00320A86">
        <w:t>nait le dos à l’isolationnisme des « anciens » conservateurs.</w:t>
      </w:r>
    </w:p>
    <w:p w14:paraId="0398D57A" w14:textId="77777777" w:rsidR="00B01930" w:rsidRPr="00320A86" w:rsidRDefault="00B01930" w:rsidP="00B01930">
      <w:pPr>
        <w:spacing w:before="120" w:after="120"/>
        <w:jc w:val="both"/>
      </w:pPr>
      <w:r w:rsidRPr="00320A86">
        <w:t>Ce conservatisme, qui trouvera Eisenhower et même Nixon</w:t>
      </w:r>
      <w:r>
        <w:t> </w:t>
      </w:r>
      <w:r>
        <w:rPr>
          <w:rStyle w:val="Appelnotedebasdep"/>
        </w:rPr>
        <w:footnoteReference w:id="1523"/>
      </w:r>
      <w:r w:rsidRPr="00320A86">
        <w:t>, trop centri</w:t>
      </w:r>
      <w:r w:rsidRPr="00320A86">
        <w:t>s</w:t>
      </w:r>
      <w:r w:rsidRPr="00320A86">
        <w:t>tes, hésitera à quitter le parti républicain et soutiendra le très à droite Barry Golwater comme candidat républicain aux éle</w:t>
      </w:r>
      <w:r w:rsidRPr="00320A86">
        <w:t>c</w:t>
      </w:r>
      <w:r w:rsidRPr="00320A86">
        <w:t>tions de 1964</w:t>
      </w:r>
      <w:r>
        <w:t> </w:t>
      </w:r>
      <w:r>
        <w:rPr>
          <w:rStyle w:val="Appelnotedebasdep"/>
        </w:rPr>
        <w:footnoteReference w:id="1524"/>
      </w:r>
      <w:r w:rsidRPr="00320A86">
        <w:t> ; après la défaite de celui-ci, ce conservatisme conna</w:t>
      </w:r>
      <w:r w:rsidRPr="00320A86">
        <w:t>î</w:t>
      </w:r>
      <w:r w:rsidRPr="00320A86">
        <w:t>tra un vrai recul.</w:t>
      </w:r>
    </w:p>
    <w:p w14:paraId="19426B09" w14:textId="77777777" w:rsidR="00B01930" w:rsidRPr="00320A86" w:rsidRDefault="00B01930" w:rsidP="00B01930">
      <w:pPr>
        <w:spacing w:before="120" w:after="120"/>
        <w:jc w:val="both"/>
      </w:pPr>
      <w:r w:rsidRPr="00320A86">
        <w:t>Mais le mouvement va rencontrer, vers les années soixante-dix, le réveil d’un mouvement religieux activiste, plus radical qu’auparavant, ainsi que les né</w:t>
      </w:r>
      <w:r w:rsidRPr="00320A86">
        <w:t>o</w:t>
      </w:r>
      <w:r w:rsidRPr="00320A86">
        <w:t>conservateurs. Ces derniers vont enrichir, par le seul mouvement de leurs idées, le conservatisme puis le parti républicain, devenant « pourvoyeurs d’idées » dont ce dernier n’était plus, depuis longtemps, capable. Le point d’orgue du conservatisme sera l’élection de Ronald Reagan</w:t>
      </w:r>
      <w:r>
        <w:t> </w:t>
      </w:r>
      <w:r>
        <w:rPr>
          <w:rStyle w:val="Appelnotedebasdep"/>
        </w:rPr>
        <w:footnoteReference w:id="1525"/>
      </w:r>
      <w:r w:rsidRPr="00320A86">
        <w:t>.</w:t>
      </w:r>
    </w:p>
    <w:p w14:paraId="2410F736" w14:textId="77777777" w:rsidR="00B01930" w:rsidRPr="00320A86" w:rsidRDefault="00B01930" w:rsidP="00B01930">
      <w:pPr>
        <w:spacing w:before="120" w:after="120"/>
        <w:jc w:val="both"/>
      </w:pPr>
      <w:r w:rsidRPr="00320A86">
        <w:t>Mais jamais les néoconservateurs ne se « dissoudront » dans le conservati</w:t>
      </w:r>
      <w:r w:rsidRPr="00320A86">
        <w:t>s</w:t>
      </w:r>
      <w:r w:rsidRPr="00320A86">
        <w:t>me ni dans le parti républicain</w:t>
      </w:r>
      <w:r>
        <w:t> </w:t>
      </w:r>
      <w:r>
        <w:rPr>
          <w:rStyle w:val="Appelnotedebasdep"/>
        </w:rPr>
        <w:footnoteReference w:id="1526"/>
      </w:r>
      <w:r w:rsidRPr="00320A86">
        <w:t>.</w:t>
      </w:r>
    </w:p>
    <w:p w14:paraId="39E89C46" w14:textId="77777777" w:rsidR="00B01930" w:rsidRPr="00320A86" w:rsidRDefault="00B01930" w:rsidP="00B01930">
      <w:pPr>
        <w:spacing w:before="120" w:after="120"/>
        <w:jc w:val="both"/>
      </w:pPr>
      <w:r w:rsidRPr="00320A86">
        <w:t>Les néoconservateurs ne sont en rien des conservateurs et pas plus des rép</w:t>
      </w:r>
      <w:r w:rsidRPr="00320A86">
        <w:t>u</w:t>
      </w:r>
      <w:r w:rsidRPr="00320A86">
        <w:t xml:space="preserve">blicains. Ce sont des démocrates qui vont être confrontés aux conséquences de la dérive à gauche du libéralisme. Le </w:t>
      </w:r>
      <w:r w:rsidRPr="004A78E5">
        <w:rPr>
          <w:i/>
        </w:rPr>
        <w:t>New Deal</w:t>
      </w:r>
      <w:r w:rsidRPr="00320A86">
        <w:t xml:space="preserve"> a fait évoluer celui-ci vers : une permanence de l’interventionnisme étatique pour relancer l’économie en cas de défaillance, un développement de programmes sociaux et un soutien aux synd</w:t>
      </w:r>
      <w:r w:rsidRPr="00320A86">
        <w:t>i</w:t>
      </w:r>
      <w:r w:rsidRPr="00320A86">
        <w:t>cats, afin de garantir plus de justice, plus d’efficacité, tout en se protégeant de l’extérieur.</w:t>
      </w:r>
    </w:p>
    <w:p w14:paraId="2BBFF21D" w14:textId="77777777" w:rsidR="00B01930" w:rsidRPr="00320A86" w:rsidRDefault="00B01930" w:rsidP="00B01930">
      <w:pPr>
        <w:spacing w:before="120" w:after="120"/>
        <w:jc w:val="both"/>
      </w:pPr>
      <w:r w:rsidRPr="00320A86">
        <w:t>C’est une politique se faisant au centre, que ce soit avec H. Truman</w:t>
      </w:r>
      <w:r>
        <w:t> </w:t>
      </w:r>
      <w:r>
        <w:rPr>
          <w:rStyle w:val="Appelnotedebasdep"/>
        </w:rPr>
        <w:footnoteReference w:id="1527"/>
      </w:r>
      <w:r w:rsidRPr="00320A86">
        <w:t>, D. Eisenhower, J. F. Kennedy</w:t>
      </w:r>
      <w:r>
        <w:t> </w:t>
      </w:r>
      <w:r>
        <w:rPr>
          <w:rStyle w:val="Appelnotedebasdep"/>
        </w:rPr>
        <w:footnoteReference w:id="1528"/>
      </w:r>
      <w:r w:rsidRPr="00320A86">
        <w:t xml:space="preserve"> et même R. Nixon</w:t>
      </w:r>
      <w:r>
        <w:t> </w:t>
      </w:r>
      <w:r>
        <w:rPr>
          <w:rStyle w:val="Appelnotedebasdep"/>
        </w:rPr>
        <w:footnoteReference w:id="1529"/>
      </w:r>
      <w:r w:rsidRPr="00320A86">
        <w:t xml:space="preserve">, gardant pour l’essentiel les principes issus du </w:t>
      </w:r>
      <w:r w:rsidRPr="004A78E5">
        <w:rPr>
          <w:i/>
        </w:rPr>
        <w:t>New Deal</w:t>
      </w:r>
      <w:r w:rsidRPr="00320A86">
        <w:t>. L’acmé de ce libéralisme sera sous Lyndon Baines Johnson et sa « </w:t>
      </w:r>
      <w:r w:rsidRPr="004A78E5">
        <w:rPr>
          <w:i/>
        </w:rPr>
        <w:t>Great Society </w:t>
      </w:r>
      <w:r w:rsidRPr="00320A86">
        <w:t>»</w:t>
      </w:r>
      <w:r>
        <w:t> </w:t>
      </w:r>
      <w:r>
        <w:rPr>
          <w:rStyle w:val="Appelnotedebasdep"/>
        </w:rPr>
        <w:footnoteReference w:id="1530"/>
      </w:r>
      <w:r w:rsidRPr="00320A86">
        <w:t xml:space="preserve"> qui se traduira par des transferts massifs de revenus, via de multiples programmes sociaux, animés par une multit</w:t>
      </w:r>
      <w:r w:rsidRPr="00320A86">
        <w:t>u</w:t>
      </w:r>
      <w:r w:rsidRPr="00320A86">
        <w:t>de d’agences fédérales spécialisées mettant en œuvre toute une ing</w:t>
      </w:r>
      <w:r w:rsidRPr="00320A86">
        <w:t>é</w:t>
      </w:r>
      <w:r w:rsidRPr="00320A86">
        <w:t>nierie sociale (pensée par des intellectuels et des chercheurs en sciences s</w:t>
      </w:r>
      <w:r w:rsidRPr="00320A86">
        <w:t>o</w:t>
      </w:r>
      <w:r w:rsidRPr="00320A86">
        <w:t>ciales) ; c’est aussi la discrimination positive et le « busing »</w:t>
      </w:r>
      <w:r>
        <w:t> </w:t>
      </w:r>
      <w:r>
        <w:rPr>
          <w:rStyle w:val="Appelnotedebasdep"/>
        </w:rPr>
        <w:footnoteReference w:id="1531"/>
      </w:r>
      <w:r w:rsidRPr="00320A86">
        <w:t>, etc.</w:t>
      </w:r>
    </w:p>
    <w:p w14:paraId="7DB7FD5A" w14:textId="77777777" w:rsidR="00B01930" w:rsidRPr="00320A86" w:rsidRDefault="00B01930" w:rsidP="00B01930">
      <w:pPr>
        <w:spacing w:before="120" w:after="120"/>
        <w:jc w:val="both"/>
      </w:pPr>
      <w:r w:rsidRPr="00320A86">
        <w:t>Paradoxalement c’est le moment de la lutte pour les droits civ</w:t>
      </w:r>
      <w:r w:rsidRPr="00320A86">
        <w:t>i</w:t>
      </w:r>
      <w:r w:rsidRPr="00320A86">
        <w:t>ques, des émeutes urbaines et sur les campus, de la violence des rad</w:t>
      </w:r>
      <w:r w:rsidRPr="00320A86">
        <w:t>i</w:t>
      </w:r>
      <w:r w:rsidRPr="00320A86">
        <w:t>caux noirs, des manifestations contre la guerre du Vietnam, des attei</w:t>
      </w:r>
      <w:r w:rsidRPr="00320A86">
        <w:t>n</w:t>
      </w:r>
      <w:r w:rsidRPr="00320A86">
        <w:t>tes permanentes aux biens et aux personnes. Une « Nouvelle Gauche » émerge, adepte de la contre-culture, de l’hédonisme, de l’individualisme. La guerre du Vietnam ronge la société et le doute s’empare d’une partie de la jeunesse et des intellectuels libéraux qui s’interrogent sur le bien-fondé de la croisade anticommuniste et de la supériorité morale des États-Unis.</w:t>
      </w:r>
    </w:p>
    <w:p w14:paraId="167F5617" w14:textId="77777777" w:rsidR="00B01930" w:rsidRPr="00320A86" w:rsidRDefault="00B01930" w:rsidP="00B01930">
      <w:pPr>
        <w:spacing w:before="120" w:after="120"/>
        <w:jc w:val="both"/>
      </w:pPr>
      <w:r w:rsidRPr="00320A86">
        <w:t>Face à ce déferlement de contestation générale touchant tous les niveaux de la société, des intellectuels – démocrates libéraux – vont être troublés et réagir. Ils vont analyser et souligner les impasses de la lutte contre la pauvreté, le cara</w:t>
      </w:r>
      <w:r w:rsidRPr="00320A86">
        <w:t>c</w:t>
      </w:r>
      <w:r w:rsidRPr="00320A86">
        <w:t>tère dangereux et utopique de la « Nouvelle Gauche », les limites de l’État pr</w:t>
      </w:r>
      <w:r w:rsidRPr="00320A86">
        <w:t>o</w:t>
      </w:r>
      <w:r w:rsidRPr="00320A86">
        <w:t>vidence. Ils réaffirment la nécessaire modération qui préside au bon fonctionnement de la d</w:t>
      </w:r>
      <w:r w:rsidRPr="00320A86">
        <w:t>é</w:t>
      </w:r>
      <w:r w:rsidRPr="00320A86">
        <w:t>mocratie. Il faut à nouveau promouvoir les idées, la culture pol</w:t>
      </w:r>
      <w:r w:rsidRPr="00320A86">
        <w:t>i</w:t>
      </w:r>
      <w:r w:rsidRPr="00320A86">
        <w:t>tique, car pour eux la crise de l’Amérique est une crise avant tout culturelle. Il faut revenir aux valeurs traditionnelles qui ont garanti le bon fon</w:t>
      </w:r>
      <w:r w:rsidRPr="00320A86">
        <w:t>c</w:t>
      </w:r>
      <w:r w:rsidRPr="00320A86">
        <w:t>tionnement politique et social de l’Amérique. Ils s’opposent avec fe</w:t>
      </w:r>
      <w:r w:rsidRPr="00320A86">
        <w:t>r</w:t>
      </w:r>
      <w:r w:rsidRPr="00320A86">
        <w:t>meté aux excès de la « culture contestataire », aux dérives individu</w:t>
      </w:r>
      <w:r w:rsidRPr="00320A86">
        <w:t>a</w:t>
      </w:r>
      <w:r w:rsidRPr="00320A86">
        <w:t>listes, hédonistes, relativistes</w:t>
      </w:r>
      <w:r>
        <w:t> </w:t>
      </w:r>
      <w:r>
        <w:rPr>
          <w:rStyle w:val="Appelnotedebasdep"/>
        </w:rPr>
        <w:footnoteReference w:id="1532"/>
      </w:r>
      <w:r w:rsidRPr="00320A86">
        <w:t>.</w:t>
      </w:r>
    </w:p>
    <w:p w14:paraId="2E167584" w14:textId="77777777" w:rsidR="00B01930" w:rsidRPr="00320A86" w:rsidRDefault="00B01930" w:rsidP="00B01930">
      <w:pPr>
        <w:spacing w:before="120" w:after="120"/>
        <w:jc w:val="both"/>
      </w:pPr>
      <w:r w:rsidRPr="00320A86">
        <w:t>C’est ainsi qu’ils seront qualifiés de « néoconservateurs » afin de les rejeter au-delà de la frontière du libéralisme. Ce sont des traîtres ; c’est une rupture fondatrice au sein du camp libéral</w:t>
      </w:r>
      <w:r>
        <w:t> </w:t>
      </w:r>
      <w:r>
        <w:rPr>
          <w:rStyle w:val="Appelnotedebasdep"/>
        </w:rPr>
        <w:footnoteReference w:id="1533"/>
      </w:r>
      <w:r w:rsidRPr="00320A86">
        <w:t>, alors même qu’ils sont tout à fait distincts du vrai conservatisme américain (par exemple sur le rôle de l’État, dont l’interventionnisme n’est pas rej</w:t>
      </w:r>
      <w:r w:rsidRPr="00320A86">
        <w:t>e</w:t>
      </w:r>
      <w:r w:rsidRPr="00320A86">
        <w:t>té).</w:t>
      </w:r>
    </w:p>
    <w:p w14:paraId="2EA71588" w14:textId="77777777" w:rsidR="00B01930" w:rsidRPr="00320A86" w:rsidRDefault="00B01930" w:rsidP="00B01930">
      <w:pPr>
        <w:spacing w:before="120" w:after="120"/>
        <w:jc w:val="both"/>
      </w:pPr>
      <w:r w:rsidRPr="00320A86">
        <w:t>À la suite de la victoire de Nixon et du basculement du parti dém</w:t>
      </w:r>
      <w:r w:rsidRPr="00320A86">
        <w:t>o</w:t>
      </w:r>
      <w:r w:rsidRPr="00320A86">
        <w:t>crate vers « plus de gauche », une nouvelle vague de néoconservateurs apparaît dans les années soixante-dix. Activistes démocrates de Wa</w:t>
      </w:r>
      <w:r w:rsidRPr="00320A86">
        <w:t>s</w:t>
      </w:r>
      <w:r w:rsidRPr="00320A86">
        <w:t>hington ils entendent repr</w:t>
      </w:r>
      <w:r w:rsidRPr="00320A86">
        <w:t>é</w:t>
      </w:r>
      <w:r w:rsidRPr="00320A86">
        <w:t>senter le centre, qui est le pivot de la vie politique, et lutter contre les dérives à gauche du libéralisme à l’intérieur du pays. Violemment anticommunistes, ils appellent à un endiguement fort et sans failles de l’</w:t>
      </w:r>
      <w:r w:rsidRPr="00320A86">
        <w:rPr>
          <w:smallCaps/>
        </w:rPr>
        <w:t>Urss</w:t>
      </w:r>
      <w:r w:rsidRPr="00320A86">
        <w:t>, ainsi qu’à la défense vigo</w:t>
      </w:r>
      <w:r w:rsidRPr="00320A86">
        <w:t>u</w:t>
      </w:r>
      <w:r w:rsidRPr="00320A86">
        <w:t>reuse des démocraties guettées par le péril communiste. Bien que n’ayant pas soutenu la guerre du Vietnam ils estiment que les réa</w:t>
      </w:r>
      <w:r w:rsidRPr="00320A86">
        <w:t>c</w:t>
      </w:r>
      <w:r w:rsidRPr="00320A86">
        <w:t>tions excessives contre la guerre ont été dangereuses. Ils s’opposent totalement à « la Realpol</w:t>
      </w:r>
      <w:r w:rsidRPr="00320A86">
        <w:t>i</w:t>
      </w:r>
      <w:r w:rsidRPr="00320A86">
        <w:t>tik » de détente avec la Chine communiste et avec l’Union soviétique du tandem Nixon-Kissinger</w:t>
      </w:r>
      <w:r>
        <w:t> </w:t>
      </w:r>
      <w:r>
        <w:rPr>
          <w:rStyle w:val="Appelnotedebasdep"/>
        </w:rPr>
        <w:footnoteReference w:id="1534"/>
      </w:r>
      <w:r w:rsidRPr="00320A86">
        <w:t>. Ils peuvent être plutôt "keynésiens" en politique intérieure et « faucons » en politique étrangère. Ils récusent les traités limitant les armes str</w:t>
      </w:r>
      <w:r w:rsidRPr="00320A86">
        <w:t>a</w:t>
      </w:r>
      <w:r w:rsidRPr="00320A86">
        <w:t>tégiques, etc.</w:t>
      </w:r>
      <w:r>
        <w:t> </w:t>
      </w:r>
      <w:r>
        <w:rPr>
          <w:rStyle w:val="Appelnotedebasdep"/>
        </w:rPr>
        <w:footnoteReference w:id="1535"/>
      </w:r>
      <w:r w:rsidRPr="00320A86">
        <w:t>.</w:t>
      </w:r>
    </w:p>
    <w:p w14:paraId="5AF1CE4F" w14:textId="77777777" w:rsidR="00B01930" w:rsidRPr="00320A86" w:rsidRDefault="00B01930" w:rsidP="00B01930">
      <w:pPr>
        <w:spacing w:before="120" w:after="120"/>
        <w:jc w:val="both"/>
      </w:pPr>
      <w:r w:rsidRPr="00320A86">
        <w:t>Critiques sans concession du relativisme moral des libéraux, ils considèrent la démocratie comme supérieure à tous les autres syst</w:t>
      </w:r>
      <w:r w:rsidRPr="00320A86">
        <w:t>è</w:t>
      </w:r>
      <w:r w:rsidRPr="00320A86">
        <w:t>mes politiques et que seuls les États-Unis garantissent sa survie. La démocratie et la liberté ne sont protégées que si l’Amérique est pui</w:t>
      </w:r>
      <w:r w:rsidRPr="00320A86">
        <w:t>s</w:t>
      </w:r>
      <w:r w:rsidRPr="00320A86">
        <w:t>sante militairement, ils sont donc pour un budget fédéral à la hauteur de l’enjeu. Le vrai danger est « l’esprit mun</w:t>
      </w:r>
      <w:r w:rsidRPr="00320A86">
        <w:t>i</w:t>
      </w:r>
      <w:r w:rsidRPr="00320A86">
        <w:t>chois »</w:t>
      </w:r>
      <w:r>
        <w:t> </w:t>
      </w:r>
      <w:r>
        <w:rPr>
          <w:rStyle w:val="Appelnotedebasdep"/>
        </w:rPr>
        <w:footnoteReference w:id="1536"/>
      </w:r>
      <w:r w:rsidRPr="00320A86">
        <w:t>. « L’horloge historique des néoconservateurs est restée bloquée aux années 1930 ; et l’analogie avec cette décennie ressort constamment […]</w:t>
      </w:r>
      <w:r>
        <w:t> </w:t>
      </w:r>
      <w:r>
        <w:rPr>
          <w:rStyle w:val="Appelnotedebasdep"/>
        </w:rPr>
        <w:footnoteReference w:id="1537"/>
      </w:r>
      <w:r w:rsidRPr="00320A86">
        <w:t> ».</w:t>
      </w:r>
    </w:p>
    <w:p w14:paraId="0984869E" w14:textId="77777777" w:rsidR="00B01930" w:rsidRPr="00320A86" w:rsidRDefault="00B01930" w:rsidP="00B01930">
      <w:pPr>
        <w:spacing w:before="120" w:after="120"/>
        <w:jc w:val="both"/>
      </w:pPr>
      <w:r w:rsidRPr="00320A86">
        <w:t>Des divergences peuvent exister entre auteurs, comme il a été év</w:t>
      </w:r>
      <w:r w:rsidRPr="00320A86">
        <w:t>o</w:t>
      </w:r>
      <w:r w:rsidRPr="00320A86">
        <w:t>qué en i</w:t>
      </w:r>
      <w:r w:rsidRPr="00320A86">
        <w:t>n</w:t>
      </w:r>
      <w:r w:rsidRPr="00320A86">
        <w:t>troduction. Irving Kristol, « parrain des néoconservateurs</w:t>
      </w:r>
      <w:r>
        <w:t> </w:t>
      </w:r>
      <w:r>
        <w:rPr>
          <w:rStyle w:val="Appelnotedebasdep"/>
        </w:rPr>
        <w:footnoteReference w:id="1538"/>
      </w:r>
      <w:r w:rsidRPr="00320A86">
        <w:t> » a toujours combattu la promotion de la démocratie à l’extérieur et a</w:t>
      </w:r>
      <w:r w:rsidRPr="00320A86">
        <w:t>p</w:t>
      </w:r>
      <w:r w:rsidRPr="00320A86">
        <w:t>prouva Georges Bush (père)</w:t>
      </w:r>
      <w:r>
        <w:t> </w:t>
      </w:r>
      <w:r>
        <w:rPr>
          <w:rStyle w:val="Appelnotedebasdep"/>
        </w:rPr>
        <w:footnoteReference w:id="1539"/>
      </w:r>
      <w:r w:rsidRPr="00320A86">
        <w:t xml:space="preserve"> de ne pas avoir renversé Saddam Hu</w:t>
      </w:r>
      <w:r w:rsidRPr="00320A86">
        <w:t>s</w:t>
      </w:r>
      <w:r w:rsidRPr="00320A86">
        <w:t>sein lors de la guerre du Golfe pour libérer le K</w:t>
      </w:r>
      <w:r w:rsidRPr="00320A86">
        <w:t>o</w:t>
      </w:r>
      <w:r w:rsidRPr="00320A86">
        <w:t>weït de l’invasion irakienne (1991). Il fustigeait le sentimentalisme comme le morali</w:t>
      </w:r>
      <w:r w:rsidRPr="00320A86">
        <w:t>s</w:t>
      </w:r>
      <w:r w:rsidRPr="00320A86">
        <w:t>me. Alors que son fils, William Kristol, mènera campagne en faveur de l’invasion de l’Irak en 2003 (sous G. W. Bush, fils).</w:t>
      </w:r>
    </w:p>
    <w:p w14:paraId="3C2D0DAD" w14:textId="77777777" w:rsidR="00B01930" w:rsidRPr="00320A86" w:rsidRDefault="00B01930" w:rsidP="00B01930">
      <w:pPr>
        <w:spacing w:before="120" w:after="120"/>
        <w:jc w:val="both"/>
      </w:pPr>
      <w:r w:rsidRPr="00320A86">
        <w:t>Néoconservateurs restés démocrates ou bien ralliés au parti rép</w:t>
      </w:r>
      <w:r w:rsidRPr="00320A86">
        <w:t>u</w:t>
      </w:r>
      <w:r w:rsidRPr="00320A86">
        <w:t>blicain ils soutinrent, en 1980, la candidature de R. Reagan (républ</w:t>
      </w:r>
      <w:r w:rsidRPr="00320A86">
        <w:t>i</w:t>
      </w:r>
      <w:r w:rsidRPr="00320A86">
        <w:t>cain) et crurent trouver en lui le président capable de mener une pol</w:t>
      </w:r>
      <w:r w:rsidRPr="00320A86">
        <w:t>i</w:t>
      </w:r>
      <w:r w:rsidRPr="00320A86">
        <w:t>tique étrangère chère à leur cœur : combattre l’Union soviétique, pr</w:t>
      </w:r>
      <w:r w:rsidRPr="00320A86">
        <w:t>o</w:t>
      </w:r>
      <w:r w:rsidRPr="00320A86">
        <w:t>mouvoir l’I</w:t>
      </w:r>
      <w:r w:rsidRPr="00320A86">
        <w:rPr>
          <w:smallCaps/>
        </w:rPr>
        <w:t>ds</w:t>
      </w:r>
      <w:r>
        <w:rPr>
          <w:smallCaps/>
        </w:rPr>
        <w:t> </w:t>
      </w:r>
      <w:r>
        <w:rPr>
          <w:rStyle w:val="Appelnotedebasdep"/>
          <w:smallCaps/>
        </w:rPr>
        <w:footnoteReference w:id="1540"/>
      </w:r>
      <w:r w:rsidRPr="00320A86">
        <w:t>, déployer des missiles nucléaires tactiques en Eur</w:t>
      </w:r>
      <w:r w:rsidRPr="00320A86">
        <w:t>o</w:t>
      </w:r>
      <w:r w:rsidRPr="00320A86">
        <w:t>pe (c.-à-d. en Allemagne de l’Ouest) etc. Au fil du mandat, nombre de néoconservateurs se montrèrent critiques à l’égard de la politique int</w:t>
      </w:r>
      <w:r w:rsidRPr="00320A86">
        <w:t>é</w:t>
      </w:r>
      <w:r w:rsidRPr="00320A86">
        <w:t>rieure de Reagan (car « ultralibérale », résolument conservatrice), comme à l’égard de sa politique étrangère (il pratiqua, comme ses prédécesseurs, le co</w:t>
      </w:r>
      <w:r w:rsidRPr="00320A86">
        <w:t>m</w:t>
      </w:r>
      <w:r w:rsidRPr="00320A86">
        <w:t>promis avec l’U</w:t>
      </w:r>
      <w:r w:rsidRPr="00320A86">
        <w:rPr>
          <w:smallCaps/>
        </w:rPr>
        <w:t>rss</w:t>
      </w:r>
      <w:r w:rsidRPr="00320A86">
        <w:t>)</w:t>
      </w:r>
      <w:r>
        <w:t> </w:t>
      </w:r>
      <w:r>
        <w:rPr>
          <w:rStyle w:val="Appelnotedebasdep"/>
        </w:rPr>
        <w:footnoteReference w:id="1541"/>
      </w:r>
      <w:r w:rsidRPr="00320A86">
        <w:t>. Après une éclipse sous le président Bush (père) et la participation au gouvernement de Bill Cli</w:t>
      </w:r>
      <w:r w:rsidRPr="00320A86">
        <w:t>n</w:t>
      </w:r>
      <w:r w:rsidRPr="00320A86">
        <w:t>ton</w:t>
      </w:r>
      <w:r>
        <w:t> </w:t>
      </w:r>
      <w:r>
        <w:rPr>
          <w:rStyle w:val="Appelnotedebasdep"/>
        </w:rPr>
        <w:footnoteReference w:id="1542"/>
      </w:r>
      <w:r w:rsidRPr="00320A86">
        <w:t>, pour une minorité d’entre eux restés démocrates, les néoconse</w:t>
      </w:r>
      <w:r w:rsidRPr="00320A86">
        <w:t>r</w:t>
      </w:r>
      <w:r w:rsidRPr="00320A86">
        <w:t>vateurs vont connaître un troisième âge</w:t>
      </w:r>
      <w:r>
        <w:t> </w:t>
      </w:r>
      <w:r>
        <w:rPr>
          <w:rStyle w:val="Appelnotedebasdep"/>
        </w:rPr>
        <w:footnoteReference w:id="1543"/>
      </w:r>
      <w:r w:rsidRPr="00320A86">
        <w:t xml:space="preserve"> à partir des années 1995.</w:t>
      </w:r>
    </w:p>
    <w:p w14:paraId="27727B1E" w14:textId="77777777" w:rsidR="00B01930" w:rsidRPr="00320A86" w:rsidRDefault="00B01930" w:rsidP="00B01930">
      <w:pPr>
        <w:spacing w:before="120" w:after="120"/>
        <w:jc w:val="both"/>
      </w:pPr>
      <w:r w:rsidRPr="00320A86">
        <w:t>Tout d’abord le néoconservatisme devient une composante de la droite rép</w:t>
      </w:r>
      <w:r w:rsidRPr="00320A86">
        <w:t>u</w:t>
      </w:r>
      <w:r w:rsidRPr="00320A86">
        <w:t>blicaine ne serait-ce que parce que nombre de penseurs ne sont plus des transf</w:t>
      </w:r>
      <w:r w:rsidRPr="00320A86">
        <w:t>u</w:t>
      </w:r>
      <w:r w:rsidRPr="00320A86">
        <w:t>ges du parti démocrate. Ce qui se traduit, par exemple, par une perte du volet progressiste en politique intérieure. Ensuite la politique étrangère va vraiment devenir le cœur de la pe</w:t>
      </w:r>
      <w:r w:rsidRPr="00320A86">
        <w:t>n</w:t>
      </w:r>
      <w:r w:rsidRPr="00320A86">
        <w:t>sée néoconservatrice. Non seulement la démocratie est le régime pol</w:t>
      </w:r>
      <w:r w:rsidRPr="00320A86">
        <w:t>i</w:t>
      </w:r>
      <w:r w:rsidRPr="00320A86">
        <w:t>tique supérieur à tous les autres</w:t>
      </w:r>
      <w:r>
        <w:t> </w:t>
      </w:r>
      <w:r>
        <w:rPr>
          <w:rStyle w:val="Appelnotedebasdep"/>
        </w:rPr>
        <w:footnoteReference w:id="1544"/>
      </w:r>
      <w:r w:rsidRPr="00320A86">
        <w:t>, mais le manque de démocr</w:t>
      </w:r>
      <w:r w:rsidRPr="00320A86">
        <w:t>a</w:t>
      </w:r>
      <w:r w:rsidRPr="00320A86">
        <w:t>tie</w:t>
      </w:r>
      <w:r>
        <w:t> </w:t>
      </w:r>
      <w:r>
        <w:rPr>
          <w:rStyle w:val="Appelnotedebasdep"/>
        </w:rPr>
        <w:footnoteReference w:id="1545"/>
      </w:r>
      <w:r w:rsidRPr="00320A86">
        <w:t xml:space="preserve"> est un facteur d’insécurité.</w:t>
      </w:r>
    </w:p>
    <w:p w14:paraId="6DE9FC7F" w14:textId="77777777" w:rsidR="00B01930" w:rsidRPr="00320A86" w:rsidRDefault="00B01930" w:rsidP="00B01930">
      <w:pPr>
        <w:spacing w:before="120" w:after="120"/>
        <w:jc w:val="both"/>
      </w:pPr>
      <w:r w:rsidRPr="00320A86">
        <w:t>Dès lors, la suprématie militaire des États-Unis est un facteur clef pour d</w:t>
      </w:r>
      <w:r w:rsidRPr="00320A86">
        <w:t>é</w:t>
      </w:r>
      <w:r w:rsidRPr="00320A86">
        <w:t>fendre la démocratie américaine, mais aussi pour en diffuser les bienfaits dans le monde afin de garantir la paix. Car le régime pol</w:t>
      </w:r>
      <w:r w:rsidRPr="00320A86">
        <w:t>i</w:t>
      </w:r>
      <w:r w:rsidRPr="00320A86">
        <w:t>tique n’est pas indifférent en matière de politique étrangère</w:t>
      </w:r>
      <w:r>
        <w:t> </w:t>
      </w:r>
      <w:r>
        <w:rPr>
          <w:rStyle w:val="Appelnotedebasdep"/>
        </w:rPr>
        <w:footnoteReference w:id="1546"/>
      </w:r>
      <w:r w:rsidRPr="00320A86">
        <w:t>. Les di</w:t>
      </w:r>
      <w:r w:rsidRPr="00320A86">
        <w:t>c</w:t>
      </w:r>
      <w:r w:rsidRPr="00320A86">
        <w:t>tatures ne peuvent assurer un ordre d</w:t>
      </w:r>
      <w:r w:rsidRPr="00320A86">
        <w:t>u</w:t>
      </w:r>
      <w:r w:rsidRPr="00320A86">
        <w:t>rable, seules les démocraties sont, par nature, amicales. Donc il faut étendre ce</w:t>
      </w:r>
      <w:r w:rsidRPr="00320A86">
        <w:t>l</w:t>
      </w:r>
      <w:r w:rsidRPr="00320A86">
        <w:t>les-ci pour assurer la sécurité mondiale.</w:t>
      </w:r>
    </w:p>
    <w:p w14:paraId="448882BB" w14:textId="77777777" w:rsidR="00B01930" w:rsidRPr="00320A86" w:rsidRDefault="00B01930" w:rsidP="00B01930">
      <w:pPr>
        <w:spacing w:before="120" w:after="120"/>
        <w:jc w:val="both"/>
      </w:pPr>
      <w:r w:rsidRPr="00320A86">
        <w:t>Mais pour que cela soit possible, les États-Unis doivent pouvoir agir de façon unilatérale. Aucune organisation internationale, dont l’O</w:t>
      </w:r>
      <w:r w:rsidRPr="00320A86">
        <w:rPr>
          <w:smallCaps/>
        </w:rPr>
        <w:t>nu</w:t>
      </w:r>
      <w:r w:rsidRPr="00320A86">
        <w:t>, ne peut s’y opposer. L’O</w:t>
      </w:r>
      <w:r w:rsidRPr="00320A86">
        <w:rPr>
          <w:smallCaps/>
        </w:rPr>
        <w:t>nu</w:t>
      </w:r>
      <w:r w:rsidRPr="00320A86">
        <w:t xml:space="preserve"> en effet ne dispose pas de la force nécessaire, mais, surtout, n’est pas légitime. En effet, d’une part la démocratie ne se conçoit que dans un cadre n</w:t>
      </w:r>
      <w:r w:rsidRPr="00320A86">
        <w:t>a</w:t>
      </w:r>
      <w:r w:rsidRPr="00320A86">
        <w:t>tional, mais d’autre part l’O</w:t>
      </w:r>
      <w:r w:rsidRPr="00320A86">
        <w:rPr>
          <w:smallCaps/>
        </w:rPr>
        <w:t>nu</w:t>
      </w:r>
      <w:r w:rsidRPr="00320A86">
        <w:t xml:space="preserve"> n’est qu’un ensemble hétéroclite de micro-États et de grandes puissances (qui ne partagent pas les mêmes contraintes et les m</w:t>
      </w:r>
      <w:r w:rsidRPr="00320A86">
        <w:t>ê</w:t>
      </w:r>
      <w:r w:rsidRPr="00320A86">
        <w:t>mes responsabilités), de démocraties et de dictatures, lesquelles s’opposent, par la fiction égalitaire du droit de vote, aux démocraties. Quant au Droit internati</w:t>
      </w:r>
      <w:r w:rsidRPr="00320A86">
        <w:t>o</w:t>
      </w:r>
      <w:r w:rsidRPr="00320A86">
        <w:t>nal public il ne saurait entrer en ligne de compte, car il est manipulé par les e</w:t>
      </w:r>
      <w:r w:rsidRPr="00320A86">
        <w:t>n</w:t>
      </w:r>
      <w:r w:rsidRPr="00320A86">
        <w:t>nemis des démocraties et ne les protège en rien. Seule la Puissance peut le faire, ce qui suppose les moyens budgétaires pour disposer des moyens militaires ad</w:t>
      </w:r>
      <w:r w:rsidRPr="00320A86">
        <w:t>é</w:t>
      </w:r>
      <w:r w:rsidRPr="00320A86">
        <w:t>quats.</w:t>
      </w:r>
    </w:p>
    <w:p w14:paraId="440C1DAB" w14:textId="77777777" w:rsidR="00B01930" w:rsidRPr="00320A86" w:rsidRDefault="00B01930" w:rsidP="00B01930">
      <w:pPr>
        <w:spacing w:before="120" w:after="120"/>
        <w:jc w:val="both"/>
      </w:pPr>
      <w:r w:rsidRPr="00320A86">
        <w:t>La prudence, chère aux « réalistes », comme aux conservateurs, n’est plus à l’ordre du jour depuis la fin de l’Union soviétique et du monde hostile afférent. Une politique entreprenante est possible. Les États-Unis étant une démocratie, par définition elle est la « nation bienveillante » qui peut, qui doit, rendre le monde plus sûr.</w:t>
      </w:r>
    </w:p>
    <w:p w14:paraId="1FDB0BE1" w14:textId="77777777" w:rsidR="00B01930" w:rsidRPr="00320A86" w:rsidRDefault="00B01930" w:rsidP="00B01930">
      <w:pPr>
        <w:spacing w:before="120" w:after="120"/>
        <w:jc w:val="both"/>
      </w:pPr>
      <w:r w:rsidRPr="00320A86">
        <w:t>C’est ainsi qu’après l’intervention militaire en Afghanistan (2001) contre le régime des talibans</w:t>
      </w:r>
      <w:r>
        <w:t> </w:t>
      </w:r>
      <w:r>
        <w:rPr>
          <w:rStyle w:val="Appelnotedebasdep"/>
        </w:rPr>
        <w:footnoteReference w:id="1547"/>
      </w:r>
      <w:r w:rsidRPr="00320A86">
        <w:t xml:space="preserve"> qui s’effondra en peu de temps, s’impose l’idée chez les néoconservateurs qu’il n’est pas si difficile d’agir pour abattre les dictatures, qu’à la destruction d’une tyrannie succède spontanément la démocratie. Cette idée prend d’autant plus corps que circulent, dans les allées du pouvoir (G. W. Bush), à l’appui de cette thèse, les exemples de « reconstruction dém</w:t>
      </w:r>
      <w:r w:rsidRPr="00320A86">
        <w:t>o</w:t>
      </w:r>
      <w:r w:rsidRPr="00320A86">
        <w:t>cratique » de l’Allemagne et du Japon après 1945</w:t>
      </w:r>
      <w:r>
        <w:t> </w:t>
      </w:r>
      <w:r>
        <w:rPr>
          <w:rStyle w:val="Appelnotedebasdep"/>
        </w:rPr>
        <w:footnoteReference w:id="1548"/>
      </w:r>
      <w:r w:rsidRPr="00320A86">
        <w:t>.</w:t>
      </w:r>
    </w:p>
    <w:p w14:paraId="316379A7" w14:textId="77777777" w:rsidR="00B01930" w:rsidRPr="00320A86" w:rsidRDefault="00B01930" w:rsidP="00B01930">
      <w:pPr>
        <w:spacing w:before="120" w:after="120"/>
        <w:jc w:val="both"/>
      </w:pPr>
      <w:r w:rsidRPr="00320A86">
        <w:t>Dès lors dans les régions jugées « dangereuses », dominées par des régimes non démocratiques, le statu quo est la pire des solutions. On peut renverser ces régimes et reconstruire les pays selon l’ordre d</w:t>
      </w:r>
      <w:r w:rsidRPr="00320A86">
        <w:t>é</w:t>
      </w:r>
      <w:r w:rsidRPr="00320A86">
        <w:t>mocratique (« state building »). Il y a un prix à payer. Mais il est moins coûteux que celui de conserver l’ordre existant moralement condamnable et stratégiquement dangereux</w:t>
      </w:r>
      <w:r>
        <w:t> </w:t>
      </w:r>
      <w:r>
        <w:rPr>
          <w:rStyle w:val="Appelnotedebasdep"/>
        </w:rPr>
        <w:footnoteReference w:id="1549"/>
      </w:r>
      <w:r w:rsidRPr="00320A86">
        <w:t>.</w:t>
      </w:r>
    </w:p>
    <w:p w14:paraId="503EB703" w14:textId="77777777" w:rsidR="00B01930" w:rsidRPr="00320A86" w:rsidRDefault="00B01930" w:rsidP="00B01930">
      <w:pPr>
        <w:spacing w:before="120" w:after="120"/>
        <w:jc w:val="both"/>
      </w:pPr>
      <w:r w:rsidRPr="00320A86">
        <w:t>Au terme de ce « survol » des traits saillants du corpus néoconse</w:t>
      </w:r>
      <w:r w:rsidRPr="00320A86">
        <w:t>r</w:t>
      </w:r>
      <w:r w:rsidRPr="00320A86">
        <w:t>vateur se dessine le « squelette », les contours, de ce qui sera qualifié par l’aile gauche du parti démocrate de « fondamentalisme lib</w:t>
      </w:r>
      <w:r w:rsidRPr="00320A86">
        <w:t>é</w:t>
      </w:r>
      <w:r w:rsidRPr="00320A86">
        <w:t>ral</w:t>
      </w:r>
      <w:r>
        <w:t> </w:t>
      </w:r>
      <w:r>
        <w:rPr>
          <w:rStyle w:val="Appelnotedebasdep"/>
        </w:rPr>
        <w:footnoteReference w:id="1550"/>
      </w:r>
      <w:r w:rsidRPr="00320A86">
        <w:t> ». Mais comment le libéralisme qui, par nature, serait l’antithèse de la théologie chrétienne – contre laquelle hi</w:t>
      </w:r>
      <w:r w:rsidRPr="00320A86">
        <w:t>s</w:t>
      </w:r>
      <w:r w:rsidRPr="00320A86">
        <w:t>toriquement il s’est affirmé – comme du marxisme ou du fascisme, pourrait enge</w:t>
      </w:r>
      <w:r w:rsidRPr="00320A86">
        <w:t>n</w:t>
      </w:r>
      <w:r w:rsidRPr="00320A86">
        <w:t>drer une pensée proche de ces mêmes messianismes conquérants ?</w:t>
      </w:r>
    </w:p>
    <w:p w14:paraId="10FFC28A" w14:textId="77777777" w:rsidR="00B01930" w:rsidRPr="00320A86" w:rsidRDefault="00B01930" w:rsidP="00B01930">
      <w:pPr>
        <w:spacing w:before="120" w:after="120"/>
        <w:jc w:val="both"/>
      </w:pPr>
      <w:r w:rsidRPr="00320A86">
        <w:t>La pensée martrienne des idées politiques peut donner quelques pistes pour donner du sens à cet étrange paradoxe, ainsi qu’à la pe</w:t>
      </w:r>
      <w:r w:rsidRPr="00320A86">
        <w:t>r</w:t>
      </w:r>
      <w:r w:rsidRPr="00320A86">
        <w:t>manence (depuis pl</w:t>
      </w:r>
      <w:r w:rsidRPr="00320A86">
        <w:t>u</w:t>
      </w:r>
      <w:r w:rsidRPr="00320A86">
        <w:t>sieurs décennies) et la diversité dans le temps de cette pensée politique.</w:t>
      </w:r>
    </w:p>
    <w:p w14:paraId="3ED6D072" w14:textId="77777777" w:rsidR="00B01930" w:rsidRPr="00320A86" w:rsidRDefault="00B01930" w:rsidP="00B01930">
      <w:pPr>
        <w:spacing w:before="120" w:after="120"/>
        <w:jc w:val="both"/>
      </w:pPr>
    </w:p>
    <w:p w14:paraId="5207749D" w14:textId="77777777" w:rsidR="00B01930" w:rsidRPr="00320A86" w:rsidRDefault="00B01930" w:rsidP="00B01930">
      <w:pPr>
        <w:pStyle w:val="planche"/>
      </w:pPr>
      <w:bookmarkStart w:id="236" w:name="Analyser_idees_pol_pt_4_texte_15_II"/>
      <w:r w:rsidRPr="00320A86">
        <w:t>II. Esquisse d’une interprétation martrienne</w:t>
      </w:r>
    </w:p>
    <w:bookmarkEnd w:id="236"/>
    <w:p w14:paraId="031184A7" w14:textId="77777777" w:rsidR="00B01930" w:rsidRDefault="00B01930" w:rsidP="00B01930">
      <w:pPr>
        <w:spacing w:before="120" w:after="120"/>
        <w:jc w:val="both"/>
      </w:pPr>
    </w:p>
    <w:p w14:paraId="521AB76F"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65FC0314" w14:textId="77777777" w:rsidR="00B01930" w:rsidRPr="00320A86" w:rsidRDefault="00B01930" w:rsidP="00B01930">
      <w:pPr>
        <w:spacing w:before="120" w:after="120"/>
        <w:jc w:val="both"/>
      </w:pPr>
      <w:r w:rsidRPr="00320A86">
        <w:t>Jean-Louis Martres s’interrogeait sur la faculté qu’aurait la société américa</w:t>
      </w:r>
      <w:r w:rsidRPr="00320A86">
        <w:t>i</w:t>
      </w:r>
      <w:r w:rsidRPr="00320A86">
        <w:t>ne de refuser les excès politiques</w:t>
      </w:r>
      <w:r>
        <w:t> </w:t>
      </w:r>
      <w:r>
        <w:rPr>
          <w:rStyle w:val="Appelnotedebasdep"/>
        </w:rPr>
        <w:footnoteReference w:id="1551"/>
      </w:r>
      <w:r w:rsidRPr="00320A86">
        <w:t>. Le néoconservatisme semble verser dans l’excès, et illustre sa seconde phrase selon laquelle les États-Unis pouvaient verser dans « les vertiges théoriques et ab</w:t>
      </w:r>
      <w:r w:rsidRPr="00320A86">
        <w:t>s</w:t>
      </w:r>
      <w:r w:rsidRPr="00320A86">
        <w:t>traits du vieux continent »</w:t>
      </w:r>
      <w:r>
        <w:t> </w:t>
      </w:r>
      <w:r>
        <w:rPr>
          <w:rStyle w:val="Appelnotedebasdep"/>
        </w:rPr>
        <w:footnoteReference w:id="1552"/>
      </w:r>
      <w:r w:rsidRPr="00320A86">
        <w:t>.</w:t>
      </w:r>
    </w:p>
    <w:p w14:paraId="100EFA60" w14:textId="77777777" w:rsidR="00B01930" w:rsidRPr="00320A86" w:rsidRDefault="00B01930" w:rsidP="00B01930">
      <w:pPr>
        <w:spacing w:before="120" w:after="120"/>
        <w:jc w:val="both"/>
      </w:pPr>
      <w:r w:rsidRPr="00320A86">
        <w:t>De fait comme l’écrit Justin Vaïsse</w:t>
      </w:r>
      <w:r>
        <w:t> </w:t>
      </w:r>
      <w:r>
        <w:rPr>
          <w:rStyle w:val="Appelnotedebasdep"/>
        </w:rPr>
        <w:footnoteReference w:id="1553"/>
      </w:r>
      <w:r w:rsidRPr="00320A86">
        <w:t>, dans les années 2000, pour l’essentiel, les néoconservateurs « sont des idéologues » qui – portés par la conjoncture internationale propice et par leur forte impl</w:t>
      </w:r>
      <w:r w:rsidRPr="00320A86">
        <w:t>i</w:t>
      </w:r>
      <w:r w:rsidRPr="00320A86">
        <w:t>cation dans les allées du pouvoir – ont adopté « une posture intelle</w:t>
      </w:r>
      <w:r w:rsidRPr="00320A86">
        <w:t>c</w:t>
      </w:r>
      <w:r w:rsidRPr="00320A86">
        <w:t>tuelle démiurgique</w:t>
      </w:r>
      <w:r>
        <w:t> </w:t>
      </w:r>
      <w:r>
        <w:rPr>
          <w:rStyle w:val="Appelnotedebasdep"/>
        </w:rPr>
        <w:footnoteReference w:id="1554"/>
      </w:r>
      <w:r w:rsidRPr="00320A86">
        <w:t> ».</w:t>
      </w:r>
    </w:p>
    <w:p w14:paraId="29A7DBC4" w14:textId="77777777" w:rsidR="00B01930" w:rsidRPr="00320A86" w:rsidRDefault="00B01930" w:rsidP="00B01930">
      <w:pPr>
        <w:spacing w:before="120" w:after="120"/>
        <w:jc w:val="both"/>
      </w:pPr>
      <w:r w:rsidRPr="00320A86">
        <w:t>C’est ainsi qu’ils transforment une position unipolaire de fait de l’Amérique sur la scène internationale en un dogme selon lequel l’unilatéralisme est une condition essentielle de la politique de sécur</w:t>
      </w:r>
      <w:r w:rsidRPr="00320A86">
        <w:t>i</w:t>
      </w:r>
      <w:r w:rsidRPr="00320A86">
        <w:t>té, donc de paix, pour les États-Unis et le monde</w:t>
      </w:r>
      <w:r>
        <w:t> </w:t>
      </w:r>
      <w:r>
        <w:rPr>
          <w:rStyle w:val="Appelnotedebasdep"/>
        </w:rPr>
        <w:footnoteReference w:id="1555"/>
      </w:r>
      <w:r w:rsidRPr="00320A86">
        <w:t>.</w:t>
      </w:r>
    </w:p>
    <w:p w14:paraId="27A6AC19" w14:textId="77777777" w:rsidR="00B01930" w:rsidRPr="00320A86" w:rsidRDefault="00B01930" w:rsidP="00B01930">
      <w:pPr>
        <w:spacing w:before="120" w:after="120"/>
        <w:jc w:val="both"/>
      </w:pPr>
      <w:r w:rsidRPr="00320A86">
        <w:t>Si le néoconservatisme a pu devenir un « wilsonisme botté</w:t>
      </w:r>
      <w:r>
        <w:t> </w:t>
      </w:r>
      <w:r>
        <w:rPr>
          <w:rStyle w:val="Appelnotedebasdep"/>
        </w:rPr>
        <w:footnoteReference w:id="1556"/>
      </w:r>
      <w:r w:rsidRPr="00320A86">
        <w:t> » c’est, selon les hypothèses martriennes, qu’il y a un lien avec le code n° 1 « manichéen inégalitaire</w:t>
      </w:r>
      <w:r>
        <w:t> </w:t>
      </w:r>
      <w:r>
        <w:rPr>
          <w:rStyle w:val="Appelnotedebasdep"/>
        </w:rPr>
        <w:footnoteReference w:id="1557"/>
      </w:r>
      <w:r w:rsidRPr="00320A86">
        <w:t> ». Or la société américaine dès sa fo</w:t>
      </w:r>
      <w:r w:rsidRPr="00320A86">
        <w:t>n</w:t>
      </w:r>
      <w:r w:rsidRPr="00320A86">
        <w:t>dation fut le « temple » du libérali</w:t>
      </w:r>
      <w:r w:rsidRPr="00320A86">
        <w:t>s</w:t>
      </w:r>
      <w:r w:rsidRPr="00320A86">
        <w:t>me et de la démocratie, donc a priori nous sommes aux antipodes des pe</w:t>
      </w:r>
      <w:r w:rsidRPr="00320A86">
        <w:t>n</w:t>
      </w:r>
      <w:r w:rsidRPr="00320A86">
        <w:t>sées politiques engendrées par le code n° 1.</w:t>
      </w:r>
    </w:p>
    <w:p w14:paraId="4024EFE8" w14:textId="77777777" w:rsidR="00B01930" w:rsidRPr="00320A86" w:rsidRDefault="00B01930" w:rsidP="00B01930">
      <w:pPr>
        <w:spacing w:before="120" w:after="120"/>
        <w:jc w:val="both"/>
      </w:pPr>
      <w:r w:rsidRPr="00320A86">
        <w:t>Pour qu’il y ait un rapport avec le code n° 1 cela signifie que le l</w:t>
      </w:r>
      <w:r w:rsidRPr="00320A86">
        <w:t>i</w:t>
      </w:r>
      <w:r w:rsidRPr="00320A86">
        <w:t>béralisme et la démocratie comportent en leur sein des mécanismes propres à produire des conséquences de type « manichéen inégalita</w:t>
      </w:r>
      <w:r w:rsidRPr="00320A86">
        <w:t>i</w:t>
      </w:r>
      <w:r w:rsidRPr="00320A86">
        <w:t>re » auxquelles on peut rapporter le néoconservatisme ; mais qui, au</w:t>
      </w:r>
      <w:r w:rsidRPr="00320A86">
        <w:t>s</w:t>
      </w:r>
      <w:r w:rsidRPr="00320A86">
        <w:t>si, sont explicatifs des divergences, et des transformations de celui-ci.</w:t>
      </w:r>
    </w:p>
    <w:p w14:paraId="6414734B" w14:textId="77777777" w:rsidR="00B01930" w:rsidRPr="00320A86" w:rsidRDefault="00B01930" w:rsidP="00B01930">
      <w:pPr>
        <w:spacing w:before="120" w:after="120"/>
        <w:jc w:val="both"/>
      </w:pPr>
      <w:r w:rsidRPr="00320A86">
        <w:t>Nous avons vu que la première manifestation du néoconservatisme se man</w:t>
      </w:r>
      <w:r w:rsidRPr="00320A86">
        <w:t>i</w:t>
      </w:r>
      <w:r w:rsidRPr="00320A86">
        <w:t>festa au cœur même du mouvement démocrate (et non du parti républicain) et de la pensée libérale américaine. Sous les coups de boutoir d’une « Nouvelle Ga</w:t>
      </w:r>
      <w:r w:rsidRPr="00320A86">
        <w:t>u</w:t>
      </w:r>
      <w:r w:rsidRPr="00320A86">
        <w:t>che » ultra-contestataire, y compris par la violence, des intellectuels libéraux vont condamner avec vigueur ses dérives. « La Nouvelle Gauche » a désigné la cause de tous les maux (guerre du Vietnam, pauvreté, inégalités, discrimin</w:t>
      </w:r>
      <w:r w:rsidRPr="00320A86">
        <w:t>a</w:t>
      </w:r>
      <w:r w:rsidRPr="00320A86">
        <w:t>tions, etc.) en nommant le Mal : les valeurs traditionnelles (dont il faut se défa</w:t>
      </w:r>
      <w:r w:rsidRPr="00320A86">
        <w:t>i</w:t>
      </w:r>
      <w:r w:rsidRPr="00320A86">
        <w:t>re), et surtout l’exercice du pouvoir par ses détenteurs (mode d’exercice qu’il faut changer). A contrario, ils détiennent le Bien (le refus de toutes les discrim</w:t>
      </w:r>
      <w:r w:rsidRPr="00320A86">
        <w:t>i</w:t>
      </w:r>
      <w:r w:rsidRPr="00320A86">
        <w:t>nations, la contre-culture comme mode de vie et de connaissance, l’égalité pour tous, une liberté absolue en tout et pour tout, le refus de la guerre – mais la vi</w:t>
      </w:r>
      <w:r w:rsidRPr="00320A86">
        <w:t>o</w:t>
      </w:r>
      <w:r w:rsidRPr="00320A86">
        <w:t>lence</w:t>
      </w:r>
      <w:r>
        <w:t> </w:t>
      </w:r>
      <w:r>
        <w:rPr>
          <w:rStyle w:val="Appelnotedebasdep"/>
        </w:rPr>
        <w:footnoteReference w:id="1558"/>
      </w:r>
      <w:r w:rsidRPr="00320A86">
        <w:t xml:space="preserve"> acceptée pour instaurer ces valeurs contre un pouvoir considéré comme illégit</w:t>
      </w:r>
      <w:r w:rsidRPr="00320A86">
        <w:t>i</w:t>
      </w:r>
      <w:r w:rsidRPr="00320A86">
        <w:t>me</w:t>
      </w:r>
      <w:r>
        <w:t> </w:t>
      </w:r>
      <w:r>
        <w:rPr>
          <w:rStyle w:val="Appelnotedebasdep"/>
        </w:rPr>
        <w:footnoteReference w:id="1559"/>
      </w:r>
      <w:r w:rsidRPr="00320A86">
        <w:t>).</w:t>
      </w:r>
    </w:p>
    <w:p w14:paraId="7F97E02E" w14:textId="77777777" w:rsidR="00B01930" w:rsidRPr="00320A86" w:rsidRDefault="00B01930" w:rsidP="00B01930">
      <w:pPr>
        <w:spacing w:before="120" w:after="120"/>
        <w:jc w:val="both"/>
      </w:pPr>
      <w:r w:rsidRPr="00320A86">
        <w:t>C’est donc par le mécanisme de construction du code de valeur propre au c</w:t>
      </w:r>
      <w:r w:rsidRPr="00320A86">
        <w:t>o</w:t>
      </w:r>
      <w:r w:rsidRPr="00320A86">
        <w:t>de n° 1 que ces libéraux vont à leur tour définir le Bien. C’est par le symétrique inverse de celui de la « Nouvelle Gauche » (qui représente alors logiquement le Mal). Réaffirmation de la mod</w:t>
      </w:r>
      <w:r w:rsidRPr="00320A86">
        <w:t>é</w:t>
      </w:r>
      <w:r w:rsidRPr="00320A86">
        <w:t>ration comme principe de la vie démocratique, refus de l’égalitarisme – donc d’un État providence sans limites – primat des idées et de la culture classique. Le Mal c’est l’individualisme, la violence contest</w:t>
      </w:r>
      <w:r w:rsidRPr="00320A86">
        <w:t>a</w:t>
      </w:r>
      <w:r w:rsidRPr="00320A86">
        <w:t>taire, la contre-culture, surtout le relativisme qui met, par exemple, les régimes communistes sur le même pied que la démocratie américaine. La log</w:t>
      </w:r>
      <w:r w:rsidRPr="00320A86">
        <w:t>i</w:t>
      </w:r>
      <w:r w:rsidRPr="00320A86">
        <w:t>que une fois enclenchée fera qu’un facteur explicatif de cette dérive « gauchiste » émergera : le relativisme des libéraux</w:t>
      </w:r>
      <w:r>
        <w:t> </w:t>
      </w:r>
      <w:r>
        <w:rPr>
          <w:rStyle w:val="Appelnotedebasdep"/>
        </w:rPr>
        <w:footnoteReference w:id="1560"/>
      </w:r>
      <w:r w:rsidRPr="00320A86">
        <w:t xml:space="preserve"> qui s’est insinué depuis des années dans les milieux universitaires, artist</w:t>
      </w:r>
      <w:r w:rsidRPr="00320A86">
        <w:t>i</w:t>
      </w:r>
      <w:r w:rsidRPr="00320A86">
        <w:t>ques, médiatiques puis politiques. Par contre coup, et logiquement, ces lib</w:t>
      </w:r>
      <w:r w:rsidRPr="00320A86">
        <w:t>é</w:t>
      </w:r>
      <w:r w:rsidRPr="00320A86">
        <w:t>raux vont également poser comme dogme la supériorité de la dém</w:t>
      </w:r>
      <w:r w:rsidRPr="00320A86">
        <w:t>o</w:t>
      </w:r>
      <w:r w:rsidRPr="00320A86">
        <w:t>cratie (américaine) sur tous les autres systèmes politiques et, s’appuyant sur l’anticommunisme né en 1945 avec la constitution du « bloc soviétique », vont s’opposer à la « Realpolitik » qui n’entend pas faire de la nature du régime la condition du dialogue entre États pour assurer la séc</w:t>
      </w:r>
      <w:r w:rsidRPr="00320A86">
        <w:t>u</w:t>
      </w:r>
      <w:r w:rsidRPr="00320A86">
        <w:t>rité et la paix</w:t>
      </w:r>
      <w:r>
        <w:t> </w:t>
      </w:r>
      <w:r>
        <w:rPr>
          <w:rStyle w:val="Appelnotedebasdep"/>
        </w:rPr>
        <w:footnoteReference w:id="1561"/>
      </w:r>
      <w:r w:rsidRPr="00320A86">
        <w:t>.</w:t>
      </w:r>
    </w:p>
    <w:p w14:paraId="0080400C" w14:textId="77777777" w:rsidR="00B01930" w:rsidRPr="00320A86" w:rsidRDefault="00B01930" w:rsidP="00B01930">
      <w:pPr>
        <w:spacing w:before="120" w:after="120"/>
        <w:jc w:val="both"/>
      </w:pPr>
      <w:r w:rsidRPr="00320A86">
        <w:t>Ainsi les néoconservateurs vont devenir « faucons »</w:t>
      </w:r>
      <w:r>
        <w:rPr>
          <w:rStyle w:val="Appelnotedebasdep"/>
        </w:rPr>
        <w:footnoteReference w:id="1562"/>
      </w:r>
      <w:r w:rsidRPr="00320A86">
        <w:t xml:space="preserve"> dans les a</w:t>
      </w:r>
      <w:r w:rsidRPr="00320A86">
        <w:t>n</w:t>
      </w:r>
      <w:r w:rsidRPr="00320A86">
        <w:t>nées qu</w:t>
      </w:r>
      <w:r w:rsidRPr="00320A86">
        <w:t>a</w:t>
      </w:r>
      <w:r w:rsidRPr="00320A86">
        <w:t>tre-vingt-dix ; à quelques exceptions près, ils seront pour les interventions a</w:t>
      </w:r>
      <w:r w:rsidRPr="00320A86">
        <w:t>r</w:t>
      </w:r>
      <w:r w:rsidRPr="00320A86">
        <w:t>mées en Bosnie, au Kosovo, en Somalie etc. Nous avons vu que le néoconservatisme, fort logiquement, finira par acco</w:t>
      </w:r>
      <w:r w:rsidRPr="00320A86">
        <w:t>r</w:t>
      </w:r>
      <w:r w:rsidRPr="00320A86">
        <w:t>der la primauté à la politique étrangère et à lui donner une forme me</w:t>
      </w:r>
      <w:r w:rsidRPr="00320A86">
        <w:t>s</w:t>
      </w:r>
      <w:r w:rsidRPr="00320A86">
        <w:t>sianique. Car si le Bien est la supériorité de la d</w:t>
      </w:r>
      <w:r w:rsidRPr="00320A86">
        <w:t>é</w:t>
      </w:r>
      <w:r w:rsidRPr="00320A86">
        <w:t>mocratie et que sa survie et la paix sont conditionnées par un monde fait de d</w:t>
      </w:r>
      <w:r w:rsidRPr="00320A86">
        <w:t>é</w:t>
      </w:r>
      <w:r w:rsidRPr="00320A86">
        <w:t>mocraties, alors il est normal de pratiquer des guerres préventives pour mettre à bas « les tyrans ». Il faut briser les chaînes qui empêchent l’émergence et l’épanouissement de la démocratie. Nous sommes, selon la pensée martrienne, dans un cadre typiquement « manichéen inégalitaire ».</w:t>
      </w:r>
    </w:p>
    <w:p w14:paraId="5325BF3C" w14:textId="77777777" w:rsidR="00B01930" w:rsidRPr="00320A86" w:rsidRDefault="00B01930" w:rsidP="00B01930">
      <w:pPr>
        <w:spacing w:before="120" w:after="120"/>
        <w:jc w:val="both"/>
      </w:pPr>
      <w:r w:rsidRPr="00320A86">
        <w:t>Pourtant le libéralisme, dont le fondement est la liberté, postule qu’il n’y a pas de Bien dont la connaissance assurerait la Cité déba</w:t>
      </w:r>
      <w:r w:rsidRPr="00320A86">
        <w:t>r</w:t>
      </w:r>
      <w:r w:rsidRPr="00320A86">
        <w:t>rassée de tout Mal, et donnerait la clef du devenir de l’Homme. A</w:t>
      </w:r>
      <w:r w:rsidRPr="00320A86">
        <w:t>u</w:t>
      </w:r>
      <w:r w:rsidRPr="00320A86">
        <w:t>trement dit le libéralisme, en son essence relève du code n° 2</w:t>
      </w:r>
      <w:r>
        <w:t> </w:t>
      </w:r>
      <w:r>
        <w:rPr>
          <w:rStyle w:val="Appelnotedebasdep"/>
        </w:rPr>
        <w:footnoteReference w:id="1563"/>
      </w:r>
      <w:r w:rsidRPr="00320A86">
        <w:t>. Ce qui veut dire qu’il a pour logique structurale de conduire au relativi</w:t>
      </w:r>
      <w:r w:rsidRPr="00320A86">
        <w:t>s</w:t>
      </w:r>
      <w:r w:rsidRPr="00320A86">
        <w:t>me et, sur le plan politique, à l’anomie anarchique</w:t>
      </w:r>
      <w:r>
        <w:t> </w:t>
      </w:r>
      <w:r>
        <w:rPr>
          <w:rStyle w:val="Appelnotedebasdep"/>
        </w:rPr>
        <w:footnoteReference w:id="1564"/>
      </w:r>
      <w:r w:rsidRPr="00320A86">
        <w:t>. Dès lors, historiqu</w:t>
      </w:r>
      <w:r w:rsidRPr="00320A86">
        <w:t>e</w:t>
      </w:r>
      <w:r w:rsidRPr="00320A86">
        <w:t>ment, tous les penseurs libéraux auront pour souci de « borner [cette] liberté</w:t>
      </w:r>
      <w:r>
        <w:t> </w:t>
      </w:r>
      <w:r>
        <w:rPr>
          <w:rStyle w:val="Appelnotedebasdep"/>
        </w:rPr>
        <w:footnoteReference w:id="1565"/>
      </w:r>
      <w:r w:rsidRPr="00320A86">
        <w:t> » et ce d’autant plus que le libéralisme a eu une « double fon</w:t>
      </w:r>
      <w:r w:rsidRPr="00320A86">
        <w:t>c</w:t>
      </w:r>
      <w:r w:rsidRPr="00320A86">
        <w:t>tion […] détruire [l’ancien] monde et en reconstruire un autre – or ces deux tâches ne sont pas complémentaires, bien qu’intimement m</w:t>
      </w:r>
      <w:r w:rsidRPr="00320A86">
        <w:t>ê</w:t>
      </w:r>
      <w:r w:rsidRPr="00320A86">
        <w:t>lées dans les doctrines</w:t>
      </w:r>
      <w:r>
        <w:t> </w:t>
      </w:r>
      <w:r>
        <w:rPr>
          <w:rStyle w:val="Appelnotedebasdep"/>
        </w:rPr>
        <w:footnoteReference w:id="1566"/>
      </w:r>
      <w:r w:rsidRPr="00320A86">
        <w:t> ». D’où « l’acceptation g</w:t>
      </w:r>
      <w:r w:rsidRPr="00320A86">
        <w:t>é</w:t>
      </w:r>
      <w:r w:rsidRPr="00320A86">
        <w:t>nérale de certains principes du relativisme et le rejet quelques fois violent des autres</w:t>
      </w:r>
      <w:r>
        <w:t> </w:t>
      </w:r>
      <w:r>
        <w:rPr>
          <w:rStyle w:val="Appelnotedebasdep"/>
        </w:rPr>
        <w:footnoteReference w:id="1567"/>
      </w:r>
      <w:r w:rsidRPr="00320A86">
        <w:t> ». Autrement dit relativisme et libérali</w:t>
      </w:r>
      <w:r w:rsidRPr="00320A86">
        <w:t>s</w:t>
      </w:r>
      <w:r w:rsidRPr="00320A86">
        <w:t>me ont pour radical commun la liberté, mais ils ne s’y identifient pas</w:t>
      </w:r>
      <w:r>
        <w:t> </w:t>
      </w:r>
      <w:r>
        <w:rPr>
          <w:rStyle w:val="Appelnotedebasdep"/>
        </w:rPr>
        <w:footnoteReference w:id="1568"/>
      </w:r>
      <w:r w:rsidRPr="00320A86">
        <w:t>. Le relativisme précède le lib</w:t>
      </w:r>
      <w:r w:rsidRPr="00320A86">
        <w:t>é</w:t>
      </w:r>
      <w:r w:rsidRPr="00320A86">
        <w:t>ralisme et le rend possible, il le sous-tend, mais il est aussi le méc</w:t>
      </w:r>
      <w:r w:rsidRPr="00320A86">
        <w:t>a</w:t>
      </w:r>
      <w:r w:rsidRPr="00320A86">
        <w:t>nisme qui va engendrer le conflit en son sein. Le relat</w:t>
      </w:r>
      <w:r w:rsidRPr="00320A86">
        <w:t>i</w:t>
      </w:r>
      <w:r w:rsidRPr="00320A86">
        <w:t>visme va donc se trouver lié de façon contradictoire au libéralisme dès le XIX</w:t>
      </w:r>
      <w:r w:rsidRPr="00320A86">
        <w:rPr>
          <w:vertAlign w:val="superscript"/>
        </w:rPr>
        <w:t>e</w:t>
      </w:r>
      <w:r w:rsidRPr="00320A86">
        <w:t xml:space="preserve"> siècle.</w:t>
      </w:r>
    </w:p>
    <w:p w14:paraId="6A264773" w14:textId="77777777" w:rsidR="00B01930" w:rsidRPr="00320A86" w:rsidRDefault="00B01930" w:rsidP="00B01930">
      <w:pPr>
        <w:spacing w:before="120" w:after="120"/>
        <w:jc w:val="both"/>
      </w:pPr>
      <w:r w:rsidRPr="00320A86">
        <w:t>Pour emprisonner le relativisme, les libéraux n’ont eu de cesse de rechercher un fondement transcendant comme preuve infaillible cap</w:t>
      </w:r>
      <w:r w:rsidRPr="00320A86">
        <w:t>a</w:t>
      </w:r>
      <w:r w:rsidRPr="00320A86">
        <w:t>ble de transformer ce qui est (conformément au code n° 2) une op</w:t>
      </w:r>
      <w:r w:rsidRPr="00320A86">
        <w:t>i</w:t>
      </w:r>
      <w:r w:rsidRPr="00320A86">
        <w:t>nion en une vérité définitive. Les libéraux récusent toute idée d’un monde aléatoire livré à la seule spontanéité de l’imagination</w:t>
      </w:r>
      <w:r>
        <w:t> </w:t>
      </w:r>
      <w:r>
        <w:rPr>
          <w:rStyle w:val="Appelnotedebasdep"/>
        </w:rPr>
        <w:footnoteReference w:id="1569"/>
      </w:r>
      <w:r w:rsidRPr="00320A86">
        <w:t>. Le l</w:t>
      </w:r>
      <w:r w:rsidRPr="00320A86">
        <w:t>i</w:t>
      </w:r>
      <w:r w:rsidRPr="00320A86">
        <w:t>béralisme craint le vide du nihilisme destructeur. Mais la recherche, sans cesse renouvelée de nouveaux fondements, toujours fuyants, pour définir la liberté, constitue un piège redoutable puisque c’est par ce raiso</w:t>
      </w:r>
      <w:r w:rsidRPr="00320A86">
        <w:t>n</w:t>
      </w:r>
      <w:r w:rsidRPr="00320A86">
        <w:t>nement que se fait la novation du libéralisme en idéologie</w:t>
      </w:r>
      <w:r>
        <w:t> </w:t>
      </w:r>
      <w:r>
        <w:rPr>
          <w:rStyle w:val="Appelnotedebasdep"/>
        </w:rPr>
        <w:footnoteReference w:id="1570"/>
      </w:r>
      <w:r w:rsidRPr="00320A86">
        <w:t>. C’est ainsi que les penseurs libéraux eurent recours, successivement, à la Nature, au Contrat social, au Droit naturel, à la Science, à l’Économie, sans qu’aucun des dogmes ne rési</w:t>
      </w:r>
      <w:r w:rsidRPr="00320A86">
        <w:t>s</w:t>
      </w:r>
      <w:r w:rsidRPr="00320A86">
        <w:t>te à l’analyse</w:t>
      </w:r>
      <w:r>
        <w:t> </w:t>
      </w:r>
      <w:r>
        <w:rPr>
          <w:rStyle w:val="Appelnotedebasdep"/>
        </w:rPr>
        <w:footnoteReference w:id="1571"/>
      </w:r>
      <w:r w:rsidRPr="00320A86">
        <w:t>.</w:t>
      </w:r>
    </w:p>
    <w:p w14:paraId="598FE63C" w14:textId="77777777" w:rsidR="00B01930" w:rsidRPr="00320A86" w:rsidRDefault="00B01930" w:rsidP="00B01930">
      <w:pPr>
        <w:spacing w:before="120" w:after="120"/>
        <w:jc w:val="both"/>
      </w:pPr>
      <w:r w:rsidRPr="00320A86">
        <w:t>La manifestation du code n° 1 aux États-Unis trouve un terreau fe</w:t>
      </w:r>
      <w:r w:rsidRPr="00320A86">
        <w:t>r</w:t>
      </w:r>
      <w:r w:rsidRPr="00320A86">
        <w:t>tile dans la mesure où, historiquement, les premiers immigrants v</w:t>
      </w:r>
      <w:r w:rsidRPr="00320A86">
        <w:t>e</w:t>
      </w:r>
      <w:r w:rsidRPr="00320A86">
        <w:t>naient, Bible en mains, fonder la Cité du Bien « la lumière sur la co</w:t>
      </w:r>
      <w:r w:rsidRPr="00320A86">
        <w:t>l</w:t>
      </w:r>
      <w:r w:rsidRPr="00320A86">
        <w:t>line », vierge de tout Mal laissé de</w:t>
      </w:r>
      <w:r w:rsidRPr="00320A86">
        <w:t>r</w:t>
      </w:r>
      <w:r w:rsidRPr="00320A86">
        <w:t>rière eux sur le vieux continent. Les États-Unis se virent attribuer, dès l’origine, une « destinée man</w:t>
      </w:r>
      <w:r w:rsidRPr="00320A86">
        <w:t>i</w:t>
      </w:r>
      <w:r w:rsidRPr="00320A86">
        <w:t>feste » contrepartie de leur « exceptionnalisme » – qui e</w:t>
      </w:r>
      <w:r w:rsidRPr="00320A86">
        <w:t>x</w:t>
      </w:r>
      <w:r w:rsidRPr="00320A86">
        <w:t>plique leur constante oscillation entre l’isolationnisme (préserver la « forteresse Amérique » des turpitudes du monde) et l’interventionnisme (instaurer le Bien et apporter à tous ses bienfaits, la Pax americana).</w:t>
      </w:r>
    </w:p>
    <w:p w14:paraId="00807560" w14:textId="77777777" w:rsidR="00B01930" w:rsidRPr="00320A86" w:rsidRDefault="00B01930" w:rsidP="00B01930">
      <w:pPr>
        <w:spacing w:before="120" w:after="120"/>
        <w:jc w:val="both"/>
      </w:pPr>
      <w:r w:rsidRPr="00320A86">
        <w:t xml:space="preserve">Cependant les Pères pèlerins du </w:t>
      </w:r>
      <w:r w:rsidRPr="004A78E5">
        <w:rPr>
          <w:i/>
        </w:rPr>
        <w:t>Mayflower</w:t>
      </w:r>
      <w:r w:rsidRPr="00320A86">
        <w:t xml:space="preserve"> (1620), en fuyant la vieille Europe, entendaient rejeter l’absolutisme monarchique pers</w:t>
      </w:r>
      <w:r w:rsidRPr="00320A86">
        <w:t>é</w:t>
      </w:r>
      <w:r w:rsidRPr="00320A86">
        <w:t>cuteur, comme le m</w:t>
      </w:r>
      <w:r w:rsidRPr="00320A86">
        <w:t>a</w:t>
      </w:r>
      <w:r w:rsidRPr="00320A86">
        <w:t>chiavélisme princier, et l’instabilité politique et religieuse (guerre de Trente Ans en 1618). Séparatistes qui n’entendaient pas se soumettre à l’Église d’Angleterre, ils veulent fonder une « nouvelle Jérusalem ». Si La Bible est dans une main comme source de leurs croyances, la liberté est la valeur sur laquelle ils s’appuient pour régler leur vie en commun. Ils jettent les bases d’une démocratie respectueuse des croyances de chacun. La démocr</w:t>
      </w:r>
      <w:r w:rsidRPr="00320A86">
        <w:t>a</w:t>
      </w:r>
      <w:r w:rsidRPr="00320A86">
        <w:t>tie était le régime qui ferait obstacle à tous les despotismes. Or la d</w:t>
      </w:r>
      <w:r w:rsidRPr="00320A86">
        <w:t>é</w:t>
      </w:r>
      <w:r w:rsidRPr="00320A86">
        <w:t>mocratie postule l’égalité. C’est-à-dire qu’elle implique de considérer l’opinion de chacun comme égale à celle de tous les autres, donc l’absence de Vérité, et la faculté de pouvoir s’exprimer l</w:t>
      </w:r>
      <w:r w:rsidRPr="00320A86">
        <w:t>i</w:t>
      </w:r>
      <w:r w:rsidRPr="00320A86">
        <w:t>brement. La liberté et l’égalité seront les piliers de la Déclaration d’Indépendance (1776). La rigoureuse séparation des pouvoirs prévue par la Constit</w:t>
      </w:r>
      <w:r w:rsidRPr="00320A86">
        <w:t>u</w:t>
      </w:r>
      <w:r w:rsidRPr="00320A86">
        <w:t>tion américaine (1787), ainsi que le fédéralisme, furent conçus pour s</w:t>
      </w:r>
      <w:r w:rsidRPr="00320A86">
        <w:t>a</w:t>
      </w:r>
      <w:r w:rsidRPr="00320A86">
        <w:t>tisfaire à ces exigences.</w:t>
      </w:r>
    </w:p>
    <w:p w14:paraId="5B2394BA" w14:textId="77777777" w:rsidR="00B01930" w:rsidRPr="00320A86" w:rsidRDefault="00B01930" w:rsidP="00B01930">
      <w:pPr>
        <w:spacing w:before="120" w:after="120"/>
        <w:jc w:val="both"/>
      </w:pPr>
      <w:r w:rsidRPr="00320A86">
        <w:t>La régulation entre le relativisme qui sous-tend la démocratie et la croyance en la Vérité biblique se fit selon une combinaison de religi</w:t>
      </w:r>
      <w:r w:rsidRPr="00320A86">
        <w:t>o</w:t>
      </w:r>
      <w:r w:rsidRPr="00320A86">
        <w:t>sité – comme ciment de la société – et de liberté qui aura pour cons</w:t>
      </w:r>
      <w:r w:rsidRPr="00320A86">
        <w:t>é</w:t>
      </w:r>
      <w:r w:rsidRPr="00320A86">
        <w:t>quence la multiplication des se</w:t>
      </w:r>
      <w:r w:rsidRPr="00320A86">
        <w:t>c</w:t>
      </w:r>
      <w:r w:rsidRPr="00320A86">
        <w:t>tes et leur coexistence, d’autant plus aisée « qu’il n’y avait pas d’organisation temporelle des Églises pr</w:t>
      </w:r>
      <w:r w:rsidRPr="00320A86">
        <w:t>o</w:t>
      </w:r>
      <w:r w:rsidRPr="00320A86">
        <w:t>testantes</w:t>
      </w:r>
      <w:r>
        <w:t> </w:t>
      </w:r>
      <w:r>
        <w:rPr>
          <w:rStyle w:val="Appelnotedebasdep"/>
        </w:rPr>
        <w:footnoteReference w:id="1572"/>
      </w:r>
      <w:r w:rsidRPr="00320A86">
        <w:t> ».</w:t>
      </w:r>
    </w:p>
    <w:p w14:paraId="7F0D8DE4" w14:textId="77777777" w:rsidR="00B01930" w:rsidRPr="00320A86" w:rsidRDefault="00B01930" w:rsidP="00B01930">
      <w:pPr>
        <w:spacing w:before="120" w:after="120"/>
        <w:jc w:val="both"/>
      </w:pPr>
      <w:r w:rsidRPr="00320A86">
        <w:t>Le libéralisme, fond commun originaire de la pensée politique américaine</w:t>
      </w:r>
      <w:r>
        <w:t> </w:t>
      </w:r>
      <w:r>
        <w:rPr>
          <w:rStyle w:val="Appelnotedebasdep"/>
        </w:rPr>
        <w:footnoteReference w:id="1573"/>
      </w:r>
      <w:r w:rsidRPr="00320A86">
        <w:t>, a donné naissance à un véritable « marché des idées</w:t>
      </w:r>
      <w:r>
        <w:t> </w:t>
      </w:r>
      <w:r>
        <w:rPr>
          <w:rStyle w:val="Appelnotedebasdep"/>
        </w:rPr>
        <w:footnoteReference w:id="1574"/>
      </w:r>
      <w:r w:rsidRPr="00320A86">
        <w:t> ». Dès lors les États-Unis « reçoivent tous les messages et peuvent s’enrichir dans leurs Universités du marxisme critique, de l’existentialisme, ou s’enthousiasmer pour les thèses « déconstructivistes » de Derrida</w:t>
      </w:r>
      <w:r>
        <w:t> </w:t>
      </w:r>
      <w:r>
        <w:rPr>
          <w:rStyle w:val="Appelnotedebasdep"/>
        </w:rPr>
        <w:footnoteReference w:id="1575"/>
      </w:r>
      <w:r w:rsidRPr="00320A86">
        <w:t> », au grand dam « des conserv</w:t>
      </w:r>
      <w:r w:rsidRPr="00320A86">
        <w:t>a</w:t>
      </w:r>
      <w:r w:rsidRPr="00320A86">
        <w:t>teurs lib</w:t>
      </w:r>
      <w:r w:rsidRPr="00320A86">
        <w:t>é</w:t>
      </w:r>
      <w:r w:rsidRPr="00320A86">
        <w:t>raux</w:t>
      </w:r>
      <w:r>
        <w:t> </w:t>
      </w:r>
      <w:r>
        <w:rPr>
          <w:rStyle w:val="Appelnotedebasdep"/>
        </w:rPr>
        <w:footnoteReference w:id="1576"/>
      </w:r>
      <w:r w:rsidRPr="00320A86">
        <w:t> ». Les néoconservateurs s’inscrivent donc dans ce « marché » et l’ont i</w:t>
      </w:r>
      <w:r w:rsidRPr="00320A86">
        <w:t>n</w:t>
      </w:r>
      <w:r w:rsidRPr="00320A86">
        <w:t>vesti.</w:t>
      </w:r>
    </w:p>
    <w:p w14:paraId="460965D4" w14:textId="77777777" w:rsidR="00B01930" w:rsidRPr="00320A86" w:rsidRDefault="00B01930" w:rsidP="00B01930">
      <w:pPr>
        <w:spacing w:before="120" w:after="120"/>
        <w:jc w:val="both"/>
      </w:pPr>
      <w:r w:rsidRPr="00320A86">
        <w:t>Ainsi le néoconservatisme est l’expression de la logique structurale du code n° 1 qui régit une partie du libéralisme américain. De fonction de restauration du libéralisme, professée par les démocrates, la log</w:t>
      </w:r>
      <w:r w:rsidRPr="00320A86">
        <w:t>i</w:t>
      </w:r>
      <w:r w:rsidRPr="00320A86">
        <w:t>que du code n° 1 l’a fait glisser vers un parti républicain jusqu’à en devenir « l’inspirateur idéologique ».</w:t>
      </w:r>
    </w:p>
    <w:p w14:paraId="7194558C" w14:textId="77777777" w:rsidR="00B01930" w:rsidRPr="00320A86" w:rsidRDefault="00B01930" w:rsidP="00B01930">
      <w:pPr>
        <w:spacing w:before="120" w:after="120"/>
        <w:jc w:val="both"/>
      </w:pPr>
      <w:r w:rsidRPr="00320A86">
        <w:t>Le néoconservatisme a ainsi rejoint un mouvement plus ancien et profond de l’opinion vers un conservatisme plus radical, qui eût lieu à compter des années soixante jusqu’à Georges Bush (fils), sous l’influence – notamment – d’un act</w:t>
      </w:r>
      <w:r w:rsidRPr="00320A86">
        <w:t>i</w:t>
      </w:r>
      <w:r w:rsidRPr="00320A86">
        <w:t>visme religieux renaissant</w:t>
      </w:r>
      <w:r>
        <w:t> </w:t>
      </w:r>
      <w:r>
        <w:rPr>
          <w:rStyle w:val="Appelnotedebasdep"/>
        </w:rPr>
        <w:footnoteReference w:id="1577"/>
      </w:r>
      <w:r w:rsidRPr="00320A86">
        <w:t>. Le parti républicain est poussé à se « droitiser » fortement et à refuser la tradition du compromis bi partisan</w:t>
      </w:r>
      <w:r>
        <w:t> </w:t>
      </w:r>
      <w:r>
        <w:rPr>
          <w:rStyle w:val="Appelnotedebasdep"/>
        </w:rPr>
        <w:footnoteReference w:id="1578"/>
      </w:r>
      <w:r w:rsidRPr="00320A86">
        <w:t>.</w:t>
      </w:r>
    </w:p>
    <w:p w14:paraId="62A2CC66" w14:textId="77777777" w:rsidR="00B01930" w:rsidRPr="00320A86" w:rsidRDefault="00B01930" w:rsidP="00B01930">
      <w:pPr>
        <w:spacing w:before="120" w:after="120"/>
        <w:jc w:val="both"/>
      </w:pPr>
      <w:r w:rsidRPr="00320A86">
        <w:t>La radicalisation de la vie politique américaine prit sa tournure a</w:t>
      </w:r>
      <w:r w:rsidRPr="00320A86">
        <w:t>c</w:t>
      </w:r>
      <w:r w:rsidRPr="00320A86">
        <w:t>tuelle sous la présidence Clinton. Le système bi partisan vacille, et le phénomène trouve sa pleine expression sous la présidence Obama. Le Tea Party semble étayer l’hypothèse d’un ancrage plus profond (dur</w:t>
      </w:r>
      <w:r w:rsidRPr="00320A86">
        <w:t>a</w:t>
      </w:r>
      <w:r w:rsidRPr="00320A86">
        <w:t>ble ?) de la composante « manichéenne inégalitaire » (code n° 1) dans la vie politique américaine</w:t>
      </w:r>
      <w:r>
        <w:t> </w:t>
      </w:r>
      <w:r>
        <w:rPr>
          <w:rStyle w:val="Appelnotedebasdep"/>
        </w:rPr>
        <w:footnoteReference w:id="1579"/>
      </w:r>
      <w:r w:rsidRPr="00320A86">
        <w:t>.</w:t>
      </w:r>
    </w:p>
    <w:p w14:paraId="1A885EAA" w14:textId="77777777" w:rsidR="00B01930" w:rsidRPr="00320A86" w:rsidRDefault="00B01930" w:rsidP="00B01930">
      <w:pPr>
        <w:spacing w:before="120" w:after="120"/>
        <w:jc w:val="both"/>
      </w:pPr>
      <w:r w:rsidRPr="00320A86">
        <w:t>Mais le relativisme qui sous-tend le libéralisme dont le « moteur actif [est] le refus du monopole [d’une quelconque vérité]</w:t>
      </w:r>
      <w:r>
        <w:t> </w:t>
      </w:r>
      <w:r>
        <w:rPr>
          <w:rStyle w:val="Appelnotedebasdep"/>
        </w:rPr>
        <w:footnoteReference w:id="1580"/>
      </w:r>
      <w:r w:rsidRPr="00320A86">
        <w:t> » joue le rôle de déstabilisateur de la recherche de fondements, et de stimulant pour la révision des thèses sout</w:t>
      </w:r>
      <w:r w:rsidRPr="00320A86">
        <w:t>e</w:t>
      </w:r>
      <w:r w:rsidRPr="00320A86">
        <w:t>nues pour les néoconservateurs. Ce qui en explique la diversité, l’évolution, et pour un même auteur, des positions qui semblent peu compatibles avec la stricte logique doctr</w:t>
      </w:r>
      <w:r w:rsidRPr="00320A86">
        <w:t>i</w:t>
      </w:r>
      <w:r w:rsidRPr="00320A86">
        <w:t>nale comme l’aiment les intellectuels français.</w:t>
      </w:r>
    </w:p>
    <w:p w14:paraId="7CA47207" w14:textId="77777777" w:rsidR="00B01930" w:rsidRPr="00320A86" w:rsidRDefault="00B01930" w:rsidP="00B01930">
      <w:pPr>
        <w:spacing w:before="120" w:after="120"/>
        <w:jc w:val="both"/>
      </w:pPr>
      <w:r w:rsidRPr="00320A86">
        <w:t>Cette combinatoire des racines se fait en fonction des circonsta</w:t>
      </w:r>
      <w:r w:rsidRPr="00320A86">
        <w:t>n</w:t>
      </w:r>
      <w:r w:rsidRPr="00320A86">
        <w:t>ces, du contexte économique, social, politique, sociologique, culturel, qui en façonnent, aussi, le contenu, les modalités d’expression, et la stratégie de propagation.</w:t>
      </w:r>
    </w:p>
    <w:p w14:paraId="4BB76151" w14:textId="77777777" w:rsidR="00B01930" w:rsidRPr="00320A86" w:rsidRDefault="00B01930" w:rsidP="00B01930">
      <w:pPr>
        <w:spacing w:before="120" w:after="120"/>
        <w:jc w:val="both"/>
      </w:pPr>
      <w:r>
        <w:br w:type="page"/>
      </w:r>
    </w:p>
    <w:p w14:paraId="551D341F" w14:textId="77777777" w:rsidR="00B01930" w:rsidRPr="00320A86" w:rsidRDefault="00B01930" w:rsidP="00B01930">
      <w:pPr>
        <w:pStyle w:val="planche"/>
      </w:pPr>
      <w:bookmarkStart w:id="237" w:name="Analyser_idees_pol_pt_4_texte_15_concl"/>
      <w:r w:rsidRPr="00320A86">
        <w:t>Conclusion provisoire</w:t>
      </w:r>
    </w:p>
    <w:bookmarkEnd w:id="237"/>
    <w:p w14:paraId="5C655EFA" w14:textId="77777777" w:rsidR="00B01930" w:rsidRDefault="00B01930" w:rsidP="00B01930">
      <w:pPr>
        <w:spacing w:before="120" w:after="120"/>
        <w:jc w:val="both"/>
      </w:pPr>
    </w:p>
    <w:p w14:paraId="37F9953B"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7CDECE4C" w14:textId="77777777" w:rsidR="00B01930" w:rsidRPr="00320A86" w:rsidRDefault="00B01930" w:rsidP="00B01930">
      <w:pPr>
        <w:spacing w:before="120" w:after="120"/>
        <w:jc w:val="both"/>
      </w:pPr>
      <w:r w:rsidRPr="00320A86">
        <w:t>Justin Vaïsse, en conclusion de son ouvrage, remarque qu’à y r</w:t>
      </w:r>
      <w:r w:rsidRPr="00320A86">
        <w:t>e</w:t>
      </w:r>
      <w:r w:rsidRPr="00320A86">
        <w:t>garder de près les trois âges du néoconservatisme seraient plutôt l’expression d’un patri</w:t>
      </w:r>
      <w:r w:rsidRPr="00320A86">
        <w:t>o</w:t>
      </w:r>
      <w:r w:rsidRPr="00320A86">
        <w:t>tisme, d’un nationalisme</w:t>
      </w:r>
      <w:r>
        <w:t> </w:t>
      </w:r>
      <w:r>
        <w:rPr>
          <w:rStyle w:val="Appelnotedebasdep"/>
        </w:rPr>
        <w:footnoteReference w:id="1581"/>
      </w:r>
      <w:r w:rsidRPr="00320A86">
        <w:t>.</w:t>
      </w:r>
    </w:p>
    <w:p w14:paraId="0A9D3FF6" w14:textId="77777777" w:rsidR="00B01930" w:rsidRPr="00320A86" w:rsidRDefault="00B01930" w:rsidP="00B01930">
      <w:pPr>
        <w:spacing w:before="120" w:after="120"/>
        <w:jc w:val="both"/>
      </w:pPr>
      <w:r w:rsidRPr="00320A86">
        <w:t>En effet les premiers néoconservateurs refusaient de voir le libér</w:t>
      </w:r>
      <w:r w:rsidRPr="00320A86">
        <w:t>a</w:t>
      </w:r>
      <w:r w:rsidRPr="00320A86">
        <w:t>lisme s’égarer dans une remise en cause de toute l’expérience amér</w:t>
      </w:r>
      <w:r w:rsidRPr="00320A86">
        <w:t>i</w:t>
      </w:r>
      <w:r w:rsidRPr="00320A86">
        <w:t>caine par les contestataires de « la nouvelle gauche ». Le deuxième âge du néoconservatisme était un refus du défaitisme suite à la guerre du Vietnam, ainsi que le refus de la « perte des valeurs » tendant à s’accommoder de l’ennemi (c.-à-d. l’</w:t>
      </w:r>
      <w:r w:rsidRPr="00320A86">
        <w:rPr>
          <w:smallCaps/>
        </w:rPr>
        <w:t>Urss</w:t>
      </w:r>
      <w:r w:rsidRPr="00320A86">
        <w:t xml:space="preserve">) comme le pratiquait « la </w:t>
      </w:r>
      <w:r w:rsidRPr="004A78E5">
        <w:rPr>
          <w:i/>
        </w:rPr>
        <w:t>Realpolitik </w:t>
      </w:r>
      <w:r w:rsidRPr="00320A86">
        <w:t>». Enfin les derniers néoconservateurs fra</w:t>
      </w:r>
      <w:r w:rsidRPr="00320A86">
        <w:t>n</w:t>
      </w:r>
      <w:r w:rsidRPr="00320A86">
        <w:t>chissent le pas et, forts de la puissance sans égale de l’Amérique, entendent d</w:t>
      </w:r>
      <w:r w:rsidRPr="00320A86">
        <w:t>é</w:t>
      </w:r>
      <w:r w:rsidRPr="00320A86">
        <w:t>fendre et promouvoir la démocratie, même par les armes. Dès lors, le né</w:t>
      </w:r>
      <w:r w:rsidRPr="00320A86">
        <w:t>o</w:t>
      </w:r>
      <w:r w:rsidRPr="00320A86">
        <w:t>conservatisme ressurgira, en fonction des circonstances, car il possède un « message puissant et s’appuie sur une vision historique</w:t>
      </w:r>
      <w:r>
        <w:t> </w:t>
      </w:r>
      <w:r>
        <w:rPr>
          <w:rStyle w:val="Appelnotedebasdep"/>
        </w:rPr>
        <w:footnoteReference w:id="1582"/>
      </w:r>
      <w:r w:rsidRPr="00320A86">
        <w:t> ».</w:t>
      </w:r>
    </w:p>
    <w:p w14:paraId="4DAB67B4" w14:textId="77777777" w:rsidR="00B01930" w:rsidRPr="00320A86" w:rsidRDefault="00B01930" w:rsidP="00B01930">
      <w:pPr>
        <w:spacing w:before="120" w:after="120"/>
        <w:jc w:val="both"/>
      </w:pPr>
      <w:r w:rsidRPr="00320A86">
        <w:t>Le nationalisme comme explication du phénomène n’est pas à rej</w:t>
      </w:r>
      <w:r w:rsidRPr="00320A86">
        <w:t>e</w:t>
      </w:r>
      <w:r w:rsidRPr="00320A86">
        <w:t>ter. Mais si on admet avec Jean-Louis Martres qu’il est une modalité particulière et dér</w:t>
      </w:r>
      <w:r w:rsidRPr="00320A86">
        <w:t>i</w:t>
      </w:r>
      <w:r w:rsidRPr="00320A86">
        <w:t>vée, dans une conjoncture historique donnée, du code n° 1, l’interprétation n’est pas suffisante pour pleinement expl</w:t>
      </w:r>
      <w:r w:rsidRPr="00320A86">
        <w:t>i</w:t>
      </w:r>
      <w:r w:rsidRPr="00320A86">
        <w:t>quer : son émergence au cœur même du parti démocrate et du libér</w:t>
      </w:r>
      <w:r w:rsidRPr="00320A86">
        <w:t>a</w:t>
      </w:r>
      <w:r w:rsidRPr="00320A86">
        <w:t>lisme ; sa focalisation sur le relativisme comme source de tous les maux ; son évolution vers une politique – non pas de conquête, territ</w:t>
      </w:r>
      <w:r w:rsidRPr="00320A86">
        <w:t>o</w:t>
      </w:r>
      <w:r w:rsidRPr="00320A86">
        <w:t>rial classique –, mais de transformation, de remodelage du monde, au moins dans les régions dangereuses, selon les « canons » de la dém</w:t>
      </w:r>
      <w:r w:rsidRPr="00320A86">
        <w:t>o</w:t>
      </w:r>
      <w:r w:rsidRPr="00320A86">
        <w:t>cratie.</w:t>
      </w:r>
    </w:p>
    <w:p w14:paraId="43B64C17" w14:textId="77777777" w:rsidR="00B01930" w:rsidRPr="00320A86" w:rsidRDefault="00B01930" w:rsidP="00B01930">
      <w:pPr>
        <w:spacing w:before="120" w:after="120"/>
        <w:jc w:val="both"/>
      </w:pPr>
      <w:r w:rsidRPr="00320A86">
        <w:t>L’interprétation structurale martrienne proposée permet de donner tout son sens à ce phénomène américain. Si elle n’épuise pas le sujet, elle donne néanmoins un autre éclairage sur un mouvement intelle</w:t>
      </w:r>
      <w:r w:rsidRPr="00320A86">
        <w:t>c</w:t>
      </w:r>
      <w:r w:rsidRPr="00320A86">
        <w:t>tuel et politique qui influe</w:t>
      </w:r>
      <w:r w:rsidRPr="00320A86">
        <w:t>n</w:t>
      </w:r>
      <w:r w:rsidRPr="00320A86">
        <w:t>ça le pouvoir et l’opinion. Du fait de sa capacité explicative et de sa faculté d’adaptation, il peut, en fonction des circonstances, ressurgir à tout moment (avec une plasticité certa</w:t>
      </w:r>
      <w:r w:rsidRPr="00320A86">
        <w:t>i</w:t>
      </w:r>
      <w:r w:rsidRPr="00320A86">
        <w:t>ne – dont l’approche martrienne en explique la cause – pour se mettre au diapason du contexte).</w:t>
      </w:r>
    </w:p>
    <w:p w14:paraId="4391F72E" w14:textId="77777777" w:rsidR="00B01930" w:rsidRPr="00320A86" w:rsidRDefault="00B01930" w:rsidP="00B01930">
      <w:pPr>
        <w:spacing w:before="120" w:after="120"/>
        <w:jc w:val="both"/>
      </w:pPr>
      <w:r w:rsidRPr="00320A86">
        <w:t>Mais sa compréhension relèvera de la logique structurale décrite tant en ce qui concerne son mode de « fabrication » que son caractère fonctionnel.</w:t>
      </w:r>
    </w:p>
    <w:p w14:paraId="51C47DF8" w14:textId="77777777" w:rsidR="00B01930" w:rsidRPr="00320A86" w:rsidRDefault="00B01930" w:rsidP="00B01930">
      <w:pPr>
        <w:spacing w:before="120" w:after="120"/>
        <w:jc w:val="both"/>
        <w:rPr>
          <w:b/>
        </w:rPr>
      </w:pPr>
    </w:p>
    <w:p w14:paraId="7A218043" w14:textId="77777777" w:rsidR="00B01930" w:rsidRPr="00320A86" w:rsidRDefault="00B01930" w:rsidP="00B01930">
      <w:pPr>
        <w:pStyle w:val="planche"/>
      </w:pPr>
      <w:bookmarkStart w:id="238" w:name="Analyser_idees_pol_pt_4_texte_15_biblio"/>
      <w:r w:rsidRPr="00320A86">
        <w:t>Orientation bibliographique</w:t>
      </w:r>
    </w:p>
    <w:bookmarkEnd w:id="238"/>
    <w:p w14:paraId="72427D21" w14:textId="77777777" w:rsidR="00B01930" w:rsidRPr="00320A86" w:rsidRDefault="00B01930" w:rsidP="00B01930">
      <w:pPr>
        <w:spacing w:before="120" w:after="120"/>
        <w:jc w:val="both"/>
      </w:pPr>
    </w:p>
    <w:p w14:paraId="7BC73F50"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25D4E8A9" w14:textId="77777777" w:rsidR="00B01930" w:rsidRPr="00320A86" w:rsidRDefault="00B01930" w:rsidP="00B01930">
      <w:pPr>
        <w:spacing w:before="120" w:after="120"/>
        <w:jc w:val="both"/>
      </w:pPr>
      <w:r w:rsidRPr="00320A86">
        <w:t>À l’exclusion des références citées relatives à Leo Strauss.</w:t>
      </w:r>
    </w:p>
    <w:p w14:paraId="73EE53F6" w14:textId="77777777" w:rsidR="00B01930" w:rsidRPr="00320A86" w:rsidRDefault="00B01930" w:rsidP="00B01930">
      <w:pPr>
        <w:spacing w:before="120" w:after="120"/>
        <w:jc w:val="both"/>
      </w:pPr>
      <w:r w:rsidRPr="00320A86">
        <w:t>– Gérard Chaliand, Arnaud Blin, America is back ! Paris, Bayard, 2003.</w:t>
      </w:r>
    </w:p>
    <w:p w14:paraId="191809E4" w14:textId="77777777" w:rsidR="00B01930" w:rsidRPr="00320A86" w:rsidRDefault="00B01930" w:rsidP="00B01930">
      <w:pPr>
        <w:spacing w:before="120" w:after="120"/>
        <w:jc w:val="both"/>
      </w:pPr>
      <w:r w:rsidRPr="00320A86">
        <w:t>– Antoine Coppolani, Richard Nixon, Paris, Fayard, 2013.</w:t>
      </w:r>
    </w:p>
    <w:p w14:paraId="4A403DAE" w14:textId="77777777" w:rsidR="00B01930" w:rsidRPr="00320A86" w:rsidRDefault="00B01930" w:rsidP="00B01930">
      <w:pPr>
        <w:spacing w:before="120" w:after="120"/>
        <w:jc w:val="both"/>
      </w:pPr>
      <w:r w:rsidRPr="00320A86">
        <w:t>– Charles-Philippe David, Au sein de La Maison-Blanche, la fo</w:t>
      </w:r>
      <w:r w:rsidRPr="00320A86">
        <w:t>r</w:t>
      </w:r>
      <w:r w:rsidRPr="00320A86">
        <w:t>mulation de la politique étrangère des États-Unis, 2</w:t>
      </w:r>
      <w:r w:rsidRPr="00320A86">
        <w:rPr>
          <w:vertAlign w:val="superscript"/>
        </w:rPr>
        <w:t>e</w:t>
      </w:r>
      <w:r w:rsidRPr="00320A86">
        <w:t xml:space="preserve"> édition, Montréal, Presses Université Laval (Canada), 2005.</w:t>
      </w:r>
    </w:p>
    <w:p w14:paraId="1D8B0B7D" w14:textId="77777777" w:rsidR="00B01930" w:rsidRPr="00320A86" w:rsidRDefault="00B01930" w:rsidP="00B01930">
      <w:pPr>
        <w:spacing w:before="120" w:after="120"/>
        <w:jc w:val="both"/>
      </w:pPr>
      <w:r w:rsidRPr="00320A86">
        <w:t>– Charles-Philippe David et alii, La Politique étrangère des États-Unis, fo</w:t>
      </w:r>
      <w:r w:rsidRPr="00320A86">
        <w:t>n</w:t>
      </w:r>
      <w:r w:rsidRPr="00320A86">
        <w:t>dements, acteurs, formulation, Paris, Presses de la Fondation nationale des Sciences politiques, 2003.</w:t>
      </w:r>
    </w:p>
    <w:p w14:paraId="7A4474A0" w14:textId="77777777" w:rsidR="00B01930" w:rsidRPr="00320A86" w:rsidRDefault="00B01930" w:rsidP="00B01930">
      <w:pPr>
        <w:spacing w:before="120" w:after="120"/>
        <w:jc w:val="both"/>
      </w:pPr>
      <w:r w:rsidRPr="00320A86">
        <w:t>– Francis Fukuyama, D’où viennent les néoconservateurs ?, Paris, Grasset, 2006, State building, Paris, La Table Ronde, 2005.</w:t>
      </w:r>
    </w:p>
    <w:p w14:paraId="2F3B2380" w14:textId="77777777" w:rsidR="00B01930" w:rsidRPr="00320A86" w:rsidRDefault="00B01930" w:rsidP="00B01930">
      <w:pPr>
        <w:spacing w:before="120" w:after="120"/>
        <w:jc w:val="both"/>
      </w:pPr>
      <w:r w:rsidRPr="00320A86">
        <w:t>– Sébastien Fumaroli, Tempête sous un crâne. 2003-2006, Paris, Éd. de Fa</w:t>
      </w:r>
      <w:r w:rsidRPr="00320A86">
        <w:t>l</w:t>
      </w:r>
      <w:r w:rsidRPr="00320A86">
        <w:t>lois, 2007.</w:t>
      </w:r>
    </w:p>
    <w:p w14:paraId="0ACDA544" w14:textId="77777777" w:rsidR="00B01930" w:rsidRPr="00320A86" w:rsidRDefault="00B01930" w:rsidP="00B01930">
      <w:pPr>
        <w:spacing w:before="120" w:after="120"/>
        <w:jc w:val="both"/>
      </w:pPr>
      <w:r w:rsidRPr="00320A86">
        <w:t>– Pierre Hassner, Justin Vaïsse, Washington et le monde, Paris, Éd. Autr</w:t>
      </w:r>
      <w:r w:rsidRPr="00320A86">
        <w:t>e</w:t>
      </w:r>
      <w:r w:rsidRPr="00320A86">
        <w:t>ment, 2003,175 pages.</w:t>
      </w:r>
    </w:p>
    <w:p w14:paraId="0E49EB49" w14:textId="77777777" w:rsidR="00B01930" w:rsidRPr="00320A86" w:rsidRDefault="00B01930" w:rsidP="00B01930">
      <w:pPr>
        <w:spacing w:before="120" w:after="120"/>
        <w:jc w:val="both"/>
      </w:pPr>
      <w:r w:rsidRPr="00320A86">
        <w:t>– Pierre Hassner, L’Empire de la force ou la force de l’Empire ?, Paris, C</w:t>
      </w:r>
      <w:r w:rsidRPr="00320A86">
        <w:t>a</w:t>
      </w:r>
      <w:r w:rsidRPr="00320A86">
        <w:t>hiers de Chaillot, 54, 2002.</w:t>
      </w:r>
    </w:p>
    <w:p w14:paraId="44D4113B" w14:textId="77777777" w:rsidR="00B01930" w:rsidRPr="00320A86" w:rsidRDefault="00B01930" w:rsidP="00B01930">
      <w:pPr>
        <w:spacing w:before="120" w:after="120"/>
        <w:jc w:val="both"/>
      </w:pPr>
      <w:r w:rsidRPr="00320A86">
        <w:t>– Romain Huret, De l’Amérique ordinaire à l’État secret, le cas Nixon, Paris, Presses de Science Po., 2009.</w:t>
      </w:r>
    </w:p>
    <w:p w14:paraId="16A5E9BD" w14:textId="77777777" w:rsidR="00B01930" w:rsidRPr="00320A86" w:rsidRDefault="00B01930" w:rsidP="00B01930">
      <w:pPr>
        <w:spacing w:before="120" w:after="120"/>
        <w:jc w:val="both"/>
      </w:pPr>
      <w:r w:rsidRPr="00320A86">
        <w:t>– Évelyne Joslain, L’Amérique des Think tanks, Paris, L’Harmattan, 2006.</w:t>
      </w:r>
    </w:p>
    <w:p w14:paraId="7604C150" w14:textId="77777777" w:rsidR="00B01930" w:rsidRPr="00320A86" w:rsidRDefault="00B01930" w:rsidP="00B01930">
      <w:pPr>
        <w:spacing w:before="120" w:after="120"/>
        <w:jc w:val="both"/>
      </w:pPr>
      <w:r w:rsidRPr="00320A86">
        <w:t>– Robert Kagan, La Puissance et la faiblesse, Paris, Plon, 2003 ; Le Revers de la puissance, Paris, Plon, 2004 ; Le Retour de l’Histoire et la fin des rêves, Paris, Plon, 2008.</w:t>
      </w:r>
    </w:p>
    <w:p w14:paraId="2F79091C" w14:textId="77777777" w:rsidR="00B01930" w:rsidRPr="00320A86" w:rsidRDefault="00B01930" w:rsidP="00B01930">
      <w:pPr>
        <w:spacing w:before="120" w:after="120"/>
        <w:jc w:val="both"/>
      </w:pPr>
      <w:r w:rsidRPr="00320A86">
        <w:t>– Robert D. Kaplan, La Stratégie du guerrier, Paris, Bayard, 2003.</w:t>
      </w:r>
    </w:p>
    <w:p w14:paraId="515F3224" w14:textId="77777777" w:rsidR="00B01930" w:rsidRPr="00320A86" w:rsidRDefault="00B01930" w:rsidP="00B01930">
      <w:pPr>
        <w:spacing w:before="120" w:after="120"/>
        <w:jc w:val="both"/>
      </w:pPr>
      <w:r w:rsidRPr="00320A86">
        <w:t>– Irving Kristol, « Profession de foi néoconservatrice pour le passé et le pr</w:t>
      </w:r>
      <w:r w:rsidRPr="00320A86">
        <w:t>é</w:t>
      </w:r>
      <w:r w:rsidRPr="00320A86">
        <w:t>sent », Paris, Commentaire, 103, 2003-2004.</w:t>
      </w:r>
    </w:p>
    <w:p w14:paraId="4C13670B" w14:textId="77777777" w:rsidR="00B01930" w:rsidRPr="00320A86" w:rsidRDefault="00B01930" w:rsidP="00B01930">
      <w:pPr>
        <w:spacing w:before="120" w:after="120"/>
        <w:jc w:val="both"/>
      </w:pPr>
      <w:r w:rsidRPr="00320A86">
        <w:t>– William Kristol, Lawrence F. Kaplan, Notre route commence à Bagdad, Paris, Éd. Fondation Saint Simon, 2003.</w:t>
      </w:r>
    </w:p>
    <w:p w14:paraId="1F64F447" w14:textId="77777777" w:rsidR="00B01930" w:rsidRPr="00320A86" w:rsidRDefault="00B01930" w:rsidP="00B01930">
      <w:pPr>
        <w:spacing w:before="120" w:after="120"/>
        <w:jc w:val="both"/>
      </w:pPr>
      <w:r w:rsidRPr="00320A86">
        <w:t>– Daniel Lagraula, « Le Verbe et La Puissance », Sud-Ouest, 12 avril, 2003, p. 1-10.</w:t>
      </w:r>
    </w:p>
    <w:p w14:paraId="7EFC151E" w14:textId="77777777" w:rsidR="00B01930" w:rsidRPr="00320A86" w:rsidRDefault="00B01930" w:rsidP="00B01930">
      <w:pPr>
        <w:spacing w:before="120" w:after="120"/>
        <w:jc w:val="both"/>
      </w:pPr>
      <w:r w:rsidRPr="00320A86">
        <w:t>– Jean-Louis Martres, Les Grilles de la pensée politique, Honk Kong, China Century Press group C° Limited, China, social, science documentation Press, 2012.</w:t>
      </w:r>
    </w:p>
    <w:p w14:paraId="27C30B1F" w14:textId="77777777" w:rsidR="00B01930" w:rsidRPr="00320A86" w:rsidRDefault="00B01930" w:rsidP="00B01930">
      <w:pPr>
        <w:spacing w:before="120" w:after="120"/>
        <w:jc w:val="both"/>
      </w:pPr>
      <w:r w:rsidRPr="00320A86">
        <w:t>– Mark MacNaugt, La Religion civile américaine. De Reagan à Obama, Rennes, Presses universitaires de Rennes, coll. « Sciences des Religions », 2009, thèse dirigée par le Pr. Michel Bergès, soutenue à l’Université Montesquieu de Bordeaux le 30 octobre 2004, sous le titre « L’orthodoxie politique américa</w:t>
      </w:r>
      <w:r w:rsidRPr="00320A86">
        <w:t>i</w:t>
      </w:r>
      <w:r w:rsidRPr="00320A86">
        <w:t>ne », devant un jury composé du Pr. James Ceaser, de l’Université de Charlottesville, du Pr. Phili</w:t>
      </w:r>
      <w:r w:rsidRPr="00320A86">
        <w:t>p</w:t>
      </w:r>
      <w:r w:rsidRPr="00320A86">
        <w:t>pe Portier, de l’Université de Rennes I, et, de l’Université de Bo</w:t>
      </w:r>
      <w:r w:rsidRPr="00320A86">
        <w:t>r</w:t>
      </w:r>
      <w:r w:rsidRPr="00320A86">
        <w:t>deaux, Nathalie Blanc-Noël, le Pr. Jean-Louis Martres et le Pr. Jean-Pierre Duprat.</w:t>
      </w:r>
    </w:p>
    <w:p w14:paraId="008E7B68" w14:textId="77777777" w:rsidR="00B01930" w:rsidRPr="00320A86" w:rsidRDefault="00B01930" w:rsidP="00B01930">
      <w:pPr>
        <w:spacing w:before="120" w:after="120"/>
        <w:jc w:val="both"/>
      </w:pPr>
      <w:r w:rsidRPr="00320A86">
        <w:t>– Walter Russel Mead, Sous le signe de la providence, Paris, Odile Jacob, 2003, 396 pages.</w:t>
      </w:r>
    </w:p>
    <w:p w14:paraId="752101C5" w14:textId="77777777" w:rsidR="00B01930" w:rsidRPr="00320A86" w:rsidRDefault="00B01930" w:rsidP="00B01930">
      <w:pPr>
        <w:spacing w:before="120" w:after="120"/>
        <w:jc w:val="both"/>
      </w:pPr>
      <w:r w:rsidRPr="00320A86">
        <w:t>– Chris Patten, Richard Perle, « Les Relations entre l’Europe et les États-Unis », Paris, Commentaire, 101, 2003.</w:t>
      </w:r>
    </w:p>
    <w:p w14:paraId="0E4DDD3B" w14:textId="77777777" w:rsidR="00B01930" w:rsidRPr="00320A86" w:rsidRDefault="00B01930" w:rsidP="00B01930">
      <w:pPr>
        <w:spacing w:before="120" w:after="120"/>
        <w:jc w:val="both"/>
      </w:pPr>
      <w:r w:rsidRPr="00320A86">
        <w:t>– Philippe Roger, L’Ennemi américain, généalogie de l’antiaméricanisme français, Paris, Le Seuil, col. « Points inédits », 2002.</w:t>
      </w:r>
    </w:p>
    <w:p w14:paraId="5C2CC66C" w14:textId="77777777" w:rsidR="00B01930" w:rsidRPr="00320A86" w:rsidRDefault="00B01930" w:rsidP="00B01930">
      <w:pPr>
        <w:spacing w:before="120" w:after="120"/>
        <w:jc w:val="both"/>
      </w:pPr>
      <w:r w:rsidRPr="00320A86">
        <w:t>– Bernard Sionneau, La Construction du conservatisme moderne aux États-Unis), Préface de James Ceaser, Paris, L’Harmattan, 2012.</w:t>
      </w:r>
    </w:p>
    <w:p w14:paraId="3CC4FA98" w14:textId="77777777" w:rsidR="00B01930" w:rsidRPr="00320A86" w:rsidRDefault="00B01930" w:rsidP="00B01930">
      <w:pPr>
        <w:spacing w:before="120" w:after="120"/>
        <w:jc w:val="both"/>
      </w:pPr>
      <w:r w:rsidRPr="00320A86">
        <w:t>– Justin Vaïsse, Histoire du néoconservatisme aux États-Unis, P</w:t>
      </w:r>
      <w:r w:rsidRPr="00320A86">
        <w:t>a</w:t>
      </w:r>
      <w:r w:rsidRPr="00320A86">
        <w:t>ris, Odile Jacob, 2008.</w:t>
      </w:r>
    </w:p>
    <w:p w14:paraId="6BCE7F7E" w14:textId="77777777" w:rsidR="00B01930" w:rsidRPr="00320A86" w:rsidRDefault="00B01930" w:rsidP="00B01930">
      <w:pPr>
        <w:spacing w:before="120" w:after="120"/>
        <w:jc w:val="both"/>
      </w:pPr>
      <w:r w:rsidRPr="00320A86">
        <w:t>– Philip Zelikow, « Les Fondements de la nouvelle politique am</w:t>
      </w:r>
      <w:r w:rsidRPr="00320A86">
        <w:t>é</w:t>
      </w:r>
      <w:r w:rsidRPr="00320A86">
        <w:t>ricaine de sécurité », traduction d’un article publié in The National Interest-USA, Paris, Commentaire, 102, 2003. Article qui a suscité de nombreux articles en réponse (cf. Commentaire, 103, 2003 ; 104, h</w:t>
      </w:r>
      <w:r w:rsidRPr="00320A86">
        <w:t>i</w:t>
      </w:r>
      <w:r w:rsidRPr="00320A86">
        <w:t>ver 2003-2004).</w:t>
      </w:r>
    </w:p>
    <w:p w14:paraId="6BFE02A7" w14:textId="77777777" w:rsidR="00B01930" w:rsidRDefault="00B01930" w:rsidP="00B01930">
      <w:pPr>
        <w:jc w:val="both"/>
      </w:pPr>
      <w:r>
        <w:br w:type="page"/>
      </w:r>
    </w:p>
    <w:p w14:paraId="0AB8A081" w14:textId="77777777" w:rsidR="00B01930" w:rsidRDefault="00B01930" w:rsidP="00B01930">
      <w:pPr>
        <w:jc w:val="both"/>
      </w:pPr>
    </w:p>
    <w:p w14:paraId="67F234A0" w14:textId="77777777" w:rsidR="00B01930" w:rsidRDefault="00B01930" w:rsidP="00B01930">
      <w:pPr>
        <w:jc w:val="both"/>
      </w:pPr>
    </w:p>
    <w:p w14:paraId="51D9CE11" w14:textId="77777777" w:rsidR="00B01930" w:rsidRPr="009D4882" w:rsidRDefault="00B01930" w:rsidP="00B01930">
      <w:pPr>
        <w:spacing w:after="120"/>
        <w:ind w:firstLine="0"/>
        <w:jc w:val="center"/>
        <w:rPr>
          <w:b/>
          <w:color w:val="000080"/>
        </w:rPr>
      </w:pPr>
      <w:bookmarkStart w:id="239" w:name="Analyser_idees_pol_pt_4_texte_16"/>
      <w:r>
        <w:rPr>
          <w:b/>
          <w:color w:val="000080"/>
        </w:rPr>
        <w:t>Quatrième</w:t>
      </w:r>
      <w:r w:rsidRPr="009D4882">
        <w:rPr>
          <w:b/>
          <w:color w:val="000080"/>
        </w:rPr>
        <w:t xml:space="preserve"> partie</w:t>
      </w:r>
      <w:r w:rsidRPr="009D4882">
        <w:rPr>
          <w:b/>
          <w:color w:val="000080"/>
        </w:rPr>
        <w:br/>
      </w:r>
      <w:r>
        <w:rPr>
          <w:i/>
          <w:color w:val="000080"/>
        </w:rPr>
        <w:t>De quelques idées «internationales»</w:t>
      </w:r>
    </w:p>
    <w:p w14:paraId="2BC34A41" w14:textId="77777777" w:rsidR="00B01930" w:rsidRDefault="00B01930" w:rsidP="00B01930">
      <w:pPr>
        <w:pStyle w:val="Titreniveau1"/>
        <w:rPr>
          <w:szCs w:val="36"/>
        </w:rPr>
      </w:pPr>
      <w:r>
        <w:rPr>
          <w:szCs w:val="36"/>
        </w:rPr>
        <w:t>16</w:t>
      </w:r>
    </w:p>
    <w:p w14:paraId="7E045E8D" w14:textId="77777777" w:rsidR="00B01930" w:rsidRDefault="00B01930" w:rsidP="00B01930">
      <w:pPr>
        <w:jc w:val="both"/>
        <w:rPr>
          <w:szCs w:val="36"/>
        </w:rPr>
      </w:pPr>
    </w:p>
    <w:p w14:paraId="08AC373F" w14:textId="77777777" w:rsidR="00B01930" w:rsidRPr="00843F3E" w:rsidRDefault="00B01930" w:rsidP="00B01930">
      <w:pPr>
        <w:pStyle w:val="Titreniveau2"/>
      </w:pPr>
      <w:r>
        <w:t>“</w:t>
      </w:r>
      <w:r w:rsidRPr="00C51BF3">
        <w:t>Le modèle nordique,</w:t>
      </w:r>
      <w:r>
        <w:br/>
      </w:r>
      <w:r w:rsidRPr="00C51BF3">
        <w:t>une idée récurre</w:t>
      </w:r>
      <w:r w:rsidRPr="00C51BF3">
        <w:t>n</w:t>
      </w:r>
      <w:r w:rsidRPr="00C51BF3">
        <w:t>te dans le débat</w:t>
      </w:r>
      <w:r>
        <w:br/>
      </w:r>
      <w:r w:rsidRPr="00C51BF3">
        <w:t>politique français</w:t>
      </w:r>
      <w:r w:rsidRPr="00A01FC9">
        <w:t>.</w:t>
      </w:r>
      <w:r>
        <w:t>”</w:t>
      </w:r>
    </w:p>
    <w:bookmarkEnd w:id="239"/>
    <w:p w14:paraId="51D00E47" w14:textId="77777777" w:rsidR="00B01930" w:rsidRDefault="00B01930" w:rsidP="00B01930">
      <w:pPr>
        <w:jc w:val="both"/>
        <w:rPr>
          <w:szCs w:val="36"/>
        </w:rPr>
      </w:pPr>
    </w:p>
    <w:p w14:paraId="35C0A1F2" w14:textId="77777777" w:rsidR="00B01930" w:rsidRDefault="00B01930" w:rsidP="00B01930">
      <w:pPr>
        <w:jc w:val="both"/>
      </w:pPr>
    </w:p>
    <w:p w14:paraId="3A1186D3" w14:textId="77777777" w:rsidR="00B01930" w:rsidRDefault="00B01930" w:rsidP="00B01930">
      <w:pPr>
        <w:pStyle w:val="suite"/>
      </w:pPr>
      <w:r>
        <w:t>Nathalie BLANC-NOËL</w:t>
      </w:r>
    </w:p>
    <w:p w14:paraId="4D6E122F" w14:textId="77777777" w:rsidR="00B01930" w:rsidRDefault="00B01930" w:rsidP="00B01930">
      <w:pPr>
        <w:jc w:val="both"/>
      </w:pPr>
    </w:p>
    <w:p w14:paraId="12BC847F" w14:textId="77777777" w:rsidR="00B01930" w:rsidRDefault="00B01930" w:rsidP="00B01930">
      <w:pPr>
        <w:jc w:val="both"/>
      </w:pPr>
    </w:p>
    <w:p w14:paraId="6533B36F" w14:textId="77777777" w:rsidR="00B01930" w:rsidRDefault="00B01930" w:rsidP="00B01930">
      <w:pPr>
        <w:jc w:val="both"/>
      </w:pPr>
    </w:p>
    <w:p w14:paraId="0B77851D" w14:textId="77777777" w:rsidR="00B01930" w:rsidRDefault="00B01930" w:rsidP="00B01930">
      <w:pPr>
        <w:jc w:val="both"/>
      </w:pPr>
    </w:p>
    <w:p w14:paraId="033A7092"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73FD4C01" w14:textId="77777777" w:rsidR="00B01930" w:rsidRPr="00002B14" w:rsidRDefault="00B01930" w:rsidP="00B01930">
      <w:pPr>
        <w:spacing w:before="120" w:after="120"/>
        <w:jc w:val="both"/>
        <w:rPr>
          <w:i/>
        </w:rPr>
      </w:pPr>
      <w:r w:rsidRPr="00002B14">
        <w:rPr>
          <w:i/>
        </w:rPr>
        <w:t>Jean-Louis Martres était un intellectuel toujours en alerte, to</w:t>
      </w:r>
      <w:r w:rsidRPr="00002B14">
        <w:rPr>
          <w:i/>
        </w:rPr>
        <w:t>u</w:t>
      </w:r>
      <w:r w:rsidRPr="00002B14">
        <w:rPr>
          <w:i/>
        </w:rPr>
        <w:t>jours ouvert à la nouveauté, à la découverte… Il y avait chez lui une insatiable curiosité inte</w:t>
      </w:r>
      <w:r w:rsidRPr="00002B14">
        <w:rPr>
          <w:i/>
        </w:rPr>
        <w:t>l</w:t>
      </w:r>
      <w:r w:rsidRPr="00002B14">
        <w:rPr>
          <w:i/>
        </w:rPr>
        <w:t>lectuelle ou plutôt devrais-je dire une exquise gourmandise intellectuelle, une connaissance encyclopédique profo</w:t>
      </w:r>
      <w:r w:rsidRPr="00002B14">
        <w:rPr>
          <w:i/>
        </w:rPr>
        <w:t>n</w:t>
      </w:r>
      <w:r w:rsidRPr="00002B14">
        <w:rPr>
          <w:i/>
        </w:rPr>
        <w:t>de et critique sur les sujets les plus variés, mais aussi cette insolence juvénile, quelque peu hautaine et toujours drôle, ce regard distancié sur le monde, élégance rare, et cette maîtrise parfaite d’un verbe ra</w:t>
      </w:r>
      <w:r w:rsidRPr="00002B14">
        <w:rPr>
          <w:i/>
        </w:rPr>
        <w:t>f</w:t>
      </w:r>
      <w:r w:rsidRPr="00002B14">
        <w:rPr>
          <w:i/>
        </w:rPr>
        <w:t>finé, complexe, décapant… Rien ne lui était plus étranger que les n</w:t>
      </w:r>
      <w:r w:rsidRPr="00002B14">
        <w:rPr>
          <w:i/>
        </w:rPr>
        <w:t>o</w:t>
      </w:r>
      <w:r w:rsidRPr="00002B14">
        <w:rPr>
          <w:i/>
        </w:rPr>
        <w:t>tions de « carrière », d’évaluation, de palmarès en tous genres qui e</w:t>
      </w:r>
      <w:r w:rsidRPr="00002B14">
        <w:rPr>
          <w:i/>
        </w:rPr>
        <w:t>n</w:t>
      </w:r>
      <w:r w:rsidRPr="00002B14">
        <w:rPr>
          <w:i/>
        </w:rPr>
        <w:t>cadrent aujourd’hui la vie universitaire, et qui pour lui n’étaient que futilités… Le m</w:t>
      </w:r>
      <w:r w:rsidRPr="00002B14">
        <w:rPr>
          <w:i/>
        </w:rPr>
        <w:t>é</w:t>
      </w:r>
      <w:r w:rsidRPr="00002B14">
        <w:rPr>
          <w:i/>
        </w:rPr>
        <w:t>tier d’intellectuel, pour lui, n’en était pas un : c’était un plaisir, un jeu un ho</w:t>
      </w:r>
      <w:r w:rsidRPr="00002B14">
        <w:rPr>
          <w:i/>
        </w:rPr>
        <w:t>b</w:t>
      </w:r>
      <w:r w:rsidRPr="00002B14">
        <w:rPr>
          <w:i/>
        </w:rPr>
        <w:t>by – comme le métier d’antiquaire et de collectionneur d’art, qu’il pratiqua ég</w:t>
      </w:r>
      <w:r w:rsidRPr="00002B14">
        <w:rPr>
          <w:i/>
        </w:rPr>
        <w:t>a</w:t>
      </w:r>
      <w:r w:rsidRPr="00002B14">
        <w:rPr>
          <w:i/>
        </w:rPr>
        <w:t>lement fort bien… Jean-Louis Martres était ce cocktail inimitable et fascinant d’un i</w:t>
      </w:r>
      <w:r w:rsidRPr="00002B14">
        <w:rPr>
          <w:i/>
        </w:rPr>
        <w:t>n</w:t>
      </w:r>
      <w:r w:rsidRPr="00002B14">
        <w:rPr>
          <w:i/>
        </w:rPr>
        <w:t>tellectuel comme on n’en fait plus, d’un intellectuel libre, et d’un Maître qui nous manquera…</w:t>
      </w:r>
    </w:p>
    <w:p w14:paraId="5759C0B2" w14:textId="77777777" w:rsidR="00B01930" w:rsidRPr="00002B14" w:rsidRDefault="00B01930" w:rsidP="00B01930">
      <w:pPr>
        <w:spacing w:before="120" w:after="120"/>
        <w:jc w:val="both"/>
        <w:rPr>
          <w:i/>
        </w:rPr>
      </w:pPr>
      <w:r w:rsidRPr="00002B14">
        <w:rPr>
          <w:i/>
        </w:rPr>
        <w:t>Jean-Louis Martres connaissait bien les pays nordiques… Il les connaissait du fait de son intérêt pour les politiques forestières, de ses voyages sur le terrain (Ah ! Le truculent récit de ses ballades finla</w:t>
      </w:r>
      <w:r w:rsidRPr="00002B14">
        <w:rPr>
          <w:i/>
        </w:rPr>
        <w:t>n</w:t>
      </w:r>
      <w:r w:rsidRPr="00002B14">
        <w:rPr>
          <w:i/>
        </w:rPr>
        <w:t>daises en traineau à chiens, avec ses lunettes recouvertes de glace ! Et ses observations avisées sur le pullover nordique porté en soirée)… Il était toujours curieux d’en savoir plus sur les sy</w:t>
      </w:r>
      <w:r w:rsidRPr="00002B14">
        <w:rPr>
          <w:i/>
        </w:rPr>
        <w:t>s</w:t>
      </w:r>
      <w:r w:rsidRPr="00002B14">
        <w:rPr>
          <w:i/>
        </w:rPr>
        <w:t>tèmes politiques des pays nordiques, de comprendre les logiques secrètes de leurs d</w:t>
      </w:r>
      <w:r w:rsidRPr="00002B14">
        <w:rPr>
          <w:i/>
        </w:rPr>
        <w:t>i</w:t>
      </w:r>
      <w:r w:rsidRPr="00002B14">
        <w:rPr>
          <w:i/>
        </w:rPr>
        <w:t>plom</w:t>
      </w:r>
      <w:r w:rsidRPr="00002B14">
        <w:rPr>
          <w:i/>
        </w:rPr>
        <w:t>a</w:t>
      </w:r>
      <w:r w:rsidRPr="00002B14">
        <w:rPr>
          <w:i/>
        </w:rPr>
        <w:t>ties… Peut-être aussi avait-il en tête le souci de bien connaître son ennemi (commercial) pour mieux le combattre, car il y avait chez le propriétaire landais une pointe d’agacement – oserai-je écrire de jalousie – à propos du su</w:t>
      </w:r>
      <w:r w:rsidRPr="00002B14">
        <w:rPr>
          <w:i/>
        </w:rPr>
        <w:t>c</w:t>
      </w:r>
      <w:r w:rsidRPr="00002B14">
        <w:rPr>
          <w:i/>
        </w:rPr>
        <w:t>cès des politiques forestières nordiques : « Pourtant », disait-il, « Avec notre climat, nos arbres poussent plus vite que les leurs ! »… Peut-être s’est-il secr</w:t>
      </w:r>
      <w:r w:rsidRPr="00002B14">
        <w:rPr>
          <w:i/>
        </w:rPr>
        <w:t>è</w:t>
      </w:r>
      <w:r w:rsidRPr="00002B14">
        <w:rPr>
          <w:i/>
        </w:rPr>
        <w:t>tement inspiré de cette facette du modèle nordique dans ses activités foresti</w:t>
      </w:r>
      <w:r w:rsidRPr="00002B14">
        <w:rPr>
          <w:i/>
        </w:rPr>
        <w:t>è</w:t>
      </w:r>
      <w:r w:rsidRPr="00002B14">
        <w:rPr>
          <w:i/>
        </w:rPr>
        <w:t>res… Et c’est ainsi que Jean-Louis Martres dirigea ma thèse sur la neutralité su</w:t>
      </w:r>
      <w:r w:rsidRPr="00002B14">
        <w:rPr>
          <w:i/>
        </w:rPr>
        <w:t>é</w:t>
      </w:r>
      <w:r w:rsidRPr="00002B14">
        <w:rPr>
          <w:i/>
        </w:rPr>
        <w:t xml:space="preserve">doise, non sans m’avoir encouragée à choisir un sujet « sur lequel rien n’était encore fait »… Sur ce point il ne fut pas déçu, comme on va le voir dans le texte qui suit. </w:t>
      </w:r>
    </w:p>
    <w:p w14:paraId="294240A9" w14:textId="77777777" w:rsidR="00B01930" w:rsidRPr="00320A86" w:rsidRDefault="00B01930" w:rsidP="00B01930">
      <w:pPr>
        <w:spacing w:before="120" w:after="120"/>
        <w:jc w:val="both"/>
      </w:pPr>
    </w:p>
    <w:p w14:paraId="6DB75E9F" w14:textId="77777777" w:rsidR="00B01930" w:rsidRPr="00320A86" w:rsidRDefault="00B01930" w:rsidP="00B01930">
      <w:pPr>
        <w:spacing w:before="120" w:after="120"/>
        <w:jc w:val="both"/>
      </w:pPr>
      <w:r w:rsidRPr="00320A86">
        <w:t>La référence au modèle nordique, ou à ses déclinaisons suédoise, danoise, finlandaise ou norvégienne</w:t>
      </w:r>
      <w:r>
        <w:t> </w:t>
      </w:r>
      <w:r>
        <w:rPr>
          <w:rStyle w:val="Appelnotedebasdep"/>
        </w:rPr>
        <w:footnoteReference w:id="1583"/>
      </w:r>
      <w:r w:rsidRPr="00320A86">
        <w:t xml:space="preserve"> est au débat politique français ce que le « marronnier » est au journalisme : un thème récurrent, une référence politique, mais aussi une source d’inspiration pour le lég</w:t>
      </w:r>
      <w:r w:rsidRPr="00320A86">
        <w:t>i</w:t>
      </w:r>
      <w:r w:rsidRPr="00320A86">
        <w:t>slateur, et ce depuis plusieurs décennies. On cite en exemple le f</w:t>
      </w:r>
      <w:r w:rsidRPr="00320A86">
        <w:t>a</w:t>
      </w:r>
      <w:r w:rsidRPr="00320A86">
        <w:t>meux « modèle » dans des domaines aussi variés que la politique s</w:t>
      </w:r>
      <w:r w:rsidRPr="00320A86">
        <w:t>o</w:t>
      </w:r>
      <w:r w:rsidRPr="00320A86">
        <w:t>ciale ou familiale (congés parentaux paternels, soins aux personnes âgées, couverture sociale…), l’égalité des genres et la parité, la lutte contre la prostitution, le système éducatif, le système des retraites ou m</w:t>
      </w:r>
      <w:r w:rsidRPr="00320A86">
        <w:t>ê</w:t>
      </w:r>
      <w:r w:rsidRPr="00320A86">
        <w:t>me, plus récemment la réhabilitation des djihadistes, sujet qu’une délég</w:t>
      </w:r>
      <w:r w:rsidRPr="00320A86">
        <w:t>a</w:t>
      </w:r>
      <w:r w:rsidRPr="00320A86">
        <w:t>tion de députés français a été étudier au Danemark en février 2015</w:t>
      </w:r>
      <w:r>
        <w:t> </w:t>
      </w:r>
      <w:r>
        <w:rPr>
          <w:rStyle w:val="Appelnotedebasdep"/>
        </w:rPr>
        <w:footnoteReference w:id="1584"/>
      </w:r>
      <w:r w:rsidRPr="00320A86">
        <w:t xml:space="preserve">. </w:t>
      </w:r>
    </w:p>
    <w:p w14:paraId="2EB5E1B0" w14:textId="77777777" w:rsidR="00B01930" w:rsidRPr="00320A86" w:rsidRDefault="00B01930" w:rsidP="00B01930">
      <w:pPr>
        <w:spacing w:before="120" w:after="120"/>
        <w:jc w:val="both"/>
      </w:pPr>
      <w:r w:rsidRPr="00320A86">
        <w:t>La référence au modèle n’est pas seulement une figure de style : il n’est pas rare que des innovations nordiques inspirent des dispositifs législatifs français, tels, pour prendre deux exemples assez récents, la loi du 23 juillet 2014 sur la féminisation des conseils d’administration, idée venue de Norvège, ou la loi sur la lutte contre le système prostit</w:t>
      </w:r>
      <w:r w:rsidRPr="00320A86">
        <w:t>u</w:t>
      </w:r>
      <w:r w:rsidRPr="00320A86">
        <w:t>tionnel du 12 juin 2015, inspirée par la législ</w:t>
      </w:r>
      <w:r w:rsidRPr="00320A86">
        <w:t>a</w:t>
      </w:r>
      <w:r w:rsidRPr="00320A86">
        <w:t>tion suédoise… Il est également fréquent que des femmes et hommes politiques français se rendent sur place, pour observer tel ou tel dispositif et puiser l’inspiration dans le fameux modèle. Les archives des différentes a</w:t>
      </w:r>
      <w:r w:rsidRPr="00320A86">
        <w:t>m</w:t>
      </w:r>
      <w:r w:rsidRPr="00320A86">
        <w:t>bassades françaises dans les pays nordiques concernant les visites d</w:t>
      </w:r>
      <w:r w:rsidRPr="00320A86">
        <w:t>i</w:t>
      </w:r>
      <w:r w:rsidRPr="00320A86">
        <w:t>plomatiques (bien qu’inégalement tenues)</w:t>
      </w:r>
      <w:r>
        <w:t> </w:t>
      </w:r>
      <w:r>
        <w:rPr>
          <w:rStyle w:val="Appelnotedebasdep"/>
        </w:rPr>
        <w:footnoteReference w:id="1585"/>
      </w:r>
      <w:r w:rsidRPr="00320A86">
        <w:t xml:space="preserve"> révèlent que la Suède est la destination la plus fréque</w:t>
      </w:r>
      <w:r w:rsidRPr="00320A86">
        <w:t>n</w:t>
      </w:r>
      <w:r w:rsidRPr="00320A86">
        <w:t>te de ces voyages officiels, ce pays étant généralement considéré comme le plus caractéristique du modèle no</w:t>
      </w:r>
      <w:r w:rsidRPr="00320A86">
        <w:t>r</w:t>
      </w:r>
      <w:r w:rsidRPr="00320A86">
        <w:t>dique. La Finlande et le Danemark se situent en deuxième position. Lorsque l’objet des visites est mentionné, par exemple pour les visites en Suède</w:t>
      </w:r>
      <w:r>
        <w:t> </w:t>
      </w:r>
      <w:r>
        <w:rPr>
          <w:rStyle w:val="Appelnotedebasdep"/>
        </w:rPr>
        <w:footnoteReference w:id="1586"/>
      </w:r>
      <w:r w:rsidRPr="00320A86">
        <w:t>, il est particulièrement révélateur : par exemple : « 28</w:t>
      </w:r>
      <w:r w:rsidRPr="00FB7D22">
        <w:rPr>
          <w:i/>
        </w:rPr>
        <w:t>-29 août 2006 : le ministre de l’Education nationale, Gilles de Robien, s’est rendu à Stockholm et Uppsala pour s’inspirer du modèle éduc</w:t>
      </w:r>
      <w:r w:rsidRPr="00FB7D22">
        <w:rPr>
          <w:i/>
        </w:rPr>
        <w:t>a</w:t>
      </w:r>
      <w:r w:rsidRPr="00FB7D22">
        <w:rPr>
          <w:i/>
        </w:rPr>
        <w:t>tif suédois à l’approche de réformes prévues en France » ou encore « 7-10 septembre 2005 : P. Mehaignerie, le Président de la Commi</w:t>
      </w:r>
      <w:r w:rsidRPr="00FB7D22">
        <w:rPr>
          <w:i/>
        </w:rPr>
        <w:t>s</w:t>
      </w:r>
      <w:r w:rsidRPr="00FB7D22">
        <w:rPr>
          <w:i/>
        </w:rPr>
        <w:t>sion des Finances de l’Assemblée nationale a observé le système fi</w:t>
      </w:r>
      <w:r w:rsidRPr="00FB7D22">
        <w:rPr>
          <w:i/>
        </w:rPr>
        <w:t>s</w:t>
      </w:r>
      <w:r w:rsidRPr="00FB7D22">
        <w:rPr>
          <w:i/>
        </w:rPr>
        <w:t>cal suédois, la politique budgétaire en Suède, l’amélioration de la productivité du secteur public et l’évolution de l’emploi p</w:t>
      </w:r>
      <w:r w:rsidRPr="00FB7D22">
        <w:rPr>
          <w:i/>
        </w:rPr>
        <w:t>u</w:t>
      </w:r>
      <w:r w:rsidRPr="00FB7D22">
        <w:rPr>
          <w:i/>
        </w:rPr>
        <w:t>blic », etc. Il n’est pas rare de lire des relations de ces voyages dans la presse, par exe</w:t>
      </w:r>
      <w:r w:rsidRPr="00FB7D22">
        <w:rPr>
          <w:i/>
        </w:rPr>
        <w:t>m</w:t>
      </w:r>
      <w:r w:rsidRPr="00FB7D22">
        <w:rPr>
          <w:i/>
        </w:rPr>
        <w:t>ple « Manuel Valls au Danemark, pays de la flexisécurité </w:t>
      </w:r>
      <w:r>
        <w:rPr>
          <w:rStyle w:val="Appelnotedebasdep"/>
        </w:rPr>
        <w:footnoteReference w:id="1587"/>
      </w:r>
      <w:r w:rsidRPr="00320A86">
        <w:t> » dans le journal populaire 20 minutes ou des gros titres désignant  e</w:t>
      </w:r>
      <w:r w:rsidRPr="00320A86">
        <w:t>x</w:t>
      </w:r>
      <w:r w:rsidRPr="00320A86">
        <w:t>plicit</w:t>
      </w:r>
      <w:r w:rsidRPr="00320A86">
        <w:t>e</w:t>
      </w:r>
      <w:r w:rsidRPr="00320A86">
        <w:t>ment les pays nordiques comme des modèles, par exemple dans Le Monde : « </w:t>
      </w:r>
      <w:r w:rsidRPr="00FB7D22">
        <w:rPr>
          <w:i/>
        </w:rPr>
        <w:t>Le modèle des pays nordiques est une vraie alternative à l’économie de l’offre </w:t>
      </w:r>
      <w:r>
        <w:rPr>
          <w:rStyle w:val="Appelnotedebasdep"/>
        </w:rPr>
        <w:footnoteReference w:id="1588"/>
      </w:r>
      <w:r w:rsidRPr="00320A86">
        <w:t> » ou dans les Echos : « </w:t>
      </w:r>
      <w:r w:rsidRPr="00FB7D22">
        <w:rPr>
          <w:i/>
        </w:rPr>
        <w:t>Pays nordiques : des enseignements d’actualité pour la France </w:t>
      </w:r>
      <w:r>
        <w:rPr>
          <w:rStyle w:val="Appelnotedebasdep"/>
        </w:rPr>
        <w:footnoteReference w:id="1589"/>
      </w:r>
      <w:r w:rsidRPr="00320A86">
        <w:t xml:space="preserve"> »… </w:t>
      </w:r>
    </w:p>
    <w:p w14:paraId="129FF462" w14:textId="77777777" w:rsidR="00B01930" w:rsidRPr="00320A86" w:rsidRDefault="00B01930" w:rsidP="00B01930">
      <w:pPr>
        <w:spacing w:before="120" w:after="120"/>
        <w:jc w:val="both"/>
      </w:pPr>
      <w:r w:rsidRPr="00320A86">
        <w:t>Dans le grand public, la référence au modèle suédois est, en gén</w:t>
      </w:r>
      <w:r w:rsidRPr="00320A86">
        <w:t>é</w:t>
      </w:r>
      <w:r w:rsidRPr="00320A86">
        <w:t>ral, posit</w:t>
      </w:r>
      <w:r w:rsidRPr="00320A86">
        <w:t>i</w:t>
      </w:r>
      <w:r w:rsidRPr="00320A86">
        <w:t>vement accueillie : un sondage réalité en 2007 par l’Institut LH2 pour le Man</w:t>
      </w:r>
      <w:r w:rsidRPr="00320A86">
        <w:t>i</w:t>
      </w:r>
      <w:r w:rsidRPr="00320A86">
        <w:t>feste/20 minutes-RMC</w:t>
      </w:r>
      <w:r>
        <w:t> </w:t>
      </w:r>
      <w:r>
        <w:rPr>
          <w:rStyle w:val="Appelnotedebasdep"/>
        </w:rPr>
        <w:footnoteReference w:id="1590"/>
      </w:r>
      <w:r w:rsidRPr="00320A86">
        <w:t xml:space="preserve"> avait montré que 42 % des français estimaient que la France devait s’inspirer du modèle nord</w:t>
      </w:r>
      <w:r w:rsidRPr="00320A86">
        <w:t>i</w:t>
      </w:r>
      <w:r w:rsidRPr="00320A86">
        <w:t>que ; celui-ci venait en tête devant les autres modèles (Allemagne : 30 % puis Canada 13 %, la Grande-Bretagne obt</w:t>
      </w:r>
      <w:r w:rsidRPr="00320A86">
        <w:t>e</w:t>
      </w:r>
      <w:r w:rsidRPr="00320A86">
        <w:t>nant 15% et les États-Unis 9 %). Le sondage montrait de plus que la référence au m</w:t>
      </w:r>
      <w:r w:rsidRPr="00320A86">
        <w:t>o</w:t>
      </w:r>
      <w:r w:rsidRPr="00320A86">
        <w:t>dèle nordique était fédératrice, tant à gauche qu’à droite. Les princip</w:t>
      </w:r>
      <w:r w:rsidRPr="00320A86">
        <w:t>a</w:t>
      </w:r>
      <w:r w:rsidRPr="00320A86">
        <w:t>les réussites du modèle nordique retenues par les sondés étaient : un chômage fa</w:t>
      </w:r>
      <w:r w:rsidRPr="00320A86">
        <w:t>i</w:t>
      </w:r>
      <w:r w:rsidRPr="00320A86">
        <w:t>ble, une économie performante ainsi que des politiques sociales offrant de vrais services publics et une réelle parité sexuelle. Pour autant, il faut bien constater que les pays nordiques restent assez méconnus en France, au-delà de l’étiquette de « </w:t>
      </w:r>
      <w:r w:rsidRPr="00FB7D22">
        <w:rPr>
          <w:i/>
        </w:rPr>
        <w:t>modèles </w:t>
      </w:r>
      <w:r w:rsidRPr="00320A86">
        <w:t>» qui leur est si souvent apposée. Leur image populaire, si elle est positive, n’est qu’une image floue, où les différents pays nordiques sont peu diff</w:t>
      </w:r>
      <w:r w:rsidRPr="00320A86">
        <w:t>é</w:t>
      </w:r>
      <w:r w:rsidRPr="00320A86">
        <w:t>renciés, voire confondus</w:t>
      </w:r>
      <w:r>
        <w:t> </w:t>
      </w:r>
      <w:r>
        <w:rPr>
          <w:rStyle w:val="Appelnotedebasdep"/>
        </w:rPr>
        <w:footnoteReference w:id="1591"/>
      </w:r>
      <w:r w:rsidRPr="00320A86">
        <w:t>… De plus, cette ignorance n’est pas que géograph</w:t>
      </w:r>
      <w:r w:rsidRPr="00320A86">
        <w:t>i</w:t>
      </w:r>
      <w:r w:rsidRPr="00320A86">
        <w:t>que : bien peu de Français pourraient, par exemple, dire quelle est la différence entre « </w:t>
      </w:r>
      <w:r w:rsidRPr="00FB7D22">
        <w:rPr>
          <w:i/>
        </w:rPr>
        <w:t>nordique </w:t>
      </w:r>
      <w:r w:rsidRPr="00320A86">
        <w:t>» et « </w:t>
      </w:r>
      <w:r w:rsidRPr="00FB7D22">
        <w:rPr>
          <w:i/>
        </w:rPr>
        <w:t>scandinave </w:t>
      </w:r>
      <w:r w:rsidRPr="00320A86">
        <w:t>»</w:t>
      </w:r>
      <w:r>
        <w:t> </w:t>
      </w:r>
      <w:r>
        <w:rPr>
          <w:rStyle w:val="Appelnotedebasdep"/>
        </w:rPr>
        <w:footnoteReference w:id="1592"/>
      </w:r>
      <w:r w:rsidRPr="00320A86">
        <w:t>, et leur représentation de ces pays repose bien souvent sur quelques él</w:t>
      </w:r>
      <w:r w:rsidRPr="00320A86">
        <w:t>é</w:t>
      </w:r>
      <w:r w:rsidRPr="00320A86">
        <w:t>ments disparates. Même le succès, depuis plus d’une décennie, des romans nordiques, polars tels que Millenium</w:t>
      </w:r>
      <w:r>
        <w:t> </w:t>
      </w:r>
      <w:r>
        <w:rPr>
          <w:rStyle w:val="Appelnotedebasdep"/>
        </w:rPr>
        <w:footnoteReference w:id="1593"/>
      </w:r>
      <w:r w:rsidRPr="00320A86">
        <w:t xml:space="preserve"> et romans com</w:t>
      </w:r>
      <w:r w:rsidRPr="00320A86">
        <w:t>i</w:t>
      </w:r>
      <w:r w:rsidRPr="00320A86">
        <w:t>ques tels que Le vieux qui ne voulait pas fêter son anniversaire</w:t>
      </w:r>
      <w:r>
        <w:t> </w:t>
      </w:r>
      <w:r>
        <w:rPr>
          <w:rStyle w:val="Appelnotedebasdep"/>
        </w:rPr>
        <w:footnoteReference w:id="1594"/>
      </w:r>
      <w:r w:rsidRPr="00320A86">
        <w:t xml:space="preserve"> n’y peut rien… En effet, ce qui échappe souvent au lecteur franc</w:t>
      </w:r>
      <w:r w:rsidRPr="00320A86">
        <w:t>o</w:t>
      </w:r>
      <w:r w:rsidRPr="00320A86">
        <w:t>phone, c’est que ces romans, les polars en particulier, ne reflètent souvent les pays nord</w:t>
      </w:r>
      <w:r w:rsidRPr="00320A86">
        <w:t>i</w:t>
      </w:r>
      <w:r w:rsidRPr="00320A86">
        <w:t>ques que par un biais critique : comme l’écrit Sylvain Briens « </w:t>
      </w:r>
      <w:r w:rsidRPr="00FB7D22">
        <w:rPr>
          <w:i/>
        </w:rPr>
        <w:t>Le r</w:t>
      </w:r>
      <w:r w:rsidRPr="00FB7D22">
        <w:rPr>
          <w:i/>
        </w:rPr>
        <w:t>o</w:t>
      </w:r>
      <w:r w:rsidRPr="00FB7D22">
        <w:rPr>
          <w:i/>
        </w:rPr>
        <w:t>man policier suédois contemporain partage avec la littérature de m</w:t>
      </w:r>
      <w:r w:rsidRPr="00FB7D22">
        <w:rPr>
          <w:i/>
        </w:rPr>
        <w:t>o</w:t>
      </w:r>
      <w:r w:rsidRPr="00FB7D22">
        <w:rPr>
          <w:i/>
        </w:rPr>
        <w:t>bilisation des années 1930 et 1940 la volonté de d</w:t>
      </w:r>
      <w:r w:rsidRPr="00FB7D22">
        <w:rPr>
          <w:i/>
        </w:rPr>
        <w:t>é</w:t>
      </w:r>
      <w:r w:rsidRPr="00FB7D22">
        <w:rPr>
          <w:i/>
        </w:rPr>
        <w:t>noncer les dangers de certaines évolutions de la société et se donne pour objectif de pr</w:t>
      </w:r>
      <w:r w:rsidRPr="00FB7D22">
        <w:rPr>
          <w:i/>
        </w:rPr>
        <w:t>é</w:t>
      </w:r>
      <w:r w:rsidRPr="00FB7D22">
        <w:rPr>
          <w:i/>
        </w:rPr>
        <w:t>venir les lecteurs de ce qui les menace collectivement. Les dysfon</w:t>
      </w:r>
      <w:r w:rsidRPr="00FB7D22">
        <w:rPr>
          <w:i/>
        </w:rPr>
        <w:t>c</w:t>
      </w:r>
      <w:r w:rsidRPr="00FB7D22">
        <w:rPr>
          <w:i/>
        </w:rPr>
        <w:t>tionnements de la justice, les travers de la social-démocratie, les te</w:t>
      </w:r>
      <w:r w:rsidRPr="00FB7D22">
        <w:rPr>
          <w:i/>
        </w:rPr>
        <w:t>n</w:t>
      </w:r>
      <w:r w:rsidRPr="00FB7D22">
        <w:rPr>
          <w:i/>
        </w:rPr>
        <w:t>sions autour de l’immigration, le démantèlement des services de soins psychiatriques, les inégalités entre les sexes et les inégalités sociales, la xén</w:t>
      </w:r>
      <w:r w:rsidRPr="00FB7D22">
        <w:rPr>
          <w:i/>
        </w:rPr>
        <w:t>o</w:t>
      </w:r>
      <w:r w:rsidRPr="00FB7D22">
        <w:rPr>
          <w:i/>
        </w:rPr>
        <w:t>phobie ou encore la montée de l’extrême droite, voire même le terrorisme sont autant de thèmes récurrents dans le polar su</w:t>
      </w:r>
      <w:r w:rsidRPr="00FB7D22">
        <w:rPr>
          <w:i/>
        </w:rPr>
        <w:t>é</w:t>
      </w:r>
      <w:r w:rsidRPr="00FB7D22">
        <w:rPr>
          <w:i/>
        </w:rPr>
        <w:t>dois </w:t>
      </w:r>
      <w:r>
        <w:rPr>
          <w:rStyle w:val="Appelnotedebasdep"/>
        </w:rPr>
        <w:footnoteReference w:id="1595"/>
      </w:r>
      <w:r w:rsidRPr="00320A86">
        <w:t> ». Les sociétés nordiques apparaissent donc, dans cette littér</w:t>
      </w:r>
      <w:r w:rsidRPr="00320A86">
        <w:t>a</w:t>
      </w:r>
      <w:r w:rsidRPr="00320A86">
        <w:t>ture, au travers du prisme déformant de la dénonciation ; il s’agit « </w:t>
      </w:r>
      <w:r w:rsidRPr="00FB7D22">
        <w:rPr>
          <w:i/>
        </w:rPr>
        <w:t>d’une écr</w:t>
      </w:r>
      <w:r w:rsidRPr="00FB7D22">
        <w:rPr>
          <w:i/>
        </w:rPr>
        <w:t>i</w:t>
      </w:r>
      <w:r w:rsidRPr="00FB7D22">
        <w:rPr>
          <w:i/>
        </w:rPr>
        <w:t>ture accessible à tous, qui interpelle le lecteur sur les travers de la s</w:t>
      </w:r>
      <w:r w:rsidRPr="00FB7D22">
        <w:rPr>
          <w:i/>
        </w:rPr>
        <w:t>o</w:t>
      </w:r>
      <w:r w:rsidRPr="00FB7D22">
        <w:rPr>
          <w:i/>
        </w:rPr>
        <w:t>ciété afin de le mobiliser. Le fait que la critique porte sur la Suède considérée comme un modèle d’organisation et un laboratoire polit</w:t>
      </w:r>
      <w:r w:rsidRPr="00FB7D22">
        <w:rPr>
          <w:i/>
        </w:rPr>
        <w:t>i</w:t>
      </w:r>
      <w:r w:rsidRPr="00FB7D22">
        <w:rPr>
          <w:i/>
        </w:rPr>
        <w:t>que, économique et social rend la critique encore plus forte et encore plus pe</w:t>
      </w:r>
      <w:r w:rsidRPr="00FB7D22">
        <w:rPr>
          <w:i/>
        </w:rPr>
        <w:t>r</w:t>
      </w:r>
      <w:r w:rsidRPr="00FB7D22">
        <w:rPr>
          <w:i/>
        </w:rPr>
        <w:t>tinente </w:t>
      </w:r>
      <w:r>
        <w:rPr>
          <w:rStyle w:val="Appelnotedebasdep"/>
        </w:rPr>
        <w:footnoteReference w:id="1596"/>
      </w:r>
      <w:r w:rsidRPr="00320A86">
        <w:t> »… Ce discours « à usage interne » contenu dans les polars et reproduit dans le cinéma tiré de cette littérature (Mill</w:t>
      </w:r>
      <w:r w:rsidRPr="00320A86">
        <w:t>e</w:t>
      </w:r>
      <w:r w:rsidRPr="00320A86">
        <w:t>nium, les enquêtes de l’inspecteur Wallander, etc…) pourrait même, à la longue, donner à des lecteurs non avertis une image déformée et nég</w:t>
      </w:r>
      <w:r w:rsidRPr="00320A86">
        <w:t>a</w:t>
      </w:r>
      <w:r w:rsidRPr="00320A86">
        <w:t>tive des pays nordiques, peuplés de pervers, d’extrémistes, et de pol</w:t>
      </w:r>
      <w:r w:rsidRPr="00320A86">
        <w:t>i</w:t>
      </w:r>
      <w:r w:rsidRPr="00320A86">
        <w:t>ciers dépressifs… ce qui est très contradictoire avec l’idée de m</w:t>
      </w:r>
      <w:r w:rsidRPr="00320A86">
        <w:t>o</w:t>
      </w:r>
      <w:r w:rsidRPr="00320A86">
        <w:t>dèle nordique qui est une toute autre image de ces pays à l’étranger… D’un autre côté, il faut également reconnaître que cette littérature, aussi d</w:t>
      </w:r>
      <w:r w:rsidRPr="00320A86">
        <w:t>é</w:t>
      </w:r>
      <w:r w:rsidRPr="00320A86">
        <w:t>formante qu’elle soit, peut aussi susciter une curiosité et un attrait pour les pays nordiques, telle cette étudiante qui me dit s’être inscrite à mon cours sur les systèmes politiques nord</w:t>
      </w:r>
      <w:r w:rsidRPr="00320A86">
        <w:t>i</w:t>
      </w:r>
      <w:r w:rsidRPr="00320A86">
        <w:t>ques parce qu’elle était une grande lectrice d’Arto Paasilina (un auteur très populaire en Fra</w:t>
      </w:r>
      <w:r w:rsidRPr="00320A86">
        <w:t>n</w:t>
      </w:r>
      <w:r w:rsidRPr="00320A86">
        <w:t>ce, mais qui peint davantage des sociétés utop</w:t>
      </w:r>
      <w:r w:rsidRPr="00320A86">
        <w:t>i</w:t>
      </w:r>
      <w:r w:rsidRPr="00320A86">
        <w:t>ques que son pays, et dont le type d’humour y est peu banal)…</w:t>
      </w:r>
    </w:p>
    <w:p w14:paraId="1D6F061B" w14:textId="77777777" w:rsidR="00B01930" w:rsidRPr="00320A86" w:rsidRDefault="00B01930" w:rsidP="00B01930">
      <w:pPr>
        <w:spacing w:before="120" w:after="120"/>
        <w:jc w:val="both"/>
      </w:pPr>
      <w:r w:rsidRPr="00320A86">
        <w:t>Nous nous retrouvons donc face à un étrange paradoxe : si les Français adm</w:t>
      </w:r>
      <w:r w:rsidRPr="00320A86">
        <w:t>i</w:t>
      </w:r>
      <w:r w:rsidRPr="00320A86">
        <w:t>rent le modèle nordique, et aiment à s’en inspirer pour copier ses institutions, que signifie cette attitude au regard de la m</w:t>
      </w:r>
      <w:r w:rsidRPr="00320A86">
        <w:t>é</w:t>
      </w:r>
      <w:r w:rsidRPr="00320A86">
        <w:t xml:space="preserve">connaissance générale de ces pays ? Quels sont les usages politiques du mythe du modèle nordique ?... </w:t>
      </w:r>
    </w:p>
    <w:p w14:paraId="4749FD9E" w14:textId="77777777" w:rsidR="00B01930" w:rsidRDefault="00B01930" w:rsidP="00B01930">
      <w:pPr>
        <w:spacing w:before="120" w:after="120"/>
        <w:jc w:val="both"/>
      </w:pPr>
    </w:p>
    <w:p w14:paraId="7C937EFF" w14:textId="77777777" w:rsidR="00B01930" w:rsidRPr="00320A86" w:rsidRDefault="00B01930" w:rsidP="00B01930">
      <w:pPr>
        <w:pStyle w:val="planche"/>
      </w:pPr>
      <w:bookmarkStart w:id="240" w:name="Analyser_idees_pol_pt_4_texte_16_I"/>
      <w:r>
        <w:t>I. La connaissance savante</w:t>
      </w:r>
      <w:r>
        <w:br/>
      </w:r>
      <w:r w:rsidRPr="00320A86">
        <w:t>des pays nordiques en Fra</w:t>
      </w:r>
      <w:r w:rsidRPr="00320A86">
        <w:t>n</w:t>
      </w:r>
      <w:r w:rsidRPr="00320A86">
        <w:t>ce :</w:t>
      </w:r>
      <w:r>
        <w:br/>
      </w:r>
      <w:r w:rsidRPr="00320A86">
        <w:t>intérêt littéraire ancien,</w:t>
      </w:r>
      <w:r>
        <w:br/>
      </w:r>
      <w:r w:rsidRPr="00320A86">
        <w:t>ignorance des sciences soci</w:t>
      </w:r>
      <w:r w:rsidRPr="00320A86">
        <w:t>a</w:t>
      </w:r>
      <w:r w:rsidRPr="00320A86">
        <w:t>les</w:t>
      </w:r>
    </w:p>
    <w:bookmarkEnd w:id="240"/>
    <w:p w14:paraId="417BEC5B" w14:textId="77777777" w:rsidR="00B01930" w:rsidRDefault="00B01930" w:rsidP="00B01930">
      <w:pPr>
        <w:spacing w:before="120" w:after="120"/>
        <w:jc w:val="both"/>
      </w:pPr>
    </w:p>
    <w:p w14:paraId="4A27324E"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5CC1AC9B" w14:textId="77777777" w:rsidR="00B01930" w:rsidRPr="00320A86" w:rsidRDefault="00B01930" w:rsidP="00B01930">
      <w:pPr>
        <w:spacing w:before="120" w:after="120"/>
        <w:jc w:val="both"/>
      </w:pPr>
      <w:r w:rsidRPr="00320A86">
        <w:t>Il serait profondément injuste, bien sûr, de prétendre que l’ignorance sur les pays nordiques est totale en France. Au contraire, il existe une tradition ancienne d’étude des langues et civilisations no</w:t>
      </w:r>
      <w:r w:rsidRPr="00320A86">
        <w:t>r</w:t>
      </w:r>
      <w:r w:rsidRPr="00320A86">
        <w:t>diques, comme en témoigne le colloque organisé il y a quelques temps pour célébrer les cent ans de la Chaire de langues et littératures sca</w:t>
      </w:r>
      <w:r w:rsidRPr="00320A86">
        <w:t>n</w:t>
      </w:r>
      <w:r w:rsidRPr="00320A86">
        <w:t>dinaves à la Sorbonne créée en 1909</w:t>
      </w:r>
      <w:r>
        <w:t> </w:t>
      </w:r>
      <w:r>
        <w:rPr>
          <w:rStyle w:val="Appelnotedebasdep"/>
        </w:rPr>
        <w:footnoteReference w:id="1597"/>
      </w:r>
      <w:r w:rsidRPr="00320A86">
        <w:t>. En revanche, en dehors du tr</w:t>
      </w:r>
      <w:r w:rsidRPr="00320A86">
        <w:t>a</w:t>
      </w:r>
      <w:r w:rsidRPr="00320A86">
        <w:t>vail des littéraires « civilisationistes », les sciences sociales, qui sont a priori les disciplines les mieux placées pour étudier ce qu’on appelle « modèle nordique », au sens de « modèle d’organisation politique, sociale et économique », ne s’intéressent à ces pays que de f</w:t>
      </w:r>
      <w:r w:rsidRPr="00320A86">
        <w:t>a</w:t>
      </w:r>
      <w:r w:rsidRPr="00320A86">
        <w:t>çon très anecdotique. De ce fait, l’image qu’ont les français du modèle nord</w:t>
      </w:r>
      <w:r w:rsidRPr="00320A86">
        <w:t>i</w:t>
      </w:r>
      <w:r w:rsidRPr="00320A86">
        <w:t>que résulte en grande partie de la diffusion de travaux littéraires et de récits de voyages, parfois anciens.</w:t>
      </w:r>
    </w:p>
    <w:p w14:paraId="0D07A116" w14:textId="77777777" w:rsidR="00B01930" w:rsidRPr="00320A86" w:rsidRDefault="00B01930" w:rsidP="00B01930">
      <w:pPr>
        <w:spacing w:before="120" w:after="120"/>
        <w:jc w:val="both"/>
      </w:pPr>
      <w:r w:rsidRPr="00320A86">
        <w:t xml:space="preserve">Dans son ouvrage </w:t>
      </w:r>
      <w:r w:rsidRPr="00FB7D22">
        <w:rPr>
          <w:i/>
        </w:rPr>
        <w:t>Voyage en Scandinavie, Anthologie de voy</w:t>
      </w:r>
      <w:r w:rsidRPr="00FB7D22">
        <w:rPr>
          <w:i/>
        </w:rPr>
        <w:t>a</w:t>
      </w:r>
      <w:r w:rsidRPr="00FB7D22">
        <w:rPr>
          <w:i/>
        </w:rPr>
        <w:t>geurs 1627-1914 </w:t>
      </w:r>
      <w:r>
        <w:rPr>
          <w:rStyle w:val="Appelnotedebasdep"/>
        </w:rPr>
        <w:footnoteReference w:id="1598"/>
      </w:r>
      <w:r w:rsidRPr="00320A86">
        <w:t>, Vincent Fournier présentait 41 ouvrages</w:t>
      </w:r>
      <w:r>
        <w:t> </w:t>
      </w:r>
      <w:r>
        <w:rPr>
          <w:rStyle w:val="Appelnotedebasdep"/>
        </w:rPr>
        <w:footnoteReference w:id="1599"/>
      </w:r>
      <w:r w:rsidRPr="00320A86">
        <w:t xml:space="preserve"> dont on peut dire qu’ils sont pour une large part à l’origine des représent</w:t>
      </w:r>
      <w:r w:rsidRPr="00320A86">
        <w:t>a</w:t>
      </w:r>
      <w:r w:rsidRPr="00320A86">
        <w:t>tions du monde nordique en France. Mais l’image des pays no</w:t>
      </w:r>
      <w:r w:rsidRPr="00320A86">
        <w:t>r</w:t>
      </w:r>
      <w:r w:rsidRPr="00320A86">
        <w:t>diques est encore plus ancienne : elle remonte à la très ancienne l</w:t>
      </w:r>
      <w:r w:rsidRPr="00320A86">
        <w:t>é</w:t>
      </w:r>
      <w:r w:rsidRPr="00320A86">
        <w:t>gende grecque des hyperboréens, peuple mythique de géants proches des dieux qui vivait sur une terre septentrionale, véritable « </w:t>
      </w:r>
      <w:r w:rsidRPr="00FB7D22">
        <w:rPr>
          <w:i/>
        </w:rPr>
        <w:t>espace lége</w:t>
      </w:r>
      <w:r w:rsidRPr="00FB7D22">
        <w:rPr>
          <w:i/>
        </w:rPr>
        <w:t>n</w:t>
      </w:r>
      <w:r w:rsidRPr="00FB7D22">
        <w:rPr>
          <w:i/>
        </w:rPr>
        <w:t>daire de félicité </w:t>
      </w:r>
      <w:r>
        <w:rPr>
          <w:rStyle w:val="Appelnotedebasdep"/>
        </w:rPr>
        <w:footnoteReference w:id="1600"/>
      </w:r>
      <w:r w:rsidRPr="00320A86">
        <w:t> ». Le monde des hyperboréens représentait une société idé</w:t>
      </w:r>
      <w:r w:rsidRPr="00320A86">
        <w:t>a</w:t>
      </w:r>
      <w:r w:rsidRPr="00320A86">
        <w:t>le, mythe social maintes fois repris et retouché, mais déjà d’une i</w:t>
      </w:r>
      <w:r w:rsidRPr="00320A86">
        <w:t>m</w:t>
      </w:r>
      <w:r w:rsidRPr="00320A86">
        <w:t>portance capitale pour ce qui est de l’idée de « </w:t>
      </w:r>
      <w:r w:rsidRPr="00FB7D22">
        <w:rPr>
          <w:i/>
        </w:rPr>
        <w:t>modèle </w:t>
      </w:r>
      <w:r w:rsidRPr="00320A86">
        <w:t>» s</w:t>
      </w:r>
      <w:r w:rsidRPr="00320A86">
        <w:t>o</w:t>
      </w:r>
      <w:r w:rsidRPr="00320A86">
        <w:t>cial. Pour Jean-François Battail, « </w:t>
      </w:r>
      <w:r w:rsidRPr="00FB7D22">
        <w:rPr>
          <w:i/>
        </w:rPr>
        <w:t>ce thème d’une société idyllique autosuffisa</w:t>
      </w:r>
      <w:r w:rsidRPr="00FB7D22">
        <w:rPr>
          <w:i/>
        </w:rPr>
        <w:t>n</w:t>
      </w:r>
      <w:r w:rsidRPr="00FB7D22">
        <w:rPr>
          <w:i/>
        </w:rPr>
        <w:t>te sera maintes fois repris au cours de l’histoire… De diverses mani</w:t>
      </w:r>
      <w:r w:rsidRPr="00FB7D22">
        <w:rPr>
          <w:i/>
        </w:rPr>
        <w:t>è</w:t>
      </w:r>
      <w:r w:rsidRPr="00FB7D22">
        <w:rPr>
          <w:i/>
        </w:rPr>
        <w:t>res, le Septentrion a été dépeint comme source de richesse, berceau de la liberté, creuset des énergies, et cette glorification pr</w:t>
      </w:r>
      <w:r w:rsidRPr="00FB7D22">
        <w:rPr>
          <w:i/>
        </w:rPr>
        <w:t>é</w:t>
      </w:r>
      <w:r w:rsidRPr="00FB7D22">
        <w:rPr>
          <w:i/>
        </w:rPr>
        <w:t>sente un vif intérêt pour l’histoire des mentalités. Présent dès l’aube des temps, ce mythe, diffus à l’origine, a été l’objet d’appropriations, de codific</w:t>
      </w:r>
      <w:r w:rsidRPr="00FB7D22">
        <w:rPr>
          <w:i/>
        </w:rPr>
        <w:t>a</w:t>
      </w:r>
      <w:r w:rsidRPr="00FB7D22">
        <w:rPr>
          <w:i/>
        </w:rPr>
        <w:t>tions et de légitimations successives. Certes, il s’est beaucoup tran</w:t>
      </w:r>
      <w:r w:rsidRPr="00FB7D22">
        <w:rPr>
          <w:i/>
        </w:rPr>
        <w:t>s</w:t>
      </w:r>
      <w:r w:rsidRPr="00FB7D22">
        <w:rPr>
          <w:i/>
        </w:rPr>
        <w:t>formé au cours des âges, les contenus ont varié, des éléments no</w:t>
      </w:r>
      <w:r w:rsidRPr="00FB7D22">
        <w:rPr>
          <w:i/>
        </w:rPr>
        <w:t>u</w:t>
      </w:r>
      <w:r w:rsidRPr="00FB7D22">
        <w:rPr>
          <w:i/>
        </w:rPr>
        <w:t>veaux se sont ajoutés, mais sa structure n’en a pas été profondément affectée </w:t>
      </w:r>
      <w:r>
        <w:rPr>
          <w:rStyle w:val="Appelnotedebasdep"/>
        </w:rPr>
        <w:footnoteReference w:id="1601"/>
      </w:r>
      <w:r>
        <w:t> </w:t>
      </w:r>
      <w:r w:rsidRPr="00320A86">
        <w:t>». Tacite, dans Germania, repre</w:t>
      </w:r>
      <w:r w:rsidRPr="00320A86">
        <w:t>n</w:t>
      </w:r>
      <w:r w:rsidRPr="00320A86">
        <w:t>dra plus tard cette image d’une société sobre, démocratique, où les vertus civiles sont dévelo</w:t>
      </w:r>
      <w:r w:rsidRPr="00320A86">
        <w:t>p</w:t>
      </w:r>
      <w:r w:rsidRPr="00320A86">
        <w:t xml:space="preserve">pées… Un autre texte, le </w:t>
      </w:r>
      <w:r w:rsidRPr="00FB7D22">
        <w:rPr>
          <w:i/>
        </w:rPr>
        <w:t>De gentibus septentrionalibus</w:t>
      </w:r>
      <w:r w:rsidRPr="00320A86">
        <w:t>, publié à R</w:t>
      </w:r>
      <w:r w:rsidRPr="00320A86">
        <w:t>o</w:t>
      </w:r>
      <w:r w:rsidRPr="00320A86">
        <w:t>me en 1555 par Olaus Magnus (un éccl</w:t>
      </w:r>
      <w:r w:rsidRPr="00320A86">
        <w:t>é</w:t>
      </w:r>
      <w:r w:rsidRPr="00320A86">
        <w:t>siastique suédois en exil), fut traduit dans de nombreuses langues et a été « </w:t>
      </w:r>
      <w:r w:rsidRPr="00FB7D22">
        <w:rPr>
          <w:i/>
        </w:rPr>
        <w:t>pendant deux siècles la source m</w:t>
      </w:r>
      <w:r w:rsidRPr="00FB7D22">
        <w:rPr>
          <w:i/>
        </w:rPr>
        <w:t>a</w:t>
      </w:r>
      <w:r w:rsidRPr="00FB7D22">
        <w:rPr>
          <w:i/>
        </w:rPr>
        <w:t>jeure à laquelle les intellectuels européens ont puisé l’essentiel de leurs connai</w:t>
      </w:r>
      <w:r w:rsidRPr="00FB7D22">
        <w:rPr>
          <w:i/>
        </w:rPr>
        <w:t>s</w:t>
      </w:r>
      <w:r w:rsidRPr="00FB7D22">
        <w:rPr>
          <w:i/>
        </w:rPr>
        <w:t>sances sur les pays nordiques </w:t>
      </w:r>
      <w:r>
        <w:rPr>
          <w:rStyle w:val="Appelnotedebasdep"/>
        </w:rPr>
        <w:footnoteReference w:id="1602"/>
      </w:r>
      <w:r w:rsidRPr="00320A86">
        <w:t> » ; il s’inspirait lui-même d’un ouvrage de Jordanes, évêque de Ravenne qui publia vers 550 un De origine actibus ger</w:t>
      </w:r>
      <w:r w:rsidRPr="00320A86">
        <w:t>a</w:t>
      </w:r>
      <w:r w:rsidRPr="00320A86">
        <w:t>tum où la Scandinavie était dépeinte comme l’île de Skandza, berceau des a</w:t>
      </w:r>
      <w:r w:rsidRPr="00320A86">
        <w:t>n</w:t>
      </w:r>
      <w:r w:rsidRPr="00320A86">
        <w:t>ciens Gots qui firent vaciller l’empire romain</w:t>
      </w:r>
      <w:r>
        <w:t> </w:t>
      </w:r>
      <w:r>
        <w:rPr>
          <w:rStyle w:val="Appelnotedebasdep"/>
        </w:rPr>
        <w:footnoteReference w:id="1603"/>
      </w:r>
      <w:r w:rsidRPr="00320A86">
        <w:t>. Un autre auteur célèbre apport</w:t>
      </w:r>
      <w:r w:rsidRPr="00320A86">
        <w:t>e</w:t>
      </w:r>
      <w:r w:rsidRPr="00320A86">
        <w:t>ra sa pierre à la construction du mythe, au 18</w:t>
      </w:r>
      <w:r w:rsidRPr="00320A86">
        <w:rPr>
          <w:vertAlign w:val="superscript"/>
        </w:rPr>
        <w:t>ème</w:t>
      </w:r>
      <w:r w:rsidRPr="00320A86">
        <w:t xml:space="preserve"> siècle : il s’agit de Monte</w:t>
      </w:r>
      <w:r w:rsidRPr="00320A86">
        <w:t>s</w:t>
      </w:r>
      <w:r w:rsidRPr="00320A86">
        <w:t>quieu, qui, s’inspirant de ses préd</w:t>
      </w:r>
      <w:r w:rsidRPr="00320A86">
        <w:t>é</w:t>
      </w:r>
      <w:r w:rsidRPr="00320A86">
        <w:t xml:space="preserve">cesseurs, écrit dans </w:t>
      </w:r>
      <w:r w:rsidRPr="00FB7D22">
        <w:rPr>
          <w:i/>
        </w:rPr>
        <w:t>L’Esprit des lois</w:t>
      </w:r>
      <w:r w:rsidRPr="00320A86">
        <w:t xml:space="preserve"> que les nations qui habitent la Scandinavie « </w:t>
      </w:r>
      <w:r w:rsidRPr="00FB7D22">
        <w:rPr>
          <w:i/>
        </w:rPr>
        <w:t>ont été la source de la liberté en Europe </w:t>
      </w:r>
      <w:r w:rsidRPr="00320A86">
        <w:t>» car il estime que « </w:t>
      </w:r>
      <w:r w:rsidRPr="00FB7D22">
        <w:rPr>
          <w:i/>
        </w:rPr>
        <w:t xml:space="preserve">les Goths, </w:t>
      </w:r>
      <w:r w:rsidRPr="00FB7D22">
        <w:rPr>
          <w:rFonts w:cs="Arial"/>
          <w:i/>
          <w:color w:val="252525"/>
          <w:shd w:val="clear" w:color="auto" w:fill="FFFFFF"/>
        </w:rPr>
        <w:t xml:space="preserve"> conquérant l’empire Romain, fondèrent partout la m</w:t>
      </w:r>
      <w:r w:rsidRPr="00FB7D22">
        <w:rPr>
          <w:rFonts w:cs="Arial"/>
          <w:i/>
          <w:color w:val="252525"/>
          <w:shd w:val="clear" w:color="auto" w:fill="FFFFFF"/>
        </w:rPr>
        <w:t>o</w:t>
      </w:r>
      <w:r w:rsidRPr="00FB7D22">
        <w:rPr>
          <w:rFonts w:cs="Arial"/>
          <w:i/>
          <w:color w:val="252525"/>
          <w:shd w:val="clear" w:color="auto" w:fill="FFFFFF"/>
        </w:rPr>
        <w:t>narchie et la liberté </w:t>
      </w:r>
      <w:r>
        <w:rPr>
          <w:rStyle w:val="Appelnotedebasdep"/>
          <w:rFonts w:cs="Arial"/>
          <w:shd w:val="clear" w:color="auto" w:fill="FFFFFF"/>
        </w:rPr>
        <w:footnoteReference w:id="1604"/>
      </w:r>
      <w:r w:rsidRPr="00320A86">
        <w:rPr>
          <w:rFonts w:cs="Arial"/>
          <w:color w:val="252525"/>
          <w:shd w:val="clear" w:color="auto" w:fill="FFFFFF"/>
        </w:rPr>
        <w:t> ». Voltaire prolongera cette vision polit</w:t>
      </w:r>
      <w:r w:rsidRPr="00320A86">
        <w:rPr>
          <w:rFonts w:cs="Arial"/>
          <w:color w:val="252525"/>
          <w:shd w:val="clear" w:color="auto" w:fill="FFFFFF"/>
        </w:rPr>
        <w:t>i</w:t>
      </w:r>
      <w:r w:rsidRPr="00320A86">
        <w:rPr>
          <w:rFonts w:cs="Arial"/>
          <w:color w:val="252525"/>
          <w:shd w:val="clear" w:color="auto" w:fill="FFFFFF"/>
        </w:rPr>
        <w:t xml:space="preserve">que en écrivant dans </w:t>
      </w:r>
      <w:r w:rsidRPr="00FB7D22">
        <w:rPr>
          <w:rFonts w:cs="Arial"/>
          <w:color w:val="252525"/>
          <w:shd w:val="clear" w:color="auto" w:fill="FFFFFF"/>
        </w:rPr>
        <w:t>l’</w:t>
      </w:r>
      <w:r w:rsidRPr="00FB7D22">
        <w:rPr>
          <w:rFonts w:cs="Arial"/>
          <w:i/>
          <w:color w:val="252525"/>
          <w:shd w:val="clear" w:color="auto" w:fill="FFFFFF"/>
        </w:rPr>
        <w:t>Essai sur les mœurs</w:t>
      </w:r>
      <w:r w:rsidRPr="00320A86">
        <w:rPr>
          <w:rFonts w:cs="Arial"/>
          <w:color w:val="252525"/>
          <w:shd w:val="clear" w:color="auto" w:fill="FFFFFF"/>
        </w:rPr>
        <w:t xml:space="preserve"> que la monarchie constit</w:t>
      </w:r>
      <w:r w:rsidRPr="00320A86">
        <w:rPr>
          <w:rFonts w:cs="Arial"/>
          <w:color w:val="252525"/>
          <w:shd w:val="clear" w:color="auto" w:fill="FFFFFF"/>
        </w:rPr>
        <w:t>u</w:t>
      </w:r>
      <w:r w:rsidRPr="00320A86">
        <w:rPr>
          <w:rFonts w:cs="Arial"/>
          <w:color w:val="252525"/>
          <w:shd w:val="clear" w:color="auto" w:fill="FFFFFF"/>
        </w:rPr>
        <w:t>tionnelle suédoise est le royaume le plus libre de la terre</w:t>
      </w:r>
      <w:r>
        <w:rPr>
          <w:rFonts w:cs="Arial"/>
          <w:color w:val="252525"/>
          <w:shd w:val="clear" w:color="auto" w:fill="FFFFFF"/>
        </w:rPr>
        <w:t> </w:t>
      </w:r>
      <w:r>
        <w:rPr>
          <w:rStyle w:val="Appelnotedebasdep"/>
          <w:rFonts w:cs="Arial"/>
          <w:shd w:val="clear" w:color="auto" w:fill="FFFFFF"/>
        </w:rPr>
        <w:footnoteReference w:id="1605"/>
      </w:r>
      <w:r w:rsidRPr="00320A86">
        <w:rPr>
          <w:rFonts w:cs="Arial"/>
          <w:color w:val="252525"/>
          <w:shd w:val="clear" w:color="auto" w:fill="FFFFFF"/>
        </w:rPr>
        <w:t>. Moins connu de nos contemp</w:t>
      </w:r>
      <w:r w:rsidRPr="00320A86">
        <w:rPr>
          <w:rFonts w:cs="Arial"/>
          <w:color w:val="252525"/>
          <w:shd w:val="clear" w:color="auto" w:fill="FFFFFF"/>
        </w:rPr>
        <w:t>o</w:t>
      </w:r>
      <w:r w:rsidRPr="00320A86">
        <w:rPr>
          <w:rFonts w:cs="Arial"/>
          <w:color w:val="252525"/>
          <w:shd w:val="clear" w:color="auto" w:fill="FFFFFF"/>
        </w:rPr>
        <w:t>rains, Jean-Jacques Ampère, professeur de li</w:t>
      </w:r>
      <w:r w:rsidRPr="00320A86">
        <w:rPr>
          <w:rFonts w:cs="Arial"/>
          <w:color w:val="252525"/>
          <w:shd w:val="clear" w:color="auto" w:fill="FFFFFF"/>
        </w:rPr>
        <w:t>t</w:t>
      </w:r>
      <w:r w:rsidRPr="00320A86">
        <w:rPr>
          <w:rFonts w:cs="Arial"/>
          <w:color w:val="252525"/>
          <w:shd w:val="clear" w:color="auto" w:fill="FFFFFF"/>
        </w:rPr>
        <w:t>térature étrangère à la Sorbonne, au Collège de France et ardent militant libéral, fera conna</w:t>
      </w:r>
      <w:r w:rsidRPr="00320A86">
        <w:rPr>
          <w:rFonts w:cs="Arial"/>
          <w:color w:val="252525"/>
          <w:shd w:val="clear" w:color="auto" w:fill="FFFFFF"/>
        </w:rPr>
        <w:t>î</w:t>
      </w:r>
      <w:r w:rsidRPr="00320A86">
        <w:rPr>
          <w:rFonts w:cs="Arial"/>
          <w:color w:val="252525"/>
          <w:shd w:val="clear" w:color="auto" w:fill="FFFFFF"/>
        </w:rPr>
        <w:t>tre les pays nordiques dans ses récits de voyage où il observe en part</w:t>
      </w:r>
      <w:r w:rsidRPr="00320A86">
        <w:rPr>
          <w:rFonts w:cs="Arial"/>
          <w:color w:val="252525"/>
          <w:shd w:val="clear" w:color="auto" w:fill="FFFFFF"/>
        </w:rPr>
        <w:t>i</w:t>
      </w:r>
      <w:r w:rsidRPr="00320A86">
        <w:rPr>
          <w:rFonts w:cs="Arial"/>
          <w:color w:val="252525"/>
          <w:shd w:val="clear" w:color="auto" w:fill="FFFFFF"/>
        </w:rPr>
        <w:t>culier les mœurs politiques et où il s’émerveille particulièrement (en 1827) de la démocratie norvégienne : « </w:t>
      </w:r>
      <w:r w:rsidRPr="00FB7D22">
        <w:rPr>
          <w:rFonts w:cs="Arial"/>
          <w:i/>
          <w:color w:val="252525"/>
          <w:shd w:val="clear" w:color="auto" w:fill="FFFFFF"/>
        </w:rPr>
        <w:t>S’il y a un pays où la forme de gouvern</w:t>
      </w:r>
      <w:r w:rsidRPr="00FB7D22">
        <w:rPr>
          <w:rFonts w:cs="Arial"/>
          <w:i/>
          <w:color w:val="252525"/>
          <w:shd w:val="clear" w:color="auto" w:fill="FFFFFF"/>
        </w:rPr>
        <w:t>e</w:t>
      </w:r>
      <w:r w:rsidRPr="00FB7D22">
        <w:rPr>
          <w:rFonts w:cs="Arial"/>
          <w:i/>
          <w:color w:val="252525"/>
          <w:shd w:val="clear" w:color="auto" w:fill="FFFFFF"/>
        </w:rPr>
        <w:t>ment soit une monarchie républicaine, c’est la Norvège : là, nulle aristocratie, une égalité absolue entre les citoyens. Les lois sont v</w:t>
      </w:r>
      <w:r w:rsidRPr="00FB7D22">
        <w:rPr>
          <w:rFonts w:cs="Arial"/>
          <w:i/>
          <w:color w:val="252525"/>
          <w:shd w:val="clear" w:color="auto" w:fill="FFFFFF"/>
        </w:rPr>
        <w:t>o</w:t>
      </w:r>
      <w:r w:rsidRPr="00FB7D22">
        <w:rPr>
          <w:rFonts w:cs="Arial"/>
          <w:i/>
          <w:color w:val="252525"/>
          <w:shd w:val="clear" w:color="auto" w:fill="FFFFFF"/>
        </w:rPr>
        <w:t>tées par une assemblée unique, ouverte à la plus mince propriété : c’est le grand conseil storthing, vér</w:t>
      </w:r>
      <w:r w:rsidRPr="00FB7D22">
        <w:rPr>
          <w:rFonts w:cs="Arial"/>
          <w:i/>
          <w:color w:val="252525"/>
          <w:shd w:val="clear" w:color="auto" w:fill="FFFFFF"/>
        </w:rPr>
        <w:t>i</w:t>
      </w:r>
      <w:r w:rsidRPr="00FB7D22">
        <w:rPr>
          <w:rFonts w:cs="Arial"/>
          <w:i/>
          <w:color w:val="252525"/>
          <w:shd w:val="clear" w:color="auto" w:fill="FFFFFF"/>
        </w:rPr>
        <w:t>table souverain qui a… tout le pouvoir législatif </w:t>
      </w:r>
      <w:r>
        <w:rPr>
          <w:rStyle w:val="Appelnotedebasdep"/>
          <w:rFonts w:cs="Arial"/>
          <w:shd w:val="clear" w:color="auto" w:fill="FFFFFF"/>
        </w:rPr>
        <w:footnoteReference w:id="1606"/>
      </w:r>
      <w:r w:rsidRPr="00320A86">
        <w:rPr>
          <w:rFonts w:cs="Arial"/>
          <w:color w:val="252525"/>
          <w:shd w:val="clear" w:color="auto" w:fill="FFFFFF"/>
        </w:rPr>
        <w:t> ». Plus tard, Gobineau, ambassadeur à Stockholm entre 1872 et 1877 s’appliquera à distinguer, dans une veine parfait</w:t>
      </w:r>
      <w:r w:rsidRPr="00320A86">
        <w:rPr>
          <w:rFonts w:cs="Arial"/>
          <w:color w:val="252525"/>
          <w:shd w:val="clear" w:color="auto" w:fill="FFFFFF"/>
        </w:rPr>
        <w:t>e</w:t>
      </w:r>
      <w:r w:rsidRPr="00320A86">
        <w:rPr>
          <w:rFonts w:cs="Arial"/>
          <w:color w:val="252525"/>
          <w:shd w:val="clear" w:color="auto" w:fill="FFFFFF"/>
        </w:rPr>
        <w:t>ment national-romantique, les vertus sociales des anciennes popul</w:t>
      </w:r>
      <w:r w:rsidRPr="00320A86">
        <w:rPr>
          <w:rFonts w:cs="Arial"/>
          <w:color w:val="252525"/>
          <w:shd w:val="clear" w:color="auto" w:fill="FFFFFF"/>
        </w:rPr>
        <w:t>a</w:t>
      </w:r>
      <w:r w:rsidRPr="00320A86">
        <w:rPr>
          <w:rFonts w:cs="Arial"/>
          <w:color w:val="252525"/>
          <w:shd w:val="clear" w:color="auto" w:fill="FFFFFF"/>
        </w:rPr>
        <w:t>tions païennes subsistant sous celles de la société suédo-norvégienne</w:t>
      </w:r>
      <w:r>
        <w:rPr>
          <w:rFonts w:cs="Arial"/>
          <w:color w:val="252525"/>
          <w:shd w:val="clear" w:color="auto" w:fill="FFFFFF"/>
        </w:rPr>
        <w:t> </w:t>
      </w:r>
      <w:r>
        <w:rPr>
          <w:rStyle w:val="Appelnotedebasdep"/>
          <w:rFonts w:cs="Arial"/>
          <w:shd w:val="clear" w:color="auto" w:fill="FFFFFF"/>
        </w:rPr>
        <w:footnoteReference w:id="1607"/>
      </w:r>
      <w:r w:rsidRPr="00320A86">
        <w:rPr>
          <w:rFonts w:cs="Arial"/>
          <w:color w:val="252525"/>
          <w:shd w:val="clear" w:color="auto" w:fill="FFFFFF"/>
        </w:rPr>
        <w:t> : « </w:t>
      </w:r>
      <w:r w:rsidRPr="00FB7D22">
        <w:rPr>
          <w:rFonts w:cs="Arial"/>
          <w:i/>
          <w:color w:val="252525"/>
          <w:shd w:val="clear" w:color="auto" w:fill="FFFFFF"/>
        </w:rPr>
        <w:t>le réformisme patient, la tolérance, l’absence de haine de cla</w:t>
      </w:r>
      <w:r w:rsidRPr="00FB7D22">
        <w:rPr>
          <w:rFonts w:cs="Arial"/>
          <w:i/>
          <w:color w:val="252525"/>
          <w:shd w:val="clear" w:color="auto" w:fill="FFFFFF"/>
        </w:rPr>
        <w:t>s</w:t>
      </w:r>
      <w:r w:rsidRPr="00FB7D22">
        <w:rPr>
          <w:rFonts w:cs="Arial"/>
          <w:i/>
          <w:color w:val="252525"/>
          <w:shd w:val="clear" w:color="auto" w:fill="FFFFFF"/>
        </w:rPr>
        <w:t>se font grande impression sur cet aristocrate qui note que les patrons augme</w:t>
      </w:r>
      <w:r w:rsidRPr="00FB7D22">
        <w:rPr>
          <w:rFonts w:cs="Arial"/>
          <w:i/>
          <w:color w:val="252525"/>
          <w:shd w:val="clear" w:color="auto" w:fill="FFFFFF"/>
        </w:rPr>
        <w:t>n</w:t>
      </w:r>
      <w:r w:rsidRPr="00FB7D22">
        <w:rPr>
          <w:rFonts w:cs="Arial"/>
          <w:i/>
          <w:color w:val="252525"/>
          <w:shd w:val="clear" w:color="auto" w:fill="FFFFFF"/>
        </w:rPr>
        <w:t>tent leurs ouvriers  sans se faire prier et qui rend hommage au peuple su</w:t>
      </w:r>
      <w:r w:rsidRPr="00FB7D22">
        <w:rPr>
          <w:rFonts w:cs="Arial"/>
          <w:i/>
          <w:color w:val="252525"/>
          <w:shd w:val="clear" w:color="auto" w:fill="FFFFFF"/>
        </w:rPr>
        <w:t>é</w:t>
      </w:r>
      <w:r w:rsidRPr="00FB7D22">
        <w:rPr>
          <w:rFonts w:cs="Arial"/>
          <w:i/>
          <w:color w:val="252525"/>
          <w:shd w:val="clear" w:color="auto" w:fill="FFFFFF"/>
        </w:rPr>
        <w:t>dois – instruit, patient et d’une douceur extrême </w:t>
      </w:r>
      <w:r>
        <w:rPr>
          <w:rStyle w:val="Appelnotedebasdep"/>
          <w:rFonts w:cs="Arial"/>
          <w:shd w:val="clear" w:color="auto" w:fill="FFFFFF"/>
        </w:rPr>
        <w:footnoteReference w:id="1608"/>
      </w:r>
      <w:r>
        <w:rPr>
          <w:rFonts w:cs="Arial"/>
          <w:color w:val="252525"/>
          <w:shd w:val="clear" w:color="auto" w:fill="FFFFFF"/>
        </w:rPr>
        <w:t> </w:t>
      </w:r>
      <w:r w:rsidRPr="00320A86">
        <w:rPr>
          <w:rFonts w:cs="Arial"/>
          <w:color w:val="252525"/>
          <w:shd w:val="clear" w:color="auto" w:fill="FFFFFF"/>
        </w:rPr>
        <w:t>»… C’est donc une succession de représentations ancie</w:t>
      </w:r>
      <w:r w:rsidRPr="00320A86">
        <w:rPr>
          <w:rFonts w:cs="Arial"/>
          <w:color w:val="252525"/>
          <w:shd w:val="clear" w:color="auto" w:fill="FFFFFF"/>
        </w:rPr>
        <w:t>n</w:t>
      </w:r>
      <w:r w:rsidRPr="00320A86">
        <w:rPr>
          <w:rFonts w:cs="Arial"/>
          <w:color w:val="252525"/>
          <w:shd w:val="clear" w:color="auto" w:fill="FFFFFF"/>
        </w:rPr>
        <w:t>nes et utopiques des sociétés nordiques, sociétés idéales, capables de vi</w:t>
      </w:r>
      <w:r w:rsidRPr="00320A86">
        <w:rPr>
          <w:rFonts w:cs="Arial"/>
          <w:color w:val="252525"/>
          <w:shd w:val="clear" w:color="auto" w:fill="FFFFFF"/>
        </w:rPr>
        <w:t>o</w:t>
      </w:r>
      <w:r w:rsidRPr="00320A86">
        <w:rPr>
          <w:rFonts w:cs="Arial"/>
          <w:color w:val="252525"/>
          <w:shd w:val="clear" w:color="auto" w:fill="FFFFFF"/>
        </w:rPr>
        <w:t>lence (Vikings et guerriers goths), mais hautement civilisées, dém</w:t>
      </w:r>
      <w:r w:rsidRPr="00320A86">
        <w:rPr>
          <w:rFonts w:cs="Arial"/>
          <w:color w:val="252525"/>
          <w:shd w:val="clear" w:color="auto" w:fill="FFFFFF"/>
        </w:rPr>
        <w:t>o</w:t>
      </w:r>
      <w:r w:rsidRPr="00320A86">
        <w:rPr>
          <w:rFonts w:cs="Arial"/>
          <w:color w:val="252525"/>
          <w:shd w:val="clear" w:color="auto" w:fill="FFFFFF"/>
        </w:rPr>
        <w:t>cratiques, égalitaires et cultivées, empreintes de sobriété, qui a préf</w:t>
      </w:r>
      <w:r w:rsidRPr="00320A86">
        <w:rPr>
          <w:rFonts w:cs="Arial"/>
          <w:color w:val="252525"/>
          <w:shd w:val="clear" w:color="auto" w:fill="FFFFFF"/>
        </w:rPr>
        <w:t>i</w:t>
      </w:r>
      <w:r w:rsidRPr="00320A86">
        <w:rPr>
          <w:rFonts w:cs="Arial"/>
          <w:color w:val="252525"/>
          <w:shd w:val="clear" w:color="auto" w:fill="FFFFFF"/>
        </w:rPr>
        <w:t>guré et peut-être pré-conditionné les représentations modernes du m</w:t>
      </w:r>
      <w:r w:rsidRPr="00320A86">
        <w:rPr>
          <w:rFonts w:cs="Arial"/>
          <w:color w:val="252525"/>
          <w:shd w:val="clear" w:color="auto" w:fill="FFFFFF"/>
        </w:rPr>
        <w:t>o</w:t>
      </w:r>
      <w:r w:rsidRPr="00320A86">
        <w:rPr>
          <w:rFonts w:cs="Arial"/>
          <w:color w:val="252525"/>
          <w:shd w:val="clear" w:color="auto" w:fill="FFFFFF"/>
        </w:rPr>
        <w:t>dèle nordique. Mais cette image, que Vincent Fournier a décrite co</w:t>
      </w:r>
      <w:r w:rsidRPr="00320A86">
        <w:rPr>
          <w:rFonts w:cs="Arial"/>
          <w:color w:val="252525"/>
          <w:shd w:val="clear" w:color="auto" w:fill="FFFFFF"/>
        </w:rPr>
        <w:t>m</w:t>
      </w:r>
      <w:r w:rsidRPr="00320A86">
        <w:rPr>
          <w:rFonts w:cs="Arial"/>
          <w:color w:val="252525"/>
          <w:shd w:val="clear" w:color="auto" w:fill="FFFFFF"/>
        </w:rPr>
        <w:t>me une « </w:t>
      </w:r>
      <w:r w:rsidRPr="00FB7D22">
        <w:rPr>
          <w:rFonts w:cs="Arial"/>
          <w:i/>
          <w:color w:val="252525"/>
          <w:shd w:val="clear" w:color="auto" w:fill="FFFFFF"/>
        </w:rPr>
        <w:t>utopie ambigüe </w:t>
      </w:r>
      <w:r>
        <w:rPr>
          <w:rStyle w:val="Appelnotedebasdep"/>
          <w:rFonts w:cs="Arial"/>
          <w:shd w:val="clear" w:color="auto" w:fill="FFFFFF"/>
        </w:rPr>
        <w:footnoteReference w:id="1609"/>
      </w:r>
      <w:r w:rsidRPr="00320A86">
        <w:rPr>
          <w:rFonts w:cs="Arial"/>
          <w:color w:val="252525"/>
          <w:shd w:val="clear" w:color="auto" w:fill="FFFFFF"/>
        </w:rPr>
        <w:t> », offrait également une facette plus so</w:t>
      </w:r>
      <w:r w:rsidRPr="00320A86">
        <w:rPr>
          <w:rFonts w:cs="Arial"/>
          <w:color w:val="252525"/>
          <w:shd w:val="clear" w:color="auto" w:fill="FFFFFF"/>
        </w:rPr>
        <w:t>m</w:t>
      </w:r>
      <w:r w:rsidRPr="00320A86">
        <w:rPr>
          <w:rFonts w:cs="Arial"/>
          <w:color w:val="252525"/>
          <w:shd w:val="clear" w:color="auto" w:fill="FFFFFF"/>
        </w:rPr>
        <w:t>bre et mystérieuse : celle d’une nature vierge, sauvage, inquiéta</w:t>
      </w:r>
      <w:r w:rsidRPr="00320A86">
        <w:rPr>
          <w:rFonts w:cs="Arial"/>
          <w:color w:val="252525"/>
          <w:shd w:val="clear" w:color="auto" w:fill="FFFFFF"/>
        </w:rPr>
        <w:t>n</w:t>
      </w:r>
      <w:r w:rsidRPr="00320A86">
        <w:rPr>
          <w:rFonts w:cs="Arial"/>
          <w:color w:val="252525"/>
          <w:shd w:val="clear" w:color="auto" w:fill="FFFFFF"/>
        </w:rPr>
        <w:t>te. Chez les Grecs, déjà, le Nord avait une d</w:t>
      </w:r>
      <w:r w:rsidRPr="00320A86">
        <w:rPr>
          <w:rFonts w:cs="Arial"/>
          <w:color w:val="252525"/>
          <w:shd w:val="clear" w:color="auto" w:fill="FFFFFF"/>
        </w:rPr>
        <w:t>i</w:t>
      </w:r>
      <w:r w:rsidRPr="00320A86">
        <w:rPr>
          <w:rFonts w:cs="Arial"/>
          <w:color w:val="252525"/>
          <w:shd w:val="clear" w:color="auto" w:fill="FFFFFF"/>
        </w:rPr>
        <w:t>mension mystérieuse et la nature y était sombre, allusion à la nuit polaire</w:t>
      </w:r>
      <w:r>
        <w:rPr>
          <w:rFonts w:cs="Arial"/>
          <w:color w:val="252525"/>
          <w:shd w:val="clear" w:color="auto" w:fill="FFFFFF"/>
        </w:rPr>
        <w:t> </w:t>
      </w:r>
      <w:r>
        <w:rPr>
          <w:rStyle w:val="Appelnotedebasdep"/>
          <w:rFonts w:cs="Arial"/>
          <w:shd w:val="clear" w:color="auto" w:fill="FFFFFF"/>
        </w:rPr>
        <w:footnoteReference w:id="1610"/>
      </w:r>
      <w:r w:rsidRPr="00320A86">
        <w:rPr>
          <w:rFonts w:cs="Arial"/>
          <w:color w:val="252525"/>
          <w:shd w:val="clear" w:color="auto" w:fill="FFFFFF"/>
        </w:rPr>
        <w:t>. Ce furent surtout les Romantiques qui développèrent des thèmes tels que la prése</w:t>
      </w:r>
      <w:r w:rsidRPr="00320A86">
        <w:rPr>
          <w:rFonts w:cs="Arial"/>
          <w:color w:val="252525"/>
          <w:shd w:val="clear" w:color="auto" w:fill="FFFFFF"/>
        </w:rPr>
        <w:t>n</w:t>
      </w:r>
      <w:r w:rsidRPr="00320A86">
        <w:rPr>
          <w:rFonts w:cs="Arial"/>
          <w:color w:val="252525"/>
          <w:shd w:val="clear" w:color="auto" w:fill="FFFFFF"/>
        </w:rPr>
        <w:t>ce d’une nature mélancolique et inquiétante, l’angoisse existentielle et la révo</w:t>
      </w:r>
      <w:r w:rsidRPr="00320A86">
        <w:rPr>
          <w:rFonts w:cs="Arial"/>
          <w:color w:val="252525"/>
          <w:shd w:val="clear" w:color="auto" w:fill="FFFFFF"/>
        </w:rPr>
        <w:t>l</w:t>
      </w:r>
      <w:r w:rsidRPr="00320A86">
        <w:rPr>
          <w:rFonts w:cs="Arial"/>
          <w:color w:val="252525"/>
          <w:shd w:val="clear" w:color="auto" w:fill="FFFFFF"/>
        </w:rPr>
        <w:t>te de l’individu contre une société contraignante : parmi eux Stendhal, Baudelaire, Germaine de Staël, George Sand ou même Jules Ve</w:t>
      </w:r>
      <w:r w:rsidRPr="00320A86">
        <w:rPr>
          <w:rFonts w:cs="Arial"/>
          <w:color w:val="252525"/>
          <w:shd w:val="clear" w:color="auto" w:fill="FFFFFF"/>
        </w:rPr>
        <w:t>r</w:t>
      </w:r>
      <w:r w:rsidRPr="00320A86">
        <w:rPr>
          <w:rFonts w:cs="Arial"/>
          <w:color w:val="252525"/>
          <w:shd w:val="clear" w:color="auto" w:fill="FFFFFF"/>
        </w:rPr>
        <w:t>ne</w:t>
      </w:r>
      <w:r>
        <w:rPr>
          <w:rFonts w:cs="Arial"/>
          <w:color w:val="252525"/>
          <w:shd w:val="clear" w:color="auto" w:fill="FFFFFF"/>
        </w:rPr>
        <w:t> </w:t>
      </w:r>
      <w:r>
        <w:rPr>
          <w:rStyle w:val="Appelnotedebasdep"/>
          <w:rFonts w:cs="Arial"/>
          <w:shd w:val="clear" w:color="auto" w:fill="FFFFFF"/>
        </w:rPr>
        <w:footnoteReference w:id="1611"/>
      </w:r>
      <w:r w:rsidRPr="00320A86">
        <w:rPr>
          <w:rFonts w:cs="Arial"/>
          <w:color w:val="252525"/>
          <w:shd w:val="clear" w:color="auto" w:fill="FFFFFF"/>
        </w:rPr>
        <w:t>…</w:t>
      </w:r>
      <w:r w:rsidRPr="00320A86">
        <w:t xml:space="preserve"> Cet empilement d’images des sociétés nordiques, images à la fois anciennes, mythiques, idéal</w:t>
      </w:r>
      <w:r w:rsidRPr="00320A86">
        <w:t>i</w:t>
      </w:r>
      <w:r w:rsidRPr="00320A86">
        <w:t>sées et déformées, images floues d’un monde lointain et peu visité a laissé dans nos représentations mode</w:t>
      </w:r>
      <w:r w:rsidRPr="00320A86">
        <w:t>r</w:t>
      </w:r>
      <w:r w:rsidRPr="00320A86">
        <w:t>nes des erreurs de perspective et des a priori tenaces, qui ont fait écrire à Régis Boyer que « </w:t>
      </w:r>
      <w:r w:rsidRPr="00FB7D22">
        <w:rPr>
          <w:i/>
        </w:rPr>
        <w:t>le scandinaviste a toujours un double e</w:t>
      </w:r>
      <w:r w:rsidRPr="00FB7D22">
        <w:rPr>
          <w:i/>
        </w:rPr>
        <w:t>f</w:t>
      </w:r>
      <w:r w:rsidRPr="00FB7D22">
        <w:rPr>
          <w:i/>
        </w:rPr>
        <w:t>fort à fournir : non seulement , il va sans dire, initier, vulgariser, enseigner, mais s</w:t>
      </w:r>
      <w:r w:rsidRPr="00FB7D22">
        <w:rPr>
          <w:i/>
        </w:rPr>
        <w:t>i</w:t>
      </w:r>
      <w:r w:rsidRPr="00FB7D22">
        <w:rPr>
          <w:i/>
        </w:rPr>
        <w:t>multanément, voire plus encore, démythifier, démystifier </w:t>
      </w:r>
      <w:r>
        <w:rPr>
          <w:rStyle w:val="Appelnotedebasdep"/>
        </w:rPr>
        <w:footnoteReference w:id="1612"/>
      </w:r>
      <w:r w:rsidRPr="00320A86">
        <w:t> ».</w:t>
      </w:r>
    </w:p>
    <w:p w14:paraId="78BB763F" w14:textId="77777777" w:rsidR="00B01930" w:rsidRPr="00320A86" w:rsidRDefault="00B01930" w:rsidP="00B01930">
      <w:pPr>
        <w:spacing w:before="120" w:after="120"/>
        <w:jc w:val="both"/>
      </w:pPr>
      <w:r w:rsidRPr="00320A86">
        <w:t>À partir du 19</w:t>
      </w:r>
      <w:r w:rsidRPr="00320A86">
        <w:rPr>
          <w:vertAlign w:val="superscript"/>
        </w:rPr>
        <w:t>ème</w:t>
      </w:r>
      <w:r w:rsidRPr="00320A86">
        <w:t xml:space="preserve"> siècle, la connaissance savante des sociétés no</w:t>
      </w:r>
      <w:r w:rsidRPr="00320A86">
        <w:t>r</w:t>
      </w:r>
      <w:r w:rsidRPr="00320A86">
        <w:t>diques s’est développée en France du fait de la présence d’enseignements de langues et litt</w:t>
      </w:r>
      <w:r w:rsidRPr="00320A86">
        <w:t>é</w:t>
      </w:r>
      <w:r w:rsidRPr="00320A86">
        <w:t>ratures nordiques à la Sorbonne à partir des années 1830, de l’inauguration de la Bibliothèque nordique à Paris en 1903, de la création d’une chaire en langues et littératures scandinaves à la Sorbonne en 1909, puis d’une deuxième chaire en 1971</w:t>
      </w:r>
      <w:r>
        <w:t> </w:t>
      </w:r>
      <w:r>
        <w:rPr>
          <w:rStyle w:val="Appelnotedebasdep"/>
        </w:rPr>
        <w:footnoteReference w:id="1613"/>
      </w:r>
      <w:r w:rsidRPr="00320A86">
        <w:t>. Dans les années soixante-dix, une filière complète de scand</w:t>
      </w:r>
      <w:r w:rsidRPr="00320A86">
        <w:t>i</w:t>
      </w:r>
      <w:r w:rsidRPr="00320A86">
        <w:t>nave fut mise en place (à partir du Deug), ainsi que des enseign</w:t>
      </w:r>
      <w:r w:rsidRPr="00320A86">
        <w:t>e</w:t>
      </w:r>
      <w:r w:rsidRPr="00320A86">
        <w:t>ments en province</w:t>
      </w:r>
      <w:r>
        <w:t> </w:t>
      </w:r>
      <w:r>
        <w:rPr>
          <w:rStyle w:val="Appelnotedebasdep"/>
        </w:rPr>
        <w:footnoteReference w:id="1614"/>
      </w:r>
      <w:r w:rsidRPr="00320A86">
        <w:t>. Une production de travaux littéraires et civilisationni</w:t>
      </w:r>
      <w:r w:rsidRPr="00320A86">
        <w:t>s</w:t>
      </w:r>
      <w:r w:rsidRPr="00320A86">
        <w:t>tes put ainsi se développer, ainsi, il faut le souligner, qu’une trad</w:t>
      </w:r>
      <w:r w:rsidRPr="00320A86">
        <w:t>i</w:t>
      </w:r>
      <w:r w:rsidRPr="00320A86">
        <w:t>tion importante de traduction littéraire. Mais si l’on tente un bilan des th</w:t>
      </w:r>
      <w:r w:rsidRPr="00320A86">
        <w:t>è</w:t>
      </w:r>
      <w:r w:rsidRPr="00320A86">
        <w:t>ses de doctorat concernant les pays nordiques, on constate que cet o</w:t>
      </w:r>
      <w:r w:rsidRPr="00320A86">
        <w:t>b</w:t>
      </w:r>
      <w:r w:rsidRPr="00320A86">
        <w:t>jet d’étude a été de tout temps assez marginal en France, tant dans le domaine littéraire que – plus encore – dans celui des sciences soci</w:t>
      </w:r>
      <w:r w:rsidRPr="00320A86">
        <w:t>a</w:t>
      </w:r>
      <w:r w:rsidRPr="00320A86">
        <w:t>les. Pour ce qui est du domaine littéraire, François Émion, qui a effectué une recherche sur le sujet, relève que la première thèse sout</w:t>
      </w:r>
      <w:r w:rsidRPr="00320A86">
        <w:t>e</w:t>
      </w:r>
      <w:r w:rsidRPr="00320A86">
        <w:t>nue le fut en 1830 (elle portait sur la christianisation des peuples scandin</w:t>
      </w:r>
      <w:r w:rsidRPr="00320A86">
        <w:t>a</w:t>
      </w:r>
      <w:r w:rsidRPr="00320A86">
        <w:t>ves)</w:t>
      </w:r>
      <w:r>
        <w:t> </w:t>
      </w:r>
      <w:r>
        <w:rPr>
          <w:rStyle w:val="Appelnotedebasdep"/>
        </w:rPr>
        <w:footnoteReference w:id="1615"/>
      </w:r>
      <w:r w:rsidRPr="00320A86">
        <w:t>. Au 19</w:t>
      </w:r>
      <w:r w:rsidRPr="00320A86">
        <w:rPr>
          <w:vertAlign w:val="superscript"/>
        </w:rPr>
        <w:t>ème</w:t>
      </w:r>
      <w:r w:rsidRPr="00320A86">
        <w:t> siècle, un total de sept thèses sur les pays nordiques fut so</w:t>
      </w:r>
      <w:r w:rsidRPr="00320A86">
        <w:t>u</w:t>
      </w:r>
      <w:r w:rsidRPr="00320A86">
        <w:t>tenu, puis une douzaine entre 1900 et 1930. Il faut ensuite a</w:t>
      </w:r>
      <w:r w:rsidRPr="00320A86">
        <w:t>t</w:t>
      </w:r>
      <w:r w:rsidRPr="00320A86">
        <w:t>tendre les mêmes années soixante-dix pour que le nombre de thèses soutenues augmente (parallèlement avec celui des ouvrages scandinaves en tr</w:t>
      </w:r>
      <w:r w:rsidRPr="00320A86">
        <w:t>a</w:t>
      </w:r>
      <w:r w:rsidRPr="00320A86">
        <w:t>duction proposés par les éditeurs) ; celles-ci po</w:t>
      </w:r>
      <w:r w:rsidRPr="00320A86">
        <w:t>r</w:t>
      </w:r>
      <w:r w:rsidRPr="00320A86">
        <w:t>taient sur des sujets très divers, mais en très grande majorité littéraires. Cependant Fra</w:t>
      </w:r>
      <w:r w:rsidRPr="00320A86">
        <w:t>n</w:t>
      </w:r>
      <w:r w:rsidRPr="00320A86">
        <w:t>çois Émion nuance cet apparent engouement pour le monde no</w:t>
      </w:r>
      <w:r w:rsidRPr="00320A86">
        <w:t>r</w:t>
      </w:r>
      <w:r w:rsidRPr="00320A86">
        <w:t>dique en soulignant que cette augmentation quantitative doit être replacée dans le contexte de la démocratisation de l’Université (on pa</w:t>
      </w:r>
      <w:r w:rsidRPr="00320A86">
        <w:t>s</w:t>
      </w:r>
      <w:r w:rsidRPr="00320A86">
        <w:t>se, écrit-il, de 29 000 étudiants en France en 1900 à 600 000 en 1970, et 1 200 000 en 1990). Au total, il a recensé 163 thèses sout</w:t>
      </w:r>
      <w:r w:rsidRPr="00320A86">
        <w:t>e</w:t>
      </w:r>
      <w:r w:rsidRPr="00320A86">
        <w:t>nues entre 1970 et 2010. Il remarque également une au</w:t>
      </w:r>
      <w:r w:rsidRPr="00320A86">
        <w:t>g</w:t>
      </w:r>
      <w:r w:rsidRPr="00320A86">
        <w:t>mentation des travaux dans la décennie 90 (35 thèses) mais aussi entre 2000 et 2010 (35 th</w:t>
      </w:r>
      <w:r w:rsidRPr="00320A86">
        <w:t>è</w:t>
      </w:r>
      <w:r w:rsidRPr="00320A86">
        <w:t>ses également) : près de la moitié des thèses soutenues depuis les a</w:t>
      </w:r>
      <w:r w:rsidRPr="00320A86">
        <w:t>n</w:t>
      </w:r>
      <w:r w:rsidRPr="00320A86">
        <w:t xml:space="preserve">nées 70 l’ont été au cours de la décennie 90. Sur ces 163 thèses, 80 concernent des sujets littéraires, 18 la linguistique, et l’on dénombre 114 sujets de civilisation y compris d’histoire, allant « </w:t>
      </w:r>
      <w:r w:rsidRPr="00FB7D22">
        <w:rPr>
          <w:i/>
        </w:rPr>
        <w:t>de la mythol</w:t>
      </w:r>
      <w:r w:rsidRPr="00FB7D22">
        <w:rPr>
          <w:i/>
        </w:rPr>
        <w:t>o</w:t>
      </w:r>
      <w:r w:rsidRPr="00FB7D22">
        <w:rPr>
          <w:i/>
        </w:rPr>
        <w:t>gie au cinéma contemporain en passant par l’histoire politique, le droit et les sciences économiques et politiques </w:t>
      </w:r>
      <w:r w:rsidRPr="00320A86">
        <w:t>»</w:t>
      </w:r>
      <w:r>
        <w:t> </w:t>
      </w:r>
      <w:r>
        <w:rPr>
          <w:rStyle w:val="Appelnotedebasdep"/>
        </w:rPr>
        <w:footnoteReference w:id="1616"/>
      </w:r>
      <w:r w:rsidRPr="00320A86">
        <w:t>. Il signale égal</w:t>
      </w:r>
      <w:r w:rsidRPr="00320A86">
        <w:t>e</w:t>
      </w:r>
      <w:r w:rsidRPr="00320A86">
        <w:t>ment l’existence d’une dizaine de thèses réparties sur les trois derni</w:t>
      </w:r>
      <w:r w:rsidRPr="00320A86">
        <w:t>è</w:t>
      </w:r>
      <w:r w:rsidRPr="00320A86">
        <w:t>res décennies mais sortant du champ de son enquête, soutenues dans des domaines très divers tels la médecine, l’odontologie, la géogr</w:t>
      </w:r>
      <w:r w:rsidRPr="00320A86">
        <w:t>a</w:t>
      </w:r>
      <w:r w:rsidRPr="00320A86">
        <w:t>phie physique, etc.</w:t>
      </w:r>
    </w:p>
    <w:p w14:paraId="4AB44400" w14:textId="77777777" w:rsidR="00B01930" w:rsidRPr="00320A86" w:rsidRDefault="00B01930" w:rsidP="00B01930">
      <w:pPr>
        <w:spacing w:before="120" w:after="120"/>
        <w:jc w:val="both"/>
      </w:pPr>
      <w:r w:rsidRPr="00320A86">
        <w:t>Pour ma part, j’ai tenté de vérifier quel est le volume de thèses consacrées au modèle nordique. J’ai utilisé le catalogue en lignes www.theses.fr de l’Agence bibliographique de l’enseignement sup</w:t>
      </w:r>
      <w:r w:rsidRPr="00320A86">
        <w:t>é</w:t>
      </w:r>
      <w:r w:rsidRPr="00320A86">
        <w:t>rieur, et j’ai cherché le nombre de thèses soutenues entre 1985 et 2015 sur des sujets relevant du thème « modèle nord</w:t>
      </w:r>
      <w:r w:rsidRPr="00320A86">
        <w:t>i</w:t>
      </w:r>
      <w:r w:rsidRPr="00320A86">
        <w:t>que » (défini comme un mode spécifique d’organisation économique, social et politique). J’ai retenu les matières suivantes : histoire contemporaine, sociol</w:t>
      </w:r>
      <w:r w:rsidRPr="00320A86">
        <w:t>o</w:t>
      </w:r>
      <w:r w:rsidRPr="00320A86">
        <w:t>gie, études germaniques, études nordiques, science politique (y compris la pol</w:t>
      </w:r>
      <w:r w:rsidRPr="00320A86">
        <w:t>i</w:t>
      </w:r>
      <w:r w:rsidRPr="00320A86">
        <w:t>tique étrangère et les relations internationales), ethnologie</w:t>
      </w:r>
      <w:r>
        <w:t> </w:t>
      </w:r>
      <w:r>
        <w:rPr>
          <w:rStyle w:val="Appelnotedebasdep"/>
        </w:rPr>
        <w:footnoteReference w:id="1617"/>
      </w:r>
      <w:r w:rsidRPr="00320A86">
        <w:t>. J’ai obtenu pour la Suède 12 thèses</w:t>
      </w:r>
      <w:r>
        <w:t> </w:t>
      </w:r>
      <w:r>
        <w:rPr>
          <w:rStyle w:val="Appelnotedebasdep"/>
        </w:rPr>
        <w:footnoteReference w:id="1618"/>
      </w:r>
      <w:r w:rsidRPr="00320A86">
        <w:t>, pour la Norvège 8 thèses et pour le Danemark 2 thèses (le Danemark apparaît cependant ailleurs et à titre d’exemple dans des travaux comparatifs sur de multiples pays). Enfin, 3 thèses concernent la Finlande, soit un total de 25 thèses sur le mod</w:t>
      </w:r>
      <w:r w:rsidRPr="00320A86">
        <w:t>è</w:t>
      </w:r>
      <w:r w:rsidRPr="00320A86">
        <w:t>le nordique au sens très large et dans un panel varié de disciplines. De plus, il faut remarquer que l’intérêt pour le sujet semble croi</w:t>
      </w:r>
      <w:r w:rsidRPr="00320A86">
        <w:t>s</w:t>
      </w:r>
      <w:r w:rsidRPr="00320A86">
        <w:t>sant depuis les années 1990 (3 thèses) et surtout depuis les années 2000 (les 22 autres thèses). Au total, et pour autant que ce test soit fiable – le catalogue étant peu maniable, la sélection des matières a</w:t>
      </w:r>
      <w:r w:rsidRPr="00320A86">
        <w:t>s</w:t>
      </w:r>
      <w:r w:rsidRPr="00320A86">
        <w:t>sez difficile</w:t>
      </w:r>
      <w:r>
        <w:t> </w:t>
      </w:r>
      <w:r>
        <w:rPr>
          <w:rStyle w:val="Appelnotedebasdep"/>
        </w:rPr>
        <w:footnoteReference w:id="1619"/>
      </w:r>
      <w:r w:rsidRPr="00320A86">
        <w:t> – le bilan pour ce qui concerne les sciences sociales est donc maigre : 25 thèses consacrées au modèle nordique (ente</w:t>
      </w:r>
      <w:r w:rsidRPr="00320A86">
        <w:t>n</w:t>
      </w:r>
      <w:r w:rsidRPr="00320A86">
        <w:t>du dans un sens très large) en trente ans… Ce qui donne un indice int</w:t>
      </w:r>
      <w:r w:rsidRPr="00320A86">
        <w:t>é</w:t>
      </w:r>
      <w:r w:rsidRPr="00320A86">
        <w:t>ressant sur la connaissance savante de ce sujet en France, on ne peut plus i</w:t>
      </w:r>
      <w:r w:rsidRPr="00320A86">
        <w:t>n</w:t>
      </w:r>
      <w:r w:rsidRPr="00320A86">
        <w:t>digente… Ce n’est donc guère du côté des sciences sociales que l’image française du modèle nordique s’est construite. Elle est d’abord le fruit de récits de voyages et de travaux littéraires, auxquels il faut ajouter une production journalistique importante pour la con</w:t>
      </w:r>
      <w:r w:rsidRPr="00320A86">
        <w:t>s</w:t>
      </w:r>
      <w:r w:rsidRPr="00320A86">
        <w:t>truction du mythe du modèle. Toutefois, avant d’examiner ce dernier type de production, qui est celui qui a fait entrer le thème du modèle nordique dans le débat politique français, il faut, pour terminer ce tour d’horizon de « la connaissance savante des pays nordiques en Fra</w:t>
      </w:r>
      <w:r w:rsidRPr="00320A86">
        <w:t>n</w:t>
      </w:r>
      <w:r w:rsidRPr="00320A86">
        <w:t>ce », signaler la naissance de trois revues scientifiques qui sont r</w:t>
      </w:r>
      <w:r w:rsidRPr="00320A86">
        <w:t>é</w:t>
      </w:r>
      <w:r w:rsidRPr="00320A86">
        <w:t>cemment venues do</w:t>
      </w:r>
      <w:r w:rsidRPr="00320A86">
        <w:t>n</w:t>
      </w:r>
      <w:r w:rsidRPr="00320A86">
        <w:t xml:space="preserve">ner un débouché indispensable aux travaux des chercheurs de toutes disciplines et faire un travail de diffusion des connaissances : la revue </w:t>
      </w:r>
      <w:r w:rsidRPr="00FB7D22">
        <w:rPr>
          <w:i/>
        </w:rPr>
        <w:t>Nordiques</w:t>
      </w:r>
      <w:r w:rsidRPr="00320A86">
        <w:t>, créée en 2003, est une revue pl</w:t>
      </w:r>
      <w:r w:rsidRPr="00320A86">
        <w:t>u</w:t>
      </w:r>
      <w:r w:rsidRPr="00320A86">
        <w:t xml:space="preserve">disciplinaire consacrée aux sociétés nordiques dans la période contemporaine ; elle publie tant des travaux de chercheurs français que de chercheurs originaires des pays nordiques ; la </w:t>
      </w:r>
      <w:r w:rsidRPr="00FB7D22">
        <w:rPr>
          <w:i/>
        </w:rPr>
        <w:t>Revue d’histoire nordique</w:t>
      </w:r>
      <w:r w:rsidRPr="00320A86">
        <w:t>, née en 2005, traite ce thème sous un angle historique (mais avec une bonne part de travaux d’histoire contemporaine), et la revue Deshima, revue d’histoire globale, plus littéraire, a été créée en 2007.</w:t>
      </w:r>
    </w:p>
    <w:p w14:paraId="00A18A3F" w14:textId="77777777" w:rsidR="00B01930" w:rsidRPr="00320A86" w:rsidRDefault="00B01930" w:rsidP="00B01930">
      <w:pPr>
        <w:spacing w:before="120" w:after="120"/>
        <w:jc w:val="both"/>
      </w:pPr>
    </w:p>
    <w:p w14:paraId="504148FC" w14:textId="77777777" w:rsidR="00B01930" w:rsidRPr="00320A86" w:rsidRDefault="00B01930" w:rsidP="00B01930">
      <w:pPr>
        <w:pStyle w:val="planche"/>
      </w:pPr>
      <w:bookmarkStart w:id="241" w:name="Analyser_idees_pol_pt_4_texte_16_II"/>
      <w:r w:rsidRPr="00320A86">
        <w:t>II. Les travaux de vulgarisation</w:t>
      </w:r>
      <w:r>
        <w:br/>
      </w:r>
      <w:r w:rsidRPr="00320A86">
        <w:t xml:space="preserve">et l’entrée </w:t>
      </w:r>
      <w:r>
        <w:t>de la figure du modèle nordique</w:t>
      </w:r>
      <w:r>
        <w:br/>
      </w:r>
      <w:r w:rsidRPr="00320A86">
        <w:t>dans le d</w:t>
      </w:r>
      <w:r w:rsidRPr="00320A86">
        <w:t>é</w:t>
      </w:r>
      <w:r w:rsidRPr="00320A86">
        <w:t>bat public français</w:t>
      </w:r>
    </w:p>
    <w:bookmarkEnd w:id="241"/>
    <w:p w14:paraId="7399CAEE" w14:textId="77777777" w:rsidR="00B01930" w:rsidRDefault="00B01930" w:rsidP="00B01930">
      <w:pPr>
        <w:spacing w:before="120" w:after="120"/>
        <w:jc w:val="both"/>
      </w:pPr>
    </w:p>
    <w:p w14:paraId="6E0AFA87"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363A06CD" w14:textId="77777777" w:rsidR="00B01930" w:rsidRPr="00320A86" w:rsidRDefault="00B01930" w:rsidP="00B01930">
      <w:pPr>
        <w:spacing w:before="120" w:after="120"/>
        <w:jc w:val="both"/>
      </w:pPr>
      <w:r w:rsidRPr="00320A86">
        <w:t>C’est à partir des années trente que les pays nordiques ont co</w:t>
      </w:r>
      <w:r w:rsidRPr="00320A86">
        <w:t>m</w:t>
      </w:r>
      <w:r w:rsidRPr="00320A86">
        <w:t>mencé à être désignés à l’étranger comme des sociétés « modèles » et à susciter un intérêt plus soutenu que jamais. Au sein de l’ensemble nordique, la Suède apparaissait comme le pays le plus avancé et le plus vertueux ;  cette période fut marquée dans ce pays par l’arrivée au pouvoir des Sociaux-démocrates en 1932</w:t>
      </w:r>
      <w:r>
        <w:t> </w:t>
      </w:r>
      <w:r>
        <w:rPr>
          <w:rStyle w:val="Appelnotedebasdep"/>
        </w:rPr>
        <w:footnoteReference w:id="1620"/>
      </w:r>
      <w:r w:rsidRPr="00320A86">
        <w:t xml:space="preserve"> qui allaient s’y maint</w:t>
      </w:r>
      <w:r w:rsidRPr="00320A86">
        <w:t>e</w:t>
      </w:r>
      <w:r w:rsidRPr="00320A86">
        <w:t>nir (en coalition) de façon ininterrompue jusqu’en 1976, et elle co</w:t>
      </w:r>
      <w:r w:rsidRPr="00320A86">
        <w:t>r</w:t>
      </w:r>
      <w:r w:rsidRPr="00320A86">
        <w:t>respondit à la mise en place d’un États-providence très avancé et très complet ainsi qu’à un système politique authentiquement démocrat</w:t>
      </w:r>
      <w:r w:rsidRPr="00320A86">
        <w:t>i</w:t>
      </w:r>
      <w:r w:rsidRPr="00320A86">
        <w:t>que et très perfo</w:t>
      </w:r>
      <w:r w:rsidRPr="00320A86">
        <w:t>r</w:t>
      </w:r>
      <w:r w:rsidRPr="00320A86">
        <w:t>mant (à partir des années trente, les sociaux-démocrates, alliés aux agrariens, prolongèrent en cela les ébauches d’un système dont les prémisses avaient été mis en place sous la ho</w:t>
      </w:r>
      <w:r w:rsidRPr="00320A86">
        <w:t>u</w:t>
      </w:r>
      <w:r w:rsidRPr="00320A86">
        <w:t>lette des Libéraux à la fin du 19</w:t>
      </w:r>
      <w:r w:rsidRPr="00320A86">
        <w:rPr>
          <w:vertAlign w:val="superscript"/>
        </w:rPr>
        <w:t>ème</w:t>
      </w:r>
      <w:r w:rsidRPr="00320A86">
        <w:t xml:space="preserve"> siècle</w:t>
      </w:r>
      <w:r>
        <w:t> </w:t>
      </w:r>
      <w:r>
        <w:rPr>
          <w:rStyle w:val="Appelnotedebasdep"/>
        </w:rPr>
        <w:footnoteReference w:id="1621"/>
      </w:r>
      <w:r w:rsidRPr="00320A86">
        <w:t>). Toutefois, comme l’explique Kasimierz Musial</w:t>
      </w:r>
      <w:r>
        <w:t> </w:t>
      </w:r>
      <w:r>
        <w:rPr>
          <w:rStyle w:val="Appelnotedebasdep"/>
        </w:rPr>
        <w:footnoteReference w:id="1622"/>
      </w:r>
      <w:r w:rsidRPr="00320A86">
        <w:t>, l’intérêt soulevé à l’époque par les pays nordiques ne venait pas tant de leurs performances que des cha</w:t>
      </w:r>
      <w:r w:rsidRPr="00320A86">
        <w:t>n</w:t>
      </w:r>
      <w:r w:rsidRPr="00320A86">
        <w:t>gements que connaissait le monde autour d’eux : suite à la grande d</w:t>
      </w:r>
      <w:r w:rsidRPr="00320A86">
        <w:t>é</w:t>
      </w:r>
      <w:r w:rsidRPr="00320A86">
        <w:t>pression, l’Europe connaissait une montée en puissance des totalit</w:t>
      </w:r>
      <w:r w:rsidRPr="00320A86">
        <w:t>a</w:t>
      </w:r>
      <w:r w:rsidRPr="00320A86">
        <w:t>rismes et les État</w:t>
      </w:r>
      <w:r w:rsidRPr="00320A86">
        <w:rPr>
          <w:strike/>
        </w:rPr>
        <w:t>s</w:t>
      </w:r>
      <w:r w:rsidRPr="00320A86">
        <w:t>-Unis s’enfonçaient dans la crise ; les pays nord</w:t>
      </w:r>
      <w:r w:rsidRPr="00320A86">
        <w:t>i</w:t>
      </w:r>
      <w:r w:rsidRPr="00320A86">
        <w:t>ques, pour leur part, restaient profondément attachés aux valeurs d</w:t>
      </w:r>
      <w:r w:rsidRPr="00320A86">
        <w:t>é</w:t>
      </w:r>
      <w:r w:rsidRPr="00320A86">
        <w:t>mocratiques et constituaient en cela un exemple. Puis ils firent la d</w:t>
      </w:r>
      <w:r w:rsidRPr="00320A86">
        <w:t>é</w:t>
      </w:r>
      <w:r w:rsidRPr="00320A86">
        <w:t>monstration que l’autoritarisme n’était pas meilleur que la démocratie pour gérer l’économie : c’est à partir de cette époque que les pays nordiques (en particulier la Suède et le Danemark</w:t>
      </w:r>
      <w:r>
        <w:t> </w:t>
      </w:r>
      <w:r>
        <w:rPr>
          <w:rStyle w:val="Appelnotedebasdep"/>
        </w:rPr>
        <w:footnoteReference w:id="1623"/>
      </w:r>
      <w:r w:rsidRPr="00320A86">
        <w:t xml:space="preserve">) entamèrent le formidable développement économique et social qui les porta dans les années soixante en tête des très symboliques classements mondiaux en PNB par habitant. </w:t>
      </w:r>
    </w:p>
    <w:p w14:paraId="6B23C6C1" w14:textId="77777777" w:rsidR="00B01930" w:rsidRPr="00320A86" w:rsidRDefault="00B01930" w:rsidP="00B01930">
      <w:pPr>
        <w:spacing w:before="120" w:after="120"/>
        <w:jc w:val="both"/>
      </w:pPr>
      <w:r w:rsidRPr="00320A86">
        <w:t>En France, l’intérêt éditorial pour le modèle fit écho à ces évén</w:t>
      </w:r>
      <w:r w:rsidRPr="00320A86">
        <w:t>e</w:t>
      </w:r>
      <w:r w:rsidRPr="00320A86">
        <w:t>ments, quo</w:t>
      </w:r>
      <w:r w:rsidRPr="00320A86">
        <w:t>i</w:t>
      </w:r>
      <w:r w:rsidRPr="00320A86">
        <w:t>que de façon encore assez marginale, essentiellement porté sur le modèle suédois (la Suède étant le point de mire des pays nord</w:t>
      </w:r>
      <w:r w:rsidRPr="00320A86">
        <w:t>i</w:t>
      </w:r>
      <w:r w:rsidRPr="00320A86">
        <w:t>ques pour les Français pour des raisons historiques tenant aux liens entre les deux pays, de Descartes à Be</w:t>
      </w:r>
      <w:r w:rsidRPr="00320A86">
        <w:t>r</w:t>
      </w:r>
      <w:r w:rsidRPr="00320A86">
        <w:t>nadotte) : l’historien Gilles Vergnon</w:t>
      </w:r>
      <w:r>
        <w:t> </w:t>
      </w:r>
      <w:r>
        <w:rPr>
          <w:rStyle w:val="Appelnotedebasdep"/>
        </w:rPr>
        <w:footnoteReference w:id="1624"/>
      </w:r>
      <w:r w:rsidRPr="00320A86">
        <w:t xml:space="preserve"> relève qu’entre 1932, date de l’accession au pouvoir des Sociaux-démocrates et 1986, date de l’assassinat du Premier m</w:t>
      </w:r>
      <w:r w:rsidRPr="00320A86">
        <w:t>i</w:t>
      </w:r>
      <w:r w:rsidRPr="00320A86">
        <w:t>nistre Olof Palme « </w:t>
      </w:r>
      <w:r w:rsidRPr="00FB7D22">
        <w:rPr>
          <w:i/>
        </w:rPr>
        <w:t>sans doute la dernière incarnation vivante et pop</w:t>
      </w:r>
      <w:r w:rsidRPr="00FB7D22">
        <w:rPr>
          <w:i/>
        </w:rPr>
        <w:t>u</w:t>
      </w:r>
      <w:r w:rsidRPr="00FB7D22">
        <w:rPr>
          <w:i/>
        </w:rPr>
        <w:t>laire d’un “modèle” original </w:t>
      </w:r>
      <w:r w:rsidRPr="00320A86">
        <w:t>» , plus de trente ouvrages ont proposé au le</w:t>
      </w:r>
      <w:r w:rsidRPr="00320A86">
        <w:t>c</w:t>
      </w:r>
      <w:r w:rsidRPr="00320A86">
        <w:t>teur français « </w:t>
      </w:r>
      <w:r w:rsidRPr="00FB7D22">
        <w:rPr>
          <w:i/>
        </w:rPr>
        <w:t>une analyse culturelle, économique, sociale ou polit</w:t>
      </w:r>
      <w:r w:rsidRPr="00FB7D22">
        <w:rPr>
          <w:i/>
        </w:rPr>
        <w:t>i</w:t>
      </w:r>
      <w:r w:rsidRPr="00FB7D22">
        <w:rPr>
          <w:i/>
        </w:rPr>
        <w:t>que de ce pays </w:t>
      </w:r>
      <w:r w:rsidRPr="00320A86">
        <w:t>» (la liste mettant de côté les traductions d’œuvres li</w:t>
      </w:r>
      <w:r w:rsidRPr="00320A86">
        <w:t>t</w:t>
      </w:r>
      <w:r w:rsidRPr="00320A86">
        <w:t xml:space="preserve">téraires). </w:t>
      </w:r>
      <w:r>
        <w:t>À</w:t>
      </w:r>
      <w:r w:rsidRPr="00320A86">
        <w:t xml:space="preserve"> la même époque, cet int</w:t>
      </w:r>
      <w:r w:rsidRPr="00320A86">
        <w:t>é</w:t>
      </w:r>
      <w:r w:rsidRPr="00320A86">
        <w:t>rêt fut relayé par des articles de presse et des reportages télévisés</w:t>
      </w:r>
      <w:r>
        <w:t> </w:t>
      </w:r>
      <w:r>
        <w:rPr>
          <w:rStyle w:val="Appelnotedebasdep"/>
        </w:rPr>
        <w:footnoteReference w:id="1625"/>
      </w:r>
      <w:r w:rsidRPr="00320A86">
        <w:t>. Gilles Ve</w:t>
      </w:r>
      <w:r w:rsidRPr="00320A86">
        <w:t>r</w:t>
      </w:r>
      <w:r w:rsidRPr="00320A86">
        <w:t>gnon constate qu’avant 1932, « </w:t>
      </w:r>
      <w:r w:rsidRPr="00FB7D22">
        <w:rPr>
          <w:i/>
        </w:rPr>
        <w:t>les publications sur la Suède restent l’apanage de quelques “passeurs”, une poignée d’individus qui partagent la connaissance de la langue, acquise après un long séjour et/ou une union matrimoniale, et une passion sincère pour la littérature et les paysages scandin</w:t>
      </w:r>
      <w:r w:rsidRPr="00FB7D22">
        <w:rPr>
          <w:i/>
        </w:rPr>
        <w:t>a</w:t>
      </w:r>
      <w:r w:rsidRPr="00FB7D22">
        <w:rPr>
          <w:i/>
        </w:rPr>
        <w:t>ves </w:t>
      </w:r>
      <w:r>
        <w:rPr>
          <w:rStyle w:val="Appelnotedebasdep"/>
        </w:rPr>
        <w:footnoteReference w:id="1626"/>
      </w:r>
      <w:r w:rsidRPr="00320A86">
        <w:t> ». Puis, à partir des années 35-36, le paysage éditorial connaît une nette évolution : les pays nordiques commencent à susciter un i</w:t>
      </w:r>
      <w:r w:rsidRPr="00320A86">
        <w:t>n</w:t>
      </w:r>
      <w:r w:rsidRPr="00320A86">
        <w:t xml:space="preserve">térêt pour leurs réalisations socio-économiques. En 1935, Serge de Chessin publie Les Clés de la Suède, puis en 1936 </w:t>
      </w:r>
      <w:r w:rsidRPr="00FB7D22">
        <w:rPr>
          <w:i/>
        </w:rPr>
        <w:t>Sourires du Dan</w:t>
      </w:r>
      <w:r w:rsidRPr="00FB7D22">
        <w:rPr>
          <w:i/>
        </w:rPr>
        <w:t>e</w:t>
      </w:r>
      <w:r w:rsidRPr="00FB7D22">
        <w:rPr>
          <w:i/>
        </w:rPr>
        <w:t>mark</w:t>
      </w:r>
      <w:r w:rsidRPr="00320A86">
        <w:t>, alors qu’Emile Schreiber publie Heureux scand</w:t>
      </w:r>
      <w:r w:rsidRPr="00320A86">
        <w:t>i</w:t>
      </w:r>
      <w:r w:rsidRPr="00320A86">
        <w:t>naves ; en 1938, Paul Planus publie Patrons et ouvriers en Su</w:t>
      </w:r>
      <w:r w:rsidRPr="00320A86">
        <w:t>è</w:t>
      </w:r>
      <w:r w:rsidRPr="00320A86">
        <w:t>de. Mais celui qui donnera au « </w:t>
      </w:r>
      <w:r w:rsidRPr="00FB7D22">
        <w:rPr>
          <w:i/>
        </w:rPr>
        <w:t>modèle suédois </w:t>
      </w:r>
      <w:r w:rsidRPr="00320A86">
        <w:t>» ses lettres de n</w:t>
      </w:r>
      <w:r w:rsidRPr="00320A86">
        <w:t>o</w:t>
      </w:r>
      <w:r w:rsidRPr="00320A86">
        <w:t>blesses internationales sera l’américain Marquis Childs, avec son ouvrage paru en 1936 « </w:t>
      </w:r>
      <w:r w:rsidRPr="00FB7D22">
        <w:rPr>
          <w:i/>
        </w:rPr>
        <w:t>Sweden, the Middle Way on Trial », devenu une référence mondi</w:t>
      </w:r>
      <w:r w:rsidRPr="00FB7D22">
        <w:rPr>
          <w:i/>
        </w:rPr>
        <w:t>a</w:t>
      </w:r>
      <w:r w:rsidRPr="00FB7D22">
        <w:rPr>
          <w:i/>
        </w:rPr>
        <w:t>lement citée </w:t>
      </w:r>
      <w:r>
        <w:rPr>
          <w:rStyle w:val="Appelnotedebasdep"/>
        </w:rPr>
        <w:footnoteReference w:id="1627"/>
      </w:r>
      <w:r w:rsidRPr="00320A86">
        <w:t>. L’intérêt pour le modèle nordique r</w:t>
      </w:r>
      <w:r w:rsidRPr="00320A86">
        <w:t>e</w:t>
      </w:r>
      <w:r w:rsidRPr="00320A86">
        <w:t>tombera ensuite, et il faudra attendre les années cinquante-soixante pour que des o</w:t>
      </w:r>
      <w:r w:rsidRPr="00320A86">
        <w:t>u</w:t>
      </w:r>
      <w:r w:rsidRPr="00320A86">
        <w:t>vrages français soient à nouveau consacrés au modèle nordique, mais cette fois majoritairement par des écrivains tels que Lucien Maury, Fra</w:t>
      </w:r>
      <w:r w:rsidRPr="00320A86">
        <w:t>n</w:t>
      </w:r>
      <w:r w:rsidRPr="00320A86">
        <w:t>çois-Régis Bastide, Henri Queffelec ou Jean-Clarence Lambert. Un o</w:t>
      </w:r>
      <w:r w:rsidRPr="00320A86">
        <w:t>u</w:t>
      </w:r>
      <w:r w:rsidRPr="00320A86">
        <w:t xml:space="preserve">vrage relève du domaine politique, celui de Raymond Fusillier sur </w:t>
      </w:r>
      <w:r w:rsidRPr="00973AD3">
        <w:rPr>
          <w:i/>
        </w:rPr>
        <w:t>Le parti socialiste suédois, son organis</w:t>
      </w:r>
      <w:r w:rsidRPr="00973AD3">
        <w:rPr>
          <w:i/>
        </w:rPr>
        <w:t>a</w:t>
      </w:r>
      <w:r w:rsidRPr="00973AD3">
        <w:rPr>
          <w:i/>
        </w:rPr>
        <w:t>tion </w:t>
      </w:r>
      <w:r>
        <w:rPr>
          <w:rStyle w:val="Appelnotedebasdep"/>
        </w:rPr>
        <w:footnoteReference w:id="1628"/>
      </w:r>
      <w:r w:rsidRPr="00320A86">
        <w:t>. La production de l’époque s’intéresse alors moins au mod</w:t>
      </w:r>
      <w:r w:rsidRPr="00320A86">
        <w:t>è</w:t>
      </w:r>
      <w:r w:rsidRPr="00320A86">
        <w:t>le nordique qu’à « l’exploration d’un “caractère humain”, d’une “psychologie des pe</w:t>
      </w:r>
      <w:r w:rsidRPr="00320A86">
        <w:t>u</w:t>
      </w:r>
      <w:r w:rsidRPr="00320A86">
        <w:t>ples”, comme le note Gilles Vergnon</w:t>
      </w:r>
      <w:r>
        <w:t> </w:t>
      </w:r>
      <w:r>
        <w:rPr>
          <w:rStyle w:val="Appelnotedebasdep"/>
        </w:rPr>
        <w:footnoteReference w:id="1629"/>
      </w:r>
      <w:r w:rsidRPr="00320A86">
        <w:t>. Celui-ci ajoute à cela quelques articles importants, en particulier celui d’Emmanuel Mo</w:t>
      </w:r>
      <w:r w:rsidRPr="00320A86">
        <w:t>u</w:t>
      </w:r>
      <w:r w:rsidRPr="00320A86">
        <w:t xml:space="preserve">nier dans la revue </w:t>
      </w:r>
      <w:r w:rsidRPr="00973AD3">
        <w:rPr>
          <w:i/>
        </w:rPr>
        <w:t>Esprit</w:t>
      </w:r>
      <w:r w:rsidRPr="00320A86">
        <w:t>, intitulé : « </w:t>
      </w:r>
      <w:r w:rsidRPr="00973AD3">
        <w:rPr>
          <w:i/>
        </w:rPr>
        <w:t>Notes scandinaves, ou du bo</w:t>
      </w:r>
      <w:r w:rsidRPr="00973AD3">
        <w:rPr>
          <w:i/>
        </w:rPr>
        <w:t>n</w:t>
      </w:r>
      <w:r w:rsidRPr="00973AD3">
        <w:rPr>
          <w:i/>
        </w:rPr>
        <w:t>heur </w:t>
      </w:r>
      <w:r w:rsidRPr="00320A86">
        <w:t>»</w:t>
      </w:r>
      <w:r>
        <w:t> </w:t>
      </w:r>
      <w:r>
        <w:rPr>
          <w:rStyle w:val="Appelnotedebasdep"/>
        </w:rPr>
        <w:footnoteReference w:id="1630"/>
      </w:r>
      <w:r w:rsidRPr="00320A86">
        <w:t>. L’expression de « </w:t>
      </w:r>
      <w:r w:rsidRPr="00973AD3">
        <w:rPr>
          <w:i/>
        </w:rPr>
        <w:t>modèle suédois </w:t>
      </w:r>
      <w:r w:rsidRPr="00320A86">
        <w:t>» sera utilisée pour la première fois par Jean-Jacques Servan Schreiber en 1967, date à l</w:t>
      </w:r>
      <w:r w:rsidRPr="00320A86">
        <w:t>a</w:t>
      </w:r>
      <w:r w:rsidRPr="00320A86">
        <w:t xml:space="preserve">quelle il publie </w:t>
      </w:r>
      <w:r w:rsidRPr="00973AD3">
        <w:rPr>
          <w:i/>
        </w:rPr>
        <w:t>Le Défi américain </w:t>
      </w:r>
      <w:r>
        <w:rPr>
          <w:rStyle w:val="Appelnotedebasdep"/>
        </w:rPr>
        <w:footnoteReference w:id="1631"/>
      </w:r>
      <w:r w:rsidRPr="00320A86">
        <w:t>, qui contient en annexe une « </w:t>
      </w:r>
      <w:r w:rsidRPr="00973AD3">
        <w:rPr>
          <w:i/>
        </w:rPr>
        <w:t>Note sur l’expérience suédoise </w:t>
      </w:r>
      <w:r w:rsidRPr="00320A86">
        <w:t xml:space="preserve">» où les fondements du modèle sont énumérés : </w:t>
      </w:r>
      <w:r w:rsidRPr="00973AD3">
        <w:t>« </w:t>
      </w:r>
      <w:r w:rsidRPr="00973AD3">
        <w:rPr>
          <w:i/>
        </w:rPr>
        <w:t>un État actif simultanément libéral et socialiste, une exigence d’égalité, le compromis social associant patronat et syndicali</w:t>
      </w:r>
      <w:r w:rsidRPr="00973AD3">
        <w:rPr>
          <w:i/>
        </w:rPr>
        <w:t>s</w:t>
      </w:r>
      <w:r w:rsidRPr="00973AD3">
        <w:rPr>
          <w:i/>
        </w:rPr>
        <w:t>me et une fiscalité fortement progressive </w:t>
      </w:r>
      <w:r>
        <w:rPr>
          <w:rStyle w:val="Appelnotedebasdep"/>
        </w:rPr>
        <w:footnoteReference w:id="1632"/>
      </w:r>
      <w:r w:rsidRPr="00320A86">
        <w:t> ». Le président Pompidou lui-même part</w:t>
      </w:r>
      <w:r w:rsidRPr="00320A86">
        <w:t>i</w:t>
      </w:r>
      <w:r w:rsidRPr="00320A86">
        <w:t>cipera à l’engouement pour le modèle suédois : lorsqu’il fut interrogé, lors de la campagne électorale de 1969, par un journali</w:t>
      </w:r>
      <w:r w:rsidRPr="00320A86">
        <w:t>s</w:t>
      </w:r>
      <w:r w:rsidRPr="00320A86">
        <w:t>te qui lui demandait s’il y avait un pays qui lui paraissait être un m</w:t>
      </w:r>
      <w:r w:rsidRPr="00320A86">
        <w:t>o</w:t>
      </w:r>
      <w:r w:rsidRPr="00320A86">
        <w:t>dèle en matière de rapports sociaux, il répondit « </w:t>
      </w:r>
      <w:r w:rsidRPr="00973AD3">
        <w:rPr>
          <w:i/>
        </w:rPr>
        <w:t>Disons la Suède, avec plus de soleil </w:t>
      </w:r>
      <w:r>
        <w:rPr>
          <w:rStyle w:val="Appelnotedebasdep"/>
        </w:rPr>
        <w:footnoteReference w:id="1633"/>
      </w:r>
      <w:r w:rsidRPr="00320A86">
        <w:t> ». Notons également que le projet de « </w:t>
      </w:r>
      <w:r w:rsidRPr="00973AD3">
        <w:rPr>
          <w:i/>
        </w:rPr>
        <w:t>Nouvelle Société </w:t>
      </w:r>
      <w:r w:rsidRPr="00320A86">
        <w:t>» de Jacques Chaban-Delmas s’inspirait lui aussi du modèle suédois</w:t>
      </w:r>
      <w:r>
        <w:t> </w:t>
      </w:r>
      <w:r>
        <w:rPr>
          <w:rStyle w:val="Appelnotedebasdep"/>
        </w:rPr>
        <w:footnoteReference w:id="1634"/>
      </w:r>
      <w:r w:rsidRPr="00320A86">
        <w:t>. Avec les années soixa</w:t>
      </w:r>
      <w:r w:rsidRPr="00320A86">
        <w:t>n</w:t>
      </w:r>
      <w:r w:rsidRPr="00320A86">
        <w:t>te-dix, l’intérêt éditorial concernant le modèle nordique alla croissant. Sur la trentaine d’ouvrages parus sur les pays nordiques entre 1932 et 1986, 17 ouvrages furent publiés entre 1970 et 1976</w:t>
      </w:r>
      <w:r>
        <w:t> </w:t>
      </w:r>
      <w:r>
        <w:rPr>
          <w:rStyle w:val="Appelnotedebasdep"/>
        </w:rPr>
        <w:footnoteReference w:id="1635"/>
      </w:r>
      <w:r w:rsidRPr="00320A86">
        <w:t>. On peut dire que cette période a constitué une sorte d’âge d’or du mythe du modèle no</w:t>
      </w:r>
      <w:r w:rsidRPr="00320A86">
        <w:t>r</w:t>
      </w:r>
      <w:r w:rsidRPr="00320A86">
        <w:t>dique, tant en France qu’à l’étranger : la Suède en particulier est citée de Paris à Berlin en pa</w:t>
      </w:r>
      <w:r w:rsidRPr="00320A86">
        <w:t>s</w:t>
      </w:r>
      <w:r w:rsidRPr="00320A86">
        <w:t>sant par Londres pour ses réussites en matière économique et soci</w:t>
      </w:r>
      <w:r w:rsidRPr="00320A86">
        <w:t>a</w:t>
      </w:r>
      <w:r w:rsidRPr="00320A86">
        <w:t>le, mais aussi pour ce que Gilles Vergon appelle « </w:t>
      </w:r>
      <w:r w:rsidRPr="00973AD3">
        <w:rPr>
          <w:i/>
        </w:rPr>
        <w:t>sa petite monnaie culture</w:t>
      </w:r>
      <w:r w:rsidRPr="00973AD3">
        <w:rPr>
          <w:i/>
        </w:rPr>
        <w:t>l</w:t>
      </w:r>
      <w:r w:rsidRPr="00973AD3">
        <w:rPr>
          <w:i/>
        </w:rPr>
        <w:t>le </w:t>
      </w:r>
      <w:r w:rsidRPr="00320A86">
        <w:t>» : culture de la paix, peuple blond aux yeux bleus, amour libre, musique disco… ceci partic</w:t>
      </w:r>
      <w:r w:rsidRPr="00320A86">
        <w:t>i</w:t>
      </w:r>
      <w:r w:rsidRPr="00320A86">
        <w:t>pant aussi « </w:t>
      </w:r>
      <w:r w:rsidRPr="00973AD3">
        <w:rPr>
          <w:i/>
        </w:rPr>
        <w:t>de l’intérêt général pour la Suède </w:t>
      </w:r>
      <w:r>
        <w:rPr>
          <w:rStyle w:val="Appelnotedebasdep"/>
        </w:rPr>
        <w:footnoteReference w:id="1636"/>
      </w:r>
      <w:r w:rsidRPr="00320A86">
        <w:t> ».</w:t>
      </w:r>
      <w:r w:rsidRPr="00320A86">
        <w:rPr>
          <w:b/>
        </w:rPr>
        <w:t xml:space="preserve"> </w:t>
      </w:r>
      <w:r w:rsidRPr="00320A86">
        <w:t>Néanmoins, à partir de 1976, l’intérêt pour le m</w:t>
      </w:r>
      <w:r w:rsidRPr="00320A86">
        <w:t>o</w:t>
      </w:r>
      <w:r w:rsidRPr="00320A86">
        <w:t>dèle nordique retomba : en 1976, Olof Pa</w:t>
      </w:r>
      <w:r w:rsidRPr="00320A86">
        <w:t>l</w:t>
      </w:r>
      <w:r w:rsidRPr="00320A86">
        <w:t>me, l’emblématique Premier Ministre suédois, perdit les élections, clôturant 44 longues années de présence social-démocrate au gouvern</w:t>
      </w:r>
      <w:r w:rsidRPr="00320A86">
        <w:t>e</w:t>
      </w:r>
      <w:r w:rsidRPr="00320A86">
        <w:t>ment. Les sociaux-démocrates des autres pays du nord de l’Europe enregistrèrent également une série de défaites électorales à cette ép</w:t>
      </w:r>
      <w:r w:rsidRPr="00320A86">
        <w:t>o</w:t>
      </w:r>
      <w:r w:rsidRPr="00320A86">
        <w:t>que et au début des années quatre-vingts. Après 1977, les publications seront rares : on peut tout de m</w:t>
      </w:r>
      <w:r w:rsidRPr="00320A86">
        <w:t>ê</w:t>
      </w:r>
      <w:r w:rsidRPr="00320A86">
        <w:t xml:space="preserve">me citer </w:t>
      </w:r>
      <w:r w:rsidRPr="00973AD3">
        <w:rPr>
          <w:i/>
        </w:rPr>
        <w:t>Le Modèle suédois revisité</w:t>
      </w:r>
      <w:r w:rsidRPr="00320A86">
        <w:t>, de Jacques Arnault (1991), suivi de deux ouvrages scientifiques (exceptions à la règle dans ce paragr</w:t>
      </w:r>
      <w:r w:rsidRPr="00320A86">
        <w:t>a</w:t>
      </w:r>
      <w:r w:rsidRPr="00320A86">
        <w:t xml:space="preserve">phe) : </w:t>
      </w:r>
      <w:r w:rsidRPr="00973AD3">
        <w:rPr>
          <w:i/>
        </w:rPr>
        <w:t>Les Sociétés scandinaves de la R</w:t>
      </w:r>
      <w:r w:rsidRPr="00973AD3">
        <w:rPr>
          <w:i/>
        </w:rPr>
        <w:t>é</w:t>
      </w:r>
      <w:r w:rsidRPr="00973AD3">
        <w:rPr>
          <w:i/>
        </w:rPr>
        <w:t>forme à nos jours</w:t>
      </w:r>
      <w:r w:rsidRPr="00320A86">
        <w:t xml:space="preserve">, écrit par trois grands scandinavistes, Jean-François Battail, Régis Boyer et Vincent Fournier (1992), et </w:t>
      </w:r>
      <w:r w:rsidRPr="00973AD3">
        <w:rPr>
          <w:i/>
        </w:rPr>
        <w:t>La fin du modèle suédois</w:t>
      </w:r>
      <w:r w:rsidRPr="00320A86">
        <w:t>, dirigé en 1994 par le sociologue Jean-Pierre Durand</w:t>
      </w:r>
      <w:r>
        <w:t> </w:t>
      </w:r>
      <w:r>
        <w:rPr>
          <w:rStyle w:val="Appelnotedebasdep"/>
        </w:rPr>
        <w:footnoteReference w:id="1637"/>
      </w:r>
      <w:r w:rsidRPr="00320A86">
        <w:t>. Il faut ajouter à cela les o</w:t>
      </w:r>
      <w:r w:rsidRPr="00320A86">
        <w:t>u</w:t>
      </w:r>
      <w:r w:rsidRPr="00320A86">
        <w:t xml:space="preserve">vrages du regretté Jacques Mer, ancien ambassadeur en Islande, </w:t>
      </w:r>
      <w:r w:rsidRPr="00973AD3">
        <w:rPr>
          <w:i/>
        </w:rPr>
        <w:t>L’Islande, une ouverture obligée mais prudente</w:t>
      </w:r>
      <w:r w:rsidRPr="00320A86">
        <w:t xml:space="preserve"> (1994), et </w:t>
      </w:r>
      <w:r w:rsidRPr="00973AD3">
        <w:rPr>
          <w:i/>
        </w:rPr>
        <w:t>La Norv</w:t>
      </w:r>
      <w:r w:rsidRPr="00973AD3">
        <w:rPr>
          <w:i/>
        </w:rPr>
        <w:t>è</w:t>
      </w:r>
      <w:r w:rsidRPr="00973AD3">
        <w:rPr>
          <w:i/>
        </w:rPr>
        <w:t>ge, entre tradition et ouverture</w:t>
      </w:r>
      <w:r w:rsidRPr="00320A86">
        <w:t xml:space="preserve"> (1996)</w:t>
      </w:r>
      <w:r>
        <w:t> </w:t>
      </w:r>
      <w:r>
        <w:rPr>
          <w:rStyle w:val="Appelnotedebasdep"/>
        </w:rPr>
        <w:footnoteReference w:id="1638"/>
      </w:r>
      <w:r w:rsidRPr="00320A86">
        <w:t>, celui de Magnus Falkehed paru en 2003 : Le</w:t>
      </w:r>
      <w:r w:rsidRPr="00973AD3">
        <w:rPr>
          <w:i/>
        </w:rPr>
        <w:t xml:space="preserve"> Modèle suédois, Santé, services publics, enviro</w:t>
      </w:r>
      <w:r w:rsidRPr="00973AD3">
        <w:rPr>
          <w:i/>
        </w:rPr>
        <w:t>n</w:t>
      </w:r>
      <w:r w:rsidRPr="00973AD3">
        <w:rPr>
          <w:i/>
        </w:rPr>
        <w:t>nement, ce qui attend les Français</w:t>
      </w:r>
      <w:r w:rsidRPr="00320A86">
        <w:t xml:space="preserve">, suivi de celui de Marie-Laure Le Foulon en 2006 : </w:t>
      </w:r>
      <w:r w:rsidRPr="00973AD3">
        <w:rPr>
          <w:i/>
        </w:rPr>
        <w:t>Le Rebond du modèle scandinave</w:t>
      </w:r>
      <w:r w:rsidRPr="00320A86">
        <w:t xml:space="preserve">, et enfin </w:t>
      </w:r>
      <w:r w:rsidRPr="00973AD3">
        <w:rPr>
          <w:i/>
        </w:rPr>
        <w:t>Le Mod</w:t>
      </w:r>
      <w:r w:rsidRPr="00973AD3">
        <w:rPr>
          <w:i/>
        </w:rPr>
        <w:t>è</w:t>
      </w:r>
      <w:r w:rsidRPr="00973AD3">
        <w:rPr>
          <w:i/>
        </w:rPr>
        <w:t>le danois</w:t>
      </w:r>
      <w:r w:rsidRPr="00320A86">
        <w:t xml:space="preserve"> de Mogens Lykketoft en 2006, ainsi que </w:t>
      </w:r>
      <w:r w:rsidRPr="00973AD3">
        <w:rPr>
          <w:i/>
        </w:rPr>
        <w:t>La Flexicurité d</w:t>
      </w:r>
      <w:r w:rsidRPr="00973AD3">
        <w:rPr>
          <w:i/>
        </w:rPr>
        <w:t>a</w:t>
      </w:r>
      <w:r w:rsidRPr="00973AD3">
        <w:rPr>
          <w:i/>
        </w:rPr>
        <w:t>noise : quels enseignements pour la France ?</w:t>
      </w:r>
      <w:r w:rsidRPr="00320A86">
        <w:t xml:space="preserve"> de Robert Boyer</w:t>
      </w:r>
      <w:r>
        <w:t> </w:t>
      </w:r>
      <w:r>
        <w:rPr>
          <w:rStyle w:val="Appelnotedebasdep"/>
        </w:rPr>
        <w:footnoteReference w:id="1639"/>
      </w:r>
      <w:r w:rsidRPr="00320A86">
        <w:t xml:space="preserve">. On peut ajouter à cette liste l’ouvrage de Jean-François Battail, </w:t>
      </w:r>
      <w:r w:rsidRPr="00973AD3">
        <w:rPr>
          <w:i/>
        </w:rPr>
        <w:t>Les dest</w:t>
      </w:r>
      <w:r w:rsidRPr="00973AD3">
        <w:rPr>
          <w:i/>
        </w:rPr>
        <w:t>i</w:t>
      </w:r>
      <w:r w:rsidRPr="00973AD3">
        <w:rPr>
          <w:i/>
        </w:rPr>
        <w:t>nées de la Norvège moderne</w:t>
      </w:r>
      <w:r w:rsidRPr="00320A86">
        <w:t>, paru en 2005, qui est un ouvrage d’histoire politique et culturelle de l’État-providence norvégien</w:t>
      </w:r>
      <w:r>
        <w:t> </w:t>
      </w:r>
      <w:r>
        <w:rPr>
          <w:rStyle w:val="Appelnotedebasdep"/>
        </w:rPr>
        <w:footnoteReference w:id="1640"/>
      </w:r>
      <w:r w:rsidRPr="00320A86">
        <w:t>. Mais, à l’exception de cet ouvrage et de celui de Ba</w:t>
      </w:r>
      <w:r w:rsidRPr="00320A86">
        <w:t>t</w:t>
      </w:r>
      <w:r w:rsidRPr="00320A86">
        <w:t>tail, Boyer et Fournier qui sont des ouvrages d’histoire, le ton des ouvrages p</w:t>
      </w:r>
      <w:r w:rsidRPr="00320A86">
        <w:t>a</w:t>
      </w:r>
      <w:r w:rsidRPr="00320A86">
        <w:t>rus dans cette période est bien différent : pour Magnus Falkehed le ton est critique et l’heure est au changement plutôt sinistre, en raison des r</w:t>
      </w:r>
      <w:r w:rsidRPr="00320A86">
        <w:t>é</w:t>
      </w:r>
      <w:r w:rsidRPr="00320A86">
        <w:t>formes qui ont défiguré le modèle des années soixante-dix par la r</w:t>
      </w:r>
      <w:r w:rsidRPr="00320A86">
        <w:t>é</w:t>
      </w:r>
      <w:r w:rsidRPr="00320A86">
        <w:t>duction du service public et l’apparition des no</w:t>
      </w:r>
      <w:r w:rsidRPr="00320A86">
        <w:t>u</w:t>
      </w:r>
      <w:r w:rsidRPr="00320A86">
        <w:t>velles méthodes de management. Pour Mogens Lykketoft, ancien ministre danois des F</w:t>
      </w:r>
      <w:r w:rsidRPr="00320A86">
        <w:t>i</w:t>
      </w:r>
      <w:r w:rsidRPr="00320A86">
        <w:t>nances, l’heure est au contra</w:t>
      </w:r>
      <w:r w:rsidRPr="00320A86">
        <w:t>i</w:t>
      </w:r>
      <w:r w:rsidRPr="00320A86">
        <w:t>re au renouveau du modèle sous d’autres formes, avec la flexisécurité. Le ton de Marie-Laure Le Foulon est, quant à lui, plus neutre et informatif que polém</w:t>
      </w:r>
      <w:r w:rsidRPr="00320A86">
        <w:t>i</w:t>
      </w:r>
      <w:r w:rsidRPr="00320A86">
        <w:t>que. Enfin, signalons deux ouvrages qui sont des mémoires d’étudiants de l’Ecole des mines et qui tous deux explorent le reno</w:t>
      </w:r>
      <w:r w:rsidRPr="00320A86">
        <w:t>u</w:t>
      </w:r>
      <w:r w:rsidRPr="00320A86">
        <w:t>veau et les nouveaux succès du modèle nordique : Le Modèle suédois, un malentendu, par Benjamin Huteau et Jean-Yves Larra</w:t>
      </w:r>
      <w:r w:rsidRPr="00320A86">
        <w:t>u</w:t>
      </w:r>
      <w:r w:rsidRPr="00320A86">
        <w:t>fie, paru en 2009 aux Presses de l’école des mines, et Les Transformations du modèle suédois, Émilie Bourdu, 2013, aux Presses des Mines-Transvalor en 2013</w:t>
      </w:r>
      <w:r>
        <w:t> </w:t>
      </w:r>
      <w:r>
        <w:rPr>
          <w:rStyle w:val="Appelnotedebasdep"/>
        </w:rPr>
        <w:footnoteReference w:id="1641"/>
      </w:r>
      <w:r w:rsidRPr="00320A86">
        <w:t>. Au total on peut dénombrer ainsi une diza</w:t>
      </w:r>
      <w:r w:rsidRPr="00320A86">
        <w:t>i</w:t>
      </w:r>
      <w:r w:rsidRPr="00320A86">
        <w:t>ne de publications portant sur le modèle nordique en plus d’une qu</w:t>
      </w:r>
      <w:r w:rsidRPr="00320A86">
        <w:t>a</w:t>
      </w:r>
      <w:r w:rsidRPr="00320A86">
        <w:t>rantaine d’années (1977-2013)</w:t>
      </w:r>
      <w:r>
        <w:t> </w:t>
      </w:r>
      <w:r>
        <w:rPr>
          <w:rStyle w:val="Appelnotedebasdep"/>
        </w:rPr>
        <w:footnoteReference w:id="1642"/>
      </w:r>
      <w:r w:rsidRPr="00320A86">
        <w:t>. À cela, pour tenter d’être complet, il faut ajouter un certain nombre d’articles scientif</w:t>
      </w:r>
      <w:r w:rsidRPr="00320A86">
        <w:t>i</w:t>
      </w:r>
      <w:r w:rsidRPr="00320A86">
        <w:t xml:space="preserve">ques, et en particulier le numéro spécial de la </w:t>
      </w:r>
      <w:r w:rsidRPr="00973AD3">
        <w:rPr>
          <w:i/>
        </w:rPr>
        <w:t>Revue française des affaires soci</w:t>
      </w:r>
      <w:r w:rsidRPr="00973AD3">
        <w:rPr>
          <w:i/>
        </w:rPr>
        <w:t>a</w:t>
      </w:r>
      <w:r w:rsidRPr="00973AD3">
        <w:rPr>
          <w:i/>
        </w:rPr>
        <w:t>les</w:t>
      </w:r>
      <w:r w:rsidRPr="00320A86">
        <w:t xml:space="preserve"> sur « </w:t>
      </w:r>
      <w:r w:rsidRPr="00973AD3">
        <w:rPr>
          <w:i/>
        </w:rPr>
        <w:t>L’État-providence nordique, ajustements, transformations au cours des années 1990 </w:t>
      </w:r>
      <w:r w:rsidRPr="00320A86">
        <w:t>» paru en 2003 et le num</w:t>
      </w:r>
      <w:r w:rsidRPr="00320A86">
        <w:t>é</w:t>
      </w:r>
      <w:r w:rsidRPr="00320A86">
        <w:t xml:space="preserve">ro de la </w:t>
      </w:r>
      <w:r w:rsidRPr="00973AD3">
        <w:rPr>
          <w:i/>
        </w:rPr>
        <w:t>Revue internati</w:t>
      </w:r>
      <w:r w:rsidRPr="00973AD3">
        <w:rPr>
          <w:i/>
        </w:rPr>
        <w:t>o</w:t>
      </w:r>
      <w:r w:rsidRPr="00973AD3">
        <w:rPr>
          <w:i/>
        </w:rPr>
        <w:t>nale de politique comparée</w:t>
      </w:r>
      <w:r w:rsidRPr="00320A86">
        <w:t xml:space="preserve"> consacré au « </w:t>
      </w:r>
      <w:r w:rsidRPr="00973AD3">
        <w:rPr>
          <w:i/>
        </w:rPr>
        <w:t>Modèle nordique </w:t>
      </w:r>
      <w:r w:rsidRPr="00320A86">
        <w:t>» en 2006</w:t>
      </w:r>
      <w:r>
        <w:t> </w:t>
      </w:r>
      <w:r>
        <w:rPr>
          <w:rStyle w:val="Appelnotedebasdep"/>
        </w:rPr>
        <w:footnoteReference w:id="1643"/>
      </w:r>
      <w:r w:rsidRPr="00320A86">
        <w:t>. Mentionnons aussi les très no</w:t>
      </w:r>
      <w:r w:rsidRPr="00320A86">
        <w:t>m</w:t>
      </w:r>
      <w:r w:rsidRPr="00320A86">
        <w:t xml:space="preserve">breux articles parus dans la revue </w:t>
      </w:r>
      <w:r w:rsidRPr="00973AD3">
        <w:rPr>
          <w:i/>
        </w:rPr>
        <w:t>Nordiques</w:t>
      </w:r>
      <w:r w:rsidRPr="00320A86">
        <w:t>, en particulier le numéro 23 avec un dossier sur « </w:t>
      </w:r>
      <w:r w:rsidRPr="00973AD3">
        <w:rPr>
          <w:i/>
        </w:rPr>
        <w:t>Le modèle nordique dans la crise </w:t>
      </w:r>
      <w:r w:rsidRPr="00320A86">
        <w:t>», en 2010, et aussi ceux parus dans la Revue d’histoire nordique, en particulier le numéro 9 de 2009 sur « </w:t>
      </w:r>
      <w:r w:rsidRPr="00973AD3">
        <w:rPr>
          <w:i/>
        </w:rPr>
        <w:t>Le passé et le futur de l’État-providence no</w:t>
      </w:r>
      <w:r w:rsidRPr="00973AD3">
        <w:rPr>
          <w:i/>
        </w:rPr>
        <w:t>r</w:t>
      </w:r>
      <w:r w:rsidRPr="00973AD3">
        <w:rPr>
          <w:i/>
        </w:rPr>
        <w:t>dique </w:t>
      </w:r>
      <w:r w:rsidRPr="00320A86">
        <w:t>» ainsi que le numéro 6 de la revue Deshima, paru en 2012, sur « </w:t>
      </w:r>
      <w:r w:rsidRPr="00973AD3">
        <w:rPr>
          <w:i/>
        </w:rPr>
        <w:t>Modèle nordique et développement durable </w:t>
      </w:r>
      <w:r w:rsidRPr="00320A86">
        <w:t>» (notons que la diff</w:t>
      </w:r>
      <w:r w:rsidRPr="00320A86">
        <w:t>u</w:t>
      </w:r>
      <w:r w:rsidRPr="00320A86">
        <w:t>sion de ces revues est plutôt reçue par un public spécialisé, et donc plutôt restreint aux sphères universitaires). Enfin, certaines public</w:t>
      </w:r>
      <w:r w:rsidRPr="00320A86">
        <w:t>a</w:t>
      </w:r>
      <w:r w:rsidRPr="00320A86">
        <w:t xml:space="preserve">tions relevant des Sciences économiques (en particulier publiées par la </w:t>
      </w:r>
      <w:r w:rsidRPr="00973AD3">
        <w:rPr>
          <w:i/>
        </w:rPr>
        <w:t>Documentation française</w:t>
      </w:r>
      <w:r w:rsidRPr="00320A86">
        <w:t xml:space="preserve">) mettent parfois un coup de projecteur sur le sujet : par exemple, le dossier des </w:t>
      </w:r>
      <w:r w:rsidRPr="00973AD3">
        <w:rPr>
          <w:i/>
        </w:rPr>
        <w:t>Problèmes économiques et sociaux</w:t>
      </w:r>
      <w:r w:rsidRPr="00320A86">
        <w:t xml:space="preserve"> consacré en 2011 aux « </w:t>
      </w:r>
      <w:r w:rsidRPr="00973AD3">
        <w:rPr>
          <w:i/>
        </w:rPr>
        <w:t>Paradoxes du modèle nordique </w:t>
      </w:r>
      <w:r w:rsidRPr="00320A86">
        <w:t>»</w:t>
      </w:r>
      <w:r>
        <w:t> </w:t>
      </w:r>
      <w:r>
        <w:rPr>
          <w:rStyle w:val="Appelnotedebasdep"/>
        </w:rPr>
        <w:footnoteReference w:id="1644"/>
      </w:r>
      <w:r w:rsidRPr="00320A86">
        <w:t>. Le bilan est donc celui d’un v</w:t>
      </w:r>
      <w:r w:rsidRPr="00320A86">
        <w:t>o</w:t>
      </w:r>
      <w:r w:rsidRPr="00320A86">
        <w:t>lume très faible de publications portant sur ce sujet, à l’exception des années 70, et un certain renouveau de l’intérêt pour le sujet dans les années 2000, en dépit d’un nombre de public</w:t>
      </w:r>
      <w:r w:rsidRPr="00320A86">
        <w:t>a</w:t>
      </w:r>
      <w:r w:rsidRPr="00320A86">
        <w:t>tions restant faible. Cela explique que l’image du modèle tel qu’il était  dans les années soixa</w:t>
      </w:r>
      <w:r w:rsidRPr="00320A86">
        <w:t>n</w:t>
      </w:r>
      <w:r w:rsidRPr="00320A86">
        <w:t>te-dix, empreint des valeurs de la social-démocratie triompha</w:t>
      </w:r>
      <w:r w:rsidRPr="00320A86">
        <w:t>n</w:t>
      </w:r>
      <w:r w:rsidRPr="00320A86">
        <w:t>te et d’une modernité avant-gardiste, ait à ce point marqué les esprits que le grand public le confond encore so</w:t>
      </w:r>
      <w:r w:rsidRPr="00320A86">
        <w:t>u</w:t>
      </w:r>
      <w:r w:rsidRPr="00320A86">
        <w:t>vent, en France, avec la réalité a</w:t>
      </w:r>
      <w:r w:rsidRPr="00320A86">
        <w:t>c</w:t>
      </w:r>
      <w:r w:rsidRPr="00320A86">
        <w:t>tuelle du modèle, bien différente. Car au fond, cette petite enquête sur la connaissance savante et vulg</w:t>
      </w:r>
      <w:r w:rsidRPr="00320A86">
        <w:t>a</w:t>
      </w:r>
      <w:r w:rsidRPr="00320A86">
        <w:t>risée des pays nordiques montre une chose : qu’ils sont encore très peu connus en France, même s’ils y b</w:t>
      </w:r>
      <w:r w:rsidRPr="00320A86">
        <w:t>é</w:t>
      </w:r>
      <w:r w:rsidRPr="00320A86">
        <w:t>néficient d’un très grand capital de sympathie. La question qui se pose alors est de savoir à quoi co</w:t>
      </w:r>
      <w:r w:rsidRPr="00320A86">
        <w:t>r</w:t>
      </w:r>
      <w:r w:rsidRPr="00320A86">
        <w:t>respond la référence presque banale, récurrente au « modèle nord</w:t>
      </w:r>
      <w:r w:rsidRPr="00320A86">
        <w:t>i</w:t>
      </w:r>
      <w:r w:rsidRPr="00320A86">
        <w:t>que » dans la presse et dans le débat polit</w:t>
      </w:r>
      <w:r w:rsidRPr="00320A86">
        <w:t>i</w:t>
      </w:r>
      <w:r w:rsidRPr="00320A86">
        <w:t>que français. Si elle ne s’appuie que sur une connaissance superficielle de l’objet, quel est donc son sens et quels sont ses us</w:t>
      </w:r>
      <w:r w:rsidRPr="00320A86">
        <w:t>a</w:t>
      </w:r>
      <w:r w:rsidRPr="00320A86">
        <w:t>ges politiques ?</w:t>
      </w:r>
    </w:p>
    <w:p w14:paraId="568CC39C" w14:textId="77777777" w:rsidR="00B01930" w:rsidRPr="00320A86" w:rsidRDefault="00B01930" w:rsidP="00B01930">
      <w:pPr>
        <w:spacing w:before="120" w:after="120"/>
        <w:jc w:val="both"/>
      </w:pPr>
    </w:p>
    <w:p w14:paraId="71392E48" w14:textId="77777777" w:rsidR="00B01930" w:rsidRPr="00320A86" w:rsidRDefault="00B01930" w:rsidP="00B01930">
      <w:pPr>
        <w:pStyle w:val="planche"/>
      </w:pPr>
      <w:bookmarkStart w:id="242" w:name="Analyser_idees_pol_pt_4_texte_16_III"/>
      <w:r w:rsidRPr="00320A86">
        <w:t>III. Sens et usages politiques du mythe</w:t>
      </w:r>
      <w:r>
        <w:br/>
      </w:r>
      <w:r w:rsidRPr="00320A86">
        <w:t>du « modèle nordique »</w:t>
      </w:r>
    </w:p>
    <w:bookmarkEnd w:id="242"/>
    <w:p w14:paraId="39B16E9A" w14:textId="77777777" w:rsidR="00B01930" w:rsidRDefault="00B01930" w:rsidP="00B01930">
      <w:pPr>
        <w:spacing w:before="120" w:after="120"/>
        <w:jc w:val="both"/>
      </w:pPr>
    </w:p>
    <w:p w14:paraId="66ECD9E4" w14:textId="77777777" w:rsidR="00B01930" w:rsidRPr="00384B20" w:rsidRDefault="00B01930" w:rsidP="00B01930">
      <w:pPr>
        <w:ind w:right="90" w:firstLine="0"/>
        <w:jc w:val="both"/>
        <w:rPr>
          <w:sz w:val="20"/>
        </w:rPr>
      </w:pPr>
      <w:hyperlink w:anchor="tdm" w:history="1">
        <w:r w:rsidRPr="00384B20">
          <w:rPr>
            <w:rStyle w:val="Hyperlien"/>
            <w:sz w:val="20"/>
          </w:rPr>
          <w:t>Retour à la table des matières</w:t>
        </w:r>
      </w:hyperlink>
    </w:p>
    <w:p w14:paraId="276FF8C4" w14:textId="77777777" w:rsidR="00B01930" w:rsidRPr="00320A86" w:rsidRDefault="00B01930" w:rsidP="00B01930">
      <w:pPr>
        <w:spacing w:before="120" w:after="120"/>
        <w:jc w:val="both"/>
      </w:pPr>
      <w:r w:rsidRPr="00320A86">
        <w:t>Il faudrait bien plus que l’espace réduit de ce chapitre pour rece</w:t>
      </w:r>
      <w:r w:rsidRPr="00320A86">
        <w:t>n</w:t>
      </w:r>
      <w:r w:rsidRPr="00320A86">
        <w:t>ser les i</w:t>
      </w:r>
      <w:r w:rsidRPr="00320A86">
        <w:t>n</w:t>
      </w:r>
      <w:r w:rsidRPr="00320A86">
        <w:t>nombrables articles de presse, plus les émissions télévisées et radiophoniques se référant au modèle nordique : en effet, l’invocation du « modèle » nordique est un thème récurrent dans la presse frança</w:t>
      </w:r>
      <w:r w:rsidRPr="00320A86">
        <w:t>i</w:t>
      </w:r>
      <w:r w:rsidRPr="00320A86">
        <w:t>se, ainsi que dans le débat politique du pays. Les thèmes abordés sont également extrêmement divers. Ils portent en g</w:t>
      </w:r>
      <w:r w:rsidRPr="00320A86">
        <w:t>é</w:t>
      </w:r>
      <w:r w:rsidRPr="00320A86">
        <w:t>néral sur l’économie</w:t>
      </w:r>
      <w:r>
        <w:t> </w:t>
      </w:r>
      <w:r>
        <w:rPr>
          <w:rStyle w:val="Appelnotedebasdep"/>
        </w:rPr>
        <w:footnoteReference w:id="1645"/>
      </w:r>
      <w:r w:rsidRPr="00320A86">
        <w:t>, le social, la politique</w:t>
      </w:r>
      <w:r>
        <w:t> </w:t>
      </w:r>
      <w:r>
        <w:rPr>
          <w:rStyle w:val="Appelnotedebasdep"/>
        </w:rPr>
        <w:footnoteReference w:id="1646"/>
      </w:r>
      <w:r w:rsidRPr="00320A86">
        <w:t>, l’États-providence</w:t>
      </w:r>
      <w:r>
        <w:t> </w:t>
      </w:r>
      <w:r>
        <w:rPr>
          <w:rStyle w:val="Appelnotedebasdep"/>
        </w:rPr>
        <w:footnoteReference w:id="1647"/>
      </w:r>
      <w:r w:rsidRPr="00320A86">
        <w:t xml:space="preserve"> (droits s</w:t>
      </w:r>
      <w:r w:rsidRPr="00320A86">
        <w:t>o</w:t>
      </w:r>
      <w:r w:rsidRPr="00320A86">
        <w:t>ciaux, retraites</w:t>
      </w:r>
      <w:r>
        <w:t> </w:t>
      </w:r>
      <w:r>
        <w:rPr>
          <w:rStyle w:val="Appelnotedebasdep"/>
        </w:rPr>
        <w:footnoteReference w:id="1648"/>
      </w:r>
      <w:r w:rsidRPr="00320A86">
        <w:t>, impôts, systèmes de lutte contre le chômage</w:t>
      </w:r>
      <w:r>
        <w:t> </w:t>
      </w:r>
      <w:r>
        <w:rPr>
          <w:rStyle w:val="Appelnotedebasdep"/>
        </w:rPr>
        <w:footnoteReference w:id="1649"/>
      </w:r>
      <w:r w:rsidRPr="00320A86">
        <w:t>, sy</w:t>
      </w:r>
      <w:r w:rsidRPr="00320A86">
        <w:t>s</w:t>
      </w:r>
      <w:r w:rsidRPr="00320A86">
        <w:t>tème de santé</w:t>
      </w:r>
      <w:r>
        <w:t> </w:t>
      </w:r>
      <w:r>
        <w:rPr>
          <w:rStyle w:val="Appelnotedebasdep"/>
        </w:rPr>
        <w:footnoteReference w:id="1650"/>
      </w:r>
      <w:r w:rsidRPr="00320A86">
        <w:t>), mais aussi sur de nombreux problèmes de soci</w:t>
      </w:r>
      <w:r w:rsidRPr="00320A86">
        <w:t>é</w:t>
      </w:r>
      <w:r w:rsidRPr="00320A86">
        <w:t>té : éducation</w:t>
      </w:r>
      <w:r>
        <w:t> </w:t>
      </w:r>
      <w:r>
        <w:rPr>
          <w:rStyle w:val="Appelnotedebasdep"/>
        </w:rPr>
        <w:footnoteReference w:id="1651"/>
      </w:r>
      <w:r w:rsidRPr="00320A86">
        <w:t>, lutte contre la prostitution</w:t>
      </w:r>
      <w:r>
        <w:t> </w:t>
      </w:r>
      <w:r>
        <w:rPr>
          <w:rStyle w:val="Appelnotedebasdep"/>
        </w:rPr>
        <w:footnoteReference w:id="1652"/>
      </w:r>
      <w:r w:rsidRPr="00320A86">
        <w:t>, interdiction de la fe</w:t>
      </w:r>
      <w:r w:rsidRPr="00320A86">
        <w:t>s</w:t>
      </w:r>
      <w:r w:rsidRPr="00320A86">
        <w:t>sée</w:t>
      </w:r>
      <w:r>
        <w:t> </w:t>
      </w:r>
      <w:r>
        <w:rPr>
          <w:rStyle w:val="Appelnotedebasdep"/>
        </w:rPr>
        <w:footnoteReference w:id="1653"/>
      </w:r>
      <w:r w:rsidRPr="00320A86">
        <w:t>, théorie du genre</w:t>
      </w:r>
      <w:r>
        <w:t> </w:t>
      </w:r>
      <w:r>
        <w:rPr>
          <w:rStyle w:val="Appelnotedebasdep"/>
        </w:rPr>
        <w:footnoteReference w:id="1654"/>
      </w:r>
      <w:r w:rsidRPr="00320A86">
        <w:t>… Ce que peut dire le lecteur attentif à ce sujet est que la référence au modèle nordique est une réf</w:t>
      </w:r>
      <w:r w:rsidRPr="00320A86">
        <w:t>é</w:t>
      </w:r>
      <w:r w:rsidRPr="00320A86">
        <w:t>rence banale dans le champ médiatico-politique français. Le contenu de cette référence est toutefois plus d</w:t>
      </w:r>
      <w:r w:rsidRPr="00320A86">
        <w:t>i</w:t>
      </w:r>
      <w:r w:rsidRPr="00320A86">
        <w:t>vers qu’il n’y paraît. Il a évolué dans le temps et varie également selon les usages politiques qui en sont faits. De plus, ce</w:t>
      </w:r>
      <w:r w:rsidRPr="00320A86">
        <w:t>r</w:t>
      </w:r>
      <w:r w:rsidRPr="00320A86">
        <w:t>tains pays nordiques peuvent être mis en lumière spécif</w:t>
      </w:r>
      <w:r w:rsidRPr="00320A86">
        <w:t>i</w:t>
      </w:r>
      <w:r w:rsidRPr="00320A86">
        <w:t>quement à un moment ou un autre : si la toile de fond des représentations françaises du modèle est général</w:t>
      </w:r>
      <w:r w:rsidRPr="00320A86">
        <w:t>e</w:t>
      </w:r>
      <w:r w:rsidRPr="00320A86">
        <w:t>ment suédoise, le Danemark a particulièrement été mis en lumière dans les 2000 sur le thème de la flexisécurité, aussi appelée flexicurité</w:t>
      </w:r>
      <w:r>
        <w:t> </w:t>
      </w:r>
      <w:r>
        <w:rPr>
          <w:rStyle w:val="Appelnotedebasdep"/>
        </w:rPr>
        <w:footnoteReference w:id="1655"/>
      </w:r>
      <w:r w:rsidRPr="00320A86">
        <w:t>, et la Finlande dans les années 2000 à propos de son système éducatif en raison de ses excellentes performances dans le classement PISA</w:t>
      </w:r>
      <w:r>
        <w:t> </w:t>
      </w:r>
      <w:r>
        <w:rPr>
          <w:rStyle w:val="Appelnotedebasdep"/>
        </w:rPr>
        <w:footnoteReference w:id="1656"/>
      </w:r>
      <w:r w:rsidRPr="00320A86">
        <w:t>. La Norvège apparaît moins souvent dans le débat français, l’intérêt se portant surtout sur les que</w:t>
      </w:r>
      <w:r w:rsidRPr="00320A86">
        <w:t>s</w:t>
      </w:r>
      <w:r w:rsidRPr="00320A86">
        <w:t>tions pétrolières (et le fonds souverain) et parfois sur les questions environnement</w:t>
      </w:r>
      <w:r w:rsidRPr="00320A86">
        <w:t>a</w:t>
      </w:r>
      <w:r w:rsidRPr="00320A86">
        <w:t>les</w:t>
      </w:r>
      <w:r>
        <w:t> </w:t>
      </w:r>
      <w:r>
        <w:rPr>
          <w:rStyle w:val="Appelnotedebasdep"/>
        </w:rPr>
        <w:footnoteReference w:id="1657"/>
      </w:r>
      <w:r w:rsidRPr="00320A86">
        <w:t>.</w:t>
      </w:r>
    </w:p>
    <w:p w14:paraId="0DA73120" w14:textId="77777777" w:rsidR="00B01930" w:rsidRPr="00320A86" w:rsidRDefault="00B01930" w:rsidP="00B01930">
      <w:pPr>
        <w:spacing w:before="120" w:after="120"/>
        <w:jc w:val="both"/>
      </w:pPr>
      <w:r w:rsidRPr="00320A86">
        <w:t>Dans les années trente, la Suède, nous l’avons dit, bénéficia d’une étiquette de modèle en raison de sa capacité à maintenir un système politique démocratique dans une période où les totalitarismes se dév</w:t>
      </w:r>
      <w:r w:rsidRPr="00320A86">
        <w:t>e</w:t>
      </w:r>
      <w:r w:rsidRPr="00320A86">
        <w:t>loppaient, et elle captiva ég</w:t>
      </w:r>
      <w:r w:rsidRPr="00320A86">
        <w:t>a</w:t>
      </w:r>
      <w:r w:rsidRPr="00320A86">
        <w:t>lement l’attention par ses innovations en matière sociale et en matière de relations de travail. Mais la fascin</w:t>
      </w:r>
      <w:r w:rsidRPr="00320A86">
        <w:t>a</w:t>
      </w:r>
      <w:r w:rsidRPr="00320A86">
        <w:t>tion avait également un sens politique : pour les socialistes, elle mo</w:t>
      </w:r>
      <w:r w:rsidRPr="00320A86">
        <w:t>n</w:t>
      </w:r>
      <w:r w:rsidRPr="00320A86">
        <w:t>trait que le socialisme (du moins dans sa variante social-démocrate) pouvait être « réel » sans conduire au totalitarisme. Comme l’écrit Louis Clerc, « </w:t>
      </w:r>
      <w:r w:rsidRPr="00973AD3">
        <w:rPr>
          <w:i/>
        </w:rPr>
        <w:t>la référence nordique reste en grande partie politisée, et c’est dans les rangs du centre-gauche radical qu’elle semble la plus active entre les deux guerres mondiales. (…) Les sociétés nordiques apparaissant mêler idéal</w:t>
      </w:r>
      <w:r w:rsidRPr="00973AD3">
        <w:rPr>
          <w:i/>
        </w:rPr>
        <w:t>e</w:t>
      </w:r>
      <w:r w:rsidRPr="00973AD3">
        <w:rPr>
          <w:i/>
        </w:rPr>
        <w:t>ment l’ancien et le nouveau, le socialisme et le capitalisme, un conservatisme raiso</w:t>
      </w:r>
      <w:r w:rsidRPr="00973AD3">
        <w:rPr>
          <w:i/>
        </w:rPr>
        <w:t>n</w:t>
      </w:r>
      <w:r w:rsidRPr="00973AD3">
        <w:rPr>
          <w:i/>
        </w:rPr>
        <w:t>nable et le libéralisme des mœurs, le pacifisme, une société rurale et des villes modernes, le n</w:t>
      </w:r>
      <w:r w:rsidRPr="00973AD3">
        <w:rPr>
          <w:i/>
        </w:rPr>
        <w:t>a</w:t>
      </w:r>
      <w:r w:rsidRPr="00973AD3">
        <w:rPr>
          <w:i/>
        </w:rPr>
        <w:t>tionalisme et la démocratie. [… elles] sont souvent décrites (…) co</w:t>
      </w:r>
      <w:r w:rsidRPr="00973AD3">
        <w:rPr>
          <w:i/>
        </w:rPr>
        <w:t>m</w:t>
      </w:r>
      <w:r w:rsidRPr="00973AD3">
        <w:rPr>
          <w:i/>
        </w:rPr>
        <w:t>me autant d’alternatives idéales entre fascisme et sociali</w:t>
      </w:r>
      <w:r w:rsidRPr="00973AD3">
        <w:rPr>
          <w:i/>
        </w:rPr>
        <w:t>s</w:t>
      </w:r>
      <w:r w:rsidRPr="00973AD3">
        <w:rPr>
          <w:i/>
        </w:rPr>
        <w:t>me </w:t>
      </w:r>
      <w:r w:rsidRPr="00320A86">
        <w:t>»</w:t>
      </w:r>
      <w:r>
        <w:t> </w:t>
      </w:r>
      <w:r>
        <w:rPr>
          <w:rStyle w:val="Appelnotedebasdep"/>
        </w:rPr>
        <w:footnoteReference w:id="1658"/>
      </w:r>
      <w:r w:rsidRPr="00320A86">
        <w:t>. Dans son ouvrage Heureux Scandinaves, enquête sur les réalisations soci</w:t>
      </w:r>
      <w:r w:rsidRPr="00320A86">
        <w:t>a</w:t>
      </w:r>
      <w:r w:rsidRPr="00320A86">
        <w:t>listes au Danemark, en Suède, Norvège et Finlande, Émile Schreiber</w:t>
      </w:r>
      <w:r>
        <w:t> </w:t>
      </w:r>
      <w:r>
        <w:rPr>
          <w:rStyle w:val="Appelnotedebasdep"/>
        </w:rPr>
        <w:footnoteReference w:id="1659"/>
      </w:r>
      <w:r w:rsidRPr="00320A86">
        <w:t xml:space="preserve"> (journaliste libéral et père de Jean-Jacques Se</w:t>
      </w:r>
      <w:r w:rsidRPr="00320A86">
        <w:t>r</w:t>
      </w:r>
      <w:r w:rsidRPr="00320A86">
        <w:t>van-Schreiber) livre le fruit d’un voyage qu’il a effectué dans ces pays et souligne leur soci</w:t>
      </w:r>
      <w:r w:rsidRPr="00320A86">
        <w:t>a</w:t>
      </w:r>
      <w:r w:rsidRPr="00320A86">
        <w:t>lisme « </w:t>
      </w:r>
      <w:r w:rsidRPr="00973AD3">
        <w:rPr>
          <w:i/>
        </w:rPr>
        <w:t>réformiste </w:t>
      </w:r>
      <w:r w:rsidRPr="00320A86">
        <w:t>», radicalement opposé au marxisme révolutionna</w:t>
      </w:r>
      <w:r w:rsidRPr="00320A86">
        <w:t>i</w:t>
      </w:r>
      <w:r w:rsidRPr="00320A86">
        <w:t>re : « </w:t>
      </w:r>
      <w:r w:rsidRPr="00973AD3">
        <w:rPr>
          <w:i/>
        </w:rPr>
        <w:t>la formule politique et sociale qui leur a si bien réussi n’est pas celle de la révolution permanente que préconise Trotsky et qui enge</w:t>
      </w:r>
      <w:r w:rsidRPr="00973AD3">
        <w:rPr>
          <w:i/>
        </w:rPr>
        <w:t>n</w:t>
      </w:r>
      <w:r w:rsidRPr="00973AD3">
        <w:rPr>
          <w:i/>
        </w:rPr>
        <w:t>dre troubles et massacres, mais celle de la réfo</w:t>
      </w:r>
      <w:r w:rsidRPr="00973AD3">
        <w:rPr>
          <w:i/>
        </w:rPr>
        <w:t>r</w:t>
      </w:r>
      <w:r w:rsidRPr="00973AD3">
        <w:rPr>
          <w:i/>
        </w:rPr>
        <w:t>me constante qui va au-devant des aspirations et des besoins des ma</w:t>
      </w:r>
      <w:r w:rsidRPr="00973AD3">
        <w:rPr>
          <w:i/>
        </w:rPr>
        <w:t>s</w:t>
      </w:r>
      <w:r w:rsidRPr="00973AD3">
        <w:rPr>
          <w:i/>
        </w:rPr>
        <w:t>ses et permet d’assurer à leurs réalisations un cours paisible et régulier </w:t>
      </w:r>
      <w:r>
        <w:rPr>
          <w:rStyle w:val="Appelnotedebasdep"/>
        </w:rPr>
        <w:footnoteReference w:id="1660"/>
      </w:r>
      <w:r>
        <w:t> </w:t>
      </w:r>
      <w:r w:rsidRPr="00320A86">
        <w:t>». Tout</w:t>
      </w:r>
      <w:r w:rsidRPr="00320A86">
        <w:t>e</w:t>
      </w:r>
      <w:r w:rsidRPr="00320A86">
        <w:t>fois dans l’entre-deux-guerres, le centre-gauche radical a une image positive du modèle nordique, ta</w:t>
      </w:r>
      <w:r w:rsidRPr="00320A86">
        <w:t>n</w:t>
      </w:r>
      <w:r w:rsidRPr="00320A86">
        <w:t>dis que celui-ci attire moins la droite, à l’exception de la Finlande, parce qu’elle apparaît comme un rempart face au communisme soviétique</w:t>
      </w:r>
      <w:r>
        <w:t> </w:t>
      </w:r>
      <w:r>
        <w:rPr>
          <w:rStyle w:val="Appelnotedebasdep"/>
        </w:rPr>
        <w:footnoteReference w:id="1661"/>
      </w:r>
      <w:r w:rsidRPr="00320A86">
        <w:t>. D’autres observ</w:t>
      </w:r>
      <w:r w:rsidRPr="00320A86">
        <w:t>a</w:t>
      </w:r>
      <w:r w:rsidRPr="00320A86">
        <w:t>teurs admirent pour leur part les innovations sociales du modèle suédois, tels Emile Planus, spécialiste de l’organisation des entrepr</w:t>
      </w:r>
      <w:r w:rsidRPr="00320A86">
        <w:t>i</w:t>
      </w:r>
      <w:r w:rsidRPr="00320A86">
        <w:t>ses, qui publie en 1938 un ouvrage à la suite du voyage qu’il a effe</w:t>
      </w:r>
      <w:r w:rsidRPr="00320A86">
        <w:t>c</w:t>
      </w:r>
      <w:r w:rsidRPr="00320A86">
        <w:t>tué pour le compte du Bureau International du Travail, Patrons et o</w:t>
      </w:r>
      <w:r w:rsidRPr="00320A86">
        <w:t>u</w:t>
      </w:r>
      <w:r w:rsidRPr="00320A86">
        <w:t>vriers en Suède : il écrit que contrairement à la France « </w:t>
      </w:r>
      <w:r w:rsidRPr="00973AD3">
        <w:rPr>
          <w:i/>
        </w:rPr>
        <w:t>où tous ont pris l’habitude de considérer l’États comme l’arbitre de leurs quere</w:t>
      </w:r>
      <w:r w:rsidRPr="00973AD3">
        <w:rPr>
          <w:i/>
        </w:rPr>
        <w:t>l</w:t>
      </w:r>
      <w:r w:rsidRPr="00973AD3">
        <w:rPr>
          <w:i/>
        </w:rPr>
        <w:t>les </w:t>
      </w:r>
      <w:r w:rsidRPr="00320A86">
        <w:t>», en Suède « </w:t>
      </w:r>
      <w:r w:rsidRPr="00973AD3">
        <w:rPr>
          <w:i/>
        </w:rPr>
        <w:t>l’organisation professionnelle (…) permet d’éviter les interventions hasardeuses de l’États </w:t>
      </w:r>
      <w:r>
        <w:rPr>
          <w:rStyle w:val="Appelnotedebasdep"/>
        </w:rPr>
        <w:footnoteReference w:id="1662"/>
      </w:r>
      <w:r w:rsidRPr="00320A86">
        <w:t>. Et Gilles Vergnon o</w:t>
      </w:r>
      <w:r w:rsidRPr="00320A86">
        <w:t>b</w:t>
      </w:r>
      <w:r w:rsidRPr="00320A86">
        <w:t>serve que dans l’entre-deux guerres, la référence et l’intérêt porté au modèle nordique est plutôt le fait de ceux qui sont opposés au Front popula</w:t>
      </w:r>
      <w:r w:rsidRPr="00320A86">
        <w:t>i</w:t>
      </w:r>
      <w:r w:rsidRPr="00320A86">
        <w:t>re</w:t>
      </w:r>
      <w:r>
        <w:t> </w:t>
      </w:r>
      <w:r>
        <w:rPr>
          <w:rStyle w:val="Appelnotedebasdep"/>
        </w:rPr>
        <w:footnoteReference w:id="1663"/>
      </w:r>
      <w:r w:rsidRPr="00320A86">
        <w:t xml:space="preserve">. Du côté de la gauche, </w:t>
      </w:r>
      <w:r w:rsidRPr="00320A86">
        <w:rPr>
          <w:smallCaps/>
        </w:rPr>
        <w:t>Sfio</w:t>
      </w:r>
      <w:r w:rsidRPr="00320A86">
        <w:t>, mais aussi Internationale ouvrière, on discute peu de ce modèle suédois ou encore danois où l’on a r</w:t>
      </w:r>
      <w:r w:rsidRPr="00320A86">
        <w:t>e</w:t>
      </w:r>
      <w:r w:rsidRPr="00320A86">
        <w:t>noncé à la révolution, et où patrons et ouvriers trouvent structurell</w:t>
      </w:r>
      <w:r w:rsidRPr="00320A86">
        <w:t>e</w:t>
      </w:r>
      <w:r w:rsidRPr="00320A86">
        <w:t>ment un terrain d’entente</w:t>
      </w:r>
      <w:r>
        <w:t> </w:t>
      </w:r>
      <w:r>
        <w:rPr>
          <w:rStyle w:val="Appelnotedebasdep"/>
        </w:rPr>
        <w:footnoteReference w:id="1664"/>
      </w:r>
      <w:r w:rsidRPr="00320A86">
        <w:t>.</w:t>
      </w:r>
    </w:p>
    <w:p w14:paraId="62145BC2" w14:textId="77777777" w:rsidR="00B01930" w:rsidRPr="00320A86" w:rsidRDefault="00B01930" w:rsidP="00B01930">
      <w:pPr>
        <w:spacing w:before="120" w:after="120"/>
        <w:jc w:val="both"/>
        <w:rPr>
          <w:u w:val="single"/>
        </w:rPr>
      </w:pPr>
      <w:r w:rsidRPr="00320A86">
        <w:t>Après la seconde guerre mondiale, les socialistes français s’intéresseront aux pays nordiques  et en particulier à la Suède, en ra</w:t>
      </w:r>
      <w:r w:rsidRPr="00320A86">
        <w:t>i</w:t>
      </w:r>
      <w:r w:rsidRPr="00320A86">
        <w:t>son de la longévité des s</w:t>
      </w:r>
      <w:r w:rsidRPr="00320A86">
        <w:t>o</w:t>
      </w:r>
      <w:r w:rsidRPr="00320A86">
        <w:t>ciaux-démocrates aux commandes de ce pays. Mais les positions de la  Suède au C</w:t>
      </w:r>
      <w:r w:rsidRPr="00320A86">
        <w:rPr>
          <w:smallCaps/>
        </w:rPr>
        <w:t>omisco</w:t>
      </w:r>
      <w:r w:rsidRPr="00320A86">
        <w:t xml:space="preserve"> (Comité internati</w:t>
      </w:r>
      <w:r w:rsidRPr="00320A86">
        <w:t>o</w:t>
      </w:r>
      <w:r w:rsidRPr="00320A86">
        <w:t>nal des conférences socialistes) entre 1947 et 1951, posant la dém</w:t>
      </w:r>
      <w:r w:rsidRPr="00320A86">
        <w:t>o</w:t>
      </w:r>
      <w:r w:rsidRPr="00320A86">
        <w:t>cratie comme une fin en soi et résolument réformistes, c’est-à-dire ne cherchant pas à abolir le capitalisme mais plutôt à fournir aux travai</w:t>
      </w:r>
      <w:r w:rsidRPr="00320A86">
        <w:t>l</w:t>
      </w:r>
      <w:r w:rsidRPr="00320A86">
        <w:t>leurs la meilleure position possible en son sein, n’enthousiasment pas les soci</w:t>
      </w:r>
      <w:r w:rsidRPr="00320A86">
        <w:t>a</w:t>
      </w:r>
      <w:r w:rsidRPr="00320A86">
        <w:t>listes français : la délégation française écrira dans son rapport que « </w:t>
      </w:r>
      <w:r w:rsidRPr="00973AD3">
        <w:rPr>
          <w:i/>
        </w:rPr>
        <w:t>le but suprême du socialisme français ne concorde pas avec c</w:t>
      </w:r>
      <w:r w:rsidRPr="00973AD3">
        <w:rPr>
          <w:i/>
        </w:rPr>
        <w:t>e</w:t>
      </w:r>
      <w:r w:rsidRPr="00973AD3">
        <w:rPr>
          <w:i/>
        </w:rPr>
        <w:t>lui du socialisme suédois qui s’est placé à l’extrême de l’opinion s</w:t>
      </w:r>
      <w:r w:rsidRPr="00973AD3">
        <w:rPr>
          <w:i/>
        </w:rPr>
        <w:t>o</w:t>
      </w:r>
      <w:r w:rsidRPr="00973AD3">
        <w:rPr>
          <w:i/>
        </w:rPr>
        <w:t>cialiste </w:t>
      </w:r>
      <w:r w:rsidRPr="00320A86">
        <w:t>»</w:t>
      </w:r>
      <w:r>
        <w:t> </w:t>
      </w:r>
      <w:r>
        <w:rPr>
          <w:rStyle w:val="Appelnotedebasdep"/>
        </w:rPr>
        <w:footnoteReference w:id="1665"/>
      </w:r>
      <w:r w:rsidRPr="00320A86">
        <w:t>… Ce sont d’autres modèles qui inspireront le socialisme français des années cinquante : les kibboutz israéliens, la Youg</w:t>
      </w:r>
      <w:r w:rsidRPr="00320A86">
        <w:t>o</w:t>
      </w:r>
      <w:r w:rsidRPr="00320A86">
        <w:t>slavie de Tito puis des modèles plus radicaux dans les années 60, tels Cuba. La mode du « </w:t>
      </w:r>
      <w:r w:rsidRPr="00973AD3">
        <w:rPr>
          <w:i/>
        </w:rPr>
        <w:t>modèle nordique </w:t>
      </w:r>
      <w:r w:rsidRPr="00320A86">
        <w:t>», ce que l’on peut appeler le « </w:t>
      </w:r>
      <w:r w:rsidRPr="00973AD3">
        <w:rPr>
          <w:i/>
        </w:rPr>
        <w:t>moment scandinave </w:t>
      </w:r>
      <w:r w:rsidRPr="00320A86">
        <w:t>» se produira dans les années soixante-dix, et c’est un phénomène international</w:t>
      </w:r>
      <w:r>
        <w:t> </w:t>
      </w:r>
      <w:r>
        <w:rPr>
          <w:rStyle w:val="Appelnotedebasdep"/>
        </w:rPr>
        <w:footnoteReference w:id="1666"/>
      </w:r>
      <w:r w:rsidRPr="00320A86">
        <w:t>. Rappelons que Gilles Vergnon a dénombré 17 o</w:t>
      </w:r>
      <w:r w:rsidRPr="00320A86">
        <w:t>u</w:t>
      </w:r>
      <w:r w:rsidRPr="00320A86">
        <w:t>vrages publiés sur la Suède entre 1970 et 1977, c’est-à-dire jusqu’à la défaite électorale historique des sociaux-démocrates en Suède (ils étaient au pouvoir depuis 44 ans). Il précise bien que « l’essentiel de la production éditoriale française sur la Suède des a</w:t>
      </w:r>
      <w:r w:rsidRPr="00320A86">
        <w:t>n</w:t>
      </w:r>
      <w:r w:rsidRPr="00320A86">
        <w:t>nées 1970 est issue de personnalités de “gauche” au sens gén</w:t>
      </w:r>
      <w:r w:rsidRPr="00320A86">
        <w:t>é</w:t>
      </w:r>
      <w:r w:rsidRPr="00320A86">
        <w:t>rique du terme »… « </w:t>
      </w:r>
      <w:r w:rsidRPr="00973AD3">
        <w:rPr>
          <w:i/>
        </w:rPr>
        <w:t>du PCF (…) à la mouvance “réformatrice”, qui oscille alors entre l’union des gauches, le ralliement à la majorité pompid</w:t>
      </w:r>
      <w:r w:rsidRPr="00973AD3">
        <w:rPr>
          <w:i/>
        </w:rPr>
        <w:t>o</w:t>
      </w:r>
      <w:r w:rsidRPr="00973AD3">
        <w:rPr>
          <w:i/>
        </w:rPr>
        <w:t>lie</w:t>
      </w:r>
      <w:r w:rsidRPr="00973AD3">
        <w:rPr>
          <w:i/>
        </w:rPr>
        <w:t>n</w:t>
      </w:r>
      <w:r w:rsidRPr="00973AD3">
        <w:rPr>
          <w:i/>
        </w:rPr>
        <w:t>ne et l’autonomie politique, en passant par quelques socialistes (…), les héritiers du mendésisme (…) et un courant écologiste éme</w:t>
      </w:r>
      <w:r w:rsidRPr="00973AD3">
        <w:rPr>
          <w:i/>
        </w:rPr>
        <w:t>r</w:t>
      </w:r>
      <w:r w:rsidRPr="00973AD3">
        <w:rPr>
          <w:i/>
        </w:rPr>
        <w:t>gent </w:t>
      </w:r>
      <w:r>
        <w:rPr>
          <w:rStyle w:val="Appelnotedebasdep"/>
        </w:rPr>
        <w:footnoteReference w:id="1667"/>
      </w:r>
      <w:r w:rsidRPr="00320A86">
        <w:t> ». Par exemple, Jean-Jacques Servan-Schreiber év</w:t>
      </w:r>
      <w:r w:rsidRPr="00320A86">
        <w:t>o</w:t>
      </w:r>
      <w:r w:rsidRPr="00320A86">
        <w:t>quera le modèle nordique dans son Manifeste radical</w:t>
      </w:r>
      <w:r>
        <w:t> </w:t>
      </w:r>
      <w:r>
        <w:rPr>
          <w:rStyle w:val="Appelnotedebasdep"/>
        </w:rPr>
        <w:footnoteReference w:id="1668"/>
      </w:r>
      <w:r w:rsidRPr="00320A86">
        <w:t>. Les tr</w:t>
      </w:r>
      <w:r w:rsidRPr="00320A86">
        <w:t>a</w:t>
      </w:r>
      <w:r w:rsidRPr="00320A86">
        <w:t>vaux de l’époque cherchent à comprendre les clefs du succès du modèle su</w:t>
      </w:r>
      <w:r w:rsidRPr="00320A86">
        <w:t>é</w:t>
      </w:r>
      <w:r w:rsidRPr="00320A86">
        <w:t>dois autant qu’ils tentent d’y puiser des sources d’inspiration pour la politique française. Néanmoins, ce sont les gaullistes réformistes et les ce</w:t>
      </w:r>
      <w:r w:rsidRPr="00320A86">
        <w:t>n</w:t>
      </w:r>
      <w:r w:rsidRPr="00320A86">
        <w:t>tristes qui sont les plus intéréssés par cette démarche, tandis que la gauche française, en pleine mutation, n’est pas très portée sur la s</w:t>
      </w:r>
      <w:r w:rsidRPr="00320A86">
        <w:t>o</w:t>
      </w:r>
      <w:r w:rsidRPr="00320A86">
        <w:t>cial-démocratie : la d</w:t>
      </w:r>
      <w:r w:rsidRPr="00320A86">
        <w:t>é</w:t>
      </w:r>
      <w:r w:rsidRPr="00320A86">
        <w:t>claration de principe adoptée au Congrès du parti socialiste à Alfortville en 1969 énonce que « </w:t>
      </w:r>
      <w:r w:rsidRPr="00973AD3">
        <w:rPr>
          <w:i/>
        </w:rPr>
        <w:t>le Parti socialiste est un parti révolutionnaire </w:t>
      </w:r>
      <w:r w:rsidRPr="00320A86">
        <w:t>» et « </w:t>
      </w:r>
      <w:r w:rsidRPr="00973AD3">
        <w:rPr>
          <w:i/>
        </w:rPr>
        <w:t>se fixe pour objectif le bien commun et non le profit privé par la socialisation progressive des moyens d’investissement, de production et d’échange </w:t>
      </w:r>
      <w:r>
        <w:rPr>
          <w:rStyle w:val="Appelnotedebasdep"/>
        </w:rPr>
        <w:footnoteReference w:id="1669"/>
      </w:r>
      <w:r w:rsidRPr="00320A86">
        <w:t> » : cela est total</w:t>
      </w:r>
      <w:r w:rsidRPr="00320A86">
        <w:t>e</w:t>
      </w:r>
      <w:r w:rsidRPr="00320A86">
        <w:t>ment à l’opposé de la démarche des sociaux-démocrates suédois, qui ont fait le choix d’une éc</w:t>
      </w:r>
      <w:r w:rsidRPr="00320A86">
        <w:t>o</w:t>
      </w:r>
      <w:r w:rsidRPr="00320A86">
        <w:t>nomie libérale dont les profits servent (par le truchement de l’impôt) à financer le système social. Comme l’écrit Gilles Vergnon : « </w:t>
      </w:r>
      <w:r w:rsidRPr="00973AD3">
        <w:rPr>
          <w:i/>
        </w:rPr>
        <w:t>on conçoit aisément que, dans un tel conte</w:t>
      </w:r>
      <w:r w:rsidRPr="00973AD3">
        <w:rPr>
          <w:i/>
        </w:rPr>
        <w:t>x</w:t>
      </w:r>
      <w:r w:rsidRPr="00973AD3">
        <w:rPr>
          <w:i/>
        </w:rPr>
        <w:t>te, la social-démocratie scandinave, fût-elle incarnée par un nouveau et je</w:t>
      </w:r>
      <w:r w:rsidRPr="00973AD3">
        <w:rPr>
          <w:i/>
        </w:rPr>
        <w:t>u</w:t>
      </w:r>
      <w:r w:rsidRPr="00973AD3">
        <w:rPr>
          <w:i/>
        </w:rPr>
        <w:t>ne Premier ministre, n’intéresse que peu les socialistes, d’autant que le thème suédois a été « approprié » par Georges Pompidou ou JJSS, ce qui ne peut que renforcer la défiance à son égard </w:t>
      </w:r>
      <w:r>
        <w:rPr>
          <w:rStyle w:val="Appelnotedebasdep"/>
        </w:rPr>
        <w:footnoteReference w:id="1670"/>
      </w:r>
      <w:r w:rsidRPr="00320A86">
        <w:t> »… Et l’auteur relève un « </w:t>
      </w:r>
      <w:r w:rsidRPr="00973AD3">
        <w:rPr>
          <w:i/>
        </w:rPr>
        <w:t>désintérêt massif </w:t>
      </w:r>
      <w:r w:rsidRPr="00320A86">
        <w:t>» pour le modèle nordique dans les divers congrès du PS des années soixante-dix. Encore plus à ga</w:t>
      </w:r>
      <w:r w:rsidRPr="00320A86">
        <w:t>u</w:t>
      </w:r>
      <w:r w:rsidRPr="00320A86">
        <w:t>che, du côté des communistes, on ne pa</w:t>
      </w:r>
      <w:r w:rsidRPr="00320A86">
        <w:t>r</w:t>
      </w:r>
      <w:r w:rsidRPr="00320A86">
        <w:t>donne pas aux Sociaux-démocrates suédois la « trahison de classe » que const</w:t>
      </w:r>
      <w:r w:rsidRPr="00320A86">
        <w:t>i</w:t>
      </w:r>
      <w:r w:rsidRPr="00320A86">
        <w:t>tue l’institution des négociations collectives et la coopér</w:t>
      </w:r>
      <w:r w:rsidRPr="00320A86">
        <w:t>a</w:t>
      </w:r>
      <w:r w:rsidRPr="00320A86">
        <w:t>tion installée entre syndicats de p</w:t>
      </w:r>
      <w:r w:rsidRPr="00320A86">
        <w:t>a</w:t>
      </w:r>
      <w:r w:rsidRPr="00320A86">
        <w:t>trons et d’ouvriers</w:t>
      </w:r>
      <w:r>
        <w:t> </w:t>
      </w:r>
      <w:r>
        <w:rPr>
          <w:rStyle w:val="Appelnotedebasdep"/>
        </w:rPr>
        <w:footnoteReference w:id="1671"/>
      </w:r>
      <w:r w:rsidRPr="00320A86">
        <w:t>.</w:t>
      </w:r>
    </w:p>
    <w:p w14:paraId="42111817" w14:textId="77777777" w:rsidR="00B01930" w:rsidRPr="00320A86" w:rsidRDefault="00B01930" w:rsidP="00B01930">
      <w:pPr>
        <w:spacing w:before="120" w:after="120"/>
        <w:jc w:val="both"/>
      </w:pPr>
      <w:r w:rsidRPr="00320A86">
        <w:t>À la même époque, certains travaux ont aussi pour objet de crit</w:t>
      </w:r>
      <w:r w:rsidRPr="00320A86">
        <w:t>i</w:t>
      </w:r>
      <w:r w:rsidRPr="00320A86">
        <w:t>quer le modèle, tels le pamphlet (traduit en France) du journaliste br</w:t>
      </w:r>
      <w:r w:rsidRPr="00320A86">
        <w:t>i</w:t>
      </w:r>
      <w:r w:rsidRPr="00320A86">
        <w:t>tannique Roland Huntford, Les Nouveaux Totalitaires, qui fait le po</w:t>
      </w:r>
      <w:r w:rsidRPr="00320A86">
        <w:t>r</w:t>
      </w:r>
      <w:r w:rsidRPr="00320A86">
        <w:t>trait d’une Suède socialiste ressemblant, sous couvert de modernité et de progrès social, à un totalitarisme d’un nouveau genre</w:t>
      </w:r>
      <w:r>
        <w:t> </w:t>
      </w:r>
      <w:r>
        <w:rPr>
          <w:rStyle w:val="Appelnotedebasdep"/>
        </w:rPr>
        <w:footnoteReference w:id="1672"/>
      </w:r>
      <w:r w:rsidRPr="00320A86">
        <w:t xml:space="preserve">. La trame de l’ouvrage, dont les critiques sont outrancières, est inspirée du </w:t>
      </w:r>
      <w:r w:rsidRPr="00973AD3">
        <w:rPr>
          <w:i/>
        </w:rPr>
        <w:t>Br</w:t>
      </w:r>
      <w:r w:rsidRPr="00973AD3">
        <w:rPr>
          <w:i/>
        </w:rPr>
        <w:t>a</w:t>
      </w:r>
      <w:r w:rsidRPr="00973AD3">
        <w:rPr>
          <w:i/>
        </w:rPr>
        <w:t>ve New World</w:t>
      </w:r>
      <w:r w:rsidRPr="00320A86">
        <w:t xml:space="preserve"> (le meilleur des mondes) d’Aldous Huxley ; la couve</w:t>
      </w:r>
      <w:r w:rsidRPr="00320A86">
        <w:t>r</w:t>
      </w:r>
      <w:r w:rsidRPr="00320A86">
        <w:t>ture de l’édition française, représentant un être humain rose pris dans un étau gris, étant très explicite… C’est ainsi que dans les années soixante-dix, la Suède (parangon du modèle nordique), devient non seulement objet d’admiration pour certains courants tels les gaullistes réformistes et les centri</w:t>
      </w:r>
      <w:r w:rsidRPr="00320A86">
        <w:t>s</w:t>
      </w:r>
      <w:r w:rsidRPr="00320A86">
        <w:t>tes, mais aussi d’épouvantail pour d’autres courants de droite : le modèle nord</w:t>
      </w:r>
      <w:r w:rsidRPr="00320A86">
        <w:t>i</w:t>
      </w:r>
      <w:r w:rsidRPr="00320A86">
        <w:t>que de l’États-providence avancé, avec ses services sociaux abondants et ses impôts les plus élevés au monde sera à partir des années soixante-dix soit un o</w:t>
      </w:r>
      <w:r w:rsidRPr="00320A86">
        <w:t>b</w:t>
      </w:r>
      <w:r w:rsidRPr="00320A86">
        <w:t>jet d’admiration, soit un repoussoir. Jean-Jacques Servan-Schreiber sera l’auteur d’une formule très parlante, dont il fera le titre d’une émission de télévision : « </w:t>
      </w:r>
      <w:r w:rsidRPr="00973AD3">
        <w:rPr>
          <w:i/>
        </w:rPr>
        <w:t>La Suède : un succès qui dérange </w:t>
      </w:r>
      <w:r>
        <w:rPr>
          <w:rStyle w:val="Appelnotedebasdep"/>
        </w:rPr>
        <w:footnoteReference w:id="1673"/>
      </w:r>
      <w:r w:rsidRPr="00320A86">
        <w:t> ». Dans cette émission, où il recevait le Premier Ministre Olof Palme, il expliquait que les succès de la Suède contred</w:t>
      </w:r>
      <w:r w:rsidRPr="00320A86">
        <w:t>i</w:t>
      </w:r>
      <w:r w:rsidRPr="00320A86">
        <w:t>saient les discours électoraux des partis français : elle gênait la majorité (de dro</w:t>
      </w:r>
      <w:r w:rsidRPr="00320A86">
        <w:t>i</w:t>
      </w:r>
      <w:r w:rsidRPr="00320A86">
        <w:t xml:space="preserve">te) car le socialisme en Suède est sans désordre ni ruine et elle gênait également la gauche, car c’est un socialisme sans discours marxiste ni nationalisations… Et Olof Palme donna dans cette émission une définition du socialisme que </w:t>
      </w:r>
      <w:r w:rsidRPr="00320A86">
        <w:rPr>
          <w:smallCaps/>
        </w:rPr>
        <w:t>Jjss</w:t>
      </w:r>
      <w:r w:rsidRPr="00320A86">
        <w:t xml:space="preserve"> j</w:t>
      </w:r>
      <w:r w:rsidRPr="00320A86">
        <w:t>u</w:t>
      </w:r>
      <w:r w:rsidRPr="00320A86">
        <w:t>gea plus proche d’une inspiration protestante que d’une inspiration marxiste : le socialisme, pour Olof Palme, c’était « </w:t>
      </w:r>
      <w:r w:rsidRPr="00973AD3">
        <w:rPr>
          <w:i/>
        </w:rPr>
        <w:t>rendre possible pour l’individu de dév</w:t>
      </w:r>
      <w:r w:rsidRPr="00973AD3">
        <w:rPr>
          <w:i/>
        </w:rPr>
        <w:t>e</w:t>
      </w:r>
      <w:r w:rsidRPr="00973AD3">
        <w:rPr>
          <w:i/>
        </w:rPr>
        <w:t>lopper sa personnalité. Pour cela il faut une égalité, créer une société avec un sens de la solidarité et de la communauté </w:t>
      </w:r>
      <w:r w:rsidRPr="00320A86">
        <w:t>»… Objet d’admiration ou repoussoir, le thème du m</w:t>
      </w:r>
      <w:r w:rsidRPr="00320A86">
        <w:t>o</w:t>
      </w:r>
      <w:r w:rsidRPr="00320A86">
        <w:t>dèle nordique sera, à partir de cette décennie soixante-dix, bel et bien installé dans le débat français comme un des grands « modèles » de référence, au même titre que le modèle allemand ou le modèle a</w:t>
      </w:r>
      <w:r w:rsidRPr="00320A86">
        <w:t>n</w:t>
      </w:r>
      <w:r w:rsidRPr="00320A86">
        <w:t xml:space="preserve">glo-saxon. </w:t>
      </w:r>
    </w:p>
    <w:p w14:paraId="24D5F270" w14:textId="77777777" w:rsidR="00B01930" w:rsidRPr="00320A86" w:rsidRDefault="00B01930" w:rsidP="00B01930">
      <w:pPr>
        <w:spacing w:before="120" w:after="120"/>
        <w:jc w:val="both"/>
      </w:pPr>
      <w:r w:rsidRPr="00320A86">
        <w:t>Dans les années quatre-vingts, on trouvera de plus en plus de réf</w:t>
      </w:r>
      <w:r w:rsidRPr="00320A86">
        <w:t>é</w:t>
      </w:r>
      <w:r w:rsidRPr="00320A86">
        <w:t>rences au modèle sur le mode de la critique : l’époque est à la remise en cause des États-providence , en crise et confrontés à la mondialis</w:t>
      </w:r>
      <w:r w:rsidRPr="00320A86">
        <w:t>a</w:t>
      </w:r>
      <w:r w:rsidRPr="00320A86">
        <w:t>tion, et le néo-libéralisme est le nouveau discours dominant. De plus, le modèle nordique -du moins le modèle suédois plus familier aux Français – n’est plus synonyme de social-démocratie après la défaite électorale de 1976</w:t>
      </w:r>
      <w:r>
        <w:t> </w:t>
      </w:r>
      <w:r>
        <w:rPr>
          <w:rStyle w:val="Appelnotedebasdep"/>
        </w:rPr>
        <w:footnoteReference w:id="1674"/>
      </w:r>
      <w:r w:rsidRPr="00320A86">
        <w:t>. Les critiques se font alors plus fréquentes dans la presse française, qui titre sur la fin du modèle, sur ses diff</w:t>
      </w:r>
      <w:r w:rsidRPr="00320A86">
        <w:t>i</w:t>
      </w:r>
      <w:r w:rsidRPr="00320A86">
        <w:t xml:space="preserve">cultés, et sur ses travers. Par exemple, en 1983, le magazine </w:t>
      </w:r>
      <w:r w:rsidRPr="00973AD3">
        <w:rPr>
          <w:i/>
        </w:rPr>
        <w:t>Le Point</w:t>
      </w:r>
      <w:r w:rsidRPr="00320A86">
        <w:t xml:space="preserve"> publie un article intitulé « Suède : le contre-modèle » où la journaliste Cornelia Sfar, qui a peut-être lu Roland Huntford quelques années auparavant, décrit elle aussi les éléments gl</w:t>
      </w:r>
      <w:r w:rsidRPr="00320A86">
        <w:t>a</w:t>
      </w:r>
      <w:r w:rsidRPr="00320A86">
        <w:t xml:space="preserve">çants d’un </w:t>
      </w:r>
      <w:r w:rsidRPr="00973AD3">
        <w:rPr>
          <w:i/>
        </w:rPr>
        <w:t>Brave New World</w:t>
      </w:r>
      <w:r w:rsidRPr="00320A86">
        <w:t xml:space="preserve"> à la Suédoise : surveillance des citoyens, services sociaux retirant les e</w:t>
      </w:r>
      <w:r w:rsidRPr="00320A86">
        <w:t>n</w:t>
      </w:r>
      <w:r w:rsidRPr="00320A86">
        <w:t>fants à leurs parents sans décision de justice, « suédisation » des e</w:t>
      </w:r>
      <w:r w:rsidRPr="00320A86">
        <w:t>n</w:t>
      </w:r>
      <w:r w:rsidRPr="00320A86">
        <w:t>fants d’immigrés, etc… Cette remise en cause fait écho aux nombre</w:t>
      </w:r>
      <w:r w:rsidRPr="00320A86">
        <w:t>u</w:t>
      </w:r>
      <w:r w:rsidRPr="00320A86">
        <w:t>ses critiques internes, notamment en Suède, développées après la d</w:t>
      </w:r>
      <w:r w:rsidRPr="00320A86">
        <w:t>é</w:t>
      </w:r>
      <w:r w:rsidRPr="00320A86">
        <w:t>faite électorale des Sociaux-démocrates</w:t>
      </w:r>
      <w:r>
        <w:t> </w:t>
      </w:r>
      <w:r>
        <w:rPr>
          <w:rStyle w:val="Appelnotedebasdep"/>
        </w:rPr>
        <w:footnoteReference w:id="1675"/>
      </w:r>
      <w:r w:rsidRPr="00320A86">
        <w:t>, mais aussi en Norvège</w:t>
      </w:r>
      <w:r>
        <w:t> </w:t>
      </w:r>
      <w:r>
        <w:rPr>
          <w:rStyle w:val="Appelnotedebasdep"/>
        </w:rPr>
        <w:footnoteReference w:id="1676"/>
      </w:r>
      <w:r w:rsidRPr="00320A86">
        <w:t>.  Dans les années quatre-vingt-dix, le modèle a profo</w:t>
      </w:r>
      <w:r w:rsidRPr="00320A86">
        <w:t>n</w:t>
      </w:r>
      <w:r w:rsidRPr="00320A86">
        <w:t>dément changé : les pays nordiques ont entrepris des réformes drastiques, réduction des services publics, privatis</w:t>
      </w:r>
      <w:r w:rsidRPr="00320A86">
        <w:t>a</w:t>
      </w:r>
      <w:r w:rsidRPr="00320A86">
        <w:t>tions, coupes dans les avantages sociaux, mise en place des « nouvelles méthodes de management » ; ils su</w:t>
      </w:r>
      <w:r w:rsidRPr="00320A86">
        <w:t>r</w:t>
      </w:r>
      <w:r w:rsidRPr="00320A86">
        <w:t>montent la crise en devenant un modèle d’adaptation à la mondialis</w:t>
      </w:r>
      <w:r w:rsidRPr="00320A86">
        <w:t>a</w:t>
      </w:r>
      <w:r w:rsidRPr="00320A86">
        <w:t>tion… À partir de cette date, puis surtout dans les a</w:t>
      </w:r>
      <w:r w:rsidRPr="00320A86">
        <w:t>n</w:t>
      </w:r>
      <w:r w:rsidRPr="00320A86">
        <w:t>nées deux-mille, un « moment danois » se dessine, car c’est vers ce pays que se tou</w:t>
      </w:r>
      <w:r w:rsidRPr="00320A86">
        <w:t>r</w:t>
      </w:r>
      <w:r w:rsidRPr="00320A86">
        <w:t>nent les regards, en raison de la « flexisécurité » qu’il a mise en pl</w:t>
      </w:r>
      <w:r w:rsidRPr="00320A86">
        <w:t>a</w:t>
      </w:r>
      <w:r w:rsidRPr="00320A86">
        <w:t>ce : un marché du travail souple, où l’on peut facilement embaucher et licencier, en échange de parcours professionnels sécur</w:t>
      </w:r>
      <w:r w:rsidRPr="00320A86">
        <w:t>i</w:t>
      </w:r>
      <w:r w:rsidRPr="00320A86">
        <w:t>sés. D’innombrables articles de presse explorent ce sujet, et les ho</w:t>
      </w:r>
      <w:r w:rsidRPr="00320A86">
        <w:t>m</w:t>
      </w:r>
      <w:r w:rsidRPr="00320A86">
        <w:t>mes politiques français cherchent à s’en inspirer</w:t>
      </w:r>
      <w:r>
        <w:t> </w:t>
      </w:r>
      <w:r>
        <w:rPr>
          <w:rStyle w:val="Appelnotedebasdep"/>
        </w:rPr>
        <w:footnoteReference w:id="1677"/>
      </w:r>
      <w:r w:rsidRPr="00320A86">
        <w:t>. Toujours dans les a</w:t>
      </w:r>
      <w:r w:rsidRPr="00320A86">
        <w:t>n</w:t>
      </w:r>
      <w:r w:rsidRPr="00320A86">
        <w:t xml:space="preserve">nées deux-mille, on relève chez certains socialistes français un intérêt – tardif – pour la social-démocratie : Stéphane Boujnah, un proche de Dominique Strauss-Kahn, publie </w:t>
      </w:r>
      <w:r w:rsidRPr="00973AD3">
        <w:rPr>
          <w:i/>
        </w:rPr>
        <w:t>L’inoxydable modèle suédois </w:t>
      </w:r>
      <w:r>
        <w:rPr>
          <w:rStyle w:val="Appelnotedebasdep"/>
        </w:rPr>
        <w:footnoteReference w:id="1678"/>
      </w:r>
      <w:r w:rsidRPr="00320A86">
        <w:t>, texte dans l</w:t>
      </w:r>
      <w:r w:rsidRPr="00320A86">
        <w:t>e</w:t>
      </w:r>
      <w:r w:rsidRPr="00320A86">
        <w:t>quel il propose de construire un  parti social-démocrate à la française. Et au cours de la compétition électorale de 2007, ce sont les deux candidats qui se r</w:t>
      </w:r>
      <w:r w:rsidRPr="00320A86">
        <w:t>é</w:t>
      </w:r>
      <w:r w:rsidRPr="00320A86">
        <w:t>fèreront au modèle suédois : Ségolène Royal</w:t>
      </w:r>
      <w:r>
        <w:t> </w:t>
      </w:r>
      <w:r>
        <w:rPr>
          <w:rStyle w:val="Appelnotedebasdep"/>
        </w:rPr>
        <w:footnoteReference w:id="1679"/>
      </w:r>
      <w:r w:rsidRPr="00320A86">
        <w:t>, en particulier, s’est rendue en Suède en 2006 et on peut déc</w:t>
      </w:r>
      <w:r w:rsidRPr="00320A86">
        <w:t>e</w:t>
      </w:r>
      <w:r w:rsidRPr="00320A86">
        <w:t>ler dans ses propositions une forte inspiration « nordique », même si elle est adaptée. D’ailleurs deux chercheurs « proches » de sa camp</w:t>
      </w:r>
      <w:r w:rsidRPr="00320A86">
        <w:t>a</w:t>
      </w:r>
      <w:r w:rsidRPr="00320A86">
        <w:t>gne, Dominique Méda et Alain Lefebvre publient en 2006 un o</w:t>
      </w:r>
      <w:r w:rsidRPr="00320A86">
        <w:t>u</w:t>
      </w:r>
      <w:r w:rsidRPr="00320A86">
        <w:t xml:space="preserve">vrage, </w:t>
      </w:r>
      <w:r w:rsidRPr="00973AD3">
        <w:rPr>
          <w:i/>
        </w:rPr>
        <w:t>Faut-il brûler le modèle social français ?,</w:t>
      </w:r>
      <w:r w:rsidRPr="00320A86">
        <w:t xml:space="preserve"> dans lequel ils suggèrent de s’inspirer du modèle nordique, en particulier de la décentralisation. Quant à Nicolas Sarkozy, il ne se rendra en Suède qu’après son éle</w:t>
      </w:r>
      <w:r w:rsidRPr="00320A86">
        <w:t>c</w:t>
      </w:r>
      <w:r w:rsidRPr="00320A86">
        <w:t>tion, mais le modèle nordique l’inspirera ég</w:t>
      </w:r>
      <w:r w:rsidRPr="00320A86">
        <w:t>a</w:t>
      </w:r>
      <w:r w:rsidRPr="00320A86">
        <w:t>lement, en particulier la flexisécurité, et la souplesse du marché de l’emploi qu’elle permet, mais aussi la réforme des retraites.</w:t>
      </w:r>
    </w:p>
    <w:p w14:paraId="3EC2827D" w14:textId="77777777" w:rsidR="00B01930" w:rsidRPr="00320A86" w:rsidRDefault="00B01930" w:rsidP="00B01930">
      <w:pPr>
        <w:spacing w:before="120" w:after="120"/>
        <w:jc w:val="both"/>
      </w:pPr>
      <w:r w:rsidRPr="00320A86">
        <w:t>Ainsi, qu’on loue le modèle ou qu’on le décrie, il faut bien obse</w:t>
      </w:r>
      <w:r w:rsidRPr="00320A86">
        <w:t>r</w:t>
      </w:r>
      <w:r w:rsidRPr="00320A86">
        <w:t>ver que la référence à celui-ci est le plus souvent à usage interne : soit on souhaite améli</w:t>
      </w:r>
      <w:r w:rsidRPr="00320A86">
        <w:t>o</w:t>
      </w:r>
      <w:r w:rsidRPr="00320A86">
        <w:t>rer l’État-providence français, et les performances économiques des pays nord</w:t>
      </w:r>
      <w:r w:rsidRPr="00320A86">
        <w:t>i</w:t>
      </w:r>
      <w:r w:rsidRPr="00320A86">
        <w:t>ques font carrément rêver, soit on se sert du modèle nordique comme de repou</w:t>
      </w:r>
      <w:r w:rsidRPr="00320A86">
        <w:t>s</w:t>
      </w:r>
      <w:r w:rsidRPr="00320A86">
        <w:t>soir, insistant sur ses échecs ou sur des éléments comme le taux d’imposition pratiqué dans ces pays… Parfois la référence au même élément du modèle a un sens contraire : là où les socialistes français parlent de flexisécurité pour s’intéresser au versant « </w:t>
      </w:r>
      <w:r w:rsidRPr="00973AD3">
        <w:rPr>
          <w:i/>
        </w:rPr>
        <w:t>sécurité </w:t>
      </w:r>
      <w:r w:rsidRPr="00320A86">
        <w:t>» du concept, la droite préfèrera son versant « </w:t>
      </w:r>
      <w:r w:rsidRPr="00973AD3">
        <w:rPr>
          <w:i/>
        </w:rPr>
        <w:t>flexibilité </w:t>
      </w:r>
      <w:r w:rsidRPr="00320A86">
        <w:t>»… Plus encore, la référence au modèle est pa</w:t>
      </w:r>
      <w:r w:rsidRPr="00320A86">
        <w:t>r</w:t>
      </w:r>
      <w:r w:rsidRPr="00320A86">
        <w:t>fois, dans la presse, un prétexte pour critiquer le pouvoir en place ou pour délivrer un message au grand public, sur le mode du « </w:t>
      </w:r>
      <w:r w:rsidRPr="00973AD3">
        <w:rPr>
          <w:i/>
        </w:rPr>
        <w:t>regardez où cette politique peut nous mener </w:t>
      </w:r>
      <w:r w:rsidRPr="00320A86">
        <w:t>»…  Enfin, on peut aussi rema</w:t>
      </w:r>
      <w:r w:rsidRPr="00320A86">
        <w:t>r</w:t>
      </w:r>
      <w:r w:rsidRPr="00320A86">
        <w:t>quer que la référence au modèle, qui s’inscrit en Fra</w:t>
      </w:r>
      <w:r w:rsidRPr="00320A86">
        <w:t>n</w:t>
      </w:r>
      <w:r w:rsidRPr="00320A86">
        <w:t>ce, comme nous l’avons montré, dans un contexte où il existe un réel déficit en termes de travaux scientifiques sur le sujet, est parfois porteuse d’erreurs ou de malentendus. Il faut dire que l’image du modèle s’est brouillée : si elle représe</w:t>
      </w:r>
      <w:r w:rsidRPr="00320A86">
        <w:t>n</w:t>
      </w:r>
      <w:r w:rsidRPr="00320A86">
        <w:t>tait, dans les années soixante-dix, le symbole de la social-démocratie triompha</w:t>
      </w:r>
      <w:r w:rsidRPr="00320A86">
        <w:t>n</w:t>
      </w:r>
      <w:r w:rsidRPr="00320A86">
        <w:t>te, après la crise de l’État-providence dans les années 80 et les réformes des années 90</w:t>
      </w:r>
      <w:r>
        <w:t> </w:t>
      </w:r>
      <w:r>
        <w:rPr>
          <w:rStyle w:val="Appelnotedebasdep"/>
        </w:rPr>
        <w:footnoteReference w:id="1680"/>
      </w:r>
      <w:r w:rsidRPr="00320A86">
        <w:t>, l’image est moins cla</w:t>
      </w:r>
      <w:r w:rsidRPr="00320A86">
        <w:t>i</w:t>
      </w:r>
      <w:r w:rsidRPr="00320A86">
        <w:t>re. L’idée de « </w:t>
      </w:r>
      <w:r w:rsidRPr="00973AD3">
        <w:rPr>
          <w:i/>
        </w:rPr>
        <w:t>modèle </w:t>
      </w:r>
      <w:r w:rsidRPr="00320A86">
        <w:t>» continue à circuler, plus forte que jamais, mais il s’agit désormais d’un modèle « en kit », où l’on va puiser telle ou telle idée, avec l’idée de créer une législation d’inspiration nord</w:t>
      </w:r>
      <w:r w:rsidRPr="00320A86">
        <w:t>i</w:t>
      </w:r>
      <w:r w:rsidRPr="00320A86">
        <w:t>que, sur les sujets les plus divers : réforme des retraites, des allocations familli</w:t>
      </w:r>
      <w:r w:rsidRPr="00320A86">
        <w:t>a</w:t>
      </w:r>
      <w:r w:rsidRPr="00320A86">
        <w:t>les, lutte contre la prostitution, etc. Le modèle n’est plus qu’une vaste boîte à outils dont le contenu est composé d’éléments admir</w:t>
      </w:r>
      <w:r w:rsidRPr="00320A86">
        <w:t>a</w:t>
      </w:r>
      <w:r w:rsidRPr="00320A86">
        <w:t>bles, mais dont on ne soucie pas de savoir s’ils font système ni co</w:t>
      </w:r>
      <w:r w:rsidRPr="00320A86">
        <w:t>m</w:t>
      </w:r>
      <w:r w:rsidRPr="00320A86">
        <w:t>ment. Pire, il arrive parfois que les références au modèle soient an</w:t>
      </w:r>
      <w:r w:rsidRPr="00320A86">
        <w:t>a</w:t>
      </w:r>
      <w:r w:rsidRPr="00320A86">
        <w:t>chroniques ou erronées. La chercheuse suédoise Anna Stellinger rel</w:t>
      </w:r>
      <w:r w:rsidRPr="00320A86">
        <w:t>e</w:t>
      </w:r>
      <w:r w:rsidRPr="00320A86">
        <w:t>vait par exemple, à propos de la campagne à l’élection préside</w:t>
      </w:r>
      <w:r w:rsidRPr="00320A86">
        <w:t>n</w:t>
      </w:r>
      <w:r w:rsidRPr="00320A86">
        <w:t>tielle de Ségolène Royal en 2007, un grave contresens sur le concept de « </w:t>
      </w:r>
      <w:r w:rsidRPr="00973AD3">
        <w:rPr>
          <w:i/>
        </w:rPr>
        <w:t>sécurité sociale professionnelle </w:t>
      </w:r>
      <w:r w:rsidRPr="00320A86">
        <w:t>» et sur le rôle de l’État en Scand</w:t>
      </w:r>
      <w:r w:rsidRPr="00320A86">
        <w:t>i</w:t>
      </w:r>
      <w:r w:rsidRPr="00320A86">
        <w:t>navie et conclut que « “</w:t>
      </w:r>
      <w:r w:rsidRPr="00973AD3">
        <w:rPr>
          <w:i/>
        </w:rPr>
        <w:t>le modèle scandinave</w:t>
      </w:r>
      <w:r w:rsidRPr="00320A86">
        <w:t xml:space="preserve">”, </w:t>
      </w:r>
      <w:r w:rsidRPr="00973AD3">
        <w:rPr>
          <w:i/>
        </w:rPr>
        <w:t>dont on s’inspire trop facilement dans la présentation et l’argumentation de la politique s</w:t>
      </w:r>
      <w:r w:rsidRPr="00973AD3">
        <w:rPr>
          <w:i/>
        </w:rPr>
        <w:t>o</w:t>
      </w:r>
      <w:r w:rsidRPr="00973AD3">
        <w:rPr>
          <w:i/>
        </w:rPr>
        <w:t>ciale française, ressemble à beaucoup d’égards à l’États-providence suédois tel qu’il était à l’époque de François Mitterrand, modèle qui n’a plus grand-chose en commun avec les pol</w:t>
      </w:r>
      <w:r w:rsidRPr="00973AD3">
        <w:rPr>
          <w:i/>
        </w:rPr>
        <w:t>i</w:t>
      </w:r>
      <w:r w:rsidRPr="00973AD3">
        <w:rPr>
          <w:i/>
        </w:rPr>
        <w:t>tiques actuelles des pays du nord de l’Europe </w:t>
      </w:r>
      <w:r>
        <w:rPr>
          <w:rStyle w:val="Appelnotedebasdep"/>
        </w:rPr>
        <w:footnoteReference w:id="1681"/>
      </w:r>
      <w:r w:rsidRPr="00320A86">
        <w:t xml:space="preserve"> ». </w:t>
      </w:r>
    </w:p>
    <w:p w14:paraId="4714BA0B" w14:textId="77777777" w:rsidR="00B01930" w:rsidRPr="00320A86" w:rsidRDefault="00B01930" w:rsidP="00B01930">
      <w:pPr>
        <w:spacing w:before="120" w:after="120"/>
        <w:jc w:val="both"/>
      </w:pPr>
      <w:r w:rsidRPr="00320A86">
        <w:t>Si la vogue des « modèles » en tous genres est toujours un piège, puisque les institutions ne sont jamais totalement compréhensibles ni reproduisibles hors de leur contexte, la référence au modèle nordique – en particulier suédois – est pa</w:t>
      </w:r>
      <w:r w:rsidRPr="00320A86">
        <w:t>r</w:t>
      </w:r>
      <w:r w:rsidRPr="00320A86">
        <w:t>ticulièrement tentante non seulement pour les raisons historiques que nous avons évoquées, mais aussi, et il faut le signaler pour terminer, en raison des efforts déployés par la Suède elle même pour faire la promotion du modèle : en effet, celle-ci s’est dotée d’une administration spécifique, l’Institut suédois</w:t>
      </w:r>
      <w:r>
        <w:t> </w:t>
      </w:r>
      <w:r>
        <w:rPr>
          <w:rStyle w:val="Appelnotedebasdep"/>
        </w:rPr>
        <w:footnoteReference w:id="1682"/>
      </w:r>
      <w:r w:rsidRPr="00320A86">
        <w:t>, cha</w:t>
      </w:r>
      <w:r w:rsidRPr="00320A86">
        <w:t>r</w:t>
      </w:r>
      <w:r w:rsidRPr="00320A86">
        <w:t>gée de diffuser des informations sur le pays, mais aussi de scruter, de mesurer et d’analyser l’image de la Suède à l’étranger</w:t>
      </w:r>
      <w:r>
        <w:t> </w:t>
      </w:r>
      <w:r>
        <w:rPr>
          <w:rStyle w:val="Appelnotedebasdep"/>
        </w:rPr>
        <w:footnoteReference w:id="1683"/>
      </w:r>
      <w:r w:rsidRPr="00320A86">
        <w:t>, et surtout d’en faire la promotion</w:t>
      </w:r>
      <w:r>
        <w:t> </w:t>
      </w:r>
      <w:r>
        <w:rPr>
          <w:rStyle w:val="Appelnotedebasdep"/>
        </w:rPr>
        <w:footnoteReference w:id="1684"/>
      </w:r>
      <w:r w:rsidRPr="00320A86">
        <w:t>… La Finlande a créé une institution sim</w:t>
      </w:r>
      <w:r w:rsidRPr="00320A86">
        <w:t>i</w:t>
      </w:r>
      <w:r w:rsidRPr="00320A86">
        <w:t xml:space="preserve">laire </w:t>
      </w:r>
      <w:r w:rsidRPr="00973AD3">
        <w:rPr>
          <w:i/>
        </w:rPr>
        <w:t>Team Finland</w:t>
      </w:r>
      <w:r w:rsidRPr="00320A86">
        <w:t>, et dispose de seize instituts culturels à l’étranger (dont un à Paris), mais la démarche suédoise est plus ancienne et plus sy</w:t>
      </w:r>
      <w:r w:rsidRPr="00320A86">
        <w:t>s</w:t>
      </w:r>
      <w:r w:rsidRPr="00320A86">
        <w:t>tématique</w:t>
      </w:r>
      <w:r>
        <w:t> </w:t>
      </w:r>
      <w:r>
        <w:rPr>
          <w:rStyle w:val="Appelnotedebasdep"/>
        </w:rPr>
        <w:footnoteReference w:id="1685"/>
      </w:r>
      <w:r w:rsidRPr="00320A86">
        <w:t>.</w:t>
      </w:r>
    </w:p>
    <w:p w14:paraId="01322086" w14:textId="77777777" w:rsidR="00B01930" w:rsidRPr="00320A86" w:rsidRDefault="00B01930" w:rsidP="00B01930">
      <w:pPr>
        <w:spacing w:before="120" w:after="120"/>
        <w:jc w:val="both"/>
      </w:pPr>
      <w:r w:rsidRPr="00320A86">
        <w:t xml:space="preserve">L’image d’un pays, </w:t>
      </w:r>
      <w:r w:rsidRPr="00973AD3">
        <w:rPr>
          <w:i/>
        </w:rPr>
        <w:t>a fortiori</w:t>
      </w:r>
      <w:r w:rsidRPr="00320A86">
        <w:t xml:space="preserve"> s’il bénéficie d’un capital de symp</w:t>
      </w:r>
      <w:r w:rsidRPr="00320A86">
        <w:t>a</w:t>
      </w:r>
      <w:r w:rsidRPr="00320A86">
        <w:t>thie internationale assez fort pour faire de lui un « modèle » est d</w:t>
      </w:r>
      <w:r w:rsidRPr="00320A86">
        <w:t>é</w:t>
      </w:r>
      <w:r w:rsidRPr="00320A86">
        <w:t>sormais un précieux outil de diplomatie…</w:t>
      </w:r>
    </w:p>
    <w:p w14:paraId="7B167710" w14:textId="77777777" w:rsidR="00B01930" w:rsidRDefault="00B01930" w:rsidP="00B01930">
      <w:pPr>
        <w:jc w:val="both"/>
      </w:pPr>
      <w:r>
        <w:br w:type="page"/>
      </w:r>
    </w:p>
    <w:p w14:paraId="27E29E78" w14:textId="77777777" w:rsidR="00B01930" w:rsidRDefault="00B01930" w:rsidP="00B01930">
      <w:pPr>
        <w:jc w:val="both"/>
      </w:pPr>
    </w:p>
    <w:p w14:paraId="3BE63823" w14:textId="77777777" w:rsidR="00B01930" w:rsidRDefault="00B01930" w:rsidP="00B01930">
      <w:pPr>
        <w:jc w:val="both"/>
      </w:pPr>
    </w:p>
    <w:p w14:paraId="0A0468B1" w14:textId="77777777" w:rsidR="00B01930" w:rsidRPr="009D4882" w:rsidRDefault="00B01930" w:rsidP="00B01930">
      <w:pPr>
        <w:spacing w:after="120"/>
        <w:ind w:firstLine="0"/>
        <w:jc w:val="center"/>
        <w:rPr>
          <w:b/>
          <w:color w:val="000080"/>
        </w:rPr>
      </w:pPr>
      <w:bookmarkStart w:id="243" w:name="Analyser_idees_pol_pt_4_texte_17"/>
      <w:r>
        <w:rPr>
          <w:b/>
          <w:color w:val="000080"/>
        </w:rPr>
        <w:t>Quatrième</w:t>
      </w:r>
      <w:r w:rsidRPr="009D4882">
        <w:rPr>
          <w:b/>
          <w:color w:val="000080"/>
        </w:rPr>
        <w:t xml:space="preserve"> partie</w:t>
      </w:r>
      <w:r w:rsidRPr="009D4882">
        <w:rPr>
          <w:b/>
          <w:color w:val="000080"/>
        </w:rPr>
        <w:br/>
      </w:r>
      <w:r>
        <w:rPr>
          <w:i/>
          <w:color w:val="000080"/>
        </w:rPr>
        <w:t>De quelques idées «internationales»</w:t>
      </w:r>
    </w:p>
    <w:p w14:paraId="6630F6D6" w14:textId="77777777" w:rsidR="00B01930" w:rsidRDefault="00B01930" w:rsidP="00B01930">
      <w:pPr>
        <w:pStyle w:val="Titreniveau1"/>
        <w:rPr>
          <w:szCs w:val="36"/>
        </w:rPr>
      </w:pPr>
      <w:r>
        <w:rPr>
          <w:szCs w:val="36"/>
        </w:rPr>
        <w:t>17</w:t>
      </w:r>
    </w:p>
    <w:p w14:paraId="7F7A53D8" w14:textId="77777777" w:rsidR="00B01930" w:rsidRDefault="00B01930" w:rsidP="00B01930">
      <w:pPr>
        <w:jc w:val="both"/>
        <w:rPr>
          <w:szCs w:val="36"/>
        </w:rPr>
      </w:pPr>
    </w:p>
    <w:p w14:paraId="12EF7916" w14:textId="77777777" w:rsidR="00B01930" w:rsidRPr="00843F3E" w:rsidRDefault="00B01930" w:rsidP="00B01930">
      <w:pPr>
        <w:pStyle w:val="Titreniveau2"/>
      </w:pPr>
      <w:r>
        <w:t>“La liberté existait-elle</w:t>
      </w:r>
      <w:r>
        <w:br/>
      </w:r>
      <w:r w:rsidRPr="00C51BF3">
        <w:t>dans l’Ancienne Chine ?</w:t>
      </w:r>
      <w:r>
        <w:t>”</w:t>
      </w:r>
    </w:p>
    <w:bookmarkEnd w:id="243"/>
    <w:p w14:paraId="0804FEF6" w14:textId="77777777" w:rsidR="00B01930" w:rsidRDefault="00B01930" w:rsidP="00B01930">
      <w:pPr>
        <w:jc w:val="both"/>
        <w:rPr>
          <w:szCs w:val="36"/>
        </w:rPr>
      </w:pPr>
    </w:p>
    <w:p w14:paraId="42B5DF29" w14:textId="77777777" w:rsidR="00B01930" w:rsidRDefault="00B01930" w:rsidP="00B01930">
      <w:pPr>
        <w:jc w:val="both"/>
      </w:pPr>
    </w:p>
    <w:p w14:paraId="563EFFC9" w14:textId="77777777" w:rsidR="00B01930" w:rsidRDefault="00B01930" w:rsidP="00B01930">
      <w:pPr>
        <w:pStyle w:val="suite"/>
      </w:pPr>
      <w:r>
        <w:t>Xu ZHEN ZHU</w:t>
      </w:r>
    </w:p>
    <w:p w14:paraId="49E79E55" w14:textId="77777777" w:rsidR="00B01930" w:rsidRDefault="00B01930" w:rsidP="00B01930">
      <w:pPr>
        <w:jc w:val="both"/>
      </w:pPr>
    </w:p>
    <w:p w14:paraId="55B1F453" w14:textId="77777777" w:rsidR="00B01930" w:rsidRDefault="00B01930" w:rsidP="00B01930">
      <w:pPr>
        <w:jc w:val="both"/>
      </w:pPr>
    </w:p>
    <w:p w14:paraId="26F6FF00" w14:textId="77777777" w:rsidR="00B01930" w:rsidRDefault="00B01930" w:rsidP="00B01930">
      <w:pPr>
        <w:ind w:right="90" w:firstLine="0"/>
        <w:jc w:val="both"/>
        <w:rPr>
          <w:sz w:val="20"/>
        </w:rPr>
      </w:pPr>
      <w:hyperlink w:anchor="tdm" w:history="1">
        <w:r>
          <w:rPr>
            <w:rStyle w:val="Hyperlien"/>
            <w:sz w:val="20"/>
          </w:rPr>
          <w:t>Retour à la table des matières</w:t>
        </w:r>
      </w:hyperlink>
    </w:p>
    <w:p w14:paraId="6CA17D96" w14:textId="77777777" w:rsidR="00B01930" w:rsidRPr="00320A86" w:rsidRDefault="00B01930" w:rsidP="00B01930">
      <w:pPr>
        <w:spacing w:before="120" w:after="120"/>
        <w:jc w:val="both"/>
      </w:pPr>
      <w:r w:rsidRPr="00320A86">
        <w:t>Si les Jésuites du XVI</w:t>
      </w:r>
      <w:r w:rsidRPr="00320A86">
        <w:rPr>
          <w:vertAlign w:val="superscript"/>
        </w:rPr>
        <w:t>e</w:t>
      </w:r>
      <w:r w:rsidRPr="00320A86">
        <w:t xml:space="preserve"> du XVII</w:t>
      </w:r>
      <w:r w:rsidRPr="00320A86">
        <w:rPr>
          <w:vertAlign w:val="superscript"/>
        </w:rPr>
        <w:t>e</w:t>
      </w:r>
      <w:r w:rsidRPr="00320A86">
        <w:t xml:space="preserve"> siècle ont fait l’éloge de la Chine en général, et si Voltaire tient la Chine plus comme une référence p</w:t>
      </w:r>
      <w:r w:rsidRPr="00320A86">
        <w:t>o</w:t>
      </w:r>
      <w:r w:rsidRPr="00320A86">
        <w:t>sitive par rapport à l’Europe, les auteurs contemporains sont plus s</w:t>
      </w:r>
      <w:r w:rsidRPr="00320A86">
        <w:t>é</w:t>
      </w:r>
      <w:r w:rsidRPr="00320A86">
        <w:t>vères à l’égard de la période dynastique du pays. En général, ils pe</w:t>
      </w:r>
      <w:r w:rsidRPr="00320A86">
        <w:t>n</w:t>
      </w:r>
      <w:r w:rsidRPr="00320A86">
        <w:t>sent que ce fut un régime autoritaire, voire despotique</w:t>
      </w:r>
      <w:r>
        <w:t> </w:t>
      </w:r>
      <w:r>
        <w:rPr>
          <w:rStyle w:val="Appelnotedebasdep"/>
        </w:rPr>
        <w:footnoteReference w:id="1686"/>
      </w:r>
      <w:r w:rsidRPr="00320A86">
        <w:t>. Il se caract</w:t>
      </w:r>
      <w:r w:rsidRPr="00320A86">
        <w:t>é</w:t>
      </w:r>
      <w:r w:rsidRPr="00320A86">
        <w:t>risait donc systématiquement par un manque d’esprit républicain, l’absence d’un gouvernement de droit, et une sorte d’impossibilité démocratique endémique. Sa structure et sa longévité</w:t>
      </w:r>
      <w:r>
        <w:t> </w:t>
      </w:r>
      <w:r>
        <w:rPr>
          <w:rStyle w:val="Appelnotedebasdep"/>
        </w:rPr>
        <w:footnoteReference w:id="1687"/>
      </w:r>
      <w:r w:rsidRPr="00320A86">
        <w:t xml:space="preserve"> seraient la cause principale du retard, de l’immobilité, de la décadence autorit</w:t>
      </w:r>
      <w:r w:rsidRPr="00320A86">
        <w:t>a</w:t>
      </w:r>
      <w:r w:rsidRPr="00320A86">
        <w:t>riste de la Chine.</w:t>
      </w:r>
    </w:p>
    <w:p w14:paraId="0A5BD47D" w14:textId="77777777" w:rsidR="00B01930" w:rsidRPr="00320A86" w:rsidRDefault="00B01930" w:rsidP="00B01930">
      <w:pPr>
        <w:spacing w:before="120" w:after="120"/>
        <w:jc w:val="both"/>
      </w:pPr>
      <w:r w:rsidRPr="00320A86">
        <w:t xml:space="preserve"> Aussi, avant d’entrer dans le vif de notre sujet, il paraît nécessaire de dire quelques mots en ce qui concerne les définitions habituelles de la politique qui doivent être repensées dès lors qu’il s’agit de la Chine ancienne. Par exemple est-ce que le terme « autoritarisme » est exact ? Est-ce que la volonté des empereurs l’a emporté toujours sur les inst</w:t>
      </w:r>
      <w:r w:rsidRPr="00320A86">
        <w:t>i</w:t>
      </w:r>
      <w:r w:rsidRPr="00320A86">
        <w:t>tutions ou sur la loi ? Est-ce le cas a</w:t>
      </w:r>
      <w:r w:rsidRPr="00320A86">
        <w:t>u</w:t>
      </w:r>
      <w:r w:rsidRPr="00320A86">
        <w:t xml:space="preserve">jourd’hui ? </w:t>
      </w:r>
    </w:p>
    <w:p w14:paraId="7FF36F96" w14:textId="77777777" w:rsidR="00B01930" w:rsidRPr="00320A86" w:rsidRDefault="00B01930" w:rsidP="00B01930">
      <w:pPr>
        <w:spacing w:before="120" w:after="120"/>
        <w:jc w:val="both"/>
      </w:pPr>
      <w:r w:rsidRPr="00320A86">
        <w:t>Il est certain que la Chine traditionnelle n’est pas un État de droit au sens où l’Occident l’entend. Mais la loi écrite, surtout dans les d</w:t>
      </w:r>
      <w:r w:rsidRPr="00320A86">
        <w:t>o</w:t>
      </w:r>
      <w:r w:rsidRPr="00320A86">
        <w:t>maines civil et pénal, y existe depuis les Qin. Elle est encore loin d’avoir une constitution, ou même un droit constitutionnel, à  l’Occidentale. Cependant, nous ne devons pas non plus nier qu’elle limitait le pouvoir des souverains. Et le facteur le plus important fut l’invention d’un système bureaucratique, établi depuis les Sui et les Tang au VII </w:t>
      </w:r>
      <w:r w:rsidRPr="00320A86">
        <w:rPr>
          <w:vertAlign w:val="superscript"/>
        </w:rPr>
        <w:t>e</w:t>
      </w:r>
      <w:r w:rsidRPr="00320A86">
        <w:t xml:space="preserve"> siècle après J.-C., représenté par une sélection intelle</w:t>
      </w:r>
      <w:r w:rsidRPr="00320A86">
        <w:t>c</w:t>
      </w:r>
      <w:r w:rsidRPr="00320A86">
        <w:t>tuelle très stricte des mandarins à travers les concours impériaux de recrutement</w:t>
      </w:r>
      <w:r>
        <w:t> </w:t>
      </w:r>
      <w:r>
        <w:rPr>
          <w:rStyle w:val="Appelnotedebasdep"/>
        </w:rPr>
        <w:footnoteReference w:id="1688"/>
      </w:r>
      <w:r w:rsidRPr="00320A86">
        <w:t>. Par ailleurs, le modèle de la « bureaucratie céle</w:t>
      </w:r>
      <w:r w:rsidRPr="00320A86">
        <w:t>s</w:t>
      </w:r>
      <w:r w:rsidRPr="00320A86">
        <w:t>te » fascina les Jésuites présents en Chine qui le vantèrent à l’Occident à leur retour de mission, comme l’a montré le sinol</w:t>
      </w:r>
      <w:r w:rsidRPr="00320A86">
        <w:t>o</w:t>
      </w:r>
      <w:r w:rsidRPr="00320A86">
        <w:t>gue et philosophe Étiemble</w:t>
      </w:r>
      <w:r>
        <w:t> </w:t>
      </w:r>
      <w:r>
        <w:rPr>
          <w:rStyle w:val="Appelnotedebasdep"/>
        </w:rPr>
        <w:footnoteReference w:id="1689"/>
      </w:r>
      <w:r w:rsidRPr="00320A86">
        <w:t>.</w:t>
      </w:r>
    </w:p>
    <w:p w14:paraId="390CC5D4" w14:textId="77777777" w:rsidR="00B01930" w:rsidRPr="00320A86" w:rsidRDefault="00B01930" w:rsidP="00B01930">
      <w:pPr>
        <w:spacing w:before="120" w:after="120"/>
        <w:jc w:val="both"/>
      </w:pPr>
      <w:r w:rsidRPr="00320A86">
        <w:t>Nous savons bien que la bureaucratie n’est pas compatible avec un autoritarisme au sens strict : les mandarins et les institutions devie</w:t>
      </w:r>
      <w:r w:rsidRPr="00320A86">
        <w:t>n</w:t>
      </w:r>
      <w:r w:rsidRPr="00320A86">
        <w:t>dront consciemment ou inconsciemment le contrepoids des emp</w:t>
      </w:r>
      <w:r w:rsidRPr="00320A86">
        <w:t>e</w:t>
      </w:r>
      <w:r w:rsidRPr="00320A86">
        <w:t>reurs. Dans la pratique, ces mand</w:t>
      </w:r>
      <w:r w:rsidRPr="00320A86">
        <w:t>a</w:t>
      </w:r>
      <w:r w:rsidRPr="00320A86">
        <w:t>rins participent non seulement à la gestion du pays, mais interviennent parfois dans les  affaires purement personnelles de leur monarque : la répudiation de l’impératrice, le choix du dauphin, ou même la nomination de son père biolog</w:t>
      </w:r>
      <w:r w:rsidRPr="00320A86">
        <w:t>i</w:t>
      </w:r>
      <w:r w:rsidRPr="00320A86">
        <w:t>que en tant qu’empereur honoraire. Selon le critère bien partagé, un mandarin ne doit pas hésiter et ne pas craindre la mort quand il pense nécessaire de critiquer le souverain. Nous trouvons maints exemples historiques qui montrent les emp</w:t>
      </w:r>
      <w:r w:rsidRPr="00320A86">
        <w:t>e</w:t>
      </w:r>
      <w:r w:rsidRPr="00320A86">
        <w:t>reurs changeant d’avis devant ces critiques ou après ces conseils. Dans ce cas-là l’empereur possède-t-il un pouvoir autoritaire</w:t>
      </w:r>
      <w:r>
        <w:t> </w:t>
      </w:r>
      <w:r>
        <w:rPr>
          <w:rStyle w:val="Appelnotedebasdep"/>
        </w:rPr>
        <w:footnoteReference w:id="1690"/>
      </w:r>
      <w:r w:rsidRPr="00320A86">
        <w:t> ? Il est possible qu’un empereur fort et habile ait exercé un pouvoir autoritaire dans certains domaines. Mais s</w:t>
      </w:r>
      <w:r w:rsidRPr="00320A86">
        <w:t>i</w:t>
      </w:r>
      <w:r w:rsidRPr="00320A86">
        <w:t>gnifie-t-il qu’il possède ce pouvoir pendant tout son règne et dans toutes les circon</w:t>
      </w:r>
      <w:r w:rsidRPr="00320A86">
        <w:t>s</w:t>
      </w:r>
      <w:r w:rsidRPr="00320A86">
        <w:t>tances ? Ou que tous les empereurs des diverses dynasties depuis les Qin agirent tous de la même manière ? Au moins, on sait que ce n’est pas le cas pour l’Empereur Hui Zong des Song, connu pour ses œ</w:t>
      </w:r>
      <w:r w:rsidRPr="00320A86">
        <w:t>u</w:t>
      </w:r>
      <w:r w:rsidRPr="00320A86">
        <w:t xml:space="preserve">vres artistiques, ou pour l’Empereur Tian Qi des Ming qui s’intéressa à la fabrication des meubles dans son palais. </w:t>
      </w:r>
    </w:p>
    <w:p w14:paraId="3A0E2511" w14:textId="77777777" w:rsidR="00B01930" w:rsidRPr="00320A86" w:rsidRDefault="00B01930" w:rsidP="00B01930">
      <w:pPr>
        <w:spacing w:before="120" w:after="120"/>
        <w:jc w:val="both"/>
      </w:pPr>
      <w:r w:rsidRPr="00320A86">
        <w:t>Il est ainsi imprudent d’employer un concept trop abstrait et déca</w:t>
      </w:r>
      <w:r w:rsidRPr="00320A86">
        <w:t>l</w:t>
      </w:r>
      <w:r w:rsidRPr="00320A86">
        <w:t>qué pour définir toutes les époques et expliquer toutes les pratiques. D’après Tocqueville les concepts généraux manifestent surtout la fa</w:t>
      </w:r>
      <w:r w:rsidRPr="00320A86">
        <w:t>i</w:t>
      </w:r>
      <w:r w:rsidRPr="00320A86">
        <w:t>blesse de l’intelligence de l’homme, car il n’y a jamais deux choses identiques dans ce monde</w:t>
      </w:r>
      <w:r>
        <w:t> </w:t>
      </w:r>
      <w:r>
        <w:rPr>
          <w:rStyle w:val="Appelnotedebasdep"/>
        </w:rPr>
        <w:footnoteReference w:id="1691"/>
      </w:r>
      <w:r w:rsidRPr="00320A86">
        <w:t>. Il vaut mieux chercher la vérité dans l’histoire, au lieu de se contenter de certaines conclusions banales et généralisantes.</w:t>
      </w:r>
    </w:p>
    <w:p w14:paraId="4BB0C8DA" w14:textId="77777777" w:rsidR="00B01930" w:rsidRPr="00320A86" w:rsidRDefault="00B01930" w:rsidP="00B01930">
      <w:pPr>
        <w:spacing w:before="120" w:after="120"/>
        <w:jc w:val="both"/>
      </w:pPr>
      <w:r w:rsidRPr="00320A86">
        <w:t xml:space="preserve"> Ces quelques remarques, indispensables sur  la nature du régime politique en Chine ancienne et son influence dans les temps passés étant précisée, précisons qu’elles ne constituent pas l’objet de notre réflexion. Ce qui nous intéresse ici est la question suivante : la liberté existait-elle dans « l’Empire du Milieu » ? </w:t>
      </w:r>
    </w:p>
    <w:p w14:paraId="58163E91" w14:textId="77777777" w:rsidR="00B01930" w:rsidRPr="00320A86" w:rsidRDefault="00B01930" w:rsidP="00B01930">
      <w:pPr>
        <w:spacing w:before="120" w:after="120"/>
        <w:jc w:val="both"/>
      </w:pPr>
      <w:r w:rsidRPr="00320A86">
        <w:t>Contrairement à la tradition occidentale, la liberté n’est pas une n</w:t>
      </w:r>
      <w:r w:rsidRPr="00320A86">
        <w:t>o</w:t>
      </w:r>
      <w:r w:rsidRPr="00320A86">
        <w:t>tion ce</w:t>
      </w:r>
      <w:r w:rsidRPr="00320A86">
        <w:t>n</w:t>
      </w:r>
      <w:r w:rsidRPr="00320A86">
        <w:t>trale en ancienne Chine. Ce mot existe, mais précisons tout d’abord qu’il n’a qu’une connotation philosophique ou poétique, et n’appartient au langage de l’oralité collective. Ensuite, la liberté n’est jamais considérée comme le but de la vie politique. Les Chinois y cherchent plutôt un ordre harmonieux, mais hiérarchisé, assez platon</w:t>
      </w:r>
      <w:r w:rsidRPr="00320A86">
        <w:t>i</w:t>
      </w:r>
      <w:r w:rsidRPr="00320A86">
        <w:t>cien, dans lequel l’obéissance et la loyauté des sujets aux rois, des fils aux pères, des femmes aux maris sont incontestables, sous réserve que ces derniers soient bienveillants. Le respect du Li, la voie et la loi i</w:t>
      </w:r>
      <w:r w:rsidRPr="00320A86">
        <w:t>m</w:t>
      </w:r>
      <w:r w:rsidRPr="00320A86">
        <w:t>plicites qui fixent les comportements corrects de chacun, reste le pr</w:t>
      </w:r>
      <w:r w:rsidRPr="00320A86">
        <w:t>e</w:t>
      </w:r>
      <w:r w:rsidRPr="00320A86">
        <w:t>mier critère pour les souverains, mais aussi pour tous leurs sujets : personne n’est sans limites. Ce phénomène explique bien la difficulté pour Yan Fu, grand intellectuel chinois à la fin du XIX</w:t>
      </w:r>
      <w:r w:rsidRPr="00320A86">
        <w:rPr>
          <w:vertAlign w:val="superscript"/>
        </w:rPr>
        <w:t>e</w:t>
      </w:r>
      <w:r w:rsidRPr="00320A86">
        <w:t xml:space="preserve"> siècle, à tr</w:t>
      </w:r>
      <w:r w:rsidRPr="00320A86">
        <w:t>a</w:t>
      </w:r>
      <w:r w:rsidRPr="00320A86">
        <w:t xml:space="preserve">duire le titre du livre </w:t>
      </w:r>
      <w:r w:rsidRPr="000253E2">
        <w:rPr>
          <w:i/>
        </w:rPr>
        <w:t>On Liberty</w:t>
      </w:r>
      <w:r w:rsidRPr="00320A86">
        <w:t xml:space="preserve"> de John Stuart Mill. Finalement, il l’avait rebaptisé en mettant en avant la distinction entre les d</w:t>
      </w:r>
      <w:r w:rsidRPr="00320A86">
        <w:t>o</w:t>
      </w:r>
      <w:r w:rsidRPr="00320A86">
        <w:t>maines public et privé.</w:t>
      </w:r>
    </w:p>
    <w:p w14:paraId="686B25AD" w14:textId="77777777" w:rsidR="00B01930" w:rsidRPr="00320A86" w:rsidRDefault="00B01930" w:rsidP="00B01930">
      <w:pPr>
        <w:spacing w:before="120" w:after="120"/>
        <w:jc w:val="both"/>
      </w:pPr>
      <w:r w:rsidRPr="00320A86">
        <w:t>À partir de cette prémisse on peut formuler ainsi la problématique de la libe</w:t>
      </w:r>
      <w:r w:rsidRPr="00320A86">
        <w:t>r</w:t>
      </w:r>
      <w:r w:rsidRPr="00320A86">
        <w:t>té dans la Chine traditionnelle.</w:t>
      </w:r>
    </w:p>
    <w:p w14:paraId="7191585A" w14:textId="77777777" w:rsidR="00B01930" w:rsidRPr="00320A86" w:rsidRDefault="00B01930" w:rsidP="00B01930">
      <w:pPr>
        <w:spacing w:before="120" w:after="120"/>
        <w:jc w:val="both"/>
      </w:pPr>
      <w:r w:rsidRPr="00320A86">
        <w:t>En effet, la liberté peut se comprendre et se définir selon trois c</w:t>
      </w:r>
      <w:r w:rsidRPr="00320A86">
        <w:t>a</w:t>
      </w:r>
      <w:r w:rsidRPr="00320A86">
        <w:t>tégories : une liberté garantie par le droit et le système politique ; une liberté de fait, provenant de la légèreté du pouvoir ; une liberté enrac</w:t>
      </w:r>
      <w:r w:rsidRPr="00320A86">
        <w:t>i</w:t>
      </w:r>
      <w:r w:rsidRPr="00320A86">
        <w:t>née dans les mœurs et dans le mode de vie.</w:t>
      </w:r>
    </w:p>
    <w:p w14:paraId="6FF77438" w14:textId="77777777" w:rsidR="00B01930" w:rsidRPr="00320A86" w:rsidRDefault="00B01930" w:rsidP="00B01930">
      <w:pPr>
        <w:spacing w:before="120" w:after="120"/>
        <w:jc w:val="both"/>
      </w:pPr>
      <w:r w:rsidRPr="00320A86">
        <w:t>En ce qui concerne la première catégorie de liberté, il faut reco</w:t>
      </w:r>
      <w:r w:rsidRPr="00320A86">
        <w:t>n</w:t>
      </w:r>
      <w:r w:rsidRPr="00320A86">
        <w:t>naître ses l</w:t>
      </w:r>
      <w:r w:rsidRPr="00320A86">
        <w:t>a</w:t>
      </w:r>
      <w:r w:rsidRPr="00320A86">
        <w:t>cunes en Chine ancienne : les Chinois ont développé leurs codes, pénal et civil, mais ils ont ignoré en général la constitution et le droit  constitutionnel. Théor</w:t>
      </w:r>
      <w:r w:rsidRPr="00320A86">
        <w:t>i</w:t>
      </w:r>
      <w:r w:rsidRPr="00320A86">
        <w:t>quement la souveraineté impériale est absolue et indivisible, sans séparation a</w:t>
      </w:r>
      <w:r w:rsidRPr="00320A86">
        <w:t>u</w:t>
      </w:r>
      <w:r w:rsidRPr="00320A86">
        <w:t>cune des pouvoirs, et donc sans contre-pouvoirs légaux (le « </w:t>
      </w:r>
      <w:r w:rsidRPr="000253E2">
        <w:rPr>
          <w:i/>
        </w:rPr>
        <w:t>check and bala</w:t>
      </w:r>
      <w:r w:rsidRPr="000253E2">
        <w:rPr>
          <w:i/>
        </w:rPr>
        <w:t>n</w:t>
      </w:r>
      <w:r w:rsidRPr="000253E2">
        <w:rPr>
          <w:i/>
        </w:rPr>
        <w:t>ce</w:t>
      </w:r>
      <w:r w:rsidRPr="00320A86">
        <w:t> »).</w:t>
      </w:r>
    </w:p>
    <w:p w14:paraId="03328E8B" w14:textId="77777777" w:rsidR="00B01930" w:rsidRPr="00320A86" w:rsidRDefault="00B01930" w:rsidP="00B01930">
      <w:pPr>
        <w:spacing w:before="120" w:after="120"/>
        <w:jc w:val="both"/>
      </w:pPr>
      <w:r w:rsidRPr="00320A86">
        <w:t>Pour ce qui est de la deuxième catégorie de liberté, sa réalité fut plus effect</w:t>
      </w:r>
      <w:r w:rsidRPr="00320A86">
        <w:t>i</w:t>
      </w:r>
      <w:r w:rsidRPr="00320A86">
        <w:t>ve. La pratique du pouvoir souverain fut en fait beaucoup moins absolue qu’il le prétendait. Aux yeux de nos contemporains, il apparaît faible. Depuis le début de ce régime « absolutiste », c’est-à-dire les Han du II</w:t>
      </w:r>
      <w:r w:rsidRPr="00320A86">
        <w:rPr>
          <w:vertAlign w:val="superscript"/>
        </w:rPr>
        <w:t>e</w:t>
      </w:r>
      <w:r w:rsidRPr="00320A86">
        <w:t xml:space="preserve"> siècle avant J.-C., il y eut un consensus dans la s</w:t>
      </w:r>
      <w:r w:rsidRPr="00320A86">
        <w:t>o</w:t>
      </w:r>
      <w:r w:rsidRPr="00320A86">
        <w:t>ciété quant au fait de laisser agir le peuple. Les impôts et les taxes n’étaient pas, en général trop lourds et les fonctionnaires furent relat</w:t>
      </w:r>
      <w:r w:rsidRPr="00320A86">
        <w:t>i</w:t>
      </w:r>
      <w:r w:rsidRPr="00320A86">
        <w:t>vement peu nombreux : il y en avait environ un pour 7000 personnes sous les Han, un pour 1000 personnes au XVII</w:t>
      </w:r>
      <w:r w:rsidRPr="00320A86">
        <w:rPr>
          <w:vertAlign w:val="superscript"/>
        </w:rPr>
        <w:t>e</w:t>
      </w:r>
      <w:r w:rsidRPr="00320A86">
        <w:t xml:space="preserve"> siècle. De plus, le fonctionnement de ce pouvoir s’avéra relativement faible et léger. Un bon empereur était celui qui su</w:t>
      </w:r>
      <w:r w:rsidRPr="00320A86">
        <w:t>i</w:t>
      </w:r>
      <w:r w:rsidRPr="00320A86">
        <w:t xml:space="preserve">vait la fameuse formule taoïste : « ne rien faire pour tout faire ». </w:t>
      </w:r>
    </w:p>
    <w:p w14:paraId="45932A43" w14:textId="77777777" w:rsidR="00B01930" w:rsidRPr="00320A86" w:rsidRDefault="00B01930" w:rsidP="00B01930">
      <w:pPr>
        <w:spacing w:before="120" w:after="120"/>
        <w:jc w:val="both"/>
      </w:pPr>
      <w:r w:rsidRPr="00320A86">
        <w:t>Certains historiens portent une critique sévère contre l’Empereur Wanli des Ming qui se cacha dans son palais pour pratiquer le taoïsme et refusa de voir ses courtisans pendant plus de trente ans. On le qual</w:t>
      </w:r>
      <w:r w:rsidRPr="00320A86">
        <w:t>i</w:t>
      </w:r>
      <w:r w:rsidRPr="00320A86">
        <w:t>fia même de fenéant et d’incapable, ce qui arrangeait toute la société comme une grande partie de son entourage à la Cour. Mais dans notre perspective, fut-il absolutiste</w:t>
      </w:r>
      <w:r>
        <w:t> </w:t>
      </w:r>
      <w:r>
        <w:rPr>
          <w:rStyle w:val="Appelnotedebasdep"/>
        </w:rPr>
        <w:footnoteReference w:id="1692"/>
      </w:r>
      <w:r w:rsidRPr="00320A86">
        <w:t> ? En ce qui concerne les mandarins ou les fonctionnaires, leur rôle principal fut de maintenir la paix et l’harmonie dans leurs régions en économisant les dépenses admini</w:t>
      </w:r>
      <w:r w:rsidRPr="00320A86">
        <w:t>s</w:t>
      </w:r>
      <w:r w:rsidRPr="00320A86">
        <w:t>tratives et en limitant les procès. On tolérait ou on adorait un gouve</w:t>
      </w:r>
      <w:r w:rsidRPr="00320A86">
        <w:t>r</w:t>
      </w:r>
      <w:r w:rsidRPr="00320A86">
        <w:t>neur sage qui passait son temps dans des banquets sans fin ou dans la création et la récitation de poèmes</w:t>
      </w:r>
      <w:r>
        <w:t> </w:t>
      </w:r>
      <w:r>
        <w:rPr>
          <w:rStyle w:val="Appelnotedebasdep"/>
        </w:rPr>
        <w:footnoteReference w:id="1693"/>
      </w:r>
      <w:r w:rsidRPr="00320A86">
        <w:t>. En général, le pouvoir central restait autoritaire en théorie, mais se montra limité dans la prat</w:t>
      </w:r>
      <w:r w:rsidRPr="00320A86">
        <w:t>i</w:t>
      </w:r>
      <w:r w:rsidRPr="00320A86">
        <w:t>que</w:t>
      </w:r>
      <w:r>
        <w:t> </w:t>
      </w:r>
      <w:r>
        <w:rPr>
          <w:rStyle w:val="Appelnotedebasdep"/>
        </w:rPr>
        <w:footnoteReference w:id="1694"/>
      </w:r>
      <w:r w:rsidRPr="00320A86">
        <w:t>. Les souverains possédaient le pouvoir, sans en abuser ou sans le prat</w:t>
      </w:r>
      <w:r w:rsidRPr="00320A86">
        <w:t>i</w:t>
      </w:r>
      <w:r w:rsidRPr="00320A86">
        <w:t>quer entièrement, selon Tocqueville.</w:t>
      </w:r>
    </w:p>
    <w:p w14:paraId="39C915EC" w14:textId="77777777" w:rsidR="00B01930" w:rsidRPr="00320A86" w:rsidRDefault="00B01930" w:rsidP="00B01930">
      <w:pPr>
        <w:spacing w:before="120" w:after="120"/>
        <w:jc w:val="both"/>
      </w:pPr>
      <w:r w:rsidRPr="00320A86">
        <w:t>Reste la troisième catégorie de liberté : celle enracinée dans la culture, dans les mœurs et dans les modes de vie, liberté pratiquée de façon compensatoire, mais réelle au niveau de la société civile.</w:t>
      </w:r>
    </w:p>
    <w:p w14:paraId="725AD772" w14:textId="77777777" w:rsidR="00B01930" w:rsidRPr="00320A86" w:rsidRDefault="00B01930" w:rsidP="00B01930">
      <w:pPr>
        <w:spacing w:before="120" w:after="120"/>
        <w:jc w:val="both"/>
      </w:pPr>
      <w:r w:rsidRPr="00320A86">
        <w:t>L’hypothèse est simple : l’existence de la liberté ne dépend ni se</w:t>
      </w:r>
      <w:r w:rsidRPr="00320A86">
        <w:t>u</w:t>
      </w:r>
      <w:r w:rsidRPr="00320A86">
        <w:t>lement du régime politique ni de l’avènement d’une certaine modern</w:t>
      </w:r>
      <w:r w:rsidRPr="00320A86">
        <w:t>i</w:t>
      </w:r>
      <w:r w:rsidRPr="00320A86">
        <w:t>té. Elle est liée à la tradition culturelle et au mode de vie qui se perp</w:t>
      </w:r>
      <w:r w:rsidRPr="00320A86">
        <w:t>é</w:t>
      </w:r>
      <w:r w:rsidRPr="00320A86">
        <w:t>tuent, d’une génération à l’autre. Ce qui implique notamment une ce</w:t>
      </w:r>
      <w:r w:rsidRPr="00320A86">
        <w:t>r</w:t>
      </w:r>
      <w:r w:rsidRPr="00320A86">
        <w:t>taine tolérance et ouverture d’esprit. De ce point de vue, la Chine tr</w:t>
      </w:r>
      <w:r w:rsidRPr="00320A86">
        <w:t>a</w:t>
      </w:r>
      <w:r w:rsidRPr="00320A86">
        <w:t>ditionnelle a comporté certaines différences pr</w:t>
      </w:r>
      <w:r w:rsidRPr="00320A86">
        <w:t>o</w:t>
      </w:r>
      <w:r w:rsidRPr="00320A86">
        <w:t>fondes par rapport à l’Occident, qui ont favorisé la formation d’une liberté qu</w:t>
      </w:r>
      <w:r w:rsidRPr="00320A86">
        <w:t>o</w:t>
      </w:r>
      <w:r w:rsidRPr="00320A86">
        <w:t>tidienne.</w:t>
      </w:r>
    </w:p>
    <w:p w14:paraId="22083304" w14:textId="77777777" w:rsidR="00B01930" w:rsidRPr="00320A86" w:rsidRDefault="00B01930" w:rsidP="00B01930">
      <w:pPr>
        <w:spacing w:before="120" w:after="120"/>
        <w:jc w:val="both"/>
      </w:pPr>
      <w:r w:rsidRPr="00320A86">
        <w:t>Par rapport à l’Occident, dominé longtemps par l’Église cathol</w:t>
      </w:r>
      <w:r w:rsidRPr="00320A86">
        <w:t>i</w:t>
      </w:r>
      <w:r w:rsidRPr="00320A86">
        <w:t>que, l’ancienne Chine fut un pays laïque. Cette spécificité a été reco</w:t>
      </w:r>
      <w:r w:rsidRPr="00320A86">
        <w:t>n</w:t>
      </w:r>
      <w:r w:rsidRPr="00320A86">
        <w:t>nue par les s</w:t>
      </w:r>
      <w:r w:rsidRPr="00320A86">
        <w:t>a</w:t>
      </w:r>
      <w:r w:rsidRPr="00320A86">
        <w:t>vants occidentaux comme par leurs collègues chinois du début du XX</w:t>
      </w:r>
      <w:r w:rsidRPr="00320A86">
        <w:rPr>
          <w:vertAlign w:val="superscript"/>
        </w:rPr>
        <w:t>e</w:t>
      </w:r>
      <w:r w:rsidRPr="00320A86">
        <w:t xml:space="preserve"> siècle. Voltaire observa que des pays traditionnels, seule la Chine avait échappé à la domination du clergé</w:t>
      </w:r>
      <w:r>
        <w:t> </w:t>
      </w:r>
      <w:r>
        <w:rPr>
          <w:rStyle w:val="Appelnotedebasdep"/>
        </w:rPr>
        <w:footnoteReference w:id="1695"/>
      </w:r>
      <w:r w:rsidRPr="00320A86">
        <w:t>. Quant à Lin Y</w:t>
      </w:r>
      <w:r w:rsidRPr="00320A86">
        <w:t>u</w:t>
      </w:r>
      <w:r w:rsidRPr="00320A86">
        <w:t>tang, grand intellectuel contemporain chinois, il qualifie purement et simplement les Chinois « d’humanistes », car « la nature réaliste de leur pensée et l’insistance à traiter de la vie uotidienne du moment proviennent du confucianisme qui, contrairement au christianisme, est une pensée laïque ». « La formule du “juste milieu” a tout couvert, en neutralisant toutes les doctrines et en détruisant toutes les rel</w:t>
      </w:r>
      <w:r w:rsidRPr="00320A86">
        <w:t>i</w:t>
      </w:r>
      <w:r w:rsidRPr="00320A86">
        <w:t>gions</w:t>
      </w:r>
      <w:r>
        <w:t> </w:t>
      </w:r>
      <w:r>
        <w:rPr>
          <w:rStyle w:val="Appelnotedebasdep"/>
        </w:rPr>
        <w:footnoteReference w:id="1696"/>
      </w:r>
      <w:r w:rsidRPr="00320A86">
        <w:t> ».</w:t>
      </w:r>
    </w:p>
    <w:p w14:paraId="2F99EB02" w14:textId="77777777" w:rsidR="00B01930" w:rsidRPr="00320A86" w:rsidRDefault="00B01930" w:rsidP="00B01930">
      <w:pPr>
        <w:spacing w:before="120" w:after="120"/>
        <w:jc w:val="both"/>
      </w:pPr>
      <w:r w:rsidRPr="00320A86">
        <w:t>Pourquoi les Chinois ne sont-ils pas un peuple religieux ? Ne voyons-nous pas partout les temples bouddhistes ou taoïstes ? Les e</w:t>
      </w:r>
      <w:r w:rsidRPr="00320A86">
        <w:t>x</w:t>
      </w:r>
      <w:r w:rsidRPr="00320A86">
        <w:t>plications sont les su</w:t>
      </w:r>
      <w:r w:rsidRPr="00320A86">
        <w:t>i</w:t>
      </w:r>
      <w:r w:rsidRPr="00320A86">
        <w:t>vantes : d’abord, ils ne connaissent pas la foi monothéiste. Restant polythéistes, voire animistes ou chamanistes, ils pensent qu’il vaut mieux prier devant tous les Dieux, car selon leur esprit utilitariste et donc relativiste, on ne sait pas vra</w:t>
      </w:r>
      <w:r w:rsidRPr="00320A86">
        <w:t>i</w:t>
      </w:r>
      <w:r w:rsidRPr="00320A86">
        <w:t>ment, face à l’invisible, qui peut nous protéger. Ensuite, le bouddhisme et le taoï</w:t>
      </w:r>
      <w:r w:rsidRPr="00320A86">
        <w:t>s</w:t>
      </w:r>
      <w:r w:rsidRPr="00320A86">
        <w:t>me n’ont pas retenu un canon simple et unique comme le christiani</w:t>
      </w:r>
      <w:r w:rsidRPr="00320A86">
        <w:t>s</w:t>
      </w:r>
      <w:r w:rsidRPr="00320A86">
        <w:t>me. C</w:t>
      </w:r>
      <w:r w:rsidRPr="00320A86">
        <w:t>e</w:t>
      </w:r>
      <w:r w:rsidRPr="00320A86">
        <w:t>la ne favorise donc pas la formation d’une conviction claire et solide, définitive et figée.  Enfin, il n’a jamais existé une organisation religieuse systématique et hiérarchique, fortement centralisée et un</w:t>
      </w:r>
      <w:r w:rsidRPr="00320A86">
        <w:t>i</w:t>
      </w:r>
      <w:r w:rsidRPr="00320A86">
        <w:t>voque. Finalement – et c’est le plus notable –, la « religion » ou les religions ne possèdent pas de pouvoir réel, ni même une autorité contraignante sur le plan social : dans le domaine politique elles d</w:t>
      </w:r>
      <w:r w:rsidRPr="00320A86">
        <w:t>é</w:t>
      </w:r>
      <w:r w:rsidRPr="00320A86">
        <w:t>pendent du pouvoir laïque, et dans le domaine spirituel, elles n’arrivent pas à concurrencer la domination du confucianisme, qui implique une liberté d’interprétation et d’action à la fois individuelle et communautaire. Gu Hongming a raison de dire que « pour nos Ch</w:t>
      </w:r>
      <w:r w:rsidRPr="00320A86">
        <w:t>i</w:t>
      </w:r>
      <w:r w:rsidRPr="00320A86">
        <w:t>nois, le rôle de distraction des temples et des rites bouddhistes et taoï</w:t>
      </w:r>
      <w:r w:rsidRPr="00320A86">
        <w:t>s</w:t>
      </w:r>
      <w:r w:rsidRPr="00320A86">
        <w:t>tes l’emporte largement sur celui des maximes morales. C’est une appréciation de la vie, non des instructions impératives</w:t>
      </w:r>
      <w:r>
        <w:t> </w:t>
      </w:r>
      <w:r>
        <w:rPr>
          <w:rStyle w:val="Appelnotedebasdep"/>
        </w:rPr>
        <w:footnoteReference w:id="1697"/>
      </w:r>
      <w:r w:rsidRPr="00320A86">
        <w:t> ».</w:t>
      </w:r>
    </w:p>
    <w:p w14:paraId="3ED97B4D" w14:textId="77777777" w:rsidR="00B01930" w:rsidRPr="00320A86" w:rsidRDefault="00B01930" w:rsidP="00B01930">
      <w:pPr>
        <w:spacing w:before="120" w:after="120"/>
        <w:jc w:val="both"/>
      </w:pPr>
      <w:r w:rsidRPr="00320A86">
        <w:t>Pour mieux comprendre cet état d’esprit laïque, toujours prêt à s’épanouir, il est utile de faire une comparaison avec l’orthodoxie chrétienne, selon laquelle le vrai sens de la vie de l’être humain réside dans l’accès éventuel au monde de l’au-delà. « Il n’y a pas une rel</w:t>
      </w:r>
      <w:r w:rsidRPr="00320A86">
        <w:t>i</w:t>
      </w:r>
      <w:r w:rsidRPr="00320A86">
        <w:t>gion qui mette ce but au-dessus du bonheur dans le  monde</w:t>
      </w:r>
      <w:r>
        <w:t> </w:t>
      </w:r>
      <w:r>
        <w:rPr>
          <w:rStyle w:val="Appelnotedebasdep"/>
        </w:rPr>
        <w:footnoteReference w:id="1698"/>
      </w:r>
      <w:r w:rsidRPr="00320A86">
        <w:t> ». Il exi</w:t>
      </w:r>
      <w:r w:rsidRPr="00320A86">
        <w:t>s</w:t>
      </w:r>
      <w:r w:rsidRPr="00320A86">
        <w:t>te dans la société tant de tentations et la nature humaine possède estr si aisément corruptible, ce qui rend incompatible le respect trop strict de règles de vie qui limitent ainsi la liberté et les choix. Si les chrétiens n’insistaient pas sur la performance de leur morale, ils o</w:t>
      </w:r>
      <w:r w:rsidRPr="00320A86">
        <w:t>u</w:t>
      </w:r>
      <w:r w:rsidRPr="00320A86">
        <w:t>bli</w:t>
      </w:r>
      <w:r w:rsidRPr="00320A86">
        <w:t>e</w:t>
      </w:r>
      <w:r w:rsidRPr="00320A86">
        <w:t>raient leurs actes et leurs devoirs vis-à-vis de Dieu. La moralité, la vertu, implique ainsi un certain ascétisme qui, développé par le pur</w:t>
      </w:r>
      <w:r w:rsidRPr="00320A86">
        <w:t>i</w:t>
      </w:r>
      <w:r w:rsidRPr="00320A86">
        <w:t>tanisme, transforme les interdictions ext</w:t>
      </w:r>
      <w:r w:rsidRPr="00320A86">
        <w:t>é</w:t>
      </w:r>
      <w:r w:rsidRPr="00320A86">
        <w:t>rieures en réglementations intérieures et automatiques, ce qui a des fonctions sans cesse culpab</w:t>
      </w:r>
      <w:r w:rsidRPr="00320A86">
        <w:t>i</w:t>
      </w:r>
      <w:r w:rsidRPr="00320A86">
        <w:t>lisantes. Selon Max Weber, la Réforme n’a en rien aboli le contrôle de l’Église sur la vie quotidienne des gens. Elle l’a remplacé par un contrôle renforcé d’un nouveau type, sur tous les comportements de l’être h</w:t>
      </w:r>
      <w:r w:rsidRPr="00320A86">
        <w:t>u</w:t>
      </w:r>
      <w:r w:rsidRPr="00320A86">
        <w:t>main, soit dans la vie publique, soit dans la vie privée</w:t>
      </w:r>
      <w:r>
        <w:t> </w:t>
      </w:r>
      <w:r>
        <w:rPr>
          <w:rStyle w:val="Appelnotedebasdep"/>
        </w:rPr>
        <w:footnoteReference w:id="1699"/>
      </w:r>
      <w:r w:rsidRPr="00320A86">
        <w:t>.</w:t>
      </w:r>
    </w:p>
    <w:p w14:paraId="385C0F11" w14:textId="77777777" w:rsidR="00B01930" w:rsidRPr="00320A86" w:rsidRDefault="00B01930" w:rsidP="00B01930">
      <w:pPr>
        <w:spacing w:before="120" w:after="120"/>
        <w:jc w:val="both"/>
      </w:pPr>
      <w:r w:rsidRPr="00320A86">
        <w:t>La raison pour laquelle nous établissons la liaison entre l’ascétisme et la l</w:t>
      </w:r>
      <w:r w:rsidRPr="00320A86">
        <w:t>i</w:t>
      </w:r>
      <w:r w:rsidRPr="00320A86">
        <w:t>berté s’explique. L’ascétisme pourrait être analysé sous deux angles : celui de</w:t>
      </w:r>
      <w:r w:rsidRPr="00320A86">
        <w:t>s</w:t>
      </w:r>
      <w:r w:rsidRPr="00320A86">
        <w:t>tiné à nous-mêmes et celui concernant les autres. Dans ces deux sens, il porte les mêmes caractères : les limites de nos désirs, la honte de la jouissance et de la satisfaction matérielle ou ph</w:t>
      </w:r>
      <w:r w:rsidRPr="00320A86">
        <w:t>y</w:t>
      </w:r>
      <w:r w:rsidRPr="00320A86">
        <w:t>sique, les tabous, c’est-à-dire certaines choses que nous sommes i</w:t>
      </w:r>
      <w:r w:rsidRPr="00320A86">
        <w:t>n</w:t>
      </w:r>
      <w:r w:rsidRPr="00320A86">
        <w:t>terdits de penser, de désirer et de faire. Si c’est un choix perso</w:t>
      </w:r>
      <w:r w:rsidRPr="00320A86">
        <w:t>n</w:t>
      </w:r>
      <w:r w:rsidRPr="00320A86">
        <w:t>nel, c’est respectable, mais simultanément cela induit un comportement rigide, fermé, intolérant, porteur de malheurs et de complications. On n’ose pas essayer ou accepter les choses nouvelles, tant dans la vie matérielle et physique que dans la vie spirituelle et intellectuelle. Si nous élargissons notre choix comme une exigence pour les autres ou comme règles pour la société, nous ne sommes plus tolérants. Dans les deux cas, la liberté est menacée même si le régime politique se veut libéral. C’est le cauchemar de la tyrannie des masses de Stuart Mill. Ce qui implique de fait une limitation de la liberté, réelle et int</w:t>
      </w:r>
      <w:r w:rsidRPr="00320A86">
        <w:t>é</w:t>
      </w:r>
      <w:r w:rsidRPr="00320A86">
        <w:t>riorisée.</w:t>
      </w:r>
    </w:p>
    <w:p w14:paraId="3EBACDB3" w14:textId="77777777" w:rsidR="00B01930" w:rsidRPr="00320A86" w:rsidRDefault="00B01930" w:rsidP="00B01930">
      <w:pPr>
        <w:spacing w:before="120" w:after="120"/>
        <w:jc w:val="both"/>
      </w:pPr>
      <w:r w:rsidRPr="00320A86">
        <w:t>Notre hypothèse prend alors tout son sens et son intérêt : l’existence de la l</w:t>
      </w:r>
      <w:r w:rsidRPr="00320A86">
        <w:t>i</w:t>
      </w:r>
      <w:r w:rsidRPr="00320A86">
        <w:t>berté dépend pour la forme, de l’existence d’un État de droit ou du régime démocratique, mais également d’une atmosph</w:t>
      </w:r>
      <w:r w:rsidRPr="00320A86">
        <w:t>è</w:t>
      </w:r>
      <w:r w:rsidRPr="00320A86">
        <w:t>re tolérante, jouissante, laïque, et notamment d’une culture relativiste. Et ces conditions ne sont guère étrangères en Chine ancienne.</w:t>
      </w:r>
    </w:p>
    <w:p w14:paraId="1F7233A8" w14:textId="77777777" w:rsidR="00B01930" w:rsidRPr="00320A86" w:rsidRDefault="00B01930" w:rsidP="00B01930">
      <w:pPr>
        <w:spacing w:before="120" w:after="120"/>
        <w:jc w:val="both"/>
      </w:pPr>
      <w:r w:rsidRPr="00320A86">
        <w:t>Il faut à nouveau souligner fortement la caractéristique laïque et r</w:t>
      </w:r>
      <w:r w:rsidRPr="00320A86">
        <w:t>e</w:t>
      </w:r>
      <w:r w:rsidRPr="00320A86">
        <w:t>lativiste de la tradition culturelle chinoise. Pour les Chinois si un dieu est respectable, c’est parce qu’il a déjà prouvé sa capacité à nous a</w:t>
      </w:r>
      <w:r w:rsidRPr="00320A86">
        <w:t>p</w:t>
      </w:r>
      <w:r w:rsidRPr="00320A86">
        <w:t>porter le bonheur ou à nous prot</w:t>
      </w:r>
      <w:r w:rsidRPr="00320A86">
        <w:t>é</w:t>
      </w:r>
      <w:r w:rsidRPr="00320A86">
        <w:t>ger. Autrement dit parce qu’il est utile</w:t>
      </w:r>
      <w:r>
        <w:t> </w:t>
      </w:r>
      <w:r>
        <w:rPr>
          <w:rStyle w:val="Appelnotedebasdep"/>
        </w:rPr>
        <w:footnoteReference w:id="1700"/>
      </w:r>
      <w:r w:rsidRPr="00320A86">
        <w:t>. Cet état d’esprit explique bien le fait que certains temples ont réuni de nombreux croyants et que les autres sont vides. Dans les premiers, on trouve souvent cette phrase publicitaire sur les drapeaux : « on satisfait toutes vos exigences ». Il serait amusant également de lire la fin de chaque prière, par exemple</w:t>
      </w:r>
      <w:r>
        <w:t> </w:t>
      </w:r>
      <w:r w:rsidRPr="00320A86">
        <w:t>: «</w:t>
      </w:r>
      <w:r>
        <w:t> </w:t>
      </w:r>
      <w:r w:rsidRPr="00320A86">
        <w:t>si vous satisfaites ma d</w:t>
      </w:r>
      <w:r w:rsidRPr="00320A86">
        <w:t>e</w:t>
      </w:r>
      <w:r w:rsidRPr="00320A86">
        <w:t>mande, je vous porterais telle ou telle offrande ». Cela ne signifie-t-il pas que la croyance en Chine est finalement un échange commercial</w:t>
      </w:r>
      <w:r>
        <w:t> </w:t>
      </w:r>
      <w:r w:rsidRPr="00320A86">
        <w:t>? Pour la même raison, purement rationnelle, l’existence d’un monde d’au-delà apparaît une chose incertaine, fondée sur une croyance i</w:t>
      </w:r>
      <w:r w:rsidRPr="00320A86">
        <w:t>n</w:t>
      </w:r>
      <w:r w:rsidRPr="00320A86">
        <w:t>crédule et chancelante, souvent. Par conséquent, ce monde incertain en dehors de nous ne peut pas être considéré comme le but ultime de la vie h</w:t>
      </w:r>
      <w:r w:rsidRPr="00320A86">
        <w:t>u</w:t>
      </w:r>
      <w:r w:rsidRPr="00320A86">
        <w:t>maine. Face à une nature profondément rude et sévère et à un futur intouchable et incontrôlable, la vie de l’être humain est pauvre et éphémère. Pour cette ra</w:t>
      </w:r>
      <w:r w:rsidRPr="00320A86">
        <w:t>i</w:t>
      </w:r>
      <w:r w:rsidRPr="00320A86">
        <w:t>son, tout à fait compréhensible, on ne cherche plus le vrai sens de la vie dans le paradis, mais plutôt dans le monde réel, dans l’ici-bas, de façon réaliste et util</w:t>
      </w:r>
      <w:r w:rsidRPr="00320A86">
        <w:t>i</w:t>
      </w:r>
      <w:r w:rsidRPr="00320A86">
        <w:t>tariste. Selon Confucius nous ne pouvons pas traiter avec les dieux – symbole de l’autre mo</w:t>
      </w:r>
      <w:r w:rsidRPr="00320A86">
        <w:t>n</w:t>
      </w:r>
      <w:r w:rsidRPr="00320A86">
        <w:t>de – avant de savoir vivre en convivialité avec nos voisins. Les a</w:t>
      </w:r>
      <w:r w:rsidRPr="00320A86">
        <w:t>u</w:t>
      </w:r>
      <w:r w:rsidRPr="00320A86">
        <w:t>tres sont plus pessimistes et cyniques, comme l’expriment les fameux dix-neuf anciens poèmes : « Le temps passe, mais la nature n’est pas changeable, que la vie humaine est courte et incertaine, comme la pe</w:t>
      </w:r>
      <w:r w:rsidRPr="00320A86">
        <w:t>r</w:t>
      </w:r>
      <w:r w:rsidRPr="00320A86">
        <w:t>le de rosée du matin » ; ou encore : « il faut jouir de la vie dès maint</w:t>
      </w:r>
      <w:r w:rsidRPr="00320A86">
        <w:t>e</w:t>
      </w:r>
      <w:r w:rsidRPr="00320A86">
        <w:t>nant, on n’attend pas le bonheur dans le futur. L’éternité des dieux n’est en rien plus désirable que la joie d’un verre ». Certes, il existe la morale, qui peut servir de but comme le culte de la perfo</w:t>
      </w:r>
      <w:r w:rsidRPr="00320A86">
        <w:t>r</w:t>
      </w:r>
      <w:r w:rsidRPr="00320A86">
        <w:t>mance des gentlemen sur laquelle repose le principe de réglementation des rel</w:t>
      </w:r>
      <w:r w:rsidRPr="00320A86">
        <w:t>a</w:t>
      </w:r>
      <w:r w:rsidRPr="00320A86">
        <w:t>tions entre les gens. Or elle n’est issue d'aucune autorité transcenda</w:t>
      </w:r>
      <w:r w:rsidRPr="00320A86">
        <w:t>n</w:t>
      </w:r>
      <w:r w:rsidRPr="00320A86">
        <w:t>te, et manque souvent de cohérence quant à la question de la limit</w:t>
      </w:r>
      <w:r w:rsidRPr="00320A86">
        <w:t>a</w:t>
      </w:r>
      <w:r w:rsidRPr="00320A86">
        <w:t>tion des désirs.</w:t>
      </w:r>
    </w:p>
    <w:p w14:paraId="7B346F85" w14:textId="77777777" w:rsidR="00B01930" w:rsidRPr="00320A86" w:rsidRDefault="00B01930" w:rsidP="00B01930">
      <w:pPr>
        <w:spacing w:before="120" w:after="120"/>
        <w:jc w:val="both"/>
      </w:pPr>
      <w:r w:rsidRPr="00320A86">
        <w:t>Ainsi, après avoir éliminé tous ces facteurs divins ou métaphys</w:t>
      </w:r>
      <w:r w:rsidRPr="00320A86">
        <w:t>i</w:t>
      </w:r>
      <w:r w:rsidRPr="00320A86">
        <w:t>ques ince</w:t>
      </w:r>
      <w:r w:rsidRPr="00320A86">
        <w:t>r</w:t>
      </w:r>
      <w:r w:rsidRPr="00320A86">
        <w:t>tains à la mode occidentale, la seule chose importante qui reste dans la vie des Chinois, est la jouissance actuelle et matérielle, ici et maintenant. « Le Créateur nous jette dans ce monde pour moins de cent ans. La meilleure façon pour passer cette vie courte est de s</w:t>
      </w:r>
      <w:r w:rsidRPr="00320A86">
        <w:t>a</w:t>
      </w:r>
      <w:r w:rsidRPr="00320A86">
        <w:t>voir saisir toutes les opportunités afin d’apprécier les plaisirs</w:t>
      </w:r>
      <w:r>
        <w:t> </w:t>
      </w:r>
      <w:r>
        <w:rPr>
          <w:rStyle w:val="Appelnotedebasdep"/>
        </w:rPr>
        <w:footnoteReference w:id="1701"/>
      </w:r>
      <w:r w:rsidRPr="00320A86">
        <w:t> ». C</w:t>
      </w:r>
      <w:r w:rsidRPr="00320A86">
        <w:t>e</w:t>
      </w:r>
      <w:r w:rsidRPr="00320A86">
        <w:t>la concerne un peuple gai, matérialiste et tolérant, pourchassant les pla</w:t>
      </w:r>
      <w:r w:rsidRPr="00320A86">
        <w:t>i</w:t>
      </w:r>
      <w:r w:rsidRPr="00320A86">
        <w:t>sirs de façon hédoniste. Si nécessaire, il n’hésite pas à transformer le bouddhisme hindou en zen, philosophie qui est plus souple. Volta</w:t>
      </w:r>
      <w:r w:rsidRPr="00320A86">
        <w:t>i</w:t>
      </w:r>
      <w:r w:rsidRPr="00320A86">
        <w:t>re remarquait quant à lui : « les Chinois n’ont perfectionné aucun art sp</w:t>
      </w:r>
      <w:r w:rsidRPr="00320A86">
        <w:t>i</w:t>
      </w:r>
      <w:r w:rsidRPr="00320A86">
        <w:t>rituel, mais ils savent apprécié au fond ce qu’ils ont. En cons</w:t>
      </w:r>
      <w:r w:rsidRPr="00320A86">
        <w:t>é</w:t>
      </w:r>
      <w:r w:rsidRPr="00320A86">
        <w:t>quence, ils jouissent du bonheur selon leurs besoins</w:t>
      </w:r>
      <w:r>
        <w:t> </w:t>
      </w:r>
      <w:r>
        <w:rPr>
          <w:rStyle w:val="Appelnotedebasdep"/>
        </w:rPr>
        <w:footnoteReference w:id="1702"/>
      </w:r>
      <w:r w:rsidRPr="00320A86">
        <w:t> ». Lin Yutang conclut que « ce que nous ne pouvons pas comprendre chez les Eur</w:t>
      </w:r>
      <w:r w:rsidRPr="00320A86">
        <w:t>o</w:t>
      </w:r>
      <w:r w:rsidRPr="00320A86">
        <w:t>péens et Américains, c’est qu’ils ne savent pas que le seul but de l’être humain tient à goûter les plaisirs de la vie. Le caractère voluptueux des Ch</w:t>
      </w:r>
      <w:r w:rsidRPr="00320A86">
        <w:t>i</w:t>
      </w:r>
      <w:r w:rsidRPr="00320A86">
        <w:t>nois est à la fois la raison de l’absence des religions ici et la cons</w:t>
      </w:r>
      <w:r w:rsidRPr="00320A86">
        <w:t>é</w:t>
      </w:r>
      <w:r w:rsidRPr="00320A86">
        <w:t>quence de cette laïcité</w:t>
      </w:r>
      <w:r>
        <w:t> </w:t>
      </w:r>
      <w:r>
        <w:rPr>
          <w:rStyle w:val="Appelnotedebasdep"/>
        </w:rPr>
        <w:footnoteReference w:id="1703"/>
      </w:r>
      <w:r w:rsidRPr="00320A86">
        <w:t> ».</w:t>
      </w:r>
    </w:p>
    <w:p w14:paraId="25A74A10" w14:textId="77777777" w:rsidR="00B01930" w:rsidRPr="00320A86" w:rsidRDefault="00B01930" w:rsidP="00B01930">
      <w:pPr>
        <w:spacing w:before="120" w:after="120"/>
        <w:jc w:val="both"/>
      </w:pPr>
      <w:r w:rsidRPr="00320A86">
        <w:t>De la dynastie des Ming du XIV</w:t>
      </w:r>
      <w:r w:rsidRPr="00320A86">
        <w:rPr>
          <w:vertAlign w:val="superscript"/>
        </w:rPr>
        <w:t>e</w:t>
      </w:r>
      <w:r w:rsidRPr="00320A86">
        <w:t xml:space="preserve"> siècle à celle des Qing du XX</w:t>
      </w:r>
      <w:r w:rsidRPr="00320A86">
        <w:rPr>
          <w:vertAlign w:val="superscript"/>
        </w:rPr>
        <w:t>e</w:t>
      </w:r>
      <w:r w:rsidRPr="00320A86">
        <w:t xml:space="preserve"> siècle l’école </w:t>
      </w:r>
      <w:r w:rsidRPr="00270BCA">
        <w:rPr>
          <w:i/>
        </w:rPr>
        <w:t>Li</w:t>
      </w:r>
      <w:r w:rsidRPr="00320A86">
        <w:t xml:space="preserve"> du confucianisme a pris une position dominante dans la société ch</w:t>
      </w:r>
      <w:r w:rsidRPr="00320A86">
        <w:t>i</w:t>
      </w:r>
      <w:r w:rsidRPr="00320A86">
        <w:t>noise, au-delà des performances et de la personnalité des souverains, au sommet de l’empire. Le slogan assez connu de cette école est de garder la raison et de limiter les désirs humains, conduite de vie plutôt ascétique. Cela étant, on peut se demander s’il existe une différence entre l’idéologie officielle et la pratique réelle. En fait sous le règne de ces deux dynasties, notamment pendant la péri</w:t>
      </w:r>
      <w:r w:rsidRPr="00320A86">
        <w:t>o</w:t>
      </w:r>
      <w:r w:rsidRPr="00320A86">
        <w:t>de des Ming, la recherche de la finesse de la vie a atteint son apogée à travers la certain raffinement à tous les niveaux, la base de la société étant stimulée par les performances et les accomplissements du sommet. La spécificité chinoise me</w:t>
      </w:r>
      <w:r w:rsidRPr="00320A86">
        <w:t>n</w:t>
      </w:r>
      <w:r w:rsidRPr="00320A86">
        <w:t>tionnée a pu se déployer à fond. La doctrine la plus achevée n’entraîna-t-elle pas la pratique la plus négligée ?</w:t>
      </w:r>
    </w:p>
    <w:p w14:paraId="1DD10E53" w14:textId="77777777" w:rsidR="00B01930" w:rsidRPr="00320A86" w:rsidRDefault="00B01930" w:rsidP="00B01930">
      <w:pPr>
        <w:spacing w:before="120" w:after="120"/>
        <w:jc w:val="both"/>
      </w:pPr>
      <w:r w:rsidRPr="00320A86">
        <w:t>On trouve facilement des arguments à l’appui de ces hypothèses dans les e</w:t>
      </w:r>
      <w:r w:rsidRPr="00320A86">
        <w:t>s</w:t>
      </w:r>
      <w:r w:rsidRPr="00320A86">
        <w:t>sais et les notes d’époque.</w:t>
      </w:r>
    </w:p>
    <w:p w14:paraId="781F36B4" w14:textId="77777777" w:rsidR="00B01930" w:rsidRPr="00320A86" w:rsidRDefault="00B01930" w:rsidP="00B01930">
      <w:pPr>
        <w:spacing w:before="120" w:after="120"/>
        <w:jc w:val="both"/>
      </w:pPr>
      <w:r w:rsidRPr="00320A86">
        <w:t>Yuan Zhongdao, directeur du ministère des fonctionnaires des Ming, intelle</w:t>
      </w:r>
      <w:r w:rsidRPr="00320A86">
        <w:t>c</w:t>
      </w:r>
      <w:r w:rsidRPr="00320A86">
        <w:t>tuel de renom, nous a laissé un petit journal sur sa vie quotidienne entre 1608-1618, dans lequel on découvre un mode de vie raffinée, poétiquement hédoniste : avec des visites, des rencontres e</w:t>
      </w:r>
      <w:r w:rsidRPr="00320A86">
        <w:t>n</w:t>
      </w:r>
      <w:r w:rsidRPr="00320A86">
        <w:t>tre amis, des banquets, etc., et, a contrario, peu de méditation mét</w:t>
      </w:r>
      <w:r w:rsidRPr="00320A86">
        <w:t>a</w:t>
      </w:r>
      <w:r w:rsidRPr="00320A86">
        <w:t>physique ou morale. Quelques exemples de citations. « En sortant de la montagne, je prends un bateau. Des collines cachées dans la brume entrent dans mes yeux comme un tableau de Mi Fu ». « Le jeune ga</w:t>
      </w:r>
      <w:r w:rsidRPr="00320A86">
        <w:t>r</w:t>
      </w:r>
      <w:r w:rsidRPr="00320A86">
        <w:t>çon serveur veut balayer au crépuscule les fleurs tombées de la véra</w:t>
      </w:r>
      <w:r w:rsidRPr="00320A86">
        <w:t>n</w:t>
      </w:r>
      <w:r w:rsidRPr="00320A86">
        <w:t>da qui couvre la cour comme un tapis rouge. Je lui ai dit qu’il fallait faire sortir les feuilles jaunes au lieu de elles couleur violette ». « Je commence à boire dès le matin. Après plus de cent verres, je ne peux plus me tenir</w:t>
      </w:r>
      <w:r>
        <w:t> </w:t>
      </w:r>
      <w:r>
        <w:rPr>
          <w:rStyle w:val="Appelnotedebasdep"/>
        </w:rPr>
        <w:footnoteReference w:id="1704"/>
      </w:r>
      <w:r w:rsidRPr="00320A86">
        <w:t xml:space="preserve"> ». </w:t>
      </w:r>
    </w:p>
    <w:p w14:paraId="60828C34" w14:textId="77777777" w:rsidR="00B01930" w:rsidRPr="00320A86" w:rsidRDefault="00B01930" w:rsidP="00B01930">
      <w:pPr>
        <w:spacing w:before="120" w:after="120"/>
        <w:jc w:val="both"/>
      </w:pPr>
      <w:r w:rsidRPr="00320A86">
        <w:t xml:space="preserve">L’expression la plus connue de cette façon de vivre est peut-être celle de Zhang Dai dans son fameux </w:t>
      </w:r>
      <w:r w:rsidRPr="00270BCA">
        <w:rPr>
          <w:i/>
        </w:rPr>
        <w:t>Rêve au bord du Lac d’Ouest</w:t>
      </w:r>
      <w:r w:rsidRPr="00320A86">
        <w:t>. Nous lisons qu’« il neige depuis trois jours. Il n’y a aucune personne ou oiseau dans le lac. Je prends un manteau en plume et un fourreau, monte dans un petit bateau pour apprécier la neige dans le pavillon au centre du lac. Il y a le brouillard dans la nuit. Le ciel, le nuage, la montagne et le lac sont devenus tous blancs. Sur ce grand écran blanc, quelques traits foncés  la digue, le pavillon, le bateau, et deux perso</w:t>
      </w:r>
      <w:r w:rsidRPr="00320A86">
        <w:t>n</w:t>
      </w:r>
      <w:r w:rsidRPr="00320A86">
        <w:t>nes comme graine de moutarde</w:t>
      </w:r>
      <w:r>
        <w:t> </w:t>
      </w:r>
      <w:r>
        <w:rPr>
          <w:rStyle w:val="Appelnotedebasdep"/>
        </w:rPr>
        <w:footnoteReference w:id="1705"/>
      </w:r>
      <w:r w:rsidRPr="00320A86">
        <w:t> ».</w:t>
      </w:r>
    </w:p>
    <w:p w14:paraId="0B4987A0" w14:textId="77777777" w:rsidR="00B01930" w:rsidRPr="00320A86" w:rsidRDefault="00B01930" w:rsidP="00B01930">
      <w:pPr>
        <w:spacing w:before="120" w:after="120"/>
        <w:jc w:val="both"/>
      </w:pPr>
      <w:r w:rsidRPr="00320A86">
        <w:t>Ce mode de vie poétique représentait-il la réalité générale pour le commun des Chinois ? Certes, les choses varièrent selon les moyens et les préférences de chacun. Mais la poursuite d’une vie plus déte</w:t>
      </w:r>
      <w:r w:rsidRPr="00320A86">
        <w:t>n</w:t>
      </w:r>
      <w:r w:rsidRPr="00320A86">
        <w:t>due et plus raffinée fut une attit</w:t>
      </w:r>
      <w:r w:rsidRPr="00320A86">
        <w:t>u</w:t>
      </w:r>
      <w:r w:rsidRPr="00320A86">
        <w:t>de bien partagée dans la société. Les mandarins et les intellectuels suivirent eux aussi la mode au lieu de rester des marginaux. On lit dans la Contre-Histoire des Intellectuels (</w:t>
      </w:r>
      <w:r w:rsidRPr="00320A86">
        <w:rPr>
          <w:rFonts w:eastAsia="ヒラギノ明朝 ProN W3" w:cs="ヒラギノ明朝 ProN W3"/>
        </w:rPr>
        <w:t>儒林外史</w:t>
      </w:r>
      <w:r w:rsidRPr="00320A86">
        <w:t>) – texte descriptif célèbre – un paragraphe significatif : « Le soleil va se coucher. Deux vidangeurs prennent leur repos au pied des co</w:t>
      </w:r>
      <w:r w:rsidRPr="00320A86">
        <w:t>l</w:t>
      </w:r>
      <w:r w:rsidRPr="00320A86">
        <w:t>lines. L’un dit à l’autre en tapant sur son épaule : « C’en est fini pour a</w:t>
      </w:r>
      <w:r w:rsidRPr="00320A86">
        <w:t>u</w:t>
      </w:r>
      <w:r w:rsidRPr="00320A86">
        <w:t>jourd’hui. On va prendre un thé à la source Yongning, et on retourne sur le pl</w:t>
      </w:r>
      <w:r w:rsidRPr="00320A86">
        <w:t>a</w:t>
      </w:r>
      <w:r w:rsidRPr="00320A86">
        <w:t>teau Fleurs-en-Pluie pour regarder le nuage crépusculaire</w:t>
      </w:r>
      <w:r>
        <w:t> </w:t>
      </w:r>
      <w:r>
        <w:rPr>
          <w:rStyle w:val="Appelnotedebasdep"/>
        </w:rPr>
        <w:footnoteReference w:id="1706"/>
      </w:r>
      <w:r w:rsidRPr="00320A86">
        <w:t> »…</w:t>
      </w:r>
    </w:p>
    <w:p w14:paraId="1EE4CBB6" w14:textId="77777777" w:rsidR="00B01930" w:rsidRPr="00320A86" w:rsidRDefault="00B01930" w:rsidP="00B01930">
      <w:pPr>
        <w:spacing w:before="120" w:after="120"/>
        <w:jc w:val="both"/>
      </w:pPr>
      <w:r w:rsidRPr="00320A86">
        <w:t>Les Chinois portent une grande attention aux habits et aux jardins. Dans l’ouvrage « </w:t>
      </w:r>
      <w:r w:rsidRPr="00270BCA">
        <w:rPr>
          <w:i/>
        </w:rPr>
        <w:t>Sur le Jardin </w:t>
      </w:r>
      <w:r w:rsidRPr="00320A86">
        <w:t>» de Ji Cheng, de l’époque Ming, se révèle la première recherche systématique sur cet art. Ainsi, trouve-t-on soixante-deux formes di</w:t>
      </w:r>
      <w:r w:rsidRPr="00320A86">
        <w:t>f</w:t>
      </w:r>
      <w:r w:rsidRPr="00320A86">
        <w:t>férentes de fenêtres, correspondant aux diverses circonstances (un peu à la m</w:t>
      </w:r>
      <w:r w:rsidRPr="00320A86">
        <w:t>a</w:t>
      </w:r>
      <w:r w:rsidRPr="00320A86">
        <w:t>nière de la combinatoire du Yi King). Li Yu propose des idées talentueuses concernant les tentures de papier : on peut coller d’abord une couche de papier jaune foncé sur le mur, puis mettre des morceaux de papier vert et brillant au-dessus, tout en laissant des lézardes irrégulières pour que la couleur jaune surgisse : « le mur est couvert par ces traits comme des éclats de gl</w:t>
      </w:r>
      <w:r w:rsidRPr="00320A86">
        <w:t>a</w:t>
      </w:r>
      <w:r w:rsidRPr="00320A86">
        <w:t>ce, en resse</w:t>
      </w:r>
      <w:r w:rsidRPr="00320A86">
        <w:t>m</w:t>
      </w:r>
      <w:r w:rsidRPr="00320A86">
        <w:t>blance avec la porcelaine de Four G ». Ou encore, on dessine des pins et des fleurs sur les tentures, on plante un petit bâton en bronze dans un pin, et on fait reposer un perroquet sur le bâton. « Quand les invités arrivent et regardent la peinture sur le mur, le pe</w:t>
      </w:r>
      <w:r w:rsidRPr="00320A86">
        <w:t>r</w:t>
      </w:r>
      <w:r w:rsidRPr="00320A86">
        <w:t>roquet ouvre ses ailes. Cela étonnera et amusera tout le monde</w:t>
      </w:r>
      <w:r>
        <w:t> </w:t>
      </w:r>
      <w:r>
        <w:rPr>
          <w:rStyle w:val="Appelnotedebasdep"/>
        </w:rPr>
        <w:footnoteReference w:id="1707"/>
      </w:r>
      <w:r w:rsidRPr="00320A86">
        <w:t> »…</w:t>
      </w:r>
    </w:p>
    <w:p w14:paraId="4A67BCA4" w14:textId="77777777" w:rsidR="00B01930" w:rsidRPr="00320A86" w:rsidRDefault="00B01930" w:rsidP="00B01930">
      <w:pPr>
        <w:spacing w:before="120" w:after="120"/>
        <w:jc w:val="both"/>
      </w:pPr>
      <w:r w:rsidRPr="00320A86">
        <w:t>En général les habitants ordinaires n’ont pas de grands jardins. Alors comment peuvent-ils puissent se détendre ? L’ingénieuse sol</w:t>
      </w:r>
      <w:r w:rsidRPr="00320A86">
        <w:t>u</w:t>
      </w:r>
      <w:r w:rsidRPr="00320A86">
        <w:t>tion consiste à « emprunter le paysage », à savoir à introduire celui-ci dans les jardins. Mais comment faire ? Li Yu nous l’explique : par une simple technique. On fait fabr</w:t>
      </w:r>
      <w:r w:rsidRPr="00320A86">
        <w:t>i</w:t>
      </w:r>
      <w:r w:rsidRPr="00320A86">
        <w:t>quer des fenêtres de formes différentes sur le mur du jardin, et on met des cages d’oiseaux et des fleurs, la roche et les arbres en miniature à l’extérieur des fen</w:t>
      </w:r>
      <w:r w:rsidRPr="00320A86">
        <w:t>ê</w:t>
      </w:r>
      <w:r w:rsidRPr="00320A86">
        <w:t>tres. Résultat : il y a des dessins sur le mur dont les fenêtres sont les encadr</w:t>
      </w:r>
      <w:r w:rsidRPr="00320A86">
        <w:t>e</w:t>
      </w:r>
      <w:r w:rsidRPr="00320A86">
        <w:t>ments</w:t>
      </w:r>
      <w:r>
        <w:t> </w:t>
      </w:r>
      <w:r>
        <w:rPr>
          <w:rStyle w:val="Appelnotedebasdep"/>
        </w:rPr>
        <w:footnoteReference w:id="1708"/>
      </w:r>
      <w:r w:rsidRPr="00320A86">
        <w:t>. L’idée de Mao Pijiang est plus compliquée : dans la nuit où le chr</w:t>
      </w:r>
      <w:r w:rsidRPr="00320A86">
        <w:t>y</w:t>
      </w:r>
      <w:r w:rsidRPr="00320A86">
        <w:t>santhème est en pleine fleur, on peut mettre un fauteuil au milieu, l’entourer par des paravents en tissu, et allumer des bougies à l’extérieur.  Ainsi découvre-t-on à la fois le chrysanthème et son o</w:t>
      </w:r>
      <w:r w:rsidRPr="00320A86">
        <w:t>m</w:t>
      </w:r>
      <w:r w:rsidRPr="00320A86">
        <w:t>bre</w:t>
      </w:r>
      <w:r>
        <w:t> </w:t>
      </w:r>
      <w:r>
        <w:rPr>
          <w:rStyle w:val="Appelnotedebasdep"/>
        </w:rPr>
        <w:footnoteReference w:id="1709"/>
      </w:r>
      <w:r w:rsidRPr="00320A86">
        <w:t xml:space="preserve">. </w:t>
      </w:r>
    </w:p>
    <w:p w14:paraId="08BCA9E9" w14:textId="77777777" w:rsidR="00B01930" w:rsidRPr="00320A86" w:rsidRDefault="00B01930" w:rsidP="00B01930">
      <w:pPr>
        <w:spacing w:before="120" w:after="120"/>
        <w:jc w:val="both"/>
      </w:pPr>
      <w:r w:rsidRPr="00320A86">
        <w:t>La cuisine chinoise, quant à elle, est connue dans le monde entier et les Ch</w:t>
      </w:r>
      <w:r w:rsidRPr="00320A86">
        <w:t>i</w:t>
      </w:r>
      <w:r w:rsidRPr="00320A86">
        <w:t>nois en sont  très fiers. Cela étant, cette gastronomie ne vient pas forcément d’un niveau de vie plus élevé ou d’une qualité inco</w:t>
      </w:r>
      <w:r w:rsidRPr="00320A86">
        <w:t>m</w:t>
      </w:r>
      <w:r w:rsidRPr="00320A86">
        <w:t>parable des produits, mais parce que manger est une partie importante de la vie, voire même, son but. On cherche sans arrêt la perfection, la créativité et le raffinement culinaire, on goûte tous les produits poss</w:t>
      </w:r>
      <w:r w:rsidRPr="00320A86">
        <w:t>i</w:t>
      </w:r>
      <w:r w:rsidRPr="00320A86">
        <w:t>bles, sans tabou. Il n’y a pas de honte devant le Bouddha. Très so</w:t>
      </w:r>
      <w:r w:rsidRPr="00320A86">
        <w:t>u</w:t>
      </w:r>
      <w:r w:rsidRPr="00320A86">
        <w:t>vent, c’est dans les grands temples qu’on trouve la meilleure cuisine végét</w:t>
      </w:r>
      <w:r w:rsidRPr="00320A86">
        <w:t>a</w:t>
      </w:r>
      <w:r w:rsidRPr="00320A86">
        <w:t>rienne. En bref en Chine, la cuisine est devenue un art, une culture. Elle ne fait pas que remplir simplement l’estomac, et, contra</w:t>
      </w:r>
      <w:r w:rsidRPr="00320A86">
        <w:t>i</w:t>
      </w:r>
      <w:r w:rsidRPr="00320A86">
        <w:t>rement souvent à l’Occident, obsédé de façon culpabilisante par les régimes, elle reste à tous les niveaux de la société un art de mieux v</w:t>
      </w:r>
      <w:r w:rsidRPr="00320A86">
        <w:t>i</w:t>
      </w:r>
      <w:r w:rsidRPr="00320A86">
        <w:t>vre.</w:t>
      </w:r>
    </w:p>
    <w:p w14:paraId="48CF0A50" w14:textId="77777777" w:rsidR="00B01930" w:rsidRPr="00320A86" w:rsidRDefault="00B01930" w:rsidP="00B01930">
      <w:pPr>
        <w:spacing w:before="120" w:after="120"/>
        <w:jc w:val="both"/>
      </w:pPr>
      <w:r w:rsidRPr="00320A86">
        <w:t>Selon Li Yu, la pousse de bambou est un produit très délicat, de sorte qu’on doit la préparer toute seule en la trempant dans l’eau bouillie avec un peu de sauce de soja, afin de ne pas en détruire le goût. Si on veut la cuire avec de la viande,  alors il faut savoir qu’elle n’est pas compatible qu’avec le porc gras. Après la cuisson, on doit enlever le porc. Mais son jus est déjà absorbé par le bambou. Pour préparer le riz, il faut mettre une dose d’essence de fleurs dans un coin de la casserole. Résultat : le riz est parfumé. Or il n’y a que les esse</w:t>
      </w:r>
      <w:r w:rsidRPr="00320A86">
        <w:t>n</w:t>
      </w:r>
      <w:r w:rsidRPr="00320A86">
        <w:t>ces de rose, de cédrat ou d’osmanthe, qui peuvent être utilisées. Quant aux nouilles, il faut d’abord faire sécher le poulet, le poisson, les cr</w:t>
      </w:r>
      <w:r w:rsidRPr="00320A86">
        <w:t>e</w:t>
      </w:r>
      <w:r w:rsidRPr="00320A86">
        <w:t>vettes, la pousse de ba</w:t>
      </w:r>
      <w:r w:rsidRPr="00320A86">
        <w:t>m</w:t>
      </w:r>
      <w:r w:rsidRPr="00320A86">
        <w:t>bou, les champignons parfumés, les grains de sésame et de clavalier. Ensuite, on les réduit en poudre et on mélange avec de la farine de blé. La pâte est ainsi fa</w:t>
      </w:r>
      <w:r w:rsidRPr="00320A86">
        <w:t>i</w:t>
      </w:r>
      <w:r w:rsidRPr="00320A86">
        <w:t>te</w:t>
      </w:r>
      <w:r>
        <w:t> </w:t>
      </w:r>
      <w:r>
        <w:rPr>
          <w:rStyle w:val="Appelnotedebasdep"/>
        </w:rPr>
        <w:footnoteReference w:id="1710"/>
      </w:r>
      <w:r w:rsidRPr="00320A86">
        <w:t>.</w:t>
      </w:r>
    </w:p>
    <w:p w14:paraId="49CB8185" w14:textId="77777777" w:rsidR="00B01930" w:rsidRPr="00320A86" w:rsidRDefault="00B01930" w:rsidP="00B01930">
      <w:pPr>
        <w:spacing w:before="120" w:after="120"/>
        <w:jc w:val="both"/>
      </w:pPr>
      <w:r w:rsidRPr="00320A86">
        <w:t>La préparation de fromage de soja chez Mao Pijiang, est compl</w:t>
      </w:r>
      <w:r w:rsidRPr="00320A86">
        <w:t>i</w:t>
      </w:r>
      <w:r w:rsidRPr="00320A86">
        <w:t>quée : il faut le mettre d’abord dans le four, puis à la vapeur, et ainsi cinq fois de suite. Puis on pèle la surface devenue rigide, avant de fa</w:t>
      </w:r>
      <w:r w:rsidRPr="00320A86">
        <w:t>i</w:t>
      </w:r>
      <w:r w:rsidRPr="00320A86">
        <w:t>re sauter l’ensemble</w:t>
      </w:r>
      <w:r>
        <w:t> </w:t>
      </w:r>
      <w:r>
        <w:rPr>
          <w:rStyle w:val="Appelnotedebasdep"/>
        </w:rPr>
        <w:footnoteReference w:id="1711"/>
      </w:r>
      <w:r w:rsidRPr="00320A86">
        <w:t>.</w:t>
      </w:r>
    </w:p>
    <w:p w14:paraId="1F3498B8" w14:textId="77777777" w:rsidR="00B01930" w:rsidRPr="00320A86" w:rsidRDefault="00B01930" w:rsidP="00B01930">
      <w:pPr>
        <w:spacing w:before="120" w:after="120"/>
        <w:jc w:val="both"/>
      </w:pPr>
      <w:r w:rsidRPr="00320A86">
        <w:t>Les Chinois sont fort habiles à trouver des petits plaisirs dans la vie. Certains remplissent leurs lampes de petites bêtes lumineuses. « Il y a des lucioles dans les banlieues du nord de Pékin. Les gens locaux fabriquent des lampes en soie, et mettent des lucioles dedans. Les lampes sont de formes différentes : carrées, rondes, hexagonales, ou en forme de pagode ou de bateau</w:t>
      </w:r>
      <w:r>
        <w:t> </w:t>
      </w:r>
      <w:r>
        <w:rPr>
          <w:rStyle w:val="Appelnotedebasdep"/>
        </w:rPr>
        <w:footnoteReference w:id="1712"/>
      </w:r>
      <w:r w:rsidRPr="00320A86">
        <w:t> ». Les autres préfèrent les gri</w:t>
      </w:r>
      <w:r w:rsidRPr="00320A86">
        <w:t>l</w:t>
      </w:r>
      <w:r w:rsidRPr="00320A86">
        <w:t>lons. « À l’automne, tous les Pékinois élèvent des grillons chez eux. Ils les cherchent dans les champs, les élèvent dans des cages de matériaux diff</w:t>
      </w:r>
      <w:r w:rsidRPr="00320A86">
        <w:t>é</w:t>
      </w:r>
      <w:r w:rsidRPr="00320A86">
        <w:t>rents et les font combattre, pour jouer</w:t>
      </w:r>
      <w:r>
        <w:t> </w:t>
      </w:r>
      <w:r>
        <w:rPr>
          <w:rStyle w:val="Appelnotedebasdep"/>
        </w:rPr>
        <w:footnoteReference w:id="1713"/>
      </w:r>
      <w:r w:rsidRPr="00320A86">
        <w:t> ». Sans parler des concours de pigeons voyageurs, à Pékin même et entre les villes du pays. Dans le Nord de l’ancienne Chine, l’un des grands luxes était d’élever des criquets en l’hiver pour qu’ils puissent chanter sous les manteaux au Nouvel An chinois (certainement, ce luxe était-il par ai</w:t>
      </w:r>
      <w:r w:rsidRPr="00320A86">
        <w:t>l</w:t>
      </w:r>
      <w:r w:rsidRPr="00320A86">
        <w:t>leurs un vrai défi à la saison).</w:t>
      </w:r>
    </w:p>
    <w:p w14:paraId="3FD396AC" w14:textId="77777777" w:rsidR="00B01930" w:rsidRPr="00320A86" w:rsidRDefault="00B01930" w:rsidP="00B01930">
      <w:pPr>
        <w:spacing w:before="120" w:after="120"/>
        <w:jc w:val="both"/>
      </w:pPr>
      <w:r w:rsidRPr="00320A86">
        <w:t>Ce qu’il faut retenir de ces pratiques, c’est que, soit pour les perp</w:t>
      </w:r>
      <w:r w:rsidRPr="00320A86">
        <w:t>é</w:t>
      </w:r>
      <w:r w:rsidRPr="00320A86">
        <w:t>tuer et les rappeler, soit pour se défendre pour parer à toutes les crit</w:t>
      </w:r>
      <w:r w:rsidRPr="00320A86">
        <w:t>i</w:t>
      </w:r>
      <w:r w:rsidRPr="00320A86">
        <w:t>ques, soit pour amortir et adoucir les remords possibles, les Chinois ont transformé ces plaisirs en inst</w:t>
      </w:r>
      <w:r w:rsidRPr="00320A86">
        <w:t>i</w:t>
      </w:r>
      <w:r w:rsidRPr="00320A86">
        <w:t>tutions, et même en mœurs répétées dans la longue duré : dans un pays où le respect de la tradition est une vertu, cette transformation a eu pour effet de légaliser les désirs inve</w:t>
      </w:r>
      <w:r w:rsidRPr="00320A86">
        <w:t>s</w:t>
      </w:r>
      <w:r w:rsidRPr="00320A86">
        <w:t>tis en totale liberté.</w:t>
      </w:r>
    </w:p>
    <w:p w14:paraId="3348176E" w14:textId="77777777" w:rsidR="00B01930" w:rsidRPr="00320A86" w:rsidRDefault="00B01930" w:rsidP="00B01930">
      <w:pPr>
        <w:spacing w:before="120" w:after="120"/>
        <w:jc w:val="both"/>
      </w:pPr>
      <w:r w:rsidRPr="00320A86">
        <w:t>Prenons l’exemple de la région pékinoise. Un habitant moyen b</w:t>
      </w:r>
      <w:r w:rsidRPr="00320A86">
        <w:t>é</w:t>
      </w:r>
      <w:r w:rsidRPr="00320A86">
        <w:t>néficie de fêtes assez nombreuses pendant toute l’année, aux activités très variées. La série commence par la fête de Nouvel An chinois – qui dure en fait un mois – coïnc</w:t>
      </w:r>
      <w:r w:rsidRPr="00320A86">
        <w:t>i</w:t>
      </w:r>
      <w:r w:rsidRPr="00320A86">
        <w:t>dant avec à la Fête des lanternes du 15 janvier, liée au calendrier lunaire. En général, les gens ne travai</w:t>
      </w:r>
      <w:r w:rsidRPr="00320A86">
        <w:t>l</w:t>
      </w:r>
      <w:r w:rsidRPr="00320A86">
        <w:t>lent donc pas en janvier. Ils se rendent visite, vont à l’Opéra de Pékin, jouent au Mahjong, et surtout, ils mangent : la Fête des lante</w:t>
      </w:r>
      <w:r w:rsidRPr="00320A86">
        <w:t>r</w:t>
      </w:r>
      <w:r w:rsidRPr="00320A86">
        <w:t>nes est connue par son nom populaire – celle des boulettes de riz gluantes. Quelques jours après, le 2 février, « le Dragon lève sa tête ». On ma</w:t>
      </w:r>
      <w:r w:rsidRPr="00320A86">
        <w:t>n</w:t>
      </w:r>
      <w:r w:rsidRPr="00320A86">
        <w:t>ge des cr</w:t>
      </w:r>
      <w:r w:rsidRPr="00320A86">
        <w:t>ê</w:t>
      </w:r>
      <w:r w:rsidRPr="00320A86">
        <w:t>pes enveloppant des pousses de soja, des vermicelles de riz, des ciboules chino</w:t>
      </w:r>
      <w:r w:rsidRPr="00320A86">
        <w:t>i</w:t>
      </w:r>
      <w:r w:rsidRPr="00320A86">
        <w:t>ses, des œufs, et surtout du jambon parfumé de la fameuse charcuterie « au bonheur céleste » (qui existe toujours a</w:t>
      </w:r>
      <w:r w:rsidRPr="00320A86">
        <w:t>u</w:t>
      </w:r>
      <w:r w:rsidRPr="00320A86">
        <w:t>jourd’hui). À l’arrivée du printemps, ils v</w:t>
      </w:r>
      <w:r w:rsidRPr="00320A86">
        <w:t>i</w:t>
      </w:r>
      <w:r w:rsidRPr="00320A86">
        <w:t>sitent les Deux Vannes avec la famille pour observer le dégel du fossé du re</w:t>
      </w:r>
      <w:r w:rsidRPr="00320A86">
        <w:t>m</w:t>
      </w:r>
      <w:r w:rsidRPr="00320A86">
        <w:t>part. Plus tard, c’est le moment d’apprécier les fleurs. Pour les gens « sophistiqués », il faut visiter le Temple Chongxiao des pivoines et le Temple Fayuan des lilas. Le 5 mai est la fête Duanwu où on mange le Zongzi, sorte de gâteau de riz collant enveloppé d’une feuille de roseau, pour mémor</w:t>
      </w:r>
      <w:r w:rsidRPr="00320A86">
        <w:t>i</w:t>
      </w:r>
      <w:r w:rsidRPr="00320A86">
        <w:t>ser  en so</w:t>
      </w:r>
      <w:r w:rsidRPr="00320A86">
        <w:t>u</w:t>
      </w:r>
      <w:r w:rsidRPr="00320A86">
        <w:t>venir de Qu Yuan, homme politique et poète du IV</w:t>
      </w:r>
      <w:r w:rsidRPr="00320A86">
        <w:rPr>
          <w:vertAlign w:val="superscript"/>
        </w:rPr>
        <w:t>e</w:t>
      </w:r>
      <w:r w:rsidRPr="00320A86">
        <w:t xml:space="preserve"> siècle avant J.-C. Pendant l’été, le lac des Dix Temples est le centre de tous les loisirs. Les gens se rep</w:t>
      </w:r>
      <w:r w:rsidRPr="00320A86">
        <w:t>o</w:t>
      </w:r>
      <w:r w:rsidRPr="00320A86">
        <w:t>sent là toute la journée à l’ombre de saules pleureurs et à côté des lotus. Le 15 août, c’est la Fête de la Lune : il y a une cérémonie, notamment pour les femmes et tout le monde dégu</w:t>
      </w:r>
      <w:r w:rsidRPr="00320A86">
        <w:t>s</w:t>
      </w:r>
      <w:r w:rsidRPr="00320A86">
        <w:t>te le gâteau de lune. Le 9 septembre, les gens montent aux collines ou visitent le Pavillon Taoran dans la banlieue sud. Et il ne faut pas o</w:t>
      </w:r>
      <w:r w:rsidRPr="00320A86">
        <w:t>u</w:t>
      </w:r>
      <w:r w:rsidRPr="00320A86">
        <w:t>blier la grande fête de l’hiver le 22 décembre. Il ne s’agit ici que des grandes fêtes. Entre temps, il y en a beaucoup de petites. Selon les statistiques de Liu Tong et  de Yu Yizheng à l’époque des Min</w:t>
      </w:r>
      <w:r>
        <w:t> </w:t>
      </w:r>
      <w:r>
        <w:rPr>
          <w:rStyle w:val="Appelnotedebasdep"/>
        </w:rPr>
        <w:footnoteReference w:id="1714"/>
      </w:r>
      <w:r w:rsidRPr="00320A86">
        <w:t>, comme de Pan Rongsheng du temps à l’époque des Qing</w:t>
      </w:r>
      <w:r>
        <w:t> </w:t>
      </w:r>
      <w:r>
        <w:rPr>
          <w:rStyle w:val="Appelnotedebasdep"/>
        </w:rPr>
        <w:footnoteReference w:id="1715"/>
      </w:r>
      <w:r w:rsidRPr="00320A86">
        <w:t>, les Pék</w:t>
      </w:r>
      <w:r w:rsidRPr="00320A86">
        <w:t>i</w:t>
      </w:r>
      <w:r w:rsidRPr="00320A86">
        <w:t>nois disposaient d’environ cinquante jours fériés par an à la fin de la dynastie Ming. Ce chiffre fut augmenté à soixante jours au milieu de l’époque des Qing. À chaque fête correspondaient des cér</w:t>
      </w:r>
      <w:r w:rsidRPr="00320A86">
        <w:t>é</w:t>
      </w:r>
      <w:r w:rsidRPr="00320A86">
        <w:t>monies et des activités précises (y compris pour la cuisine de plats spéciaux) a</w:t>
      </w:r>
      <w:r w:rsidRPr="00320A86">
        <w:t>c</w:t>
      </w:r>
      <w:r w:rsidRPr="00320A86">
        <w:t>compagnées de sorties dans la nature ou dans la ville.</w:t>
      </w:r>
    </w:p>
    <w:p w14:paraId="6FB7B3B8" w14:textId="77777777" w:rsidR="00B01930" w:rsidRPr="00320A86" w:rsidRDefault="00B01930" w:rsidP="00B01930">
      <w:pPr>
        <w:spacing w:before="120" w:after="120"/>
        <w:jc w:val="both"/>
      </w:pPr>
      <w:r w:rsidRPr="00320A86">
        <w:t>C’est ainsi que l’existence d’une liberté réelle, enracinée dans la vie quod</w:t>
      </w:r>
      <w:r w:rsidRPr="00320A86">
        <w:t>i</w:t>
      </w:r>
      <w:r w:rsidRPr="00320A86">
        <w:t>tienne, transformée en état d’esprit et en mode de vie, resta un pilier fondame</w:t>
      </w:r>
      <w:r w:rsidRPr="00320A86">
        <w:t>n</w:t>
      </w:r>
      <w:r w:rsidRPr="00320A86">
        <w:t>tal de la vie de toutes les couches de la société.</w:t>
      </w:r>
    </w:p>
    <w:p w14:paraId="75769519" w14:textId="77777777" w:rsidR="00B01930" w:rsidRPr="00320A86" w:rsidRDefault="00B01930" w:rsidP="00B01930">
      <w:pPr>
        <w:spacing w:before="120" w:after="120"/>
        <w:jc w:val="both"/>
      </w:pPr>
      <w:r w:rsidRPr="00320A86">
        <w:t>Nous pouvons déjà imaginer les critiques formulables ici : ces m</w:t>
      </w:r>
      <w:r w:rsidRPr="00320A86">
        <w:t>o</w:t>
      </w:r>
      <w:r w:rsidRPr="00320A86">
        <w:t>des de vie ne constituent-ils pas une idéalisation de la vie du peuple sous l’Ancien Régime chinois ? D’autant que nous n’avons pas de documents enregistrant les terribles famines lors de certaines périodes, ou des photos montrant une pauvreté impre</w:t>
      </w:r>
      <w:r w:rsidRPr="00320A86">
        <w:t>s</w:t>
      </w:r>
      <w:r w:rsidRPr="00320A86">
        <w:t>sionnante…</w:t>
      </w:r>
    </w:p>
    <w:p w14:paraId="6142D8A4" w14:textId="77777777" w:rsidR="00B01930" w:rsidRPr="00320A86" w:rsidRDefault="00B01930" w:rsidP="00B01930">
      <w:pPr>
        <w:spacing w:before="120" w:after="120"/>
        <w:jc w:val="both"/>
      </w:pPr>
      <w:r w:rsidRPr="00320A86">
        <w:t>Certes, dans la société antique, la richesse ne fut pas si abondante qu’aujourd’hui, et les habitants des villes comme des campagnes, e</w:t>
      </w:r>
      <w:r w:rsidRPr="00320A86">
        <w:t>n</w:t>
      </w:r>
      <w:r w:rsidRPr="00320A86">
        <w:t>core plus pauvres, avaient plus de difficultés à résister face aux cal</w:t>
      </w:r>
      <w:r w:rsidRPr="00320A86">
        <w:t>a</w:t>
      </w:r>
      <w:r w:rsidRPr="00320A86">
        <w:t>mités naturelles. Mais, d’une part, ces dernières ne furent quand m</w:t>
      </w:r>
      <w:r w:rsidRPr="00320A86">
        <w:t>ê</w:t>
      </w:r>
      <w:r w:rsidRPr="00320A86">
        <w:t>me pas un phénomène permanent et généralisé ; d’autre part, quand la photographie est introduite en Chine, la Dynastie des Qing était ach</w:t>
      </w:r>
      <w:r w:rsidRPr="00320A86">
        <w:t>e</w:t>
      </w:r>
      <w:r w:rsidRPr="00320A86">
        <w:t>vée. Entre la fin d’un régime et son apogée, il existe toujours un écart. On peut dire de la constatation précédente qu’elle concernait la vie quotidienne des classes moyennes, au sens large du terme, dans des temps ordinaires. On doit avoir présent à l’esprit cet aspect de la que</w:t>
      </w:r>
      <w:r w:rsidRPr="00320A86">
        <w:t>s</w:t>
      </w:r>
      <w:r w:rsidRPr="00320A86">
        <w:t>tion, car on pense souvent que la vie raffinée n’était réservée qu’aux riches. Nous avons voulu montrer le caractère spécifique du quotidien dans l’ancienne Chine, qui révèle la recherche et le culte d’une vie agréable et raffinée, état d’esprit partagé ou imité par l’ensemble du peuple chinois, au-delà des différences de classes sociales. À ce pr</w:t>
      </w:r>
      <w:r w:rsidRPr="00320A86">
        <w:t>o</w:t>
      </w:r>
      <w:r w:rsidRPr="00320A86">
        <w:t>pos l’attitude l’emportait sur la richesse</w:t>
      </w:r>
      <w:r>
        <w:t> </w:t>
      </w:r>
      <w:r w:rsidRPr="00320A86">
        <w:t>: on rencontre partout des pauvres joyeux et des riches ayant des soucis. Comme le que signale par Li Yu : « Certains pensent qu’il est difficile d’avoir une vie raff</w:t>
      </w:r>
      <w:r w:rsidRPr="00320A86">
        <w:t>i</w:t>
      </w:r>
      <w:r w:rsidRPr="00320A86">
        <w:t>née, sauf quand on en possède les moyens. Mais c’est une chance rare. Je voix les choses autrement : fabriquer un bonhomme de neige, ou un cheval de bambou, c’est le jeu des ga</w:t>
      </w:r>
      <w:r w:rsidRPr="00320A86">
        <w:t>r</w:t>
      </w:r>
      <w:r w:rsidRPr="00320A86">
        <w:t>çons. Cela leur apporte de la joie, mais ne coûte rien. Les garçons deviennent heureux sans rien d</w:t>
      </w:r>
      <w:r w:rsidRPr="00320A86">
        <w:t>é</w:t>
      </w:r>
      <w:r w:rsidRPr="00320A86">
        <w:t>penser</w:t>
      </w:r>
      <w:r>
        <w:t> </w:t>
      </w:r>
      <w:r>
        <w:rPr>
          <w:rStyle w:val="Appelnotedebasdep"/>
        </w:rPr>
        <w:footnoteReference w:id="1716"/>
      </w:r>
      <w:r w:rsidRPr="00320A86">
        <w:t> !  ». Il est vrai que Li Yu et Mao Pijiang sortaient de gra</w:t>
      </w:r>
      <w:r w:rsidRPr="00320A86">
        <w:t>n</w:t>
      </w:r>
      <w:r w:rsidRPr="00320A86">
        <w:t>des familles… Cependant, reconnaissons leur imagination raffinée et non l’étalage d’un grand luxe. ShenFu, jeune intellectuel pauvre du milieu de l’ère des Qing, connu par ses Six livres d’une vie éphémère (</w:t>
      </w:r>
      <w:r w:rsidRPr="00320A86">
        <w:rPr>
          <w:rFonts w:eastAsia="ヒラギノ明朝 ProN W3" w:cs="ヒラギノ明朝 ProN W3"/>
        </w:rPr>
        <w:t>浮生六</w:t>
      </w:r>
      <w:r w:rsidRPr="00320A86">
        <w:rPr>
          <w:rFonts w:cs="SONGTI SC BLACK"/>
        </w:rPr>
        <w:t>记</w:t>
      </w:r>
      <w:r w:rsidRPr="00320A86">
        <w:t>), parvint à la même conclusion, grâce à sa sage épouse qui savait naturellement découvrir et cultiver le bonheur dans la vie. Ce n’est pas que les Chinois des Ming ou des Qing étaient plus riches que les Occidentaux, mais ils jouissaient d’une vie agréable, car ils étaient entre eux souvent plus ouverts et plus libéraux, qu’on le croit ou qu’on le pense.</w:t>
      </w:r>
    </w:p>
    <w:p w14:paraId="5C7DEF75" w14:textId="77777777" w:rsidR="00B01930" w:rsidRPr="00320A86" w:rsidRDefault="00B01930" w:rsidP="00B01930">
      <w:pPr>
        <w:spacing w:before="120" w:after="120"/>
        <w:jc w:val="both"/>
      </w:pPr>
      <w:r w:rsidRPr="00320A86">
        <w:t>Selon l’éthique puritaine, ce mode de vie pourrait apparaître imm</w:t>
      </w:r>
      <w:r w:rsidRPr="00320A86">
        <w:t>o</w:t>
      </w:r>
      <w:r w:rsidRPr="00320A86">
        <w:t>ral ou pe</w:t>
      </w:r>
      <w:r w:rsidRPr="00320A86">
        <w:t>r</w:t>
      </w:r>
      <w:r w:rsidRPr="00320A86">
        <w:t>verti, sans recherche de spiritualité. Une telle appréciation serait contraire à la vérité. Face à cet amour de la quête du bonheur sur terre et d’une vie joyeuse, la vision laïque confucéenne, bouddhi</w:t>
      </w:r>
      <w:r w:rsidRPr="00320A86">
        <w:t>s</w:t>
      </w:r>
      <w:r w:rsidRPr="00320A86">
        <w:t>te et/ou taôiste pilotant comme un immense programme de vie colle</w:t>
      </w:r>
      <w:r w:rsidRPr="00320A86">
        <w:t>c</w:t>
      </w:r>
      <w:r w:rsidRPr="00320A86">
        <w:t>tif relativiste, humaniste, tel que Jean-Louis Martres, amoureux de la vieille Chine, a tenté de la définir dans son « code n° 2 » de la grille de la pensée politique, ne fut possible que dans le contexte d’une grande liberté à l’œuvre dans la société civile, loin des soucis du po</w:t>
      </w:r>
      <w:r w:rsidRPr="00320A86">
        <w:t>u</w:t>
      </w:r>
      <w:r w:rsidRPr="00320A86">
        <w:t>voir d’un seul, e</w:t>
      </w:r>
      <w:r w:rsidRPr="00320A86">
        <w:t>n</w:t>
      </w:r>
      <w:r w:rsidRPr="00320A86">
        <w:t>fermé dans sa « Cité interdite », prétendument au-dessus des hommes. Avec cette liberté enracinée dans la vie quot</w:t>
      </w:r>
      <w:r w:rsidRPr="00320A86">
        <w:t>i</w:t>
      </w:r>
      <w:r w:rsidRPr="00320A86">
        <w:t>dienne, le régime politique, soi-disant de</w:t>
      </w:r>
      <w:r w:rsidRPr="00320A86">
        <w:t>s</w:t>
      </w:r>
      <w:r w:rsidRPr="00320A86">
        <w:t>potique, ne pouvait dominer toute la réalité.</w:t>
      </w:r>
    </w:p>
    <w:p w14:paraId="66583A36" w14:textId="77777777" w:rsidR="00B01930" w:rsidRDefault="00B01930">
      <w:pPr>
        <w:jc w:val="both"/>
        <w:rPr>
          <w:b/>
          <w:color w:val="008000"/>
          <w:sz w:val="32"/>
        </w:rPr>
      </w:pPr>
      <w:r>
        <w:rPr>
          <w:b/>
          <w:color w:val="008000"/>
          <w:sz w:val="32"/>
        </w:rPr>
        <w:br w:type="page"/>
      </w:r>
    </w:p>
    <w:p w14:paraId="61BE1A3C" w14:textId="77777777" w:rsidR="00B01930" w:rsidRDefault="00B01930">
      <w:pPr>
        <w:jc w:val="both"/>
        <w:rPr>
          <w:b/>
          <w:color w:val="008000"/>
          <w:sz w:val="32"/>
        </w:rPr>
      </w:pPr>
    </w:p>
    <w:p w14:paraId="550149DC" w14:textId="77777777" w:rsidR="00B01930" w:rsidRDefault="00B01930" w:rsidP="00B01930">
      <w:pPr>
        <w:jc w:val="both"/>
        <w:rPr>
          <w:b/>
          <w:color w:val="000080"/>
        </w:rPr>
      </w:pPr>
    </w:p>
    <w:p w14:paraId="2D7B6380" w14:textId="77777777" w:rsidR="00B01930" w:rsidRPr="009D4882" w:rsidRDefault="00B01930" w:rsidP="00B01930">
      <w:pPr>
        <w:spacing w:after="120"/>
        <w:ind w:firstLine="0"/>
        <w:jc w:val="center"/>
        <w:rPr>
          <w:b/>
          <w:color w:val="000080"/>
        </w:rPr>
      </w:pPr>
      <w:bookmarkStart w:id="244" w:name="Analyser_idees_pol_pt_4_texte_18"/>
      <w:r>
        <w:rPr>
          <w:b/>
          <w:color w:val="000080"/>
        </w:rPr>
        <w:t>Quatrième</w:t>
      </w:r>
      <w:r w:rsidRPr="009D4882">
        <w:rPr>
          <w:b/>
          <w:color w:val="000080"/>
        </w:rPr>
        <w:t xml:space="preserve"> partie</w:t>
      </w:r>
      <w:r w:rsidRPr="009D4882">
        <w:rPr>
          <w:b/>
          <w:color w:val="000080"/>
        </w:rPr>
        <w:br/>
      </w:r>
      <w:r>
        <w:rPr>
          <w:i/>
          <w:color w:val="000080"/>
        </w:rPr>
        <w:t>De quelques idées «internationales»</w:t>
      </w:r>
    </w:p>
    <w:p w14:paraId="71A4F286" w14:textId="77777777" w:rsidR="00B01930" w:rsidRDefault="00B01930" w:rsidP="00B01930">
      <w:pPr>
        <w:pStyle w:val="Titreniveau1"/>
      </w:pPr>
      <w:r>
        <w:t>18</w:t>
      </w:r>
    </w:p>
    <w:p w14:paraId="5FF8F464" w14:textId="77777777" w:rsidR="00B01930" w:rsidRDefault="00B01930" w:rsidP="00B01930">
      <w:pPr>
        <w:pStyle w:val="Titreniveau2"/>
      </w:pPr>
      <w:r>
        <w:t>“Le Charisme.</w:t>
      </w:r>
    </w:p>
    <w:p w14:paraId="6CC487F4" w14:textId="77777777" w:rsidR="00B01930" w:rsidRPr="00843F3E" w:rsidRDefault="00B01930" w:rsidP="00B01930">
      <w:pPr>
        <w:pStyle w:val="Titreniveau2"/>
      </w:pPr>
      <w:r>
        <w:t>Sur un article d’Edward Shills”</w:t>
      </w:r>
    </w:p>
    <w:bookmarkEnd w:id="244"/>
    <w:p w14:paraId="4AA07D7F" w14:textId="77777777" w:rsidR="00B01930" w:rsidRDefault="00B01930" w:rsidP="00B01930">
      <w:pPr>
        <w:jc w:val="both"/>
        <w:rPr>
          <w:szCs w:val="36"/>
        </w:rPr>
      </w:pPr>
    </w:p>
    <w:p w14:paraId="09FB53AC" w14:textId="77777777" w:rsidR="00B01930" w:rsidRDefault="00B01930" w:rsidP="00B01930">
      <w:pPr>
        <w:jc w:val="both"/>
      </w:pPr>
    </w:p>
    <w:p w14:paraId="09C59B7E" w14:textId="77777777" w:rsidR="00B01930" w:rsidRDefault="00B01930" w:rsidP="00B01930">
      <w:pPr>
        <w:pStyle w:val="suite"/>
      </w:pPr>
      <w:r>
        <w:t>Michel Louis MARTIN</w:t>
      </w:r>
    </w:p>
    <w:p w14:paraId="7CEAF87A" w14:textId="77777777" w:rsidR="00B01930" w:rsidRDefault="00B01930" w:rsidP="00B01930">
      <w:pPr>
        <w:jc w:val="both"/>
      </w:pPr>
    </w:p>
    <w:p w14:paraId="5D4B5A01" w14:textId="77777777" w:rsidR="00B01930" w:rsidRDefault="00B01930" w:rsidP="00B01930">
      <w:pPr>
        <w:jc w:val="both"/>
      </w:pPr>
    </w:p>
    <w:p w14:paraId="2EC8B19B" w14:textId="77777777" w:rsidR="00B01930" w:rsidRDefault="00B01930" w:rsidP="00B01930">
      <w:pPr>
        <w:ind w:firstLine="0"/>
        <w:jc w:val="both"/>
        <w:rPr>
          <w:sz w:val="20"/>
        </w:rPr>
      </w:pPr>
      <w:hyperlink w:anchor="tdm" w:history="1">
        <w:r>
          <w:rPr>
            <w:rStyle w:val="Hyperlien"/>
            <w:sz w:val="20"/>
          </w:rPr>
          <w:t>Retour à la table des matières</w:t>
        </w:r>
      </w:hyperlink>
    </w:p>
    <w:p w14:paraId="64524798" w14:textId="77777777" w:rsidR="00B01930" w:rsidRPr="00B04004" w:rsidRDefault="00B01930" w:rsidP="00B01930">
      <w:pPr>
        <w:autoSpaceDE w:val="0"/>
        <w:autoSpaceDN w:val="0"/>
        <w:adjustRightInd w:val="0"/>
        <w:spacing w:before="120" w:after="120"/>
        <w:jc w:val="both"/>
        <w:rPr>
          <w:rStyle w:val="mw-headline"/>
        </w:rPr>
      </w:pPr>
      <w:r w:rsidRPr="00740C29">
        <w:rPr>
          <w:rStyle w:val="mw-headline"/>
        </w:rPr>
        <w:t>Peu de concepts en science sociale, du moins parmi les plus déte</w:t>
      </w:r>
      <w:r w:rsidRPr="00740C29">
        <w:rPr>
          <w:rStyle w:val="mw-headline"/>
        </w:rPr>
        <w:t>r</w:t>
      </w:r>
      <w:r w:rsidRPr="00740C29">
        <w:rPr>
          <w:rStyle w:val="mw-headline"/>
        </w:rPr>
        <w:t>minants et les plus discutés, se révèlent de prime abord aussi peu sa</w:t>
      </w:r>
      <w:r w:rsidRPr="00740C29">
        <w:rPr>
          <w:rStyle w:val="mw-headline"/>
        </w:rPr>
        <w:t>i</w:t>
      </w:r>
      <w:r w:rsidRPr="00740C29">
        <w:rPr>
          <w:rStyle w:val="mw-headline"/>
        </w:rPr>
        <w:t>sissables, aussi peu opératoires même, que celui de charisme au point que l’idée de déclarer un m</w:t>
      </w:r>
      <w:r w:rsidRPr="00740C29">
        <w:rPr>
          <w:rStyle w:val="mw-headline"/>
        </w:rPr>
        <w:t>o</w:t>
      </w:r>
      <w:r w:rsidRPr="00740C29">
        <w:rPr>
          <w:rStyle w:val="mw-headline"/>
        </w:rPr>
        <w:t>ratoire sur les usages du terme a pu être évoquée </w:t>
      </w:r>
      <w:r w:rsidRPr="008D1183">
        <w:rPr>
          <w:rStyle w:val="Appelnotedebasdep"/>
        </w:rPr>
        <w:footnoteReference w:id="1717"/>
      </w:r>
      <w:r w:rsidRPr="00740C29">
        <w:rPr>
          <w:rStyle w:val="mw-headline"/>
        </w:rPr>
        <w:t>. L’utilisation qui en est généralement faite dans le di</w:t>
      </w:r>
      <w:r w:rsidRPr="00740C29">
        <w:rPr>
          <w:rStyle w:val="mw-headline"/>
        </w:rPr>
        <w:t>s</w:t>
      </w:r>
      <w:r w:rsidRPr="00740C29">
        <w:rPr>
          <w:rStyle w:val="mw-headline"/>
        </w:rPr>
        <w:t xml:space="preserve">cours quotidien est en cause </w:t>
      </w:r>
      <w:r w:rsidRPr="00B04004">
        <w:rPr>
          <w:rStyle w:val="mw-headline"/>
        </w:rPr>
        <w:t>en ce qu’elle contribue à évacuer sa « spécificité distinctive » et à situer charisme et popularité sur un m</w:t>
      </w:r>
      <w:r w:rsidRPr="00B04004">
        <w:rPr>
          <w:rStyle w:val="mw-headline"/>
        </w:rPr>
        <w:t>ê</w:t>
      </w:r>
      <w:r w:rsidRPr="00B04004">
        <w:rPr>
          <w:rStyle w:val="mw-headline"/>
        </w:rPr>
        <w:t>me plan. Le discours scientifique, quant à lui, donne souvent dans ce travers comme en témoignent de nombreux écrits relatifs au leader</w:t>
      </w:r>
      <w:r w:rsidRPr="00B04004">
        <w:rPr>
          <w:rStyle w:val="mw-headline"/>
        </w:rPr>
        <w:t>s</w:t>
      </w:r>
      <w:r w:rsidRPr="00B04004">
        <w:rPr>
          <w:rStyle w:val="mw-headline"/>
        </w:rPr>
        <w:t>hip dans le Tiers-Monde notamment</w:t>
      </w:r>
      <w:r>
        <w:rPr>
          <w:rStyle w:val="mw-headline"/>
        </w:rPr>
        <w:t> </w:t>
      </w:r>
      <w:r>
        <w:rPr>
          <w:rStyle w:val="Appelnotedebasdep"/>
        </w:rPr>
        <w:footnoteReference w:id="1718"/>
      </w:r>
      <w:r w:rsidRPr="00B04004">
        <w:rPr>
          <w:rStyle w:val="mw-headline"/>
        </w:rPr>
        <w:t>. Et lorsque la réflexion pr</w:t>
      </w:r>
      <w:r w:rsidRPr="00B04004">
        <w:rPr>
          <w:rStyle w:val="mw-headline"/>
        </w:rPr>
        <w:t>é</w:t>
      </w:r>
      <w:r w:rsidRPr="00B04004">
        <w:rPr>
          <w:rStyle w:val="mw-headline"/>
        </w:rPr>
        <w:t>tend au contraire faire de cette notion un usage restrictif elle en réduit considérablement l’utilité. Certains auteurs la cantonnent ainsi au d</w:t>
      </w:r>
      <w:r w:rsidRPr="00B04004">
        <w:rPr>
          <w:rStyle w:val="mw-headline"/>
        </w:rPr>
        <w:t>o</w:t>
      </w:r>
      <w:r w:rsidRPr="00B04004">
        <w:rPr>
          <w:rStyle w:val="mw-headline"/>
        </w:rPr>
        <w:t>maine du religieux et, par voie de conséquence, dans un cadre histor</w:t>
      </w:r>
      <w:r w:rsidRPr="00B04004">
        <w:rPr>
          <w:rStyle w:val="mw-headline"/>
        </w:rPr>
        <w:t>i</w:t>
      </w:r>
      <w:r w:rsidRPr="00B04004">
        <w:rPr>
          <w:rStyle w:val="mw-headline"/>
        </w:rPr>
        <w:t>que ancien</w:t>
      </w:r>
      <w:r>
        <w:rPr>
          <w:rStyle w:val="mw-headline"/>
        </w:rPr>
        <w:t> </w:t>
      </w:r>
      <w:r>
        <w:rPr>
          <w:rStyle w:val="Appelnotedebasdep"/>
        </w:rPr>
        <w:footnoteReference w:id="1719"/>
      </w:r>
      <w:r w:rsidRPr="00B04004">
        <w:rPr>
          <w:rStyle w:val="mw-headline"/>
        </w:rPr>
        <w:t>, d’autres la situent dans une perspective ps</w:t>
      </w:r>
      <w:r w:rsidRPr="00B04004">
        <w:rPr>
          <w:rStyle w:val="mw-headline"/>
        </w:rPr>
        <w:t>y</w:t>
      </w:r>
      <w:r w:rsidRPr="00B04004">
        <w:rPr>
          <w:rStyle w:val="mw-headline"/>
        </w:rPr>
        <w:t>cho­pathologique privilégiant le caractère déviant de la personnalité charismat</w:t>
      </w:r>
      <w:r w:rsidRPr="00B04004">
        <w:rPr>
          <w:rStyle w:val="mw-headline"/>
        </w:rPr>
        <w:t>i</w:t>
      </w:r>
      <w:r w:rsidRPr="00B04004">
        <w:rPr>
          <w:rStyle w:val="mw-headline"/>
        </w:rPr>
        <w:t>que ou la nature anomique de l’environnement dans lequel elle s’épanouit</w:t>
      </w:r>
      <w:r>
        <w:rPr>
          <w:rStyle w:val="mw-headline"/>
        </w:rPr>
        <w:t> </w:t>
      </w:r>
      <w:r>
        <w:rPr>
          <w:rStyle w:val="Appelnotedebasdep"/>
        </w:rPr>
        <w:footnoteReference w:id="1720"/>
      </w:r>
      <w:r w:rsidRPr="00B04004">
        <w:rPr>
          <w:rStyle w:val="Appelnotedebasdep"/>
          <w:position w:val="0"/>
        </w:rPr>
        <w:t xml:space="preserve"> </w:t>
      </w:r>
      <w:r w:rsidRPr="00B04004">
        <w:rPr>
          <w:rStyle w:val="mw-headline"/>
        </w:rPr>
        <w:t>.</w:t>
      </w:r>
    </w:p>
    <w:p w14:paraId="43918C94" w14:textId="77777777" w:rsidR="00B01930" w:rsidRPr="00B04004" w:rsidRDefault="00B01930" w:rsidP="00B01930">
      <w:pPr>
        <w:autoSpaceDE w:val="0"/>
        <w:autoSpaceDN w:val="0"/>
        <w:adjustRightInd w:val="0"/>
        <w:spacing w:before="120" w:after="120"/>
        <w:ind w:right="20"/>
        <w:jc w:val="both"/>
        <w:rPr>
          <w:rStyle w:val="mw-headline"/>
        </w:rPr>
      </w:pPr>
      <w:r w:rsidRPr="00B04004">
        <w:rPr>
          <w:rStyle w:val="mw-headline"/>
        </w:rPr>
        <w:t>L’article traduit et présenté ici appartient à une série d’écrits orig</w:t>
      </w:r>
      <w:r w:rsidRPr="00B04004">
        <w:rPr>
          <w:rStyle w:val="mw-headline"/>
        </w:rPr>
        <w:t>i</w:t>
      </w:r>
      <w:r w:rsidRPr="00B04004">
        <w:rPr>
          <w:rStyle w:val="mw-headline"/>
        </w:rPr>
        <w:t>naux sur la question du charisme par l’une des plus éminentes fig</w:t>
      </w:r>
      <w:r w:rsidRPr="00B04004">
        <w:rPr>
          <w:rStyle w:val="mw-headline"/>
        </w:rPr>
        <w:t>u</w:t>
      </w:r>
      <w:r w:rsidRPr="00B04004">
        <w:rPr>
          <w:rStyle w:val="mw-headline"/>
        </w:rPr>
        <w:t>res de la science sociale américaine</w:t>
      </w:r>
      <w:r>
        <w:rPr>
          <w:rStyle w:val="mw-headline"/>
        </w:rPr>
        <w:t> </w:t>
      </w:r>
      <w:r>
        <w:rPr>
          <w:rStyle w:val="Appelnotedebasdep"/>
        </w:rPr>
        <w:footnoteReference w:id="1721"/>
      </w:r>
      <w:r w:rsidRPr="00B04004">
        <w:rPr>
          <w:rStyle w:val="mw-headline"/>
        </w:rPr>
        <w:t>. Il s’agit d’une version légèr</w:t>
      </w:r>
      <w:r w:rsidRPr="00B04004">
        <w:rPr>
          <w:rStyle w:val="mw-headline"/>
        </w:rPr>
        <w:t>e</w:t>
      </w:r>
      <w:r w:rsidRPr="00B04004">
        <w:rPr>
          <w:rStyle w:val="mw-headline"/>
        </w:rPr>
        <w:t>ment remaniée de la contribution préparée pour la nouvelle édition (1968) de l’international/Encyclopaedia/of the Social Sciences, p</w:t>
      </w:r>
      <w:r w:rsidRPr="00B04004">
        <w:rPr>
          <w:rStyle w:val="mw-headline"/>
        </w:rPr>
        <w:t>u</w:t>
      </w:r>
      <w:r w:rsidRPr="00B04004">
        <w:rPr>
          <w:rStyle w:val="mw-headline"/>
        </w:rPr>
        <w:t>bliée par Crowell Collier et MacMillan. Cet article offre le grand int</w:t>
      </w:r>
      <w:r w:rsidRPr="00B04004">
        <w:rPr>
          <w:rStyle w:val="mw-headline"/>
        </w:rPr>
        <w:t>é</w:t>
      </w:r>
      <w:r w:rsidRPr="00B04004">
        <w:rPr>
          <w:rStyle w:val="mw-headline"/>
        </w:rPr>
        <w:t>rêt de donner une interprétation compréhensive du phénomène de ch</w:t>
      </w:r>
      <w:r w:rsidRPr="00B04004">
        <w:rPr>
          <w:rStyle w:val="mw-headline"/>
        </w:rPr>
        <w:t>a</w:t>
      </w:r>
      <w:r w:rsidRPr="00B04004">
        <w:rPr>
          <w:rStyle w:val="mw-headline"/>
        </w:rPr>
        <w:t>risme mais qui en sauvegarde toute la spécificité. Cet article fait en outre resso</w:t>
      </w:r>
      <w:r w:rsidRPr="00B04004">
        <w:rPr>
          <w:rStyle w:val="mw-headline"/>
        </w:rPr>
        <w:t>r</w:t>
      </w:r>
      <w:r w:rsidRPr="00B04004">
        <w:rPr>
          <w:rStyle w:val="mw-headline"/>
        </w:rPr>
        <w:t>tir toute la pertinence de cette notion au regard de l’intelligence du fonctionnement des sociétés et des institutions ainsi que de la nat</w:t>
      </w:r>
      <w:r w:rsidRPr="00B04004">
        <w:rPr>
          <w:rStyle w:val="mw-headline"/>
        </w:rPr>
        <w:t>u</w:t>
      </w:r>
      <w:r w:rsidRPr="00B04004">
        <w:rPr>
          <w:rStyle w:val="mw-headline"/>
        </w:rPr>
        <w:t>re profonde du chang</w:t>
      </w:r>
      <w:r w:rsidRPr="00B04004">
        <w:rPr>
          <w:rStyle w:val="mw-headline"/>
        </w:rPr>
        <w:t>e</w:t>
      </w:r>
      <w:r w:rsidRPr="00B04004">
        <w:rPr>
          <w:rStyle w:val="mw-headline"/>
        </w:rPr>
        <w:t>ment social. Cette analyse sur laquelle il convient de dire quelques mots de présentation ne saurait se compre</w:t>
      </w:r>
      <w:r w:rsidRPr="00B04004">
        <w:rPr>
          <w:rStyle w:val="mw-headline"/>
        </w:rPr>
        <w:t>n</w:t>
      </w:r>
      <w:r w:rsidRPr="00B04004">
        <w:rPr>
          <w:rStyle w:val="mw-headline"/>
        </w:rPr>
        <w:t>dre hors de la formulation maintenant classique de Max W</w:t>
      </w:r>
      <w:r w:rsidRPr="00B04004">
        <w:rPr>
          <w:rStyle w:val="mw-headline"/>
        </w:rPr>
        <w:t>e</w:t>
      </w:r>
      <w:r w:rsidRPr="00B04004">
        <w:rPr>
          <w:rStyle w:val="mw-headline"/>
        </w:rPr>
        <w:t>ber dans laquelle elle se veut ancrée même si elle tente de la dépa</w:t>
      </w:r>
      <w:r w:rsidRPr="00B04004">
        <w:rPr>
          <w:rStyle w:val="mw-headline"/>
        </w:rPr>
        <w:t>s</w:t>
      </w:r>
      <w:r w:rsidRPr="00B04004">
        <w:rPr>
          <w:rStyle w:val="mw-headline"/>
        </w:rPr>
        <w:t>ser.</w:t>
      </w:r>
    </w:p>
    <w:p w14:paraId="41CAD4FE" w14:textId="77777777" w:rsidR="00B01930" w:rsidRPr="00B04004" w:rsidRDefault="00B01930" w:rsidP="00B01930">
      <w:pPr>
        <w:autoSpaceDE w:val="0"/>
        <w:autoSpaceDN w:val="0"/>
        <w:adjustRightInd w:val="0"/>
        <w:spacing w:before="120" w:after="120"/>
        <w:jc w:val="both"/>
        <w:rPr>
          <w:rStyle w:val="mw-headline"/>
        </w:rPr>
      </w:pPr>
      <w:r w:rsidRPr="00B04004">
        <w:rPr>
          <w:rStyle w:val="mw-headline"/>
        </w:rPr>
        <w:t>Les premières tentatives d’exploitation scientifique de l’idée de charisme – signifiant à l’origine l’état suscité par la possession de dons de grâce divine – sont celles de deux grands historiens allemands des religions, Ernst Troeltsch et surtout Rudolf Sohm</w:t>
      </w:r>
      <w:r>
        <w:rPr>
          <w:rStyle w:val="mw-headline"/>
        </w:rPr>
        <w:t> </w:t>
      </w:r>
      <w:r>
        <w:rPr>
          <w:rStyle w:val="Appelnotedebasdep"/>
        </w:rPr>
        <w:footnoteReference w:id="1722"/>
      </w:r>
      <w:r w:rsidRPr="00B04004">
        <w:rPr>
          <w:rStyle w:val="mw-headline"/>
        </w:rPr>
        <w:t>. Mais c’est à Max Weber qui l’a conceptualisé et intégrée dans l’analyse scientif</w:t>
      </w:r>
      <w:r w:rsidRPr="00B04004">
        <w:rPr>
          <w:rStyle w:val="mw-headline"/>
        </w:rPr>
        <w:t>i</w:t>
      </w:r>
      <w:r w:rsidRPr="00B04004">
        <w:rPr>
          <w:rStyle w:val="mw-headline"/>
        </w:rPr>
        <w:t>que du phénomène de société et de pouvoir, que l’on doit d’avoir i</w:t>
      </w:r>
      <w:r w:rsidRPr="00B04004">
        <w:rPr>
          <w:rStyle w:val="mw-headline"/>
        </w:rPr>
        <w:t>n</w:t>
      </w:r>
      <w:r w:rsidRPr="00B04004">
        <w:rPr>
          <w:rStyle w:val="mw-headline"/>
        </w:rPr>
        <w:t>troduit ce terme dans l’arsenal axiomatique de la science soci</w:t>
      </w:r>
      <w:r w:rsidRPr="00B04004">
        <w:rPr>
          <w:rStyle w:val="mw-headline"/>
        </w:rPr>
        <w:t>a</w:t>
      </w:r>
      <w:r w:rsidRPr="00B04004">
        <w:rPr>
          <w:rStyle w:val="mw-headline"/>
        </w:rPr>
        <w:t>le</w:t>
      </w:r>
      <w:r>
        <w:rPr>
          <w:rStyle w:val="mw-headline"/>
        </w:rPr>
        <w:t> </w:t>
      </w:r>
      <w:r>
        <w:rPr>
          <w:rStyle w:val="Appelnotedebasdep"/>
        </w:rPr>
        <w:footnoteReference w:id="1723"/>
      </w:r>
      <w:r w:rsidRPr="00B04004">
        <w:rPr>
          <w:rStyle w:val="mw-headline"/>
        </w:rPr>
        <w:t>.</w:t>
      </w:r>
    </w:p>
    <w:p w14:paraId="1D59FC34" w14:textId="77777777" w:rsidR="00B01930" w:rsidRPr="00B04004" w:rsidRDefault="00B01930" w:rsidP="00B01930">
      <w:pPr>
        <w:autoSpaceDE w:val="0"/>
        <w:autoSpaceDN w:val="0"/>
        <w:adjustRightInd w:val="0"/>
        <w:spacing w:before="120" w:after="120"/>
        <w:jc w:val="both"/>
        <w:rPr>
          <w:rStyle w:val="mw-headline"/>
        </w:rPr>
      </w:pPr>
      <w:r w:rsidRPr="00B04004">
        <w:rPr>
          <w:rStyle w:val="mw-headline"/>
        </w:rPr>
        <w:t>Max Weber en effet a repoussé les limites de l’applicabilité de la notion de charisme telle qu’elle était traitée par les historiens des rel</w:t>
      </w:r>
      <w:r w:rsidRPr="00B04004">
        <w:rPr>
          <w:rStyle w:val="mw-headline"/>
        </w:rPr>
        <w:t>i</w:t>
      </w:r>
      <w:r w:rsidRPr="00B04004">
        <w:rPr>
          <w:rStyle w:val="mw-headline"/>
        </w:rPr>
        <w:t>gions en la rapportant au domaine du séculier, du non-magique d’une part et d’autre part en lui donnant une signification purement techn</w:t>
      </w:r>
      <w:r w:rsidRPr="00B04004">
        <w:rPr>
          <w:rStyle w:val="mw-headline"/>
        </w:rPr>
        <w:t>i</w:t>
      </w:r>
      <w:r w:rsidRPr="00B04004">
        <w:rPr>
          <w:rStyle w:val="mw-headline"/>
        </w:rPr>
        <w:t>que autrement dit, neutre au plan axiol</w:t>
      </w:r>
      <w:r w:rsidRPr="00B04004">
        <w:rPr>
          <w:rStyle w:val="mw-headline"/>
        </w:rPr>
        <w:t>o</w:t>
      </w:r>
      <w:r w:rsidRPr="00B04004">
        <w:rPr>
          <w:rStyle w:val="mw-headline"/>
        </w:rPr>
        <w:t>gique. Non seulement l’idée de charisme s’applique aux sphères du politique, de l’économique, du scientifique ou même du militaire, mais elle peut aussi cara</w:t>
      </w:r>
      <w:r w:rsidRPr="00B04004">
        <w:rPr>
          <w:rStyle w:val="mw-headline"/>
        </w:rPr>
        <w:t>c</w:t>
      </w:r>
      <w:r w:rsidRPr="00B04004">
        <w:rPr>
          <w:rStyle w:val="mw-headline"/>
        </w:rPr>
        <w:t>tériser des personnalités diversement réparties sur l’ensemble du continuum éth</w:t>
      </w:r>
      <w:r w:rsidRPr="00B04004">
        <w:rPr>
          <w:rStyle w:val="mw-headline"/>
        </w:rPr>
        <w:t>i</w:t>
      </w:r>
      <w:r w:rsidRPr="00B04004">
        <w:rPr>
          <w:rStyle w:val="mw-headline"/>
        </w:rPr>
        <w:t>que de la dépravation diabolique à la sainteté</w:t>
      </w:r>
      <w:r>
        <w:rPr>
          <w:rStyle w:val="mw-headline"/>
        </w:rPr>
        <w:t> </w:t>
      </w:r>
      <w:r>
        <w:rPr>
          <w:rStyle w:val="Appelnotedebasdep"/>
        </w:rPr>
        <w:footnoteReference w:id="1724"/>
      </w:r>
      <w:r w:rsidRPr="00B04004">
        <w:rPr>
          <w:rStyle w:val="mw-headline"/>
        </w:rPr>
        <w:t>.</w:t>
      </w:r>
    </w:p>
    <w:p w14:paraId="202D07E5" w14:textId="77777777" w:rsidR="00B01930" w:rsidRPr="00B04004" w:rsidRDefault="00B01930" w:rsidP="00B01930">
      <w:pPr>
        <w:autoSpaceDE w:val="0"/>
        <w:autoSpaceDN w:val="0"/>
        <w:adjustRightInd w:val="0"/>
        <w:spacing w:before="120" w:after="120"/>
        <w:ind w:right="20"/>
        <w:jc w:val="both"/>
        <w:rPr>
          <w:rStyle w:val="mw-headline"/>
        </w:rPr>
      </w:pPr>
      <w:r w:rsidRPr="00B04004">
        <w:rPr>
          <w:rStyle w:val="mw-headline"/>
        </w:rPr>
        <w:t>L’effort weberien de systématisation a encore conduit à l’introduction d’une dichotomie mettant en regard, sinon en oppos</w:t>
      </w:r>
      <w:r w:rsidRPr="00B04004">
        <w:rPr>
          <w:rStyle w:val="mw-headline"/>
        </w:rPr>
        <w:t>i</w:t>
      </w:r>
      <w:r w:rsidRPr="00B04004">
        <w:rPr>
          <w:rStyle w:val="mw-headline"/>
        </w:rPr>
        <w:t>tion, une forme pure et a</w:t>
      </w:r>
      <w:r w:rsidRPr="00B04004">
        <w:rPr>
          <w:rStyle w:val="mw-headline"/>
        </w:rPr>
        <w:t>u</w:t>
      </w:r>
      <w:r w:rsidRPr="00B04004">
        <w:rPr>
          <w:rStyle w:val="mw-headline"/>
        </w:rPr>
        <w:t>thentique de charisme et des formes dites routinisées. C’est en cela que Weber dépasse l’utilisation plus instit</w:t>
      </w:r>
      <w:r w:rsidRPr="00B04004">
        <w:rPr>
          <w:rStyle w:val="mw-headline"/>
        </w:rPr>
        <w:t>u</w:t>
      </w:r>
      <w:r w:rsidRPr="00B04004">
        <w:rPr>
          <w:rStyle w:val="mw-headline"/>
        </w:rPr>
        <w:t>tionnelle que Sohm par exemple faisait de ce concept. Le charisme est donc d’abord une qualité extraordinaire (ausserahtäglich) hors du ra</w:t>
      </w:r>
      <w:r w:rsidRPr="00B04004">
        <w:rPr>
          <w:rStyle w:val="mw-headline"/>
        </w:rPr>
        <w:t>i</w:t>
      </w:r>
      <w:r w:rsidRPr="00B04004">
        <w:rPr>
          <w:rStyle w:val="mw-headline"/>
        </w:rPr>
        <w:t>sonnable, inaccessible au commun des mortels et qui suppose un contact étroit avec les racines mêmes de l’ordre cosmique un rapport intime à l’essence fondamentale de l’existence, il peut s’agir de la puissance divine de forces surnaturelles, bref de toute force « vitale » sous­ jacente à l’existence humaine. Mais c’est la reconnaissance libre de cette qualité reflétant la posse</w:t>
      </w:r>
      <w:r w:rsidRPr="00B04004">
        <w:rPr>
          <w:rStyle w:val="mw-headline"/>
        </w:rPr>
        <w:t>s</w:t>
      </w:r>
      <w:r w:rsidRPr="00B04004">
        <w:rPr>
          <w:rStyle w:val="mw-headline"/>
        </w:rPr>
        <w:t>sion (réelle ou supposée telle) de pouvoirs ou de dons particuliers, qui se traduit par un « abandon à la révélation à la vénération à la confiance » de son porteur qui constitue le test de la validité du charisme</w:t>
      </w:r>
      <w:r>
        <w:rPr>
          <w:rStyle w:val="mw-headline"/>
        </w:rPr>
        <w:t> </w:t>
      </w:r>
      <w:r>
        <w:rPr>
          <w:rStyle w:val="Appelnotedebasdep"/>
        </w:rPr>
        <w:footnoteReference w:id="1725"/>
      </w:r>
      <w:r w:rsidRPr="00B04004">
        <w:rPr>
          <w:rStyle w:val="mw-headline"/>
        </w:rPr>
        <w:t>.</w:t>
      </w:r>
    </w:p>
    <w:p w14:paraId="7A94AE16" w14:textId="77777777" w:rsidR="00B01930" w:rsidRPr="00B04004" w:rsidRDefault="00B01930" w:rsidP="00B01930">
      <w:pPr>
        <w:autoSpaceDE w:val="0"/>
        <w:autoSpaceDN w:val="0"/>
        <w:adjustRightInd w:val="0"/>
        <w:spacing w:before="120" w:after="120"/>
        <w:ind w:right="20"/>
        <w:jc w:val="both"/>
        <w:rPr>
          <w:rStyle w:val="mw-headline"/>
        </w:rPr>
      </w:pPr>
      <w:r w:rsidRPr="00B04004">
        <w:rPr>
          <w:rStyle w:val="mw-headline"/>
        </w:rPr>
        <w:t>Il résulte de cela un mode d’organisation sociale très particulier tout à fait à part des types plus quotidiens et plus permanents de c</w:t>
      </w:r>
      <w:r w:rsidRPr="00B04004">
        <w:rPr>
          <w:rStyle w:val="mw-headline"/>
        </w:rPr>
        <w:t>a</w:t>
      </w:r>
      <w:r w:rsidRPr="00B04004">
        <w:rPr>
          <w:rStyle w:val="mw-headline"/>
        </w:rPr>
        <w:t>ractère traditionnel ou légal-rationnel un mode de domination perso</w:t>
      </w:r>
      <w:r w:rsidRPr="00B04004">
        <w:rPr>
          <w:rStyle w:val="mw-headline"/>
        </w:rPr>
        <w:t>n</w:t>
      </w:r>
      <w:r w:rsidRPr="00B04004">
        <w:rPr>
          <w:rStyle w:val="mw-headline"/>
        </w:rPr>
        <w:t>nelle et émotionnelle, instable et étranger à l’économie rationnelle (il se fonde sur le don, la corruption, l’extorsion ou la mendicité), en un mot « délinquant » De ce fait, il est révol</w:t>
      </w:r>
      <w:r w:rsidRPr="00B04004">
        <w:rPr>
          <w:rStyle w:val="mw-headline"/>
        </w:rPr>
        <w:t>u</w:t>
      </w:r>
      <w:r w:rsidRPr="00B04004">
        <w:rPr>
          <w:rStyle w:val="mw-headline"/>
        </w:rPr>
        <w:t>tionnaire car il implique « un changement de direction…, orientation entièr</w:t>
      </w:r>
      <w:r w:rsidRPr="00B04004">
        <w:rPr>
          <w:rStyle w:val="mw-headline"/>
        </w:rPr>
        <w:t>e</w:t>
      </w:r>
      <w:r w:rsidRPr="00B04004">
        <w:rPr>
          <w:rStyle w:val="mw-headline"/>
        </w:rPr>
        <w:t>ment nouvelle de toutes les positions envers toutes les formes particulières de vie e</w:t>
      </w:r>
      <w:r w:rsidRPr="00B04004">
        <w:rPr>
          <w:rStyle w:val="mw-headline"/>
        </w:rPr>
        <w:t>n</w:t>
      </w:r>
      <w:r w:rsidRPr="00B04004">
        <w:rPr>
          <w:rStyle w:val="mw-headline"/>
        </w:rPr>
        <w:t>vers le “monde” »</w:t>
      </w:r>
      <w:r>
        <w:rPr>
          <w:rStyle w:val="mw-headline"/>
        </w:rPr>
        <w:t> </w:t>
      </w:r>
      <w:r>
        <w:rPr>
          <w:rStyle w:val="Appelnotedebasdep"/>
        </w:rPr>
        <w:footnoteReference w:id="1726"/>
      </w:r>
      <w:r w:rsidRPr="00B04004">
        <w:rPr>
          <w:rStyle w:val="Appelnotedebasdep"/>
          <w:position w:val="0"/>
        </w:rPr>
        <w:t>.</w:t>
      </w:r>
      <w:r w:rsidRPr="00B04004">
        <w:rPr>
          <w:rStyle w:val="mw-headline"/>
        </w:rPr>
        <w:t xml:space="preserve"> Mais ces formes de domination charismatique ne peuvent subsister longtemps à l’état pur et intense puisqu’elles n’existent que statu nascendi. Elles ne peuvent s’inscrire dans la durée qu’en changeant de n</w:t>
      </w:r>
      <w:r w:rsidRPr="00B04004">
        <w:rPr>
          <w:rStyle w:val="mw-headline"/>
        </w:rPr>
        <w:t>a</w:t>
      </w:r>
      <w:r w:rsidRPr="00B04004">
        <w:rPr>
          <w:rStyle w:val="mw-headline"/>
        </w:rPr>
        <w:t>ture. La routinisation (Veralltäglichung) du charisme désigne ce phénomène, par ailleurs inévitable. Cette mut</w:t>
      </w:r>
      <w:r w:rsidRPr="00B04004">
        <w:rPr>
          <w:rStyle w:val="mw-headline"/>
        </w:rPr>
        <w:t>a</w:t>
      </w:r>
      <w:r w:rsidRPr="00B04004">
        <w:rPr>
          <w:rStyle w:val="mw-headline"/>
        </w:rPr>
        <w:t>tion s’effectue sous la pression des intérêts de la masse des disciples, par l’élimination de l’aspect anti-économique du charisme pur. Le charisme, dont l’intensité s’atténue, s’incarne et se transmet alors sous diverses formes, notamment sous les aspects d’un charisme d’hérédité (Erbsch</w:t>
      </w:r>
      <w:r w:rsidRPr="00B04004">
        <w:rPr>
          <w:rStyle w:val="mw-headline"/>
        </w:rPr>
        <w:t>a</w:t>
      </w:r>
      <w:r w:rsidRPr="00B04004">
        <w:rPr>
          <w:rStyle w:val="mw-headline"/>
        </w:rPr>
        <w:t>risma), de fonction (Amtscharisma) ou encore de parenté (Gentilcharisma). Ainsi, en se transformant, le charisme se déperso</w:t>
      </w:r>
      <w:r w:rsidRPr="00B04004">
        <w:rPr>
          <w:rStyle w:val="mw-headline"/>
        </w:rPr>
        <w:t>n</w:t>
      </w:r>
      <w:r w:rsidRPr="00B04004">
        <w:rPr>
          <w:rStyle w:val="mw-headline"/>
        </w:rPr>
        <w:t>nalise et devient un élément pe</w:t>
      </w:r>
      <w:r w:rsidRPr="00B04004">
        <w:rPr>
          <w:rStyle w:val="mw-headline"/>
        </w:rPr>
        <w:t>r</w:t>
      </w:r>
      <w:r w:rsidRPr="00B04004">
        <w:rPr>
          <w:rStyle w:val="mw-headline"/>
        </w:rPr>
        <w:t>manent institutionnalisé.</w:t>
      </w:r>
    </w:p>
    <w:p w14:paraId="34E7704A" w14:textId="77777777" w:rsidR="00B01930" w:rsidRPr="00B04004" w:rsidRDefault="00B01930" w:rsidP="00B01930">
      <w:pPr>
        <w:autoSpaceDE w:val="0"/>
        <w:autoSpaceDN w:val="0"/>
        <w:adjustRightInd w:val="0"/>
        <w:spacing w:before="120" w:after="120"/>
        <w:ind w:right="20"/>
        <w:jc w:val="both"/>
        <w:rPr>
          <w:rStyle w:val="mw-headline"/>
        </w:rPr>
      </w:pPr>
      <w:r w:rsidRPr="00B04004">
        <w:rPr>
          <w:rStyle w:val="mw-headline"/>
        </w:rPr>
        <w:t>Si elle dégage bien les mécanismes et les conditions d’émergence et de survie de la qualité charismatique, on doit observer que l’analyse de Weber pr</w:t>
      </w:r>
      <w:r w:rsidRPr="00B04004">
        <w:rPr>
          <w:rStyle w:val="mw-headline"/>
        </w:rPr>
        <w:t>é</w:t>
      </w:r>
      <w:r w:rsidRPr="00B04004">
        <w:rPr>
          <w:rStyle w:val="mw-headline"/>
        </w:rPr>
        <w:t>sente une certaine ambiguïté en ce qu’elle se donne à interpréter dans une dire</w:t>
      </w:r>
      <w:r w:rsidRPr="00B04004">
        <w:rPr>
          <w:rStyle w:val="mw-headline"/>
        </w:rPr>
        <w:t>c</w:t>
      </w:r>
      <w:r w:rsidRPr="00B04004">
        <w:rPr>
          <w:rStyle w:val="mw-headline"/>
        </w:rPr>
        <w:t>tion qui réduit l’aire d’applicabilité du concept. Max Weber met surtout l’accent sur l’effet de rupture et de libération du charisme, même s’il ne néglige pas de prendre en com</w:t>
      </w:r>
      <w:r w:rsidRPr="00B04004">
        <w:rPr>
          <w:rStyle w:val="mw-headline"/>
        </w:rPr>
        <w:t>p</w:t>
      </w:r>
      <w:r w:rsidRPr="00B04004">
        <w:rPr>
          <w:rStyle w:val="mw-headline"/>
        </w:rPr>
        <w:t>te les effets conservatoires. Mais surtout, il semble suggérer des lim</w:t>
      </w:r>
      <w:r w:rsidRPr="00B04004">
        <w:rPr>
          <w:rStyle w:val="mw-headline"/>
        </w:rPr>
        <w:t>i</w:t>
      </w:r>
      <w:r w:rsidRPr="00B04004">
        <w:rPr>
          <w:rStyle w:val="mw-headline"/>
        </w:rPr>
        <w:t>tes au processus de transformation qui d’une part n’opèrerait que dans le cadre de certaines institutions, familiales, ecclésiastiques et mona</w:t>
      </w:r>
      <w:r w:rsidRPr="00B04004">
        <w:rPr>
          <w:rStyle w:val="mw-headline"/>
        </w:rPr>
        <w:t>r</w:t>
      </w:r>
      <w:r w:rsidRPr="00B04004">
        <w:rPr>
          <w:rStyle w:val="mw-headline"/>
        </w:rPr>
        <w:t>chiques où le sacré est encore massivement pr</w:t>
      </w:r>
      <w:r w:rsidRPr="00B04004">
        <w:rPr>
          <w:rStyle w:val="mw-headline"/>
        </w:rPr>
        <w:t>é</w:t>
      </w:r>
      <w:r w:rsidRPr="00B04004">
        <w:rPr>
          <w:rStyle w:val="mw-headline"/>
        </w:rPr>
        <w:t>sent et qui d’autre part déboucherait sur une modification interne de la nature et du contenu même du charisme. Ainsi sa conception implique que, hors de ces cas, il se produit une dissipation du ch</w:t>
      </w:r>
      <w:r w:rsidRPr="00B04004">
        <w:rPr>
          <w:rStyle w:val="mw-headline"/>
        </w:rPr>
        <w:t>a</w:t>
      </w:r>
      <w:r w:rsidRPr="00B04004">
        <w:rPr>
          <w:rStyle w:val="mw-headline"/>
        </w:rPr>
        <w:t>risme (et qui n’exclut pas toutefois les possibilités de résurgences), comme si W</w:t>
      </w:r>
      <w:r w:rsidRPr="00B04004">
        <w:rPr>
          <w:rStyle w:val="mw-headline"/>
        </w:rPr>
        <w:t>e</w:t>
      </w:r>
      <w:r w:rsidRPr="00B04004">
        <w:rPr>
          <w:rStyle w:val="mw-headline"/>
        </w:rPr>
        <w:t>ber autrement dit, ne concevait ce phénomène possible que sous une forme finalement i</w:t>
      </w:r>
      <w:r w:rsidRPr="00B04004">
        <w:rPr>
          <w:rStyle w:val="mw-headline"/>
        </w:rPr>
        <w:t>n</w:t>
      </w:r>
      <w:r w:rsidRPr="00B04004">
        <w:rPr>
          <w:rStyle w:val="mw-headline"/>
        </w:rPr>
        <w:t>tense</w:t>
      </w:r>
      <w:r>
        <w:rPr>
          <w:rStyle w:val="mw-headline"/>
        </w:rPr>
        <w:t> </w:t>
      </w:r>
      <w:r>
        <w:rPr>
          <w:rStyle w:val="Appelnotedebasdep"/>
        </w:rPr>
        <w:footnoteReference w:id="1727"/>
      </w:r>
      <w:r w:rsidRPr="00B04004">
        <w:rPr>
          <w:rStyle w:val="mw-headline"/>
        </w:rPr>
        <w:t>, comme s’il jugeait que les opportunités d’expression chari</w:t>
      </w:r>
      <w:r w:rsidRPr="00B04004">
        <w:rPr>
          <w:rStyle w:val="mw-headline"/>
        </w:rPr>
        <w:t>s</w:t>
      </w:r>
      <w:r w:rsidRPr="00B04004">
        <w:rPr>
          <w:rStyle w:val="mw-headline"/>
        </w:rPr>
        <w:t>matique disparaissaient avec le développement politique et bureaucr</w:t>
      </w:r>
      <w:r w:rsidRPr="00B04004">
        <w:rPr>
          <w:rStyle w:val="mw-headline"/>
        </w:rPr>
        <w:t>a</w:t>
      </w:r>
      <w:r w:rsidRPr="00B04004">
        <w:rPr>
          <w:rStyle w:val="mw-headline"/>
        </w:rPr>
        <w:t>tique ou le jeu des considérations et des intérêts temporels.</w:t>
      </w:r>
    </w:p>
    <w:p w14:paraId="2DCB88BF" w14:textId="77777777" w:rsidR="00B01930" w:rsidRPr="00B04004" w:rsidRDefault="00B01930" w:rsidP="00B01930">
      <w:pPr>
        <w:autoSpaceDE w:val="0"/>
        <w:autoSpaceDN w:val="0"/>
        <w:adjustRightInd w:val="0"/>
        <w:spacing w:before="120" w:after="120"/>
        <w:ind w:right="20"/>
        <w:jc w:val="both"/>
        <w:rPr>
          <w:rStyle w:val="mw-headline"/>
        </w:rPr>
      </w:pPr>
      <w:r w:rsidRPr="00B04004">
        <w:rPr>
          <w:rStyle w:val="mw-headline"/>
        </w:rPr>
        <w:t>Parmi toutes les analyses qui ont cherché à réexaminer le phén</w:t>
      </w:r>
      <w:r w:rsidRPr="00B04004">
        <w:rPr>
          <w:rStyle w:val="mw-headline"/>
        </w:rPr>
        <w:t>o</w:t>
      </w:r>
      <w:r w:rsidRPr="00B04004">
        <w:rPr>
          <w:rStyle w:val="mw-headline"/>
        </w:rPr>
        <w:t>mène charismatique, celle d’Edward Shils est particulièrement noto</w:t>
      </w:r>
      <w:r w:rsidRPr="00B04004">
        <w:rPr>
          <w:rStyle w:val="mw-headline"/>
        </w:rPr>
        <w:t>i</w:t>
      </w:r>
      <w:r w:rsidRPr="00B04004">
        <w:rPr>
          <w:rStyle w:val="mw-headline"/>
        </w:rPr>
        <w:t>re. À cet égard, il est l’un des tout premiers sociologues à avoir sa</w:t>
      </w:r>
      <w:r w:rsidRPr="00B04004">
        <w:rPr>
          <w:rStyle w:val="mw-headline"/>
        </w:rPr>
        <w:t>i</w:t>
      </w:r>
      <w:r w:rsidRPr="00B04004">
        <w:rPr>
          <w:rStyle w:val="mw-headline"/>
        </w:rPr>
        <w:t>si l’importance et le potentiel explicatif de cette problématique au r</w:t>
      </w:r>
      <w:r w:rsidRPr="00B04004">
        <w:rPr>
          <w:rStyle w:val="mw-headline"/>
        </w:rPr>
        <w:t>e</w:t>
      </w:r>
      <w:r w:rsidRPr="00B04004">
        <w:rPr>
          <w:rStyle w:val="mw-headline"/>
        </w:rPr>
        <w:t>gard de la dynamique sociale. De la même façon qu’un Durkheim ou un Mauss avec les notions de conscience collective ou d’échange, E</w:t>
      </w:r>
      <w:r w:rsidRPr="00B04004">
        <w:rPr>
          <w:rStyle w:val="mw-headline"/>
        </w:rPr>
        <w:t>d</w:t>
      </w:r>
      <w:r w:rsidRPr="00B04004">
        <w:rPr>
          <w:rStyle w:val="mw-headline"/>
        </w:rPr>
        <w:t>ward Shils fait du charisme la clé de voûte du phénomène s</w:t>
      </w:r>
      <w:r w:rsidRPr="00B04004">
        <w:rPr>
          <w:rStyle w:val="mw-headline"/>
        </w:rPr>
        <w:t>o</w:t>
      </w:r>
      <w:r w:rsidRPr="00B04004">
        <w:rPr>
          <w:rStyle w:val="mw-headline"/>
        </w:rPr>
        <w:t>cial. Sa conception ne prétend pas différer de celle de Weber encore moins de la contredire mais a simplement pour but de l’approfondir et su</w:t>
      </w:r>
      <w:r w:rsidRPr="00B04004">
        <w:rPr>
          <w:rStyle w:val="mw-headline"/>
        </w:rPr>
        <w:t>r</w:t>
      </w:r>
      <w:r w:rsidRPr="00B04004">
        <w:rPr>
          <w:rStyle w:val="mw-headline"/>
        </w:rPr>
        <w:t>tout de la prolonger en la dégageant de toutes ses ambiguïtés, de re</w:t>
      </w:r>
      <w:r w:rsidRPr="00B04004">
        <w:rPr>
          <w:rStyle w:val="mw-headline"/>
        </w:rPr>
        <w:t>n</w:t>
      </w:r>
      <w:r w:rsidRPr="00B04004">
        <w:rPr>
          <w:rStyle w:val="mw-headline"/>
        </w:rPr>
        <w:t>dre explicite ce qui est i</w:t>
      </w:r>
      <w:r w:rsidRPr="00B04004">
        <w:rPr>
          <w:rStyle w:val="mw-headline"/>
        </w:rPr>
        <w:t>m</w:t>
      </w:r>
      <w:r w:rsidRPr="00B04004">
        <w:rPr>
          <w:rStyle w:val="mw-headline"/>
        </w:rPr>
        <w:t>plicite chez Weber</w:t>
      </w:r>
      <w:r>
        <w:rPr>
          <w:rStyle w:val="mw-headline"/>
        </w:rPr>
        <w:t> </w:t>
      </w:r>
      <w:r>
        <w:rPr>
          <w:rStyle w:val="Appelnotedebasdep"/>
        </w:rPr>
        <w:footnoteReference w:id="1728"/>
      </w:r>
      <w:r w:rsidRPr="00B04004">
        <w:rPr>
          <w:rStyle w:val="mw-headline"/>
        </w:rPr>
        <w:t>.</w:t>
      </w:r>
    </w:p>
    <w:p w14:paraId="7449D443" w14:textId="77777777" w:rsidR="00B01930" w:rsidRPr="00B04004" w:rsidRDefault="00B01930" w:rsidP="00B01930">
      <w:pPr>
        <w:autoSpaceDE w:val="0"/>
        <w:autoSpaceDN w:val="0"/>
        <w:adjustRightInd w:val="0"/>
        <w:spacing w:before="120" w:after="120"/>
        <w:ind w:left="20"/>
        <w:jc w:val="both"/>
        <w:rPr>
          <w:rStyle w:val="mw-headline"/>
        </w:rPr>
      </w:pPr>
      <w:r w:rsidRPr="00B04004">
        <w:rPr>
          <w:rStyle w:val="mw-headline"/>
        </w:rPr>
        <w:t>L’aspect de l’analyse d’Edward Shils qui permet de saisir le sens du phénomène charismatique dans toute sa plénitude et, par là, sa s</w:t>
      </w:r>
      <w:r w:rsidRPr="00B04004">
        <w:rPr>
          <w:rStyle w:val="mw-headline"/>
        </w:rPr>
        <w:t>i</w:t>
      </w:r>
      <w:r w:rsidRPr="00B04004">
        <w:rPr>
          <w:rStyle w:val="mw-headline"/>
        </w:rPr>
        <w:t>gnification sociologique, se situe au niveau de l’hypothèse qu’il ava</w:t>
      </w:r>
      <w:r w:rsidRPr="00B04004">
        <w:rPr>
          <w:rStyle w:val="mw-headline"/>
        </w:rPr>
        <w:t>n</w:t>
      </w:r>
      <w:r w:rsidRPr="00B04004">
        <w:rPr>
          <w:rStyle w:val="mw-headline"/>
        </w:rPr>
        <w:t>ce à propos de l’origine d’une telle manifestation, un point sur lequel Weber n’a pas offert d’explication systématique. Edward Shils part de la constatation qu’il existe chez tout indiv</w:t>
      </w:r>
      <w:r w:rsidRPr="00B04004">
        <w:rPr>
          <w:rStyle w:val="mw-headline"/>
        </w:rPr>
        <w:t>i</w:t>
      </w:r>
      <w:r w:rsidRPr="00B04004">
        <w:rPr>
          <w:rStyle w:val="mw-headline"/>
        </w:rPr>
        <w:t>du un besoin inné d’ordre, terme qui dépasse évidemment la simple organisation de la matérialité immédiate. La fragilité de l’être humain, l’ambivalence de son statut existentiel suscitent en effet un besoin irrépressible de se replacer dans une logique totalisante, dans une structure morale cosmiquement harmonieuse, dans un système où les choses sont situées dans un fai</w:t>
      </w:r>
      <w:r w:rsidRPr="00B04004">
        <w:rPr>
          <w:rStyle w:val="mw-headline"/>
        </w:rPr>
        <w:t>s</w:t>
      </w:r>
      <w:r w:rsidRPr="00B04004">
        <w:rPr>
          <w:rStyle w:val="mw-headline"/>
        </w:rPr>
        <w:t>ceau de relations justes et prévisibles. L’intensité d’un tel besoin varie selon les individus, les circonsta</w:t>
      </w:r>
      <w:r w:rsidRPr="00B04004">
        <w:rPr>
          <w:rStyle w:val="mw-headline"/>
        </w:rPr>
        <w:t>n</w:t>
      </w:r>
      <w:r w:rsidRPr="00B04004">
        <w:rPr>
          <w:rStyle w:val="mw-headline"/>
        </w:rPr>
        <w:t>ces et les vicissitudes du moment et il peut provisoirement se satisfaire de contacts « non transcendants » (dans le cadre de la parenté par exemple). Mais, à un moment ou à un autre l’interrogation se fait plus impérieuse et requiert une réponse urgente qui lie l’ordre social immédiat à un ordre plus global, réponse que tout un chacun n’est pas en mesure d’apporter. Le charisme naîtra alors de la conjonction de ces tensions et de l’action de celui ou de ceux qui se révéleront capables de les apaiser par des moyens divers (la magie, la science, l’expression artistique etc…), qui traduisent une connexité avec les forces qui sont supposées gouverner l’univers. Le charisme est corrélatif à tout ce qui est lié au monde du « vital » et ceux qui sont en mesure de communiquer avec lui ou qui sont cons</w:t>
      </w:r>
      <w:r w:rsidRPr="00B04004">
        <w:rPr>
          <w:rStyle w:val="mw-headline"/>
        </w:rPr>
        <w:t>i</w:t>
      </w:r>
      <w:r w:rsidRPr="00B04004">
        <w:rPr>
          <w:rStyle w:val="mw-headline"/>
        </w:rPr>
        <w:t>dérés comme en étant capables, sont pénétrés de ce charisme. Il ne peut donc y avoir de manifestations charismatiques, c’est-à-dire d’une part de prédisposition au charisme chez les uns et d’autre part de se</w:t>
      </w:r>
      <w:r w:rsidRPr="00B04004">
        <w:rPr>
          <w:rStyle w:val="mw-headline"/>
        </w:rPr>
        <w:t>n</w:t>
      </w:r>
      <w:r w:rsidRPr="00B04004">
        <w:rPr>
          <w:rStyle w:val="mw-headline"/>
        </w:rPr>
        <w:t>sibilité charismatique chez les a</w:t>
      </w:r>
      <w:r w:rsidRPr="00B04004">
        <w:rPr>
          <w:rStyle w:val="mw-headline"/>
        </w:rPr>
        <w:t>u</w:t>
      </w:r>
      <w:r w:rsidRPr="00B04004">
        <w:rPr>
          <w:rStyle w:val="mw-headline"/>
        </w:rPr>
        <w:t>tres hors de ces interrogations issues du besoin d’ordre.</w:t>
      </w:r>
    </w:p>
    <w:p w14:paraId="4F60F61D" w14:textId="77777777" w:rsidR="00B01930" w:rsidRPr="00B04004" w:rsidRDefault="00B01930" w:rsidP="00B01930">
      <w:pPr>
        <w:autoSpaceDE w:val="0"/>
        <w:autoSpaceDN w:val="0"/>
        <w:adjustRightInd w:val="0"/>
        <w:spacing w:before="120" w:after="120"/>
        <w:ind w:right="20"/>
        <w:jc w:val="both"/>
        <w:rPr>
          <w:rStyle w:val="mw-headline"/>
        </w:rPr>
      </w:pPr>
      <w:r w:rsidRPr="00B04004">
        <w:rPr>
          <w:rStyle w:val="mw-headline"/>
        </w:rPr>
        <w:t>Parce qu’elles sont par nature génératrices d’ordre et que par là même elles peuvent symboliser l’essence d’un cosmos ordonné au sein duquel l’individu peut se repérer et lire son avenir de manière prévisible, beaucoup d’institutions (une armée, un principe législatif une classe sociale, par exemple) jouissent au même titre que le pr</w:t>
      </w:r>
      <w:r w:rsidRPr="00B04004">
        <w:rPr>
          <w:rStyle w:val="mw-headline"/>
        </w:rPr>
        <w:t>o</w:t>
      </w:r>
      <w:r w:rsidRPr="00B04004">
        <w:rPr>
          <w:rStyle w:val="mw-headline"/>
        </w:rPr>
        <w:t>phète, le savant, le héros militaire ou l’esthète, d’une autorité chari</w:t>
      </w:r>
      <w:r w:rsidRPr="00B04004">
        <w:rPr>
          <w:rStyle w:val="mw-headline"/>
        </w:rPr>
        <w:t>s</w:t>
      </w:r>
      <w:r w:rsidRPr="00B04004">
        <w:rPr>
          <w:rStyle w:val="mw-headline"/>
        </w:rPr>
        <w:t>matique. La forme seule change ; généralement chez les premières le charisme est diffus et atténué, chez les seconds, il est intense. Il n’y a pas de discontinuité dans la nature et le contenu du phénomène. Inév</w:t>
      </w:r>
      <w:r w:rsidRPr="00B04004">
        <w:rPr>
          <w:rStyle w:val="mw-headline"/>
        </w:rPr>
        <w:t>i</w:t>
      </w:r>
      <w:r w:rsidRPr="00B04004">
        <w:rPr>
          <w:rStyle w:val="mw-headline"/>
        </w:rPr>
        <w:t>tablement la légit</w:t>
      </w:r>
      <w:r w:rsidRPr="00B04004">
        <w:rPr>
          <w:rStyle w:val="mw-headline"/>
        </w:rPr>
        <w:t>i</w:t>
      </w:r>
      <w:r w:rsidRPr="00B04004">
        <w:rPr>
          <w:rStyle w:val="mw-headline"/>
        </w:rPr>
        <w:t>mité de ces institutions, et somme toute la légitimité de tout pouvoir est d’essence charismatique. Ce n’est pas un hasard si la mythologie indo-européenne, comme l’a fait ressortir Georges D</w:t>
      </w:r>
      <w:r w:rsidRPr="00B04004">
        <w:rPr>
          <w:rStyle w:val="mw-headline"/>
        </w:rPr>
        <w:t>u</w:t>
      </w:r>
      <w:r w:rsidRPr="00B04004">
        <w:rPr>
          <w:rStyle w:val="mw-headline"/>
        </w:rPr>
        <w:t>mézil, place le « Légiste » et 1’« Inspiré » dans une indissociable du</w:t>
      </w:r>
      <w:r w:rsidRPr="00B04004">
        <w:rPr>
          <w:rStyle w:val="mw-headline"/>
        </w:rPr>
        <w:t>a</w:t>
      </w:r>
      <w:r w:rsidRPr="00B04004">
        <w:rPr>
          <w:rStyle w:val="mw-headline"/>
        </w:rPr>
        <w:t>lité.</w:t>
      </w:r>
    </w:p>
    <w:p w14:paraId="55CEA667" w14:textId="77777777" w:rsidR="00B01930" w:rsidRPr="00B04004" w:rsidRDefault="00B01930" w:rsidP="00B01930">
      <w:pPr>
        <w:autoSpaceDE w:val="0"/>
        <w:autoSpaceDN w:val="0"/>
        <w:adjustRightInd w:val="0"/>
        <w:spacing w:before="120" w:after="120"/>
        <w:ind w:right="20"/>
        <w:jc w:val="both"/>
        <w:rPr>
          <w:rStyle w:val="mw-headline"/>
        </w:rPr>
      </w:pPr>
      <w:r w:rsidRPr="00B04004">
        <w:rPr>
          <w:rStyle w:val="mw-headline"/>
        </w:rPr>
        <w:t>Né de l’espoir de l’établissement ou de la restauration d’une ha</w:t>
      </w:r>
      <w:r w:rsidRPr="00B04004">
        <w:rPr>
          <w:rStyle w:val="mw-headline"/>
        </w:rPr>
        <w:t>r</w:t>
      </w:r>
      <w:r w:rsidRPr="00B04004">
        <w:rPr>
          <w:rStyle w:val="mw-headline"/>
        </w:rPr>
        <w:t>monie littéralement apaisante, le charisme participe donc à la coh</w:t>
      </w:r>
      <w:r w:rsidRPr="00B04004">
        <w:rPr>
          <w:rStyle w:val="mw-headline"/>
        </w:rPr>
        <w:t>é</w:t>
      </w:r>
      <w:r w:rsidRPr="00B04004">
        <w:rPr>
          <w:rStyle w:val="mw-headline"/>
        </w:rPr>
        <w:t>sion et au maintien de la société bien autant qu’il la bouleverse d’ailleurs les ruptures éventuelles qu’il inspire n’ont pas uniquement une finalité libératoire mais elles sont bien dest</w:t>
      </w:r>
      <w:r w:rsidRPr="00B04004">
        <w:rPr>
          <w:rStyle w:val="mw-headline"/>
        </w:rPr>
        <w:t>i</w:t>
      </w:r>
      <w:r w:rsidRPr="00B04004">
        <w:rPr>
          <w:rStyle w:val="mw-headline"/>
        </w:rPr>
        <w:t>nées à instituer un nouvel ordre social plus congruent avec l’état en vigueur des visions et des représentations de caractère « transcendant » de l’univers. Ce phénomène ne se limite donc pas au monde du religieux mais opère aussi au sein du domaine temporel, considéré généralement comme libre de tout sacré, le cadre partisan, comme le cadre bureaucratique, autrement dit, au niveau de l’ensemble des institutions légales-rationnelles. Si Edward Shils conçoit à l’instar de Weber que le ch</w:t>
      </w:r>
      <w:r w:rsidRPr="00B04004">
        <w:rPr>
          <w:rStyle w:val="mw-headline"/>
        </w:rPr>
        <w:t>a</w:t>
      </w:r>
      <w:r w:rsidRPr="00B04004">
        <w:rPr>
          <w:rStyle w:val="mw-headline"/>
        </w:rPr>
        <w:t>risme intense, pur, puisse survivre par un processus de ségrégation institutionnelle, il admet parallèlement une résidualité charism</w:t>
      </w:r>
      <w:r w:rsidRPr="00B04004">
        <w:rPr>
          <w:rStyle w:val="mw-headline"/>
        </w:rPr>
        <w:t>a</w:t>
      </w:r>
      <w:r w:rsidRPr="00B04004">
        <w:rPr>
          <w:rStyle w:val="mw-headline"/>
        </w:rPr>
        <w:t>tique sous des formes atténuées et diffuses. La routine, la quotidienneté, dès lors, ne sont pas anti-charismatiques mais servent simplement à ass</w:t>
      </w:r>
      <w:r w:rsidRPr="00B04004">
        <w:rPr>
          <w:rStyle w:val="mw-headline"/>
        </w:rPr>
        <w:t>u</w:t>
      </w:r>
      <w:r w:rsidRPr="00B04004">
        <w:rPr>
          <w:rStyle w:val="mw-headline"/>
        </w:rPr>
        <w:t>rer la cristallisation et la perpétuation d’un ordre répondant à des a</w:t>
      </w:r>
      <w:r w:rsidRPr="00B04004">
        <w:rPr>
          <w:rStyle w:val="mw-headline"/>
        </w:rPr>
        <w:t>t</w:t>
      </w:r>
      <w:r w:rsidRPr="00B04004">
        <w:rPr>
          <w:rStyle w:val="mw-headline"/>
        </w:rPr>
        <w:t>tentes existentielles. En d’autres termes, il n’y a pas de dissipation du charisme. Celui-ci est un élément permanent sous-jacent à toute soci</w:t>
      </w:r>
      <w:r w:rsidRPr="00B04004">
        <w:rPr>
          <w:rStyle w:val="mw-headline"/>
        </w:rPr>
        <w:t>é</w:t>
      </w:r>
      <w:r w:rsidRPr="00B04004">
        <w:rPr>
          <w:rStyle w:val="mw-headline"/>
        </w:rPr>
        <w:t>té ; on pourrait dire qu’il est à celle-ci ce que l’or est à la monnaie.</w:t>
      </w:r>
    </w:p>
    <w:p w14:paraId="73D29E86" w14:textId="77777777" w:rsidR="00B01930" w:rsidRPr="00B04004" w:rsidRDefault="00B01930" w:rsidP="00B01930">
      <w:pPr>
        <w:autoSpaceDE w:val="0"/>
        <w:autoSpaceDN w:val="0"/>
        <w:adjustRightInd w:val="0"/>
        <w:spacing w:before="120" w:after="120"/>
        <w:ind w:right="20"/>
        <w:jc w:val="both"/>
        <w:rPr>
          <w:rStyle w:val="mw-headline"/>
        </w:rPr>
      </w:pPr>
      <w:r w:rsidRPr="00B04004">
        <w:rPr>
          <w:rStyle w:val="mw-headline"/>
        </w:rPr>
        <w:t>Edward Shils attribue la discontinuité existant dans l’analyse w</w:t>
      </w:r>
      <w:r w:rsidRPr="00B04004">
        <w:rPr>
          <w:rStyle w:val="mw-headline"/>
        </w:rPr>
        <w:t>e</w:t>
      </w:r>
      <w:r w:rsidRPr="00B04004">
        <w:rPr>
          <w:rStyle w:val="mw-headline"/>
        </w:rPr>
        <w:t>berienne aux positions épistémologiques de son auteur. Sans doute en effet, par tradition néokantienne, Weber est conduit à privilégier l’unique dans l’histoire. Sa préo</w:t>
      </w:r>
      <w:r w:rsidRPr="00B04004">
        <w:rPr>
          <w:rStyle w:val="mw-headline"/>
        </w:rPr>
        <w:t>c</w:t>
      </w:r>
      <w:r w:rsidRPr="00B04004">
        <w:rPr>
          <w:rStyle w:val="mw-headline"/>
        </w:rPr>
        <w:t>cupation à saisir l’originalité de la société moderne en témoigne clairement. Or l’axe de cette spécificité est précisément la tendance à la rationnalisation, à l’Entzauberung der Welt, c’est-à-dire au désenchantement du monde, un processus ant</w:t>
      </w:r>
      <w:r w:rsidRPr="00B04004">
        <w:rPr>
          <w:rStyle w:val="mw-headline"/>
        </w:rPr>
        <w:t>i</w:t>
      </w:r>
      <w:r w:rsidRPr="00B04004">
        <w:rPr>
          <w:rStyle w:val="mw-headline"/>
        </w:rPr>
        <w:t>thétique du phénomène charismatique. Ceci expliquerait alors l’implicite restriction qui se dégage à la lecture de la conception w</w:t>
      </w:r>
      <w:r w:rsidRPr="00B04004">
        <w:rPr>
          <w:rStyle w:val="mw-headline"/>
        </w:rPr>
        <w:t>e</w:t>
      </w:r>
      <w:r w:rsidRPr="00B04004">
        <w:rPr>
          <w:rStyle w:val="mw-headline"/>
        </w:rPr>
        <w:t>berienne. Et en effet, même si l’hypothèse de résurgences charismat</w:t>
      </w:r>
      <w:r w:rsidRPr="00B04004">
        <w:rPr>
          <w:rStyle w:val="mw-headline"/>
        </w:rPr>
        <w:t>i</w:t>
      </w:r>
      <w:r w:rsidRPr="00B04004">
        <w:rPr>
          <w:rStyle w:val="mw-headline"/>
        </w:rPr>
        <w:t>ques n’est pas écartée – et Weber voit dans celles-ci des parenthèses de créativité et de liberté au sein du carcan bureaucratique – sa vision suggère que le charisme ne serait en fin de compte, pour reprendre la formule de Roger Caillois, qu’« un souvenir des premiers moments de l’humanité »</w:t>
      </w:r>
      <w:r>
        <w:rPr>
          <w:rStyle w:val="mw-headline"/>
        </w:rPr>
        <w:t> </w:t>
      </w:r>
      <w:r>
        <w:rPr>
          <w:rStyle w:val="Appelnotedebasdep"/>
        </w:rPr>
        <w:footnoteReference w:id="1729"/>
      </w:r>
      <w:r w:rsidRPr="00B04004">
        <w:rPr>
          <w:rStyle w:val="mw-headline"/>
        </w:rPr>
        <w:t>.</w:t>
      </w:r>
    </w:p>
    <w:p w14:paraId="7218641A" w14:textId="77777777" w:rsidR="00B01930" w:rsidRPr="00B04004" w:rsidRDefault="00B01930" w:rsidP="00B01930">
      <w:pPr>
        <w:autoSpaceDE w:val="0"/>
        <w:autoSpaceDN w:val="0"/>
        <w:adjustRightInd w:val="0"/>
        <w:spacing w:before="120" w:after="120"/>
        <w:jc w:val="both"/>
        <w:rPr>
          <w:rStyle w:val="mw-headline"/>
        </w:rPr>
      </w:pPr>
      <w:r w:rsidRPr="00B04004">
        <w:rPr>
          <w:rStyle w:val="mw-headline"/>
        </w:rPr>
        <w:t>L’apport d’Edward Shils consiste donc à séparer la notion de ch</w:t>
      </w:r>
      <w:r w:rsidRPr="00B04004">
        <w:rPr>
          <w:rStyle w:val="mw-headline"/>
        </w:rPr>
        <w:t>a</w:t>
      </w:r>
      <w:r w:rsidRPr="00B04004">
        <w:rPr>
          <w:rStyle w:val="mw-headline"/>
        </w:rPr>
        <w:t>risme telle que Weber l’a conçue de la connotation historiciste, évol</w:t>
      </w:r>
      <w:r w:rsidRPr="00B04004">
        <w:rPr>
          <w:rStyle w:val="mw-headline"/>
        </w:rPr>
        <w:t>u</w:t>
      </w:r>
      <w:r w:rsidRPr="00B04004">
        <w:rPr>
          <w:rStyle w:val="mw-headline"/>
        </w:rPr>
        <w:t>tionniste et unilinéaire dans laquelle elle était tenue et à traiter le ch</w:t>
      </w:r>
      <w:r w:rsidRPr="00B04004">
        <w:rPr>
          <w:rStyle w:val="mw-headline"/>
        </w:rPr>
        <w:t>a</w:t>
      </w:r>
      <w:r w:rsidRPr="00B04004">
        <w:rPr>
          <w:rStyle w:val="mw-headline"/>
        </w:rPr>
        <w:t>risme comme un élément intégrant de tout système social qui, pou</w:t>
      </w:r>
      <w:r w:rsidRPr="00B04004">
        <w:rPr>
          <w:rStyle w:val="mw-headline"/>
        </w:rPr>
        <w:t>r</w:t>
      </w:r>
      <w:r w:rsidRPr="00B04004">
        <w:rPr>
          <w:rStyle w:val="mw-headline"/>
        </w:rPr>
        <w:t>rions nous ajouter, ne se situe pas dans une rel</w:t>
      </w:r>
      <w:r w:rsidRPr="00B04004">
        <w:rPr>
          <w:rStyle w:val="mw-headline"/>
        </w:rPr>
        <w:t>a</w:t>
      </w:r>
      <w:r w:rsidRPr="00B04004">
        <w:rPr>
          <w:rStyle w:val="mw-headline"/>
        </w:rPr>
        <w:t>tion de somme zéro avec le processus de rationalisation institutionnelle.</w:t>
      </w:r>
    </w:p>
    <w:p w14:paraId="2CC5292A" w14:textId="77777777" w:rsidR="00B01930" w:rsidRPr="00B04004" w:rsidRDefault="00B01930" w:rsidP="00B01930">
      <w:pPr>
        <w:autoSpaceDE w:val="0"/>
        <w:autoSpaceDN w:val="0"/>
        <w:adjustRightInd w:val="0"/>
        <w:spacing w:before="120" w:after="120"/>
        <w:jc w:val="both"/>
        <w:rPr>
          <w:rStyle w:val="mw-headline"/>
        </w:rPr>
      </w:pPr>
      <w:r w:rsidRPr="00B04004">
        <w:rPr>
          <w:rStyle w:val="mw-headline"/>
        </w:rPr>
        <w:t>Faute d’espace, faute aussi, il convient de le dire, d’une familiar</w:t>
      </w:r>
      <w:r w:rsidRPr="00B04004">
        <w:rPr>
          <w:rStyle w:val="mw-headline"/>
        </w:rPr>
        <w:t>i</w:t>
      </w:r>
      <w:r w:rsidRPr="00B04004">
        <w:rPr>
          <w:rStyle w:val="mw-headline"/>
        </w:rPr>
        <w:t>sation suffisante et plus intime avec la pensée d’Edward Shils – et ce</w:t>
      </w:r>
      <w:r w:rsidRPr="00B04004">
        <w:rPr>
          <w:rStyle w:val="mw-headline"/>
        </w:rPr>
        <w:t>l</w:t>
      </w:r>
      <w:r w:rsidRPr="00B04004">
        <w:rPr>
          <w:rStyle w:val="mw-headline"/>
        </w:rPr>
        <w:t>le-ci pour être assimilée requiert une relecture constante – il ne po</w:t>
      </w:r>
      <w:r w:rsidRPr="00B04004">
        <w:rPr>
          <w:rStyle w:val="mw-headline"/>
        </w:rPr>
        <w:t>u</w:t>
      </w:r>
      <w:r w:rsidRPr="00B04004">
        <w:rPr>
          <w:rStyle w:val="mw-headline"/>
        </w:rPr>
        <w:t>vait être question ici d’épuiser la richesse de sa contribution à l’analyse de cette notion de charisme. Celle-ci renvoie à un phénom</w:t>
      </w:r>
      <w:r w:rsidRPr="00B04004">
        <w:rPr>
          <w:rStyle w:val="mw-headline"/>
        </w:rPr>
        <w:t>è</w:t>
      </w:r>
      <w:r w:rsidRPr="00B04004">
        <w:rPr>
          <w:rStyle w:val="mw-headline"/>
        </w:rPr>
        <w:t>ne complexe et fugitif certes, mais aussi décisif. Et c’est de ce caract</w:t>
      </w:r>
      <w:r w:rsidRPr="00B04004">
        <w:rPr>
          <w:rStyle w:val="mw-headline"/>
        </w:rPr>
        <w:t>è</w:t>
      </w:r>
      <w:r w:rsidRPr="00B04004">
        <w:rPr>
          <w:rStyle w:val="mw-headline"/>
        </w:rPr>
        <w:t>re que la réflexion d’Edward Shils parvient à nous convaincre. Dans un sens, elle nous aide à réaliser pour recourir à l’analogie linguistique que le charisme constitue bien l’un des radicaux du phénomène de société.</w:t>
      </w:r>
    </w:p>
    <w:p w14:paraId="22C90381" w14:textId="77777777" w:rsidR="00B01930" w:rsidRDefault="00B01930" w:rsidP="00B01930">
      <w:pPr>
        <w:autoSpaceDE w:val="0"/>
        <w:autoSpaceDN w:val="0"/>
        <w:adjustRightInd w:val="0"/>
        <w:spacing w:before="120" w:after="120"/>
        <w:ind w:right="14"/>
        <w:jc w:val="both"/>
        <w:rPr>
          <w:rStyle w:val="mw-headline"/>
        </w:rPr>
      </w:pPr>
      <w:r w:rsidRPr="00B04004">
        <w:rPr>
          <w:rStyle w:val="mw-headline"/>
        </w:rPr>
        <w:t>L’article présenté ici n’est d’ailleurs qu’un moment d’une r</w:t>
      </w:r>
      <w:r w:rsidRPr="00B04004">
        <w:rPr>
          <w:rStyle w:val="mw-headline"/>
        </w:rPr>
        <w:t>é</w:t>
      </w:r>
      <w:r w:rsidRPr="00B04004">
        <w:rPr>
          <w:rStyle w:val="mw-headline"/>
        </w:rPr>
        <w:t>flexion qui s’est déployée dans une série d’écrits qu’il serait nécessa</w:t>
      </w:r>
      <w:r w:rsidRPr="00B04004">
        <w:rPr>
          <w:rStyle w:val="mw-headline"/>
        </w:rPr>
        <w:t>i</w:t>
      </w:r>
      <w:r w:rsidRPr="00B04004">
        <w:rPr>
          <w:rStyle w:val="mw-headline"/>
        </w:rPr>
        <w:t>re, pour ne pas dire urgent, de traduire et auxquels le lecteur voudra bien se reporter afin de saisir toutes les potentialités d’une analyse à laquelle tout résumé ne peut que faire violence</w:t>
      </w:r>
    </w:p>
    <w:p w14:paraId="14983E23" w14:textId="77777777" w:rsidR="00B01930" w:rsidRPr="00B04004" w:rsidRDefault="00B01930" w:rsidP="00B01930">
      <w:pPr>
        <w:autoSpaceDE w:val="0"/>
        <w:autoSpaceDN w:val="0"/>
        <w:adjustRightInd w:val="0"/>
        <w:spacing w:before="120" w:after="120"/>
        <w:ind w:right="20"/>
        <w:jc w:val="both"/>
        <w:rPr>
          <w:rStyle w:val="mw-headline"/>
        </w:rPr>
      </w:pPr>
    </w:p>
    <w:p w14:paraId="2F948920" w14:textId="77777777" w:rsidR="00B01930" w:rsidRPr="00B04004" w:rsidRDefault="00B01930" w:rsidP="00B01930">
      <w:pPr>
        <w:pBdr>
          <w:top w:val="single" w:sz="12" w:space="1" w:color="auto"/>
        </w:pBdr>
        <w:autoSpaceDE w:val="0"/>
        <w:autoSpaceDN w:val="0"/>
        <w:adjustRightInd w:val="0"/>
        <w:spacing w:before="120" w:after="120"/>
        <w:ind w:left="1350" w:right="1440" w:firstLine="0"/>
        <w:jc w:val="center"/>
        <w:rPr>
          <w:rStyle w:val="mw-headline"/>
        </w:rPr>
      </w:pPr>
    </w:p>
    <w:p w14:paraId="705D643E" w14:textId="77777777" w:rsidR="00B01930" w:rsidRPr="00B832D9" w:rsidRDefault="00B01930" w:rsidP="00B01930">
      <w:pPr>
        <w:jc w:val="center"/>
        <w:rPr>
          <w:rStyle w:val="mw-headline"/>
          <w:sz w:val="48"/>
        </w:rPr>
      </w:pPr>
      <w:r w:rsidRPr="00B832D9">
        <w:rPr>
          <w:rStyle w:val="mw-headline"/>
          <w:sz w:val="48"/>
        </w:rPr>
        <w:t>LE CHARISME</w:t>
      </w:r>
    </w:p>
    <w:p w14:paraId="49DB93A3" w14:textId="77777777" w:rsidR="00B01930" w:rsidRDefault="00B01930" w:rsidP="00B01930">
      <w:pPr>
        <w:autoSpaceDE w:val="0"/>
        <w:autoSpaceDN w:val="0"/>
        <w:adjustRightInd w:val="0"/>
        <w:spacing w:before="120" w:after="120"/>
        <w:jc w:val="right"/>
        <w:rPr>
          <w:rStyle w:val="mw-headline"/>
        </w:rPr>
      </w:pPr>
    </w:p>
    <w:p w14:paraId="07BBAA76" w14:textId="77777777" w:rsidR="00B01930" w:rsidRPr="00B04004" w:rsidRDefault="00B01930" w:rsidP="00B01930">
      <w:pPr>
        <w:autoSpaceDE w:val="0"/>
        <w:autoSpaceDN w:val="0"/>
        <w:adjustRightInd w:val="0"/>
        <w:spacing w:before="120" w:after="120"/>
        <w:jc w:val="right"/>
        <w:rPr>
          <w:rStyle w:val="mw-headline"/>
        </w:rPr>
      </w:pPr>
      <w:r w:rsidRPr="00B04004">
        <w:rPr>
          <w:rStyle w:val="mw-headline"/>
        </w:rPr>
        <w:t>Par Edward Shils</w:t>
      </w:r>
    </w:p>
    <w:p w14:paraId="458726F7" w14:textId="77777777" w:rsidR="00B01930" w:rsidRPr="00B04004" w:rsidRDefault="00B01930" w:rsidP="00B01930">
      <w:pPr>
        <w:autoSpaceDE w:val="0"/>
        <w:autoSpaceDN w:val="0"/>
        <w:adjustRightInd w:val="0"/>
        <w:spacing w:before="120" w:after="120"/>
        <w:jc w:val="both"/>
        <w:rPr>
          <w:rStyle w:val="mw-headline"/>
        </w:rPr>
      </w:pPr>
    </w:p>
    <w:p w14:paraId="6CEEB11D" w14:textId="77777777" w:rsidR="00B01930" w:rsidRPr="00B04004" w:rsidRDefault="00B01930" w:rsidP="00B01930">
      <w:pPr>
        <w:autoSpaceDE w:val="0"/>
        <w:autoSpaceDN w:val="0"/>
        <w:adjustRightInd w:val="0"/>
        <w:spacing w:before="120" w:after="120"/>
        <w:jc w:val="both"/>
        <w:rPr>
          <w:rStyle w:val="mw-headline"/>
        </w:rPr>
      </w:pPr>
      <w:r w:rsidRPr="00B04004">
        <w:rPr>
          <w:rStyle w:val="mw-headline"/>
        </w:rPr>
        <w:t>Dans toute société, le status (deference)</w:t>
      </w:r>
      <w:r>
        <w:rPr>
          <w:rStyle w:val="mw-headline"/>
        </w:rPr>
        <w:t> </w:t>
      </w:r>
      <w:r>
        <w:rPr>
          <w:rStyle w:val="Appelnotedebasdep"/>
        </w:rPr>
        <w:footnoteReference w:id="1730"/>
      </w:r>
      <w:r w:rsidRPr="00B04004">
        <w:rPr>
          <w:rStyle w:val="mw-headline"/>
        </w:rPr>
        <w:t xml:space="preserve"> dévolu aux fonctions d’autorité, à leurs détenteurs et aux normes qu’elles promulguent, r</w:t>
      </w:r>
      <w:r w:rsidRPr="00B04004">
        <w:rPr>
          <w:rStyle w:val="mw-headline"/>
        </w:rPr>
        <w:t>e</w:t>
      </w:r>
      <w:r w:rsidRPr="00B04004">
        <w:rPr>
          <w:rStyle w:val="mw-headline"/>
        </w:rPr>
        <w:t>pose sur leur capacité à créer à maintenir et à transformer l’ordre s</w:t>
      </w:r>
      <w:r w:rsidRPr="00B04004">
        <w:rPr>
          <w:rStyle w:val="mw-headline"/>
        </w:rPr>
        <w:t>o</w:t>
      </w:r>
      <w:r w:rsidRPr="00B04004">
        <w:rPr>
          <w:rStyle w:val="mw-headline"/>
        </w:rPr>
        <w:t>cial. Dans toute société, on observe à certains moments chez la plupart des êtres une tendance à prendre conscience, par delà des événements immédiats et particuliers, des forces, des principes et des puissances qui gouvernent l’immédiat et le singulier et qui imposent la nécessité de l’ordre. Qui les embrasse. Ce que l’on tient pour ces forces tran</w:t>
      </w:r>
      <w:r w:rsidRPr="00B04004">
        <w:rPr>
          <w:rStyle w:val="mw-headline"/>
        </w:rPr>
        <w:t>s</w:t>
      </w:r>
      <w:r w:rsidRPr="00B04004">
        <w:rPr>
          <w:rStyle w:val="mw-headline"/>
        </w:rPr>
        <w:t>cendantes, se manifestant dans l’ordre naturel et social comme dans les types de normes qui définissent l’agencement des actions huma</w:t>
      </w:r>
      <w:r w:rsidRPr="00B04004">
        <w:rPr>
          <w:rStyle w:val="mw-headline"/>
        </w:rPr>
        <w:t>i</w:t>
      </w:r>
      <w:r w:rsidRPr="00B04004">
        <w:rPr>
          <w:rStyle w:val="mw-headline"/>
        </w:rPr>
        <w:t>nes est l’objet d’une attention et d’un respect particulièrement inte</w:t>
      </w:r>
      <w:r w:rsidRPr="00B04004">
        <w:rPr>
          <w:rStyle w:val="mw-headline"/>
        </w:rPr>
        <w:t>n</w:t>
      </w:r>
      <w:r w:rsidRPr="00B04004">
        <w:rPr>
          <w:rStyle w:val="mw-headline"/>
        </w:rPr>
        <w:t>ses. Lorsque des institutions, des rôles, des individus, des normes ou des symboles sont considérés comme étant liés à ces forces et impr</w:t>
      </w:r>
      <w:r w:rsidRPr="00B04004">
        <w:rPr>
          <w:rStyle w:val="mw-headline"/>
        </w:rPr>
        <w:t>é</w:t>
      </w:r>
      <w:r w:rsidRPr="00B04004">
        <w:rPr>
          <w:rStyle w:val="mw-headline"/>
        </w:rPr>
        <w:t>gnés d’elles, on dit qu’ils sont de nature charismatique.</w:t>
      </w:r>
    </w:p>
    <w:p w14:paraId="1C0D8825" w14:textId="77777777" w:rsidR="00B01930" w:rsidRPr="00B04004" w:rsidRDefault="00B01930" w:rsidP="00B01930">
      <w:pPr>
        <w:autoSpaceDE w:val="0"/>
        <w:autoSpaceDN w:val="0"/>
        <w:adjustRightInd w:val="0"/>
        <w:spacing w:before="120" w:after="120"/>
        <w:jc w:val="both"/>
        <w:rPr>
          <w:rStyle w:val="mw-headline"/>
        </w:rPr>
      </w:pPr>
      <w:r w:rsidRPr="00B04004">
        <w:rPr>
          <w:rStyle w:val="mw-headline"/>
        </w:rPr>
        <w:t>Le charisme par conséquent est une qualité attribuée à des indiv</w:t>
      </w:r>
      <w:r w:rsidRPr="00B04004">
        <w:rPr>
          <w:rStyle w:val="mw-headline"/>
        </w:rPr>
        <w:t>i</w:t>
      </w:r>
      <w:r w:rsidRPr="00B04004">
        <w:rPr>
          <w:rStyle w:val="mw-headline"/>
        </w:rPr>
        <w:t>dus, à des actions, à des fonctions, à des institutions, à des symboles et à des objets matériels en raison de leur rapport présumé avec les pui</w:t>
      </w:r>
      <w:r w:rsidRPr="00B04004">
        <w:rPr>
          <w:rStyle w:val="mw-headline"/>
        </w:rPr>
        <w:t>s</w:t>
      </w:r>
      <w:r w:rsidRPr="00B04004">
        <w:rPr>
          <w:rStyle w:val="mw-headline"/>
        </w:rPr>
        <w:t>sances « ultimes » « fondamentales » « vitales » fondatrices d’un o</w:t>
      </w:r>
      <w:r w:rsidRPr="00B04004">
        <w:rPr>
          <w:rStyle w:val="mw-headline"/>
        </w:rPr>
        <w:t>r</w:t>
      </w:r>
      <w:r w:rsidRPr="00B04004">
        <w:rPr>
          <w:rStyle w:val="mw-headline"/>
        </w:rPr>
        <w:t>dre. Cette supposée connexité avec les finalités « décisives » de l’univers et de la vie humaine est jugée comme une qualité ou un état qui s’incarne dans l’attitude ou la conduite et dans les actions de pe</w:t>
      </w:r>
      <w:r w:rsidRPr="00B04004">
        <w:rPr>
          <w:rStyle w:val="mw-headline"/>
        </w:rPr>
        <w:t>r</w:t>
      </w:r>
      <w:r w:rsidRPr="00B04004">
        <w:rPr>
          <w:rStyle w:val="mw-headline"/>
        </w:rPr>
        <w:t>sonnes individuelles elle est aussi considérée comme inhérente à tels rôles ou à telles collectivités. Elle peut être perçue comme existant sous une forme intense et concentrée au sein de certaines institutions, de certaines fonctions et chez certains individus – ou groupes d’individus. Elle peut l’être encore sous une forme atténuée et diff</w:t>
      </w:r>
      <w:r w:rsidRPr="00B04004">
        <w:rPr>
          <w:rStyle w:val="mw-headline"/>
        </w:rPr>
        <w:t>u</w:t>
      </w:r>
      <w:r w:rsidRPr="00B04004">
        <w:rPr>
          <w:rStyle w:val="mw-headline"/>
        </w:rPr>
        <w:t>se. »</w:t>
      </w:r>
    </w:p>
    <w:p w14:paraId="4E2CA86A" w14:textId="77777777" w:rsidR="00B01930" w:rsidRPr="00B04004" w:rsidRDefault="00B01930" w:rsidP="00B01930">
      <w:pPr>
        <w:autoSpaceDE w:val="0"/>
        <w:autoSpaceDN w:val="0"/>
        <w:adjustRightInd w:val="0"/>
        <w:spacing w:before="120" w:after="120"/>
        <w:jc w:val="both"/>
        <w:rPr>
          <w:rStyle w:val="mw-headline"/>
        </w:rPr>
      </w:pPr>
      <w:r w:rsidRPr="00B04004">
        <w:rPr>
          <w:rStyle w:val="mw-headline"/>
        </w:rPr>
        <w:t>Cette tendance à la recherche d’un contact avec les puissances su</w:t>
      </w:r>
      <w:r w:rsidRPr="00B04004">
        <w:rPr>
          <w:rStyle w:val="mw-headline"/>
        </w:rPr>
        <w:t>r</w:t>
      </w:r>
      <w:r w:rsidRPr="00B04004">
        <w:rPr>
          <w:rStyle w:val="mw-headline"/>
        </w:rPr>
        <w:t>naturelles et à l’imputation de dons charismatiques varie dans toute société ; elle est très prononcée chez certains êtres, faible chez d’autres. Elle change aussi au cours de l’existence des individus et de l’histoire des sociétés. Telle société se caractérise par une plus grande récurrence des formes intenses et concentrées de charisme telle autre par une plus grande fréquence des formes atténuées et diffuses de ch</w:t>
      </w:r>
      <w:r w:rsidRPr="00B04004">
        <w:rPr>
          <w:rStyle w:val="mw-headline"/>
        </w:rPr>
        <w:t>a</w:t>
      </w:r>
      <w:r w:rsidRPr="00B04004">
        <w:rPr>
          <w:rStyle w:val="mw-headline"/>
        </w:rPr>
        <w:t>risme. Les deux types existent en proportions variées dans toute soci</w:t>
      </w:r>
      <w:r w:rsidRPr="00B04004">
        <w:rPr>
          <w:rStyle w:val="mw-headline"/>
        </w:rPr>
        <w:t>é</w:t>
      </w:r>
      <w:r w:rsidRPr="00B04004">
        <w:rPr>
          <w:rStyle w:val="mw-headline"/>
        </w:rPr>
        <w:t>té.</w:t>
      </w:r>
    </w:p>
    <w:p w14:paraId="2245D475" w14:textId="77777777" w:rsidR="00B01930" w:rsidRPr="00B04004" w:rsidRDefault="00B01930" w:rsidP="00B01930">
      <w:pPr>
        <w:autoSpaceDE w:val="0"/>
        <w:autoSpaceDN w:val="0"/>
        <w:adjustRightInd w:val="0"/>
        <w:spacing w:before="120" w:after="120"/>
        <w:jc w:val="both"/>
        <w:rPr>
          <w:rStyle w:val="mw-headline"/>
        </w:rPr>
      </w:pPr>
    </w:p>
    <w:p w14:paraId="6BF46032" w14:textId="77777777" w:rsidR="00B01930" w:rsidRPr="00B832D9" w:rsidRDefault="00B01930" w:rsidP="00B01930">
      <w:pPr>
        <w:pStyle w:val="planche"/>
        <w:rPr>
          <w:rStyle w:val="mw-headline"/>
        </w:rPr>
      </w:pPr>
      <w:r w:rsidRPr="00B832D9">
        <w:rPr>
          <w:rStyle w:val="mw-headline"/>
        </w:rPr>
        <w:t>Les formes de charisme intense et concentré</w:t>
      </w:r>
    </w:p>
    <w:p w14:paraId="191B5A3F" w14:textId="77777777" w:rsidR="00B01930" w:rsidRPr="00B04004" w:rsidRDefault="00B01930" w:rsidP="00B01930">
      <w:pPr>
        <w:autoSpaceDE w:val="0"/>
        <w:autoSpaceDN w:val="0"/>
        <w:adjustRightInd w:val="0"/>
        <w:spacing w:before="120" w:after="120"/>
        <w:ind w:left="160"/>
        <w:jc w:val="both"/>
        <w:rPr>
          <w:rStyle w:val="mw-headline"/>
        </w:rPr>
      </w:pPr>
    </w:p>
    <w:p w14:paraId="4961F4EF" w14:textId="77777777" w:rsidR="00B01930" w:rsidRPr="00B04004" w:rsidRDefault="00B01930" w:rsidP="00B01930">
      <w:pPr>
        <w:autoSpaceDE w:val="0"/>
        <w:autoSpaceDN w:val="0"/>
        <w:adjustRightInd w:val="0"/>
        <w:spacing w:before="120" w:after="120"/>
        <w:jc w:val="both"/>
        <w:rPr>
          <w:rStyle w:val="mw-headline"/>
        </w:rPr>
      </w:pPr>
      <w:r w:rsidRPr="00B04004">
        <w:rPr>
          <w:rStyle w:val="mw-headline"/>
        </w:rPr>
        <w:t>Cette prédisposition à l’attribution de qualité charismatique exi</w:t>
      </w:r>
      <w:r w:rsidRPr="00B04004">
        <w:rPr>
          <w:rStyle w:val="mw-headline"/>
        </w:rPr>
        <w:t>s</w:t>
      </w:r>
      <w:r w:rsidRPr="00B04004">
        <w:rPr>
          <w:rStyle w:val="mw-headline"/>
        </w:rPr>
        <w:t>te en puissance au niveau des orientations morales, cognitives et expre</w:t>
      </w:r>
      <w:r w:rsidRPr="00B04004">
        <w:rPr>
          <w:rStyle w:val="mw-headline"/>
        </w:rPr>
        <w:t>s</w:t>
      </w:r>
      <w:r w:rsidRPr="00B04004">
        <w:rPr>
          <w:rStyle w:val="mw-headline"/>
        </w:rPr>
        <w:t>sives de l’être humain. La recherche du contact avec les puissa</w:t>
      </w:r>
      <w:r w:rsidRPr="00B04004">
        <w:rPr>
          <w:rStyle w:val="mw-headline"/>
        </w:rPr>
        <w:t>n</w:t>
      </w:r>
      <w:r w:rsidRPr="00B04004">
        <w:rPr>
          <w:rStyle w:val="mw-headline"/>
        </w:rPr>
        <w:t>ces transcendantes et l’imputation du charisme constituent une te</w:t>
      </w:r>
      <w:r w:rsidRPr="00B04004">
        <w:rPr>
          <w:rStyle w:val="mw-headline"/>
        </w:rPr>
        <w:t>n</w:t>
      </w:r>
      <w:r w:rsidRPr="00B04004">
        <w:rPr>
          <w:rStyle w:val="mw-headline"/>
        </w:rPr>
        <w:t>dance enracinée dans la structure neurale de l’organisme humain. L’intensité avec laquelle elle est ressentie et la force de ses motivations dépe</w:t>
      </w:r>
      <w:r w:rsidRPr="00B04004">
        <w:rPr>
          <w:rStyle w:val="mw-headline"/>
        </w:rPr>
        <w:t>n</w:t>
      </w:r>
      <w:r w:rsidRPr="00B04004">
        <w:rPr>
          <w:rStyle w:val="mw-headline"/>
        </w:rPr>
        <w:t>dent aussi des exigences du moment et de la culture dom</w:t>
      </w:r>
      <w:r w:rsidRPr="00B04004">
        <w:rPr>
          <w:rStyle w:val="mw-headline"/>
        </w:rPr>
        <w:t>i</w:t>
      </w:r>
      <w:r w:rsidRPr="00B04004">
        <w:rPr>
          <w:rStyle w:val="mw-headline"/>
        </w:rPr>
        <w:t>nante. Elle peut être délibérément entretenue par isolement à l’égard de l’environnement quotidien, par l’éducation ou par la discipline pe</w:t>
      </w:r>
      <w:r w:rsidRPr="00B04004">
        <w:rPr>
          <w:rStyle w:val="mw-headline"/>
        </w:rPr>
        <w:t>r</w:t>
      </w:r>
      <w:r w:rsidRPr="00B04004">
        <w:rPr>
          <w:rStyle w:val="mw-headline"/>
        </w:rPr>
        <w:t>sonnelle. Elle peut avoir une valeur telle que l’individu est enclin à la laisser dominer sa sensibilité. Une culture peut encourager la reche</w:t>
      </w:r>
      <w:r w:rsidRPr="00B04004">
        <w:rPr>
          <w:rStyle w:val="mw-headline"/>
        </w:rPr>
        <w:t>r</w:t>
      </w:r>
      <w:r w:rsidRPr="00B04004">
        <w:rPr>
          <w:rStyle w:val="mw-headline"/>
        </w:rPr>
        <w:t>che des signes et des qualités charismatiques en concentrant l’attention sur ceux-ci en prévoyant des règles destinées à leur inte</w:t>
      </w:r>
      <w:r w:rsidRPr="00B04004">
        <w:rPr>
          <w:rStyle w:val="mw-headline"/>
        </w:rPr>
        <w:t>r</w:t>
      </w:r>
      <w:r w:rsidRPr="00B04004">
        <w:rPr>
          <w:rStyle w:val="mw-headline"/>
        </w:rPr>
        <w:t>prétation et en incitant à la valorisation de leur possession.</w:t>
      </w:r>
    </w:p>
    <w:p w14:paraId="4DFE4AB1" w14:textId="77777777" w:rsidR="00B01930" w:rsidRPr="00B04004" w:rsidRDefault="00B01930" w:rsidP="00B01930">
      <w:pPr>
        <w:autoSpaceDE w:val="0"/>
        <w:autoSpaceDN w:val="0"/>
        <w:adjustRightInd w:val="0"/>
        <w:spacing w:before="120" w:after="120"/>
        <w:ind w:left="40" w:right="80"/>
        <w:jc w:val="both"/>
        <w:rPr>
          <w:rStyle w:val="mw-headline"/>
        </w:rPr>
      </w:pPr>
      <w:r w:rsidRPr="00B04004">
        <w:rPr>
          <w:rStyle w:val="mw-headline"/>
        </w:rPr>
        <w:t>Quels que soient ses fondements – neuraux, situationnels, cult</w:t>
      </w:r>
      <w:r w:rsidRPr="00B04004">
        <w:rPr>
          <w:rStyle w:val="mw-headline"/>
        </w:rPr>
        <w:t>u</w:t>
      </w:r>
      <w:r w:rsidRPr="00B04004">
        <w:rPr>
          <w:rStyle w:val="mw-headline"/>
        </w:rPr>
        <w:t>rels ou toute combinaison entre ceux-ci – cette disposition à l’attribution du charisme se traduit, par une expérience subjective de possession charismatique ou par une émotion réactive à l’égard de cette sensation qui se manifeste dans l’attitude, les discours et les a</w:t>
      </w:r>
      <w:r w:rsidRPr="00B04004">
        <w:rPr>
          <w:rStyle w:val="mw-headline"/>
        </w:rPr>
        <w:t>c</w:t>
      </w:r>
      <w:r w:rsidRPr="00B04004">
        <w:rPr>
          <w:rStyle w:val="mw-headline"/>
        </w:rPr>
        <w:t>tions d’autres individus et d’autres institutions, ceci lorsqu’elle est assez intense pour chercher à atteindre par delà le présent immédiat, le particulier et le sensible, les catégories et les modèles plus unive</w:t>
      </w:r>
      <w:r w:rsidRPr="00B04004">
        <w:rPr>
          <w:rStyle w:val="mw-headline"/>
        </w:rPr>
        <w:t>r</w:t>
      </w:r>
      <w:r w:rsidRPr="00B04004">
        <w:rPr>
          <w:rStyle w:val="mw-headline"/>
        </w:rPr>
        <w:t>sels qui sous-tendent et engendrent les vicissitudes de l’existence humaine. On qualifiera de charismatiques ceux qui éprouvent un se</w:t>
      </w:r>
      <w:r w:rsidRPr="00B04004">
        <w:rPr>
          <w:rStyle w:val="mw-headline"/>
        </w:rPr>
        <w:t>n</w:t>
      </w:r>
      <w:r w:rsidRPr="00B04004">
        <w:rPr>
          <w:rStyle w:val="mw-headline"/>
        </w:rPr>
        <w:t>timent subjectif puissant de leur propre vertu charismatique et qui de plus se la voient reconnue par d’autres. Chez les personnes charism</w:t>
      </w:r>
      <w:r w:rsidRPr="00B04004">
        <w:rPr>
          <w:rStyle w:val="mw-headline"/>
        </w:rPr>
        <w:t>a</w:t>
      </w:r>
      <w:r w:rsidRPr="00B04004">
        <w:rPr>
          <w:rStyle w:val="mw-headline"/>
        </w:rPr>
        <w:t>tiques, cette sensation est l’objet d’une expérience directe, chez les autres, elle est seulement « médiatisée » par des personnalités ou des institutions intensément et hautement charismatiques. On appellera autorité charismatique, l’autorité émanant de ces individus ayant une « expérience » directe du charisme, supérieure à celle de tous les a</w:t>
      </w:r>
      <w:r w:rsidRPr="00B04004">
        <w:rPr>
          <w:rStyle w:val="mw-headline"/>
        </w:rPr>
        <w:t>u</w:t>
      </w:r>
      <w:r w:rsidRPr="00B04004">
        <w:rPr>
          <w:rStyle w:val="mw-headline"/>
        </w:rPr>
        <w:t>tres membres de la société qui n’en ont qu’une expérience médiat</w:t>
      </w:r>
      <w:r w:rsidRPr="00B04004">
        <w:rPr>
          <w:rStyle w:val="mw-headline"/>
        </w:rPr>
        <w:t>i</w:t>
      </w:r>
      <w:r w:rsidRPr="00B04004">
        <w:rPr>
          <w:rStyle w:val="mw-headline"/>
        </w:rPr>
        <w:t>sée.</w:t>
      </w:r>
    </w:p>
    <w:p w14:paraId="2F844849" w14:textId="77777777" w:rsidR="00B01930" w:rsidRPr="00B04004" w:rsidRDefault="00B01930" w:rsidP="00B01930">
      <w:pPr>
        <w:autoSpaceDE w:val="0"/>
        <w:autoSpaceDN w:val="0"/>
        <w:adjustRightInd w:val="0"/>
        <w:spacing w:before="120" w:after="120"/>
        <w:ind w:right="200"/>
        <w:jc w:val="both"/>
        <w:rPr>
          <w:rStyle w:val="mw-headline"/>
        </w:rPr>
      </w:pPr>
      <w:r w:rsidRPr="00B04004">
        <w:rPr>
          <w:rStyle w:val="mw-headline"/>
        </w:rPr>
        <w:t>La notion de charisme est tirée d’une référence dans les Cori</w:t>
      </w:r>
      <w:r w:rsidRPr="00B04004">
        <w:rPr>
          <w:rStyle w:val="mw-headline"/>
        </w:rPr>
        <w:t>n</w:t>
      </w:r>
      <w:r w:rsidRPr="00B04004">
        <w:rPr>
          <w:rStyle w:val="mw-headline"/>
        </w:rPr>
        <w:t>thiens, II, qui décrit les manifestations sous lesquelles apparaissent les dons de grâce divine. Elle a été reprise par Rudolf Sohm dans son analyse relative à la transformation de la communauté chrétie</w:t>
      </w:r>
      <w:r w:rsidRPr="00B04004">
        <w:rPr>
          <w:rStyle w:val="mw-headline"/>
        </w:rPr>
        <w:t>n</w:t>
      </w:r>
      <w:r w:rsidRPr="00B04004">
        <w:rPr>
          <w:rStyle w:val="mw-headline"/>
        </w:rPr>
        <w:t>ne primitive en l’Église romaine catholique</w:t>
      </w:r>
      <w:r>
        <w:rPr>
          <w:rStyle w:val="mw-headline"/>
        </w:rPr>
        <w:t> </w:t>
      </w:r>
      <w:r>
        <w:rPr>
          <w:rStyle w:val="Appelnotedebasdep"/>
        </w:rPr>
        <w:footnoteReference w:id="1731"/>
      </w:r>
      <w:r w:rsidRPr="00B04004">
        <w:rPr>
          <w:rStyle w:val="mw-headline"/>
        </w:rPr>
        <w:t> ; l’accent portait là, sur une « institution charismatique ». Le concept subit sa plus importa</w:t>
      </w:r>
      <w:r w:rsidRPr="00B04004">
        <w:rPr>
          <w:rStyle w:val="mw-headline"/>
        </w:rPr>
        <w:t>n</w:t>
      </w:r>
      <w:r w:rsidRPr="00B04004">
        <w:rPr>
          <w:rStyle w:val="mw-headline"/>
        </w:rPr>
        <w:t>te extension et reformulation dans les écrits de Max Weber</w:t>
      </w:r>
      <w:r>
        <w:rPr>
          <w:rStyle w:val="mw-headline"/>
        </w:rPr>
        <w:t> </w:t>
      </w:r>
      <w:r>
        <w:rPr>
          <w:rStyle w:val="Appelnotedebasdep"/>
        </w:rPr>
        <w:footnoteReference w:id="1732"/>
      </w:r>
      <w:r w:rsidRPr="00B04004">
        <w:rPr>
          <w:rStyle w:val="mw-headline"/>
        </w:rPr>
        <w:t>. C</w:t>
      </w:r>
      <w:r w:rsidRPr="00B04004">
        <w:rPr>
          <w:rStyle w:val="mw-headline"/>
        </w:rPr>
        <w:t>e</w:t>
      </w:r>
      <w:r w:rsidRPr="00B04004">
        <w:rPr>
          <w:rStyle w:val="mw-headline"/>
        </w:rPr>
        <w:t>lui-ci concevait le charisme comme une vertu reconnue à de grands i</w:t>
      </w:r>
      <w:r w:rsidRPr="00B04004">
        <w:rPr>
          <w:rStyle w:val="mw-headline"/>
        </w:rPr>
        <w:t>n</w:t>
      </w:r>
      <w:r w:rsidRPr="00B04004">
        <w:rPr>
          <w:rStyle w:val="mw-headline"/>
        </w:rPr>
        <w:t>novateurs qui remettent en cause les systèmes d’autorité de légitim</w:t>
      </w:r>
      <w:r w:rsidRPr="00B04004">
        <w:rPr>
          <w:rStyle w:val="mw-headline"/>
        </w:rPr>
        <w:t>i</w:t>
      </w:r>
      <w:r w:rsidRPr="00B04004">
        <w:rPr>
          <w:rStyle w:val="mw-headline"/>
        </w:rPr>
        <w:t>té traditionnelle et légale-rationnelle et qui établissent, ou aspirent à établir un système d’autorité prétendant se légitimer par l’expérience directe de la grâce divine Weber applique aussi le concept à des pe</w:t>
      </w:r>
      <w:r w:rsidRPr="00B04004">
        <w:rPr>
          <w:rStyle w:val="mw-headline"/>
        </w:rPr>
        <w:t>r</w:t>
      </w:r>
      <w:r w:rsidRPr="00B04004">
        <w:rPr>
          <w:rStyle w:val="mw-headline"/>
        </w:rPr>
        <w:t>sonnalités innovatrices créatives et communicat</w:t>
      </w:r>
      <w:r w:rsidRPr="00B04004">
        <w:rPr>
          <w:rStyle w:val="mw-headline"/>
        </w:rPr>
        <w:t>i</w:t>
      </w:r>
      <w:r w:rsidRPr="00B04004">
        <w:rPr>
          <w:rStyle w:val="mw-headline"/>
        </w:rPr>
        <w:t>ves, regardées comme étant « hors de l’ordinaire » même si elles ne prétendent ni posséder la grâce divine, ni se la voir attribuée.</w:t>
      </w:r>
    </w:p>
    <w:p w14:paraId="00D5E626" w14:textId="77777777" w:rsidR="00B01930" w:rsidRPr="00B04004" w:rsidRDefault="00B01930" w:rsidP="00B01930">
      <w:pPr>
        <w:autoSpaceDE w:val="0"/>
        <w:autoSpaceDN w:val="0"/>
        <w:adjustRightInd w:val="0"/>
        <w:spacing w:before="120" w:after="120"/>
        <w:ind w:left="20"/>
        <w:jc w:val="both"/>
        <w:rPr>
          <w:rStyle w:val="mw-headline"/>
        </w:rPr>
      </w:pPr>
      <w:r w:rsidRPr="00B04004">
        <w:rPr>
          <w:rStyle w:val="mw-headline"/>
        </w:rPr>
        <w:t>Selon la terminologie de Weber le caractère charismatique peut être reconnu à des prophètes ou à des réformateurs religieux, à des leaders politiques ambitieux, à des héros militaires audacieux et à des sages dont l’exemple et la maîtrise offrent un modèle de conduite à leurs disciples. Chez de telles personnalités, on considère que cette qualité se manifeste sous des formes extrêmes de passion et d’intensité ou bien de passivité volontaire, dans des extrêmes de po</w:t>
      </w:r>
      <w:r w:rsidRPr="00B04004">
        <w:rPr>
          <w:rStyle w:val="mw-headline"/>
        </w:rPr>
        <w:t>s</w:t>
      </w:r>
      <w:r w:rsidRPr="00B04004">
        <w:rPr>
          <w:rStyle w:val="mw-headline"/>
        </w:rPr>
        <w:t>session exultante ou sereine. Elle est reconnue à des personnalités i</w:t>
      </w:r>
      <w:r w:rsidRPr="00B04004">
        <w:rPr>
          <w:rStyle w:val="mw-headline"/>
        </w:rPr>
        <w:t>n</w:t>
      </w:r>
      <w:r w:rsidRPr="00B04004">
        <w:rPr>
          <w:rStyle w:val="mw-headline"/>
        </w:rPr>
        <w:t>fluentes qui prennent de l’ascendant sur les autres par leur irrésistible énergie ou par un état intérieur exemplaire que traduit la sérénité de leur comportement.</w:t>
      </w:r>
    </w:p>
    <w:p w14:paraId="28EAFA2D" w14:textId="77777777" w:rsidR="00B01930" w:rsidRPr="00B04004" w:rsidRDefault="00B01930" w:rsidP="00B01930">
      <w:pPr>
        <w:autoSpaceDE w:val="0"/>
        <w:autoSpaceDN w:val="0"/>
        <w:adjustRightInd w:val="0"/>
        <w:spacing w:before="120" w:after="120"/>
        <w:ind w:left="20"/>
        <w:jc w:val="both"/>
        <w:rPr>
          <w:rStyle w:val="mw-headline"/>
        </w:rPr>
      </w:pPr>
      <w:r w:rsidRPr="00B04004">
        <w:rPr>
          <w:rStyle w:val="mw-headline"/>
        </w:rPr>
        <w:t>La rareté statistique seule ne préjuge pas du « caractère extraord</w:t>
      </w:r>
      <w:r w:rsidRPr="00B04004">
        <w:rPr>
          <w:rStyle w:val="mw-headline"/>
        </w:rPr>
        <w:t>i</w:t>
      </w:r>
      <w:r w:rsidRPr="00B04004">
        <w:rPr>
          <w:rStyle w:val="mw-headline"/>
        </w:rPr>
        <w:t>naire » (Ausseralltäglichkeit) de ces figures charismatiques c’est pl</w:t>
      </w:r>
      <w:r w:rsidRPr="00B04004">
        <w:rPr>
          <w:rStyle w:val="mw-headline"/>
        </w:rPr>
        <w:t>u</w:t>
      </w:r>
      <w:r w:rsidRPr="00B04004">
        <w:rPr>
          <w:rStyle w:val="mw-headline"/>
        </w:rPr>
        <w:t>tôt le degré d’intensité et de concentration selon lequel elles poss</w:t>
      </w:r>
      <w:r w:rsidRPr="00B04004">
        <w:rPr>
          <w:rStyle w:val="mw-headline"/>
        </w:rPr>
        <w:t>è</w:t>
      </w:r>
      <w:r w:rsidRPr="00B04004">
        <w:rPr>
          <w:rStyle w:val="mw-headline"/>
        </w:rPr>
        <w:t>dent ou sont supposées posséder des qualités qui ne sont que faibl</w:t>
      </w:r>
      <w:r w:rsidRPr="00B04004">
        <w:rPr>
          <w:rStyle w:val="mw-headline"/>
        </w:rPr>
        <w:t>e</w:t>
      </w:r>
      <w:r w:rsidRPr="00B04004">
        <w:rPr>
          <w:rStyle w:val="mw-headline"/>
        </w:rPr>
        <w:t>ment présentes dans les conduites ordinaires. Celles-ci sont pour l’essentiel motivées par des sentiments personnels modérés, par des considér</w:t>
      </w:r>
      <w:r w:rsidRPr="00B04004">
        <w:rPr>
          <w:rStyle w:val="mw-headline"/>
        </w:rPr>
        <w:t>a</w:t>
      </w:r>
      <w:r w:rsidRPr="00B04004">
        <w:rPr>
          <w:rStyle w:val="mw-headline"/>
        </w:rPr>
        <w:t>tions de commodité et d’intérêt et par la crainte de l’échec, en se conformant aux attentes et aux exigences immédiates des pairs et des supérieurs. Ces activités de routine ne sont pas simplement des a</w:t>
      </w:r>
      <w:r w:rsidRPr="00B04004">
        <w:rPr>
          <w:rStyle w:val="mw-headline"/>
        </w:rPr>
        <w:t>c</w:t>
      </w:r>
      <w:r w:rsidRPr="00B04004">
        <w:rPr>
          <w:rStyle w:val="mw-headline"/>
        </w:rPr>
        <w:t>tions répétitives ce sont aussi des actions dénuées d’inspiration dans lesquelles les gratifications immédiates et les exigences liées aux s</w:t>
      </w:r>
      <w:r w:rsidRPr="00B04004">
        <w:rPr>
          <w:rStyle w:val="mw-headline"/>
        </w:rPr>
        <w:t>i</w:t>
      </w:r>
      <w:r w:rsidRPr="00B04004">
        <w:rPr>
          <w:rStyle w:val="mw-headline"/>
        </w:rPr>
        <w:t>tuations du moment et aux obligations envers les proches prennent le pas sur tout ce qui relève du domaine du transcendant. Et si une éve</w:t>
      </w:r>
      <w:r w:rsidRPr="00B04004">
        <w:rPr>
          <w:rStyle w:val="mw-headline"/>
        </w:rPr>
        <w:t>n</w:t>
      </w:r>
      <w:r w:rsidRPr="00B04004">
        <w:rPr>
          <w:rStyle w:val="mw-headline"/>
        </w:rPr>
        <w:t>tuelle imputation charismatique jouait pour l’action de routine elle ne ressortirait pas et ne se révèlerait pas de manière éclatante comme te</w:t>
      </w:r>
      <w:r w:rsidRPr="00B04004">
        <w:rPr>
          <w:rStyle w:val="mw-headline"/>
        </w:rPr>
        <w:t>l</w:t>
      </w:r>
      <w:r w:rsidRPr="00B04004">
        <w:rPr>
          <w:rStyle w:val="mw-headline"/>
        </w:rPr>
        <w:t>le.</w:t>
      </w:r>
    </w:p>
    <w:p w14:paraId="598C56EE" w14:textId="77777777" w:rsidR="00B01930" w:rsidRPr="00B04004" w:rsidRDefault="00B01930" w:rsidP="00B01930">
      <w:pPr>
        <w:autoSpaceDE w:val="0"/>
        <w:autoSpaceDN w:val="0"/>
        <w:adjustRightInd w:val="0"/>
        <w:spacing w:before="120" w:after="120"/>
        <w:ind w:right="20"/>
        <w:jc w:val="both"/>
        <w:rPr>
          <w:rStyle w:val="mw-headline"/>
        </w:rPr>
      </w:pPr>
      <w:r w:rsidRPr="00B04004">
        <w:rPr>
          <w:rStyle w:val="mw-headline"/>
        </w:rPr>
        <w:t>Ces actions dénuées d’inspiration participent au maintien des structures sociales qu’elles transforment aussi par des ajustements mineurs nombreux. Elle</w:t>
      </w:r>
      <w:r>
        <w:rPr>
          <w:rStyle w:val="mw-headline"/>
        </w:rPr>
        <w:t>s</w:t>
      </w:r>
      <w:r w:rsidRPr="00B04004">
        <w:rPr>
          <w:rStyle w:val="mw-headline"/>
        </w:rPr>
        <w:t xml:space="preserve"> n’occasionnent pas de bouleversements. Par contre les personnalités charismatiques et leurs adeptes aspirent à de plus vastes mutations. Ils cherchent à briser les structures de la quot</w:t>
      </w:r>
      <w:r w:rsidRPr="00B04004">
        <w:rPr>
          <w:rStyle w:val="mw-headline"/>
        </w:rPr>
        <w:t>i</w:t>
      </w:r>
      <w:r w:rsidRPr="00B04004">
        <w:rPr>
          <w:rStyle w:val="mw-headline"/>
        </w:rPr>
        <w:t xml:space="preserve">dienneté et à les remplacer par des systèmes d’actions inspirées qui sont «pénétrées» de ces qualités ou de ces états d’esprit suscités par le contact immédiat et intense avec le « destin » (« ultimate ») les forces qui guident et déterminent la vie humaine. </w:t>
      </w:r>
    </w:p>
    <w:p w14:paraId="77EFD1D8" w14:textId="77777777" w:rsidR="00B01930" w:rsidRPr="00B04004" w:rsidRDefault="00B01930" w:rsidP="00B01930">
      <w:pPr>
        <w:autoSpaceDE w:val="0"/>
        <w:autoSpaceDN w:val="0"/>
        <w:adjustRightInd w:val="0"/>
        <w:spacing w:before="120" w:after="120"/>
        <w:ind w:right="20"/>
        <w:jc w:val="both"/>
        <w:rPr>
          <w:rStyle w:val="mw-headline"/>
        </w:rPr>
      </w:pPr>
      <w:r w:rsidRPr="00B04004">
        <w:rPr>
          <w:rStyle w:val="mw-headline"/>
        </w:rPr>
        <w:t>La personnalité charismatique est à la fois créatrice d’un ordre nouveau et destructrice de l’ordre ancien. Étant donné que le charisme repose sur la croyance que celui qui en est le porteur est effectivement en contact avec ce qui est le plus vital, le plus puissant, empreint de la plus haute autorité au sein de l’univers ou de la société, ceux à qui on l’attribue sont de ce fait revêtus d’autorité. Le pouvoir charismatique ignore les types d’autorité qui font appel à des critères récemment et communément reconnus de légitimité et se réclament de précédents réalisés. Même lorsque ces autorités ordonnent ou recommandent de nouvelles actions, elles justifient ces ordres ou ces recommandations par référence aux normes en vigueur présentement jugées comme v</w:t>
      </w:r>
      <w:r w:rsidRPr="00B04004">
        <w:rPr>
          <w:rStyle w:val="mw-headline"/>
        </w:rPr>
        <w:t>a</w:t>
      </w:r>
      <w:r w:rsidRPr="00B04004">
        <w:rPr>
          <w:rStyle w:val="mw-headline"/>
        </w:rPr>
        <w:t>lides. En revanche le porteur du pouvoir charismatique et ses adeptes tendent à considérer que les normes qu’ils prônent tirent leur légitim</w:t>
      </w:r>
      <w:r w:rsidRPr="00B04004">
        <w:rPr>
          <w:rStyle w:val="mw-headline"/>
        </w:rPr>
        <w:t>i</w:t>
      </w:r>
      <w:r w:rsidRPr="00B04004">
        <w:rPr>
          <w:rStyle w:val="mw-headline"/>
        </w:rPr>
        <w:t>té d’une source reculée dans le temps ou hors du temps, éloignée dans l’espace ou hors de celui-ci. La légitimité des valeurs prônées par une autorité charismatique se situe hors des normes en application au sein de la société existante. Bien qu’elle appartienne à la culture de la s</w:t>
      </w:r>
      <w:r w:rsidRPr="00B04004">
        <w:rPr>
          <w:rStyle w:val="mw-headline"/>
        </w:rPr>
        <w:t>o</w:t>
      </w:r>
      <w:r w:rsidRPr="00B04004">
        <w:rPr>
          <w:rStyle w:val="mw-headline"/>
        </w:rPr>
        <w:t>ciété l’origine ou le critère de la légitimité de l’autorité charismatique occupe au sein de cette culture une place qui, en vertu du poids de la routine, est incompatible avec les aspirations hégémoniques d’une autorité prétendant s’imposer de manière charismatique. Puisqu’elle valorise un mode d’action tirant sa vitalité de façon immédiate, inte</w:t>
      </w:r>
      <w:r w:rsidRPr="00B04004">
        <w:rPr>
          <w:rStyle w:val="mw-headline"/>
        </w:rPr>
        <w:t>n</w:t>
      </w:r>
      <w:r w:rsidRPr="00B04004">
        <w:rPr>
          <w:rStyle w:val="mw-headline"/>
        </w:rPr>
        <w:t>se et pure de toute altération, d’un contact direct avec les sources « ultimes » de la légitimité, l’autorité charismatique est par nécessité révolutionnaire.</w:t>
      </w:r>
    </w:p>
    <w:p w14:paraId="46524AD9" w14:textId="77777777" w:rsidR="00B01930" w:rsidRPr="00B04004" w:rsidRDefault="00B01930" w:rsidP="00B01930">
      <w:pPr>
        <w:autoSpaceDE w:val="0"/>
        <w:autoSpaceDN w:val="0"/>
        <w:adjustRightInd w:val="0"/>
        <w:spacing w:before="120" w:after="120"/>
        <w:ind w:right="20"/>
        <w:jc w:val="both"/>
        <w:rPr>
          <w:rStyle w:val="mw-headline"/>
        </w:rPr>
      </w:pPr>
      <w:r w:rsidRPr="00B04004">
        <w:rPr>
          <w:rStyle w:val="mw-headline"/>
        </w:rPr>
        <w:t>L’autorité charismatique n’accorde aucun prix aux actions gu</w:t>
      </w:r>
      <w:r w:rsidRPr="00B04004">
        <w:rPr>
          <w:rStyle w:val="mw-headline"/>
        </w:rPr>
        <w:t>i</w:t>
      </w:r>
      <w:r w:rsidRPr="00B04004">
        <w:rPr>
          <w:rStyle w:val="mw-headline"/>
        </w:rPr>
        <w:t>dées par le désir de gratification immédiate et se suffisant à elles-mêmes, ou motivées par le besoin de satisfaire des affections perso</w:t>
      </w:r>
      <w:r w:rsidRPr="00B04004">
        <w:rPr>
          <w:rStyle w:val="mw-headline"/>
        </w:rPr>
        <w:t>n</w:t>
      </w:r>
      <w:r w:rsidRPr="00B04004">
        <w:rPr>
          <w:rStyle w:val="mw-headline"/>
        </w:rPr>
        <w:t>nelles ou encore par la perspective d’avantages pécuniaires. Un ordre d’origine charismatique est un ordre qui émane, en les légitimant, de l’effort créateur à la poursuite de quelque chose de nouveau, d’une découve</w:t>
      </w:r>
      <w:r w:rsidRPr="00B04004">
        <w:rPr>
          <w:rStyle w:val="mw-headline"/>
        </w:rPr>
        <w:t>r</w:t>
      </w:r>
      <w:r w:rsidRPr="00B04004">
        <w:rPr>
          <w:rStyle w:val="mw-headline"/>
        </w:rPr>
        <w:t>te discernant quelque chose de neuf d’une inspiration d’origine tran</w:t>
      </w:r>
      <w:r w:rsidRPr="00B04004">
        <w:rPr>
          <w:rStyle w:val="mw-headline"/>
        </w:rPr>
        <w:t>s</w:t>
      </w:r>
      <w:r w:rsidRPr="00B04004">
        <w:rPr>
          <w:rStyle w:val="mw-headline"/>
        </w:rPr>
        <w:t>cendante.</w:t>
      </w:r>
    </w:p>
    <w:p w14:paraId="5E0E3894" w14:textId="77777777" w:rsidR="00B01930" w:rsidRPr="00B04004" w:rsidRDefault="00B01930" w:rsidP="00B01930">
      <w:pPr>
        <w:autoSpaceDE w:val="0"/>
        <w:autoSpaceDN w:val="0"/>
        <w:adjustRightInd w:val="0"/>
        <w:spacing w:before="120" w:after="120"/>
        <w:ind w:left="40"/>
        <w:jc w:val="both"/>
        <w:rPr>
          <w:rStyle w:val="mw-headline"/>
        </w:rPr>
      </w:pPr>
      <w:r w:rsidRPr="00B04004">
        <w:rPr>
          <w:rStyle w:val="mw-headline"/>
        </w:rPr>
        <w:t>Dans toute société, les actions humaines sont animées, par toute une variété de considérations. Les relations affectives, les loyautés immédiates, les anticipations d’avantages ou les craintes de priv</w:t>
      </w:r>
      <w:r w:rsidRPr="00B04004">
        <w:rPr>
          <w:rStyle w:val="mw-headline"/>
        </w:rPr>
        <w:t>a</w:t>
      </w:r>
      <w:r w:rsidRPr="00B04004">
        <w:rPr>
          <w:rStyle w:val="mw-headline"/>
        </w:rPr>
        <w:t>tions, l’instinct de destruction, la réaction aux obligations ou aux a</w:t>
      </w:r>
      <w:r w:rsidRPr="00B04004">
        <w:rPr>
          <w:rStyle w:val="mw-headline"/>
        </w:rPr>
        <w:t>t</w:t>
      </w:r>
      <w:r w:rsidRPr="00B04004">
        <w:rPr>
          <w:rStyle w:val="mw-headline"/>
        </w:rPr>
        <w:t>tentes relatives à l’accomplissement de fonctions dans des corps con</w:t>
      </w:r>
      <w:r w:rsidRPr="00B04004">
        <w:rPr>
          <w:rStyle w:val="mw-headline"/>
        </w:rPr>
        <w:t>s</w:t>
      </w:r>
      <w:r w:rsidRPr="00B04004">
        <w:rPr>
          <w:rStyle w:val="mw-headline"/>
        </w:rPr>
        <w:t>titués, l’acceptation irréfléchie de normes données où aucune altern</w:t>
      </w:r>
      <w:r w:rsidRPr="00B04004">
        <w:rPr>
          <w:rStyle w:val="mw-headline"/>
        </w:rPr>
        <w:t>a</w:t>
      </w:r>
      <w:r w:rsidRPr="00B04004">
        <w:rPr>
          <w:rStyle w:val="mw-headline"/>
        </w:rPr>
        <w:t>tive ne se donne ni à voir ni à réaliser le respect d’autorités tangibles déjà en place ceci avec d’intermittentes manifestations de réactions charismatiques constituent l’ensemble des déterminants à partir de</w:t>
      </w:r>
      <w:r w:rsidRPr="00B04004">
        <w:rPr>
          <w:rStyle w:val="mw-headline"/>
        </w:rPr>
        <w:t>s</w:t>
      </w:r>
      <w:r w:rsidRPr="00B04004">
        <w:rPr>
          <w:rStyle w:val="mw-headline"/>
        </w:rPr>
        <w:t>quels toute société se reproduit et évolue. Ces éléments charismat</w:t>
      </w:r>
      <w:r w:rsidRPr="00B04004">
        <w:rPr>
          <w:rStyle w:val="mw-headline"/>
        </w:rPr>
        <w:t>i</w:t>
      </w:r>
      <w:r w:rsidRPr="00B04004">
        <w:rPr>
          <w:rStyle w:val="mw-headline"/>
        </w:rPr>
        <w:t>ques que contient n’importe quelle société existent, soit sous des fo</w:t>
      </w:r>
      <w:r w:rsidRPr="00B04004">
        <w:rPr>
          <w:rStyle w:val="mw-headline"/>
        </w:rPr>
        <w:t>r</w:t>
      </w:r>
      <w:r w:rsidRPr="00B04004">
        <w:rPr>
          <w:rStyle w:val="mw-headline"/>
        </w:rPr>
        <w:t>mes très parcellaires, soit dans des états diffus. L’autorité charismat</w:t>
      </w:r>
      <w:r w:rsidRPr="00B04004">
        <w:rPr>
          <w:rStyle w:val="mw-headline"/>
        </w:rPr>
        <w:t>i</w:t>
      </w:r>
      <w:r w:rsidRPr="00B04004">
        <w:rPr>
          <w:rStyle w:val="mw-headline"/>
        </w:rPr>
        <w:t>que sous sa forme concentrée et intense ravive ce qui est à l’état l</w:t>
      </w:r>
      <w:r w:rsidRPr="00B04004">
        <w:rPr>
          <w:rStyle w:val="mw-headline"/>
        </w:rPr>
        <w:t>a</w:t>
      </w:r>
      <w:r w:rsidRPr="00B04004">
        <w:rPr>
          <w:rStyle w:val="mw-headline"/>
        </w:rPr>
        <w:t>tent. Elle implique une formidable élévation de la sensibilité chari</w:t>
      </w:r>
      <w:r w:rsidRPr="00B04004">
        <w:rPr>
          <w:rStyle w:val="mw-headline"/>
        </w:rPr>
        <w:t>s</w:t>
      </w:r>
      <w:r w:rsidRPr="00B04004">
        <w:rPr>
          <w:rStyle w:val="mw-headline"/>
        </w:rPr>
        <w:t>matique. C’est pourquoi l’autorité charismatique, le charisme plein</w:t>
      </w:r>
      <w:r w:rsidRPr="00B04004">
        <w:rPr>
          <w:rStyle w:val="mw-headline"/>
        </w:rPr>
        <w:t>e</w:t>
      </w:r>
      <w:r w:rsidRPr="00B04004">
        <w:rPr>
          <w:rStyle w:val="mw-headline"/>
        </w:rPr>
        <w:t>ment et intensément reconnu et ressenti est destructrice de tout ordre social fondé sur la routine.</w:t>
      </w:r>
    </w:p>
    <w:p w14:paraId="629D661F" w14:textId="77777777" w:rsidR="00B01930" w:rsidRPr="00B04004" w:rsidRDefault="00B01930" w:rsidP="00B01930">
      <w:pPr>
        <w:autoSpaceDE w:val="0"/>
        <w:autoSpaceDN w:val="0"/>
        <w:adjustRightInd w:val="0"/>
        <w:spacing w:before="120" w:after="120"/>
        <w:ind w:right="20"/>
        <w:jc w:val="both"/>
        <w:rPr>
          <w:rStyle w:val="mw-headline"/>
        </w:rPr>
      </w:pPr>
    </w:p>
    <w:p w14:paraId="4B63A3BB" w14:textId="77777777" w:rsidR="00B01930" w:rsidRPr="00B832D9" w:rsidRDefault="00B01930" w:rsidP="00B01930">
      <w:pPr>
        <w:pStyle w:val="planche"/>
        <w:rPr>
          <w:rStyle w:val="mw-headline"/>
        </w:rPr>
      </w:pPr>
      <w:r w:rsidRPr="00B832D9">
        <w:rPr>
          <w:rStyle w:val="mw-headline"/>
        </w:rPr>
        <w:t>La ségrégation</w:t>
      </w:r>
      <w:r>
        <w:rPr>
          <w:rStyle w:val="mw-headline"/>
        </w:rPr>
        <w:br/>
      </w:r>
      <w:r w:rsidRPr="00B832D9">
        <w:rPr>
          <w:rStyle w:val="mw-headline"/>
        </w:rPr>
        <w:t>et le contrôle du charisme intense</w:t>
      </w:r>
    </w:p>
    <w:p w14:paraId="488D090F" w14:textId="77777777" w:rsidR="00B01930" w:rsidRPr="00B04004" w:rsidRDefault="00B01930" w:rsidP="00B01930">
      <w:pPr>
        <w:autoSpaceDE w:val="0"/>
        <w:autoSpaceDN w:val="0"/>
        <w:adjustRightInd w:val="0"/>
        <w:spacing w:before="120" w:after="120"/>
        <w:ind w:left="80"/>
        <w:jc w:val="both"/>
        <w:rPr>
          <w:rStyle w:val="mw-headline"/>
        </w:rPr>
      </w:pPr>
    </w:p>
    <w:p w14:paraId="65A17344" w14:textId="77777777" w:rsidR="00B01930" w:rsidRPr="00B04004" w:rsidRDefault="00B01930" w:rsidP="00B01930">
      <w:pPr>
        <w:autoSpaceDE w:val="0"/>
        <w:autoSpaceDN w:val="0"/>
        <w:adjustRightInd w:val="0"/>
        <w:spacing w:before="120" w:after="120"/>
        <w:ind w:left="80"/>
        <w:jc w:val="both"/>
        <w:rPr>
          <w:rStyle w:val="mw-headline"/>
        </w:rPr>
      </w:pPr>
      <w:r w:rsidRPr="00B04004">
        <w:rPr>
          <w:rStyle w:val="mw-headline"/>
        </w:rPr>
        <w:t>Toute société s’efforce de prendre des dispositions à l’égard de ceux dont les conduites sont régies par la possession d’une légitimité charismatique. Au sein des systèmes religieux, les ordres monast</w:t>
      </w:r>
      <w:r w:rsidRPr="00B04004">
        <w:rPr>
          <w:rStyle w:val="mw-headline"/>
        </w:rPr>
        <w:t>i</w:t>
      </w:r>
      <w:r w:rsidRPr="00B04004">
        <w:rPr>
          <w:rStyle w:val="mw-headline"/>
        </w:rPr>
        <w:t>ques de type cénobite ou anachorête constituent des structures instit</w:t>
      </w:r>
      <w:r w:rsidRPr="00B04004">
        <w:rPr>
          <w:rStyle w:val="mw-headline"/>
        </w:rPr>
        <w:t>u</w:t>
      </w:r>
      <w:r w:rsidRPr="00B04004">
        <w:rPr>
          <w:rStyle w:val="mw-headline"/>
        </w:rPr>
        <w:t>tionnelles destinées à la ségrégation et au contrôle de ceux qui sont pourvus de charisme, i.e sujets à des états les mettant en contact d</w:t>
      </w:r>
      <w:r w:rsidRPr="00B04004">
        <w:rPr>
          <w:rStyle w:val="mw-headline"/>
        </w:rPr>
        <w:t>i</w:t>
      </w:r>
      <w:r w:rsidRPr="00B04004">
        <w:rPr>
          <w:rStyle w:val="mw-headline"/>
        </w:rPr>
        <w:t>rect avec les puissances surnaturelles. Ils sont ainsi soustraits à la scène du quotidien et parallèlement leur qualité charismatique se trouve préservée et disciplinée dans le cadre de l’ordre légitime de la communauté religieuse où l’atténuation et la dispersion du charisme ont été stabilisées.</w:t>
      </w:r>
    </w:p>
    <w:p w14:paraId="7DCFEA57" w14:textId="77777777" w:rsidR="00B01930" w:rsidRPr="00B04004" w:rsidRDefault="00B01930" w:rsidP="00B01930">
      <w:pPr>
        <w:autoSpaceDE w:val="0"/>
        <w:autoSpaceDN w:val="0"/>
        <w:adjustRightInd w:val="0"/>
        <w:spacing w:before="120" w:after="120"/>
        <w:ind w:left="80"/>
        <w:jc w:val="both"/>
        <w:rPr>
          <w:rStyle w:val="mw-headline"/>
        </w:rPr>
      </w:pPr>
      <w:r w:rsidRPr="00B04004">
        <w:rPr>
          <w:rStyle w:val="mw-headline"/>
        </w:rPr>
        <w:t>En ayant affaire à des jeunes gens de caractère moral et intelle</w:t>
      </w:r>
      <w:r w:rsidRPr="00B04004">
        <w:rPr>
          <w:rStyle w:val="mw-headline"/>
        </w:rPr>
        <w:t>c</w:t>
      </w:r>
      <w:r w:rsidRPr="00B04004">
        <w:rPr>
          <w:rStyle w:val="mw-headline"/>
        </w:rPr>
        <w:t>tuel hautement charismatique les universités, dont la mission est de reproduire de multiples modes établis de pensée et de réflexion, ainsi que de perpétuer des traditions, ont à résoudre des problèmes se</w:t>
      </w:r>
      <w:r w:rsidRPr="00B04004">
        <w:rPr>
          <w:rStyle w:val="mw-headline"/>
        </w:rPr>
        <w:t>m</w:t>
      </w:r>
      <w:r w:rsidRPr="00B04004">
        <w:rPr>
          <w:rStyle w:val="mw-headline"/>
        </w:rPr>
        <w:t>blables. Par la formation et la recherche, elles s’efforcent de discipl</w:t>
      </w:r>
      <w:r w:rsidRPr="00B04004">
        <w:rPr>
          <w:rStyle w:val="mw-headline"/>
        </w:rPr>
        <w:t>i</w:t>
      </w:r>
      <w:r w:rsidRPr="00B04004">
        <w:rPr>
          <w:rStyle w:val="mw-headline"/>
        </w:rPr>
        <w:t>ner ces tendances charismatiques et de les contraindre à se consacrer, au début tout au moins, aux problématiques et aux conceptions de l’ordre naturel conventionnellement admises. La découverte, via l’intuition, de vérités totalement nouvelles, hors des techniques en usage de l’observation et de l’interprétation, est rejetée. Ceux qui pe</w:t>
      </w:r>
      <w:r w:rsidRPr="00B04004">
        <w:rPr>
          <w:rStyle w:val="mw-headline"/>
        </w:rPr>
        <w:t>r</w:t>
      </w:r>
      <w:r w:rsidRPr="00B04004">
        <w:rPr>
          <w:rStyle w:val="mw-headline"/>
        </w:rPr>
        <w:t>sistent à se laisser aller à leur intuition sont, soit exclus, soit contraints à se plier à la discipline en vigueur. Cette discipline impl</w:t>
      </w:r>
      <w:r w:rsidRPr="00B04004">
        <w:rPr>
          <w:rStyle w:val="mw-headline"/>
        </w:rPr>
        <w:t>i</w:t>
      </w:r>
      <w:r w:rsidRPr="00B04004">
        <w:rPr>
          <w:rStyle w:val="mw-headline"/>
        </w:rPr>
        <w:t>que que l’on apprenne et confirme ce qui est déjà connu et que l’on accepte les normes d’évaluation en vigueur. Une fois ce processus de discipline accompli l’acolyte est alors libre de se mettre en quête et de créer par l’étude un ordre nouveau.</w:t>
      </w:r>
    </w:p>
    <w:p w14:paraId="2C5E085D" w14:textId="77777777" w:rsidR="00B01930" w:rsidRPr="00B04004" w:rsidRDefault="00B01930" w:rsidP="00B01930">
      <w:pPr>
        <w:autoSpaceDE w:val="0"/>
        <w:autoSpaceDN w:val="0"/>
        <w:adjustRightInd w:val="0"/>
        <w:spacing w:before="120" w:after="120"/>
        <w:jc w:val="both"/>
        <w:rPr>
          <w:rStyle w:val="mw-headline"/>
        </w:rPr>
      </w:pPr>
      <w:r w:rsidRPr="00B04004">
        <w:rPr>
          <w:rStyle w:val="mw-headline"/>
        </w:rPr>
        <w:t>Dans le domaine de la politique partisane, les « patrons » (party bosses) se méfient presque toujours des individus jugés comme étant charismatiques, qui soulèvent la sensibilité charismatique des masses partisanes, en raison des menaces qu’ils font peser sur les intérêts ét</w:t>
      </w:r>
      <w:r w:rsidRPr="00B04004">
        <w:rPr>
          <w:rStyle w:val="mw-headline"/>
        </w:rPr>
        <w:t>a</w:t>
      </w:r>
      <w:r w:rsidRPr="00B04004">
        <w:rPr>
          <w:rStyle w:val="mw-headline"/>
        </w:rPr>
        <w:t>blis au sein du parti. Mais étant donné leur large audience hors du ce</w:t>
      </w:r>
      <w:r w:rsidRPr="00B04004">
        <w:rPr>
          <w:rStyle w:val="mw-headline"/>
        </w:rPr>
        <w:t>r</w:t>
      </w:r>
      <w:r w:rsidRPr="00B04004">
        <w:rPr>
          <w:rStyle w:val="mw-headline"/>
        </w:rPr>
        <w:t>cle proprement dit de la machine partisane, essentiellement préocc</w:t>
      </w:r>
      <w:r w:rsidRPr="00B04004">
        <w:rPr>
          <w:rStyle w:val="mw-headline"/>
        </w:rPr>
        <w:t>u</w:t>
      </w:r>
      <w:r w:rsidRPr="00B04004">
        <w:rPr>
          <w:rStyle w:val="mw-headline"/>
        </w:rPr>
        <w:t>pée de la routine quotidienne, ils seront tolérés et même recherchés afin de rallier au parti le soutien de ceux qui réagissent au charisme.</w:t>
      </w:r>
    </w:p>
    <w:p w14:paraId="2E739BE5" w14:textId="77777777" w:rsidR="00B01930" w:rsidRPr="00B04004" w:rsidRDefault="00B01930" w:rsidP="00B01930">
      <w:pPr>
        <w:autoSpaceDE w:val="0"/>
        <w:autoSpaceDN w:val="0"/>
        <w:adjustRightInd w:val="0"/>
        <w:spacing w:before="120" w:after="120"/>
        <w:jc w:val="both"/>
        <w:rPr>
          <w:rStyle w:val="mw-headline"/>
        </w:rPr>
      </w:pPr>
      <w:r w:rsidRPr="00B04004">
        <w:rPr>
          <w:rStyle w:val="mw-headline"/>
        </w:rPr>
        <w:t>Dans les forces armées, l’officier charismatique et héroïque est admis dans les troupes de choc et les unités spéciales qui, dans des situations où les procédures habituelles d’organisation militaire sont jugées inadéquates, recourent à des méthodes de combat non conve</w:t>
      </w:r>
      <w:r w:rsidRPr="00B04004">
        <w:rPr>
          <w:rStyle w:val="mw-headline"/>
        </w:rPr>
        <w:t>n</w:t>
      </w:r>
      <w:r w:rsidRPr="00B04004">
        <w:rPr>
          <w:rStyle w:val="mw-headline"/>
        </w:rPr>
        <w:t>tionnelles. Il est délicat pour le commandement de l’administration militaire de promouvoir en son sein un homme aux dispositions ch</w:t>
      </w:r>
      <w:r w:rsidRPr="00B04004">
        <w:rPr>
          <w:rStyle w:val="mw-headline"/>
        </w:rPr>
        <w:t>a</w:t>
      </w:r>
      <w:r w:rsidRPr="00B04004">
        <w:rPr>
          <w:rStyle w:val="mw-headline"/>
        </w:rPr>
        <w:t>rismatiques qui cherche à introduire de nouveaux principes de guerre ou qui comme héros, suscite la dévotion des troupes dont la sensibilité charismatique est exacerbée par le danger de la bataille.</w:t>
      </w:r>
    </w:p>
    <w:p w14:paraId="24307E4E" w14:textId="77777777" w:rsidR="00B01930" w:rsidRPr="00B04004" w:rsidRDefault="00B01930" w:rsidP="00B01930">
      <w:pPr>
        <w:autoSpaceDE w:val="0"/>
        <w:autoSpaceDN w:val="0"/>
        <w:adjustRightInd w:val="0"/>
        <w:spacing w:before="120" w:after="120"/>
        <w:jc w:val="both"/>
        <w:rPr>
          <w:rStyle w:val="mw-headline"/>
        </w:rPr>
      </w:pPr>
      <w:r w:rsidRPr="00B04004">
        <w:rPr>
          <w:rStyle w:val="mw-headline"/>
        </w:rPr>
        <w:t>Au sein des « bohèmes » comme dans les cercles artistiques ou li</w:t>
      </w:r>
      <w:r w:rsidRPr="00B04004">
        <w:rPr>
          <w:rStyle w:val="mw-headline"/>
        </w:rPr>
        <w:t>t</w:t>
      </w:r>
      <w:r w:rsidRPr="00B04004">
        <w:rPr>
          <w:rStyle w:val="mw-headline"/>
        </w:rPr>
        <w:t>téraires, les esthètes charismatiques trouvent un environnement choisi approprié au mépris qu’ils professent pour les règles de la routine s</w:t>
      </w:r>
      <w:r w:rsidRPr="00B04004">
        <w:rPr>
          <w:rStyle w:val="mw-headline"/>
        </w:rPr>
        <w:t>o</w:t>
      </w:r>
      <w:r w:rsidRPr="00B04004">
        <w:rPr>
          <w:rStyle w:val="mw-headline"/>
        </w:rPr>
        <w:t>ciale, ainsi qu’à une créativité transcendant les modes traditio</w:t>
      </w:r>
      <w:r w:rsidRPr="00B04004">
        <w:rPr>
          <w:rStyle w:val="mw-headline"/>
        </w:rPr>
        <w:t>n</w:t>
      </w:r>
      <w:r w:rsidRPr="00B04004">
        <w:rPr>
          <w:rStyle w:val="mw-headline"/>
        </w:rPr>
        <w:t>nels d’expression artistique et littéraire. Les responsables des secteurs de la société marqués par la routine sont disposés à ne pas faire obst</w:t>
      </w:r>
      <w:r w:rsidRPr="00B04004">
        <w:rPr>
          <w:rStyle w:val="mw-headline"/>
        </w:rPr>
        <w:t>a</w:t>
      </w:r>
      <w:r w:rsidRPr="00B04004">
        <w:rPr>
          <w:rStyle w:val="mw-headline"/>
        </w:rPr>
        <w:t>cle à ces manifestations de charisme esthétique tant qu’elles n’interfèrent pas avec ces secteurs. Toutefois, du fait de l’imprécision des frontières les frictions sont fréquentes.</w:t>
      </w:r>
    </w:p>
    <w:p w14:paraId="736A2F34" w14:textId="77777777" w:rsidR="00B01930" w:rsidRPr="00B04004" w:rsidRDefault="00B01930" w:rsidP="00B01930">
      <w:pPr>
        <w:autoSpaceDE w:val="0"/>
        <w:autoSpaceDN w:val="0"/>
        <w:adjustRightInd w:val="0"/>
        <w:spacing w:before="120" w:after="120"/>
        <w:jc w:val="both"/>
        <w:rPr>
          <w:rStyle w:val="mw-headline"/>
        </w:rPr>
      </w:pPr>
      <w:r w:rsidRPr="00B04004">
        <w:rPr>
          <w:rStyle w:val="mw-headline"/>
        </w:rPr>
        <w:t>C’est par voie de ségrégation que les administrateurs des secteurs routiniers de la vie sociale expriment (à la fois) leur crainte à l’égard du caractère déstabilisant du charisme intense et concentré et leur int</w:t>
      </w:r>
      <w:r w:rsidRPr="00B04004">
        <w:rPr>
          <w:rStyle w:val="mw-headline"/>
        </w:rPr>
        <w:t>é</w:t>
      </w:r>
      <w:r w:rsidRPr="00B04004">
        <w:rPr>
          <w:rStyle w:val="mw-headline"/>
        </w:rPr>
        <w:t>rêt pour une vertu demandant à être reconnue. Cependant en dépit des efforts entrepris en vue de cantonner ces prédispositions au charisme intense dans le cadre d’un environnement où elles peuvent s’extérioriser et de les soumettre à la discipline de l’institution</w:t>
      </w:r>
      <w:r w:rsidRPr="00B04004">
        <w:rPr>
          <w:rStyle w:val="mw-headline"/>
        </w:rPr>
        <w:softHyphen/>
        <w:t>nalisation les frontières sont parfois outrepassées. Les responsables de l’ordre routinier cherchent donc continuellement à limiter le libre mouvement des sujets charismatiques. Ils n’y parviennent pas to</w:t>
      </w:r>
      <w:r w:rsidRPr="00B04004">
        <w:rPr>
          <w:rStyle w:val="mw-headline"/>
        </w:rPr>
        <w:t>u</w:t>
      </w:r>
      <w:r w:rsidRPr="00B04004">
        <w:rPr>
          <w:rStyle w:val="mw-headline"/>
        </w:rPr>
        <w:t>jours. Ainsi des églises ont été bouleversées de l’intérieur par des pr</w:t>
      </w:r>
      <w:r w:rsidRPr="00B04004">
        <w:rPr>
          <w:rStyle w:val="mw-headline"/>
        </w:rPr>
        <w:t>o</w:t>
      </w:r>
      <w:r w:rsidRPr="00B04004">
        <w:rPr>
          <w:rStyle w:val="mw-headline"/>
        </w:rPr>
        <w:t>phètes charismatiques et souvent ont été démantelées, du moins pour un temps, par une secte rivale conduite par un leader charismatique. Des États ont été détruits par des révolutionnaires charismatiques, des partis poussés hors de leur cadre traditionnel par des démagogues ch</w:t>
      </w:r>
      <w:r w:rsidRPr="00B04004">
        <w:rPr>
          <w:rStyle w:val="mw-headline"/>
        </w:rPr>
        <w:t>a</w:t>
      </w:r>
      <w:r w:rsidRPr="00B04004">
        <w:rPr>
          <w:rStyle w:val="mw-headline"/>
        </w:rPr>
        <w:t>rismatiques, des ordres institutionnels supplantés par des hommes d’État charismatiques. Des sciences ont été boule­ versées par des i</w:t>
      </w:r>
      <w:r w:rsidRPr="00B04004">
        <w:rPr>
          <w:rStyle w:val="mw-headline"/>
        </w:rPr>
        <w:t>n</w:t>
      </w:r>
      <w:r w:rsidRPr="00B04004">
        <w:rPr>
          <w:rStyle w:val="mw-headline"/>
        </w:rPr>
        <w:t>telligences charismatiques irrépressibles des genres artistiques ont été transformés contre la résistance de l’orthodoxie par les porteurs d’une sensibilité charismatique originale.</w:t>
      </w:r>
    </w:p>
    <w:p w14:paraId="4BA1D8EC" w14:textId="77777777" w:rsidR="00B01930" w:rsidRPr="00B04004" w:rsidRDefault="00B01930" w:rsidP="00B01930">
      <w:pPr>
        <w:autoSpaceDE w:val="0"/>
        <w:autoSpaceDN w:val="0"/>
        <w:adjustRightInd w:val="0"/>
        <w:spacing w:before="120" w:after="120"/>
        <w:ind w:right="100"/>
        <w:jc w:val="both"/>
        <w:rPr>
          <w:rStyle w:val="mw-headline"/>
        </w:rPr>
      </w:pPr>
    </w:p>
    <w:p w14:paraId="1B0BB977" w14:textId="77777777" w:rsidR="00B01930" w:rsidRPr="00B832D9" w:rsidRDefault="00B01930" w:rsidP="00B01930">
      <w:pPr>
        <w:pStyle w:val="planche"/>
        <w:rPr>
          <w:rStyle w:val="mw-headline"/>
        </w:rPr>
      </w:pPr>
      <w:r w:rsidRPr="00B832D9">
        <w:rPr>
          <w:rStyle w:val="mw-headline"/>
        </w:rPr>
        <w:t>Les conditions de l’express</w:t>
      </w:r>
      <w:r>
        <w:rPr>
          <w:rStyle w:val="mw-headline"/>
        </w:rPr>
        <w:t>ion</w:t>
      </w:r>
      <w:r>
        <w:rPr>
          <w:rStyle w:val="mw-headline"/>
        </w:rPr>
        <w:br/>
      </w:r>
      <w:r w:rsidRPr="00B832D9">
        <w:rPr>
          <w:rStyle w:val="mw-headline"/>
        </w:rPr>
        <w:t>du charisme intense et concentré</w:t>
      </w:r>
    </w:p>
    <w:p w14:paraId="2BD6DB01" w14:textId="77777777" w:rsidR="00B01930" w:rsidRPr="00B04004" w:rsidRDefault="00B01930" w:rsidP="00B01930">
      <w:pPr>
        <w:autoSpaceDE w:val="0"/>
        <w:autoSpaceDN w:val="0"/>
        <w:adjustRightInd w:val="0"/>
        <w:spacing w:before="120" w:after="120"/>
        <w:ind w:right="100"/>
        <w:jc w:val="both"/>
        <w:rPr>
          <w:rStyle w:val="mw-headline"/>
        </w:rPr>
      </w:pPr>
    </w:p>
    <w:p w14:paraId="6C9C87DB" w14:textId="77777777" w:rsidR="00B01930" w:rsidRPr="00B04004" w:rsidRDefault="00B01930" w:rsidP="00B01930">
      <w:pPr>
        <w:autoSpaceDE w:val="0"/>
        <w:autoSpaceDN w:val="0"/>
        <w:adjustRightInd w:val="0"/>
        <w:spacing w:before="120" w:after="120"/>
        <w:ind w:right="100"/>
        <w:jc w:val="both"/>
        <w:rPr>
          <w:rStyle w:val="mw-headline"/>
        </w:rPr>
      </w:pPr>
      <w:r w:rsidRPr="00B04004">
        <w:rPr>
          <w:rStyle w:val="mw-headline"/>
        </w:rPr>
        <w:t>Les crises qui remettent en cause les institutions ordinaires et les autorités qui les dirigent provoquent chez les individus les plus pr</w:t>
      </w:r>
      <w:r w:rsidRPr="00B04004">
        <w:rPr>
          <w:rStyle w:val="mw-headline"/>
        </w:rPr>
        <w:t>é</w:t>
      </w:r>
      <w:r w:rsidRPr="00B04004">
        <w:rPr>
          <w:rStyle w:val="mw-headline"/>
        </w:rPr>
        <w:t>disposés au charisme une prise de conscience aigüe des insuffisances d’un mode de vie dans lequel la communion avec les forces ultimes et les idéaux relatifs au bien et au mal s’est atténuée par médiation et ségrégation et par intégration à la quotidienneté. Leur exigence pour un ordre juste des choses s’intensifie leur susceptibilité à l’égard du hiatus existant entre cet ordre et l’état réel des choses s’accentue.</w:t>
      </w:r>
    </w:p>
    <w:p w14:paraId="4C14DC3C" w14:textId="77777777" w:rsidR="00B01930" w:rsidRPr="00B04004" w:rsidRDefault="00B01930" w:rsidP="00B01930">
      <w:pPr>
        <w:autoSpaceDE w:val="0"/>
        <w:autoSpaceDN w:val="0"/>
        <w:adjustRightInd w:val="0"/>
        <w:spacing w:before="120" w:after="120"/>
        <w:ind w:right="80"/>
        <w:jc w:val="both"/>
        <w:rPr>
          <w:rStyle w:val="mw-headline"/>
        </w:rPr>
      </w:pPr>
      <w:r w:rsidRPr="00B04004">
        <w:rPr>
          <w:rStyle w:val="mw-headline"/>
        </w:rPr>
        <w:t>Ces crises qui révèlent aux victimes de la société où elles se pr</w:t>
      </w:r>
      <w:r w:rsidRPr="00B04004">
        <w:rPr>
          <w:rStyle w:val="mw-headline"/>
        </w:rPr>
        <w:t>o</w:t>
      </w:r>
      <w:r w:rsidRPr="00B04004">
        <w:rPr>
          <w:rStyle w:val="mw-headline"/>
        </w:rPr>
        <w:t>duisent l’inadéquation du legs institutionnel en cours de fonctionn</w:t>
      </w:r>
      <w:r w:rsidRPr="00B04004">
        <w:rPr>
          <w:rStyle w:val="mw-headline"/>
        </w:rPr>
        <w:t>e</w:t>
      </w:r>
      <w:r w:rsidRPr="00B04004">
        <w:rPr>
          <w:rStyle w:val="mw-headline"/>
        </w:rPr>
        <w:t>ment et soulignent le discrédit des élites dominantes agissent sur les dispositions charismatiques d’une double manière. Ceux chez qui cette tendance est très marquée du fait de l’intelligence, de la sensib</w:t>
      </w:r>
      <w:r w:rsidRPr="00B04004">
        <w:rPr>
          <w:rStyle w:val="mw-headline"/>
        </w:rPr>
        <w:t>i</w:t>
      </w:r>
      <w:r w:rsidRPr="00B04004">
        <w:rPr>
          <w:rStyle w:val="mw-headline"/>
        </w:rPr>
        <w:t>lité morale, d’une inclination métaphysique, etc. seront les prom</w:t>
      </w:r>
      <w:r w:rsidRPr="00B04004">
        <w:rPr>
          <w:rStyle w:val="mw-headline"/>
        </w:rPr>
        <w:t>o</w:t>
      </w:r>
      <w:r w:rsidRPr="00B04004">
        <w:rPr>
          <w:rStyle w:val="mw-headline"/>
        </w:rPr>
        <w:t>teurs de la nouvelle vision d’un ordre meilleur ceux chez qui les te</w:t>
      </w:r>
      <w:r w:rsidRPr="00B04004">
        <w:rPr>
          <w:rStyle w:val="mw-headline"/>
        </w:rPr>
        <w:t>n</w:t>
      </w:r>
      <w:r w:rsidRPr="00B04004">
        <w:rPr>
          <w:rStyle w:val="mw-headline"/>
        </w:rPr>
        <w:t>dances au charisme, quoique insuffisantes pour donner lieu à une or</w:t>
      </w:r>
      <w:r w:rsidRPr="00B04004">
        <w:rPr>
          <w:rStyle w:val="mw-headline"/>
        </w:rPr>
        <w:t>i</w:t>
      </w:r>
      <w:r w:rsidRPr="00B04004">
        <w:rPr>
          <w:rStyle w:val="mw-headline"/>
        </w:rPr>
        <w:t>ginalité charismatique, sont néanmoins assez fortes pour répondre à une telle vision quand elle est concrètement incarnée et médiatisée chez une personne charismatique en seront très probablement les adeptes.</w:t>
      </w:r>
    </w:p>
    <w:p w14:paraId="5751D76A" w14:textId="77777777" w:rsidR="00B01930" w:rsidRPr="00B04004" w:rsidRDefault="00B01930" w:rsidP="00B01930">
      <w:pPr>
        <w:autoSpaceDE w:val="0"/>
        <w:autoSpaceDN w:val="0"/>
        <w:adjustRightInd w:val="0"/>
        <w:spacing w:before="120" w:after="120"/>
        <w:ind w:right="20"/>
        <w:jc w:val="both"/>
        <w:rPr>
          <w:rStyle w:val="mw-headline"/>
        </w:rPr>
      </w:pPr>
      <w:r w:rsidRPr="00B04004">
        <w:rPr>
          <w:rStyle w:val="mw-headline"/>
        </w:rPr>
        <w:t>Les crises qui traduisent des échecs de l’ordre hérité exacerbent chez les disciples en puissance le besoin de contact sécurisant avec ce qui est fondamentalement juste et fort. L’incapacité des institutions en place à pourvoir à la nourriture spirituelle et morale et à se porter au secours de ceux qui en ont besoin, et cela sous des auspices moral</w:t>
      </w:r>
      <w:r w:rsidRPr="00B04004">
        <w:rPr>
          <w:rStyle w:val="mw-headline"/>
        </w:rPr>
        <w:t>e</w:t>
      </w:r>
      <w:r w:rsidRPr="00B04004">
        <w:rPr>
          <w:rStyle w:val="mw-headline"/>
        </w:rPr>
        <w:t>ment et cosmiquement favorables, fait naître chez ces êtres désarmés un état d’esprit propice à l’action des individus charismatiques les plus fortement novateurs. Il se crée alors un mouvement collectif pour l’établissement d’une société, d’une église ou d’un parti etc. de lég</w:t>
      </w:r>
      <w:r w:rsidRPr="00B04004">
        <w:rPr>
          <w:rStyle w:val="mw-headline"/>
        </w:rPr>
        <w:t>i</w:t>
      </w:r>
      <w:r w:rsidRPr="00B04004">
        <w:rPr>
          <w:rStyle w:val="mw-headline"/>
        </w:rPr>
        <w:t>timité charismatique doté d’une plus grande authenticité.</w:t>
      </w:r>
    </w:p>
    <w:p w14:paraId="79C1F3BE" w14:textId="77777777" w:rsidR="00B01930" w:rsidRPr="00B04004" w:rsidRDefault="00B01930" w:rsidP="00B01930">
      <w:pPr>
        <w:autoSpaceDE w:val="0"/>
        <w:autoSpaceDN w:val="0"/>
        <w:adjustRightInd w:val="0"/>
        <w:spacing w:before="120" w:after="120"/>
        <w:jc w:val="both"/>
        <w:rPr>
          <w:rStyle w:val="mw-headline"/>
        </w:rPr>
      </w:pPr>
      <w:r w:rsidRPr="00B04004">
        <w:rPr>
          <w:rStyle w:val="mw-headline"/>
        </w:rPr>
        <w:t>De tels efforts se soldent souvent par des échecs. Après une cou</w:t>
      </w:r>
      <w:r w:rsidRPr="00B04004">
        <w:rPr>
          <w:rStyle w:val="mw-headline"/>
        </w:rPr>
        <w:t>r</w:t>
      </w:r>
      <w:r w:rsidRPr="00B04004">
        <w:rPr>
          <w:rStyle w:val="mw-headline"/>
        </w:rPr>
        <w:t>te période d’exaltation, la plupart d’entre eux se fragmentent en gro</w:t>
      </w:r>
      <w:r w:rsidRPr="00B04004">
        <w:rPr>
          <w:rStyle w:val="mw-headline"/>
        </w:rPr>
        <w:t>u</w:t>
      </w:r>
      <w:r w:rsidRPr="00B04004">
        <w:rPr>
          <w:rStyle w:val="mw-headline"/>
        </w:rPr>
        <w:t>pes démoralisés survivant parfois dans l’isolement. Lorsque le mouv</w:t>
      </w:r>
      <w:r w:rsidRPr="00B04004">
        <w:rPr>
          <w:rStyle w:val="mw-headline"/>
        </w:rPr>
        <w:t>e</w:t>
      </w:r>
      <w:r w:rsidRPr="00B04004">
        <w:rPr>
          <w:rStyle w:val="mw-headline"/>
        </w:rPr>
        <w:t>ment réussit, ce qui est plus rare, un ordre charismatique, ou tout au moins un ordre dans lequel une façade charismatique masque les a</w:t>
      </w:r>
      <w:r w:rsidRPr="00B04004">
        <w:rPr>
          <w:rStyle w:val="mw-headline"/>
        </w:rPr>
        <w:t>s</w:t>
      </w:r>
      <w:r w:rsidRPr="00B04004">
        <w:rPr>
          <w:rStyle w:val="mw-headline"/>
        </w:rPr>
        <w:t>pects les plus routiniers de l’ancien système institutionnel, se met en place. Les rapports de convention entre supérieurs et subordonnés, dans les familles, les forces armées, les ateliers et les fermes tendent à reprendre le pas après un premier ajustement aux pressions induites par les visions et les convictions charismatiques. Une fois résolue, d’une façon ou d’une autre, la crise qui suscita la sensibilité charism</w:t>
      </w:r>
      <w:r w:rsidRPr="00B04004">
        <w:rPr>
          <w:rStyle w:val="mw-headline"/>
        </w:rPr>
        <w:t>a</w:t>
      </w:r>
      <w:r w:rsidRPr="00B04004">
        <w:rPr>
          <w:rStyle w:val="mw-headline"/>
        </w:rPr>
        <w:t>tique la plus intense du fait même généralement de l’inspiration ch</w:t>
      </w:r>
      <w:r w:rsidRPr="00B04004">
        <w:rPr>
          <w:rStyle w:val="mw-headline"/>
        </w:rPr>
        <w:t>a</w:t>
      </w:r>
      <w:r w:rsidRPr="00B04004">
        <w:rPr>
          <w:rStyle w:val="mw-headline"/>
        </w:rPr>
        <w:t>rismatique la routine domine de nouveau la vie sociale.</w:t>
      </w:r>
    </w:p>
    <w:p w14:paraId="20B0B1FE" w14:textId="77777777" w:rsidR="00B01930" w:rsidRPr="00B04004" w:rsidRDefault="00B01930" w:rsidP="00B01930">
      <w:pPr>
        <w:autoSpaceDE w:val="0"/>
        <w:autoSpaceDN w:val="0"/>
        <w:adjustRightInd w:val="0"/>
        <w:spacing w:before="120" w:after="120"/>
        <w:jc w:val="both"/>
        <w:rPr>
          <w:rStyle w:val="mw-headline"/>
        </w:rPr>
      </w:pPr>
      <w:r w:rsidRPr="00B04004">
        <w:rPr>
          <w:rStyle w:val="mw-headline"/>
        </w:rPr>
        <w:t>Avec l’effectivité croissante des institutions et la stabilité qui en découle, le besoin d’un charisme protecteur mettant les membres en rapport sinon direct, en tout cas peu médiatisé, avec les sources de l’inspiration et de la purification, se fait moins sentir. La sélection des futurs leaders s’institutionnalise de nouveau et rend par là moins pr</w:t>
      </w:r>
      <w:r w:rsidRPr="00B04004">
        <w:rPr>
          <w:rStyle w:val="mw-headline"/>
        </w:rPr>
        <w:t>o</w:t>
      </w:r>
      <w:r w:rsidRPr="00B04004">
        <w:rPr>
          <w:rStyle w:val="mw-headline"/>
        </w:rPr>
        <w:t>bable le choix d’individus intensément charismatiques. Ainsi le pr</w:t>
      </w:r>
      <w:r w:rsidRPr="00B04004">
        <w:rPr>
          <w:rStyle w:val="mw-headline"/>
        </w:rPr>
        <w:t>o</w:t>
      </w:r>
      <w:r w:rsidRPr="00B04004">
        <w:rPr>
          <w:rStyle w:val="mw-headline"/>
        </w:rPr>
        <w:t>cessus d’attribution du charisme retourne à son état normal.</w:t>
      </w:r>
    </w:p>
    <w:p w14:paraId="35A91B64" w14:textId="77777777" w:rsidR="00B01930" w:rsidRPr="00B04004" w:rsidRDefault="00B01930" w:rsidP="00B01930">
      <w:pPr>
        <w:autoSpaceDE w:val="0"/>
        <w:autoSpaceDN w:val="0"/>
        <w:adjustRightInd w:val="0"/>
        <w:spacing w:before="120" w:after="120"/>
        <w:jc w:val="both"/>
        <w:rPr>
          <w:rStyle w:val="mw-headline"/>
        </w:rPr>
      </w:pPr>
    </w:p>
    <w:p w14:paraId="338C950F" w14:textId="77777777" w:rsidR="00B01930" w:rsidRPr="00B832D9" w:rsidRDefault="00B01930" w:rsidP="00B01930">
      <w:pPr>
        <w:pStyle w:val="planche"/>
        <w:rPr>
          <w:rStyle w:val="mw-headline"/>
        </w:rPr>
      </w:pPr>
      <w:r w:rsidRPr="00B832D9">
        <w:rPr>
          <w:rStyle w:val="mw-headline"/>
        </w:rPr>
        <w:t>Les formes atténuées et diffuses de charisme</w:t>
      </w:r>
    </w:p>
    <w:p w14:paraId="333F3019" w14:textId="77777777" w:rsidR="00B01930" w:rsidRPr="00B04004" w:rsidRDefault="00B01930" w:rsidP="00B01930">
      <w:pPr>
        <w:autoSpaceDE w:val="0"/>
        <w:autoSpaceDN w:val="0"/>
        <w:adjustRightInd w:val="0"/>
        <w:spacing w:before="120" w:after="120"/>
        <w:jc w:val="both"/>
        <w:rPr>
          <w:rStyle w:val="mw-headline"/>
        </w:rPr>
      </w:pPr>
    </w:p>
    <w:p w14:paraId="1A250C25" w14:textId="77777777" w:rsidR="00B01930" w:rsidRPr="00B04004" w:rsidRDefault="00B01930" w:rsidP="00B01930">
      <w:pPr>
        <w:autoSpaceDE w:val="0"/>
        <w:autoSpaceDN w:val="0"/>
        <w:adjustRightInd w:val="0"/>
        <w:spacing w:before="120" w:after="120"/>
        <w:jc w:val="both"/>
        <w:rPr>
          <w:rStyle w:val="mw-headline"/>
        </w:rPr>
      </w:pPr>
      <w:r w:rsidRPr="00B04004">
        <w:rPr>
          <w:rStyle w:val="mw-headline"/>
        </w:rPr>
        <w:t>Le fond de charisme intense du nouveau régime ne disparaît j</w:t>
      </w:r>
      <w:r w:rsidRPr="00B04004">
        <w:rPr>
          <w:rStyle w:val="mw-headline"/>
        </w:rPr>
        <w:t>a</w:t>
      </w:r>
      <w:r w:rsidRPr="00B04004">
        <w:rPr>
          <w:rStyle w:val="mw-headline"/>
        </w:rPr>
        <w:t>mais complètement. Il peut subsister à l’état atténué ou diffus. L’effort même de l’élite charismatique en vue de stabiliser sa position et d’imposer un ordre charismatique à la société ou à l’institution qu’elle contrôle entraîne une diffusion délibérée. Celle-ci implique une di</w:t>
      </w:r>
      <w:r w:rsidRPr="00B04004">
        <w:rPr>
          <w:rStyle w:val="mw-headline"/>
        </w:rPr>
        <w:t>s</w:t>
      </w:r>
      <w:r w:rsidRPr="00B04004">
        <w:rPr>
          <w:rStyle w:val="mw-headline"/>
        </w:rPr>
        <w:t>sémination de cette sensibilité charismatique bien particulière vers des individus qui ne la partageaient pas auparavant. Ceci signifie une e</w:t>
      </w:r>
      <w:r w:rsidRPr="00B04004">
        <w:rPr>
          <w:rStyle w:val="mw-headline"/>
        </w:rPr>
        <w:t>x</w:t>
      </w:r>
      <w:r w:rsidRPr="00B04004">
        <w:rPr>
          <w:rStyle w:val="mw-headline"/>
        </w:rPr>
        <w:t>tension considérable du champ charismatique le charisme affectera plus d’individus, il infiltrera les institutions existantes, de nouvelles institutions seront établies. Tout cela implique non seulement une di</w:t>
      </w:r>
      <w:r w:rsidRPr="00B04004">
        <w:rPr>
          <w:rStyle w:val="mw-headline"/>
        </w:rPr>
        <w:t>f</w:t>
      </w:r>
      <w:r w:rsidRPr="00B04004">
        <w:rPr>
          <w:rStyle w:val="mw-headline"/>
        </w:rPr>
        <w:t>fusion délibérée vers un nombre plus grand d’individus, mais aussi une atténuation qui bien que moins intentionnelle, n’en est pas moins inévitable.</w:t>
      </w:r>
    </w:p>
    <w:p w14:paraId="1A4FB1D9" w14:textId="77777777" w:rsidR="00B01930" w:rsidRPr="00B04004" w:rsidRDefault="00B01930" w:rsidP="00B01930">
      <w:pPr>
        <w:autoSpaceDE w:val="0"/>
        <w:autoSpaceDN w:val="0"/>
        <w:adjustRightInd w:val="0"/>
        <w:spacing w:before="120" w:after="120"/>
        <w:ind w:left="20" w:right="100"/>
        <w:jc w:val="both"/>
        <w:rPr>
          <w:rStyle w:val="mw-headline"/>
        </w:rPr>
      </w:pPr>
      <w:r w:rsidRPr="00B04004">
        <w:rPr>
          <w:rStyle w:val="mw-headline"/>
        </w:rPr>
        <w:t>L’inévitabilité de la mort et le besoin d’assurer la continuité ex</w:t>
      </w:r>
      <w:r w:rsidRPr="00B04004">
        <w:rPr>
          <w:rStyle w:val="mw-headline"/>
        </w:rPr>
        <w:t>i</w:t>
      </w:r>
      <w:r w:rsidRPr="00B04004">
        <w:rPr>
          <w:rStyle w:val="mw-headline"/>
        </w:rPr>
        <w:t>gent une diffusion du charisme, initialement limité à quelques êtres ou à quelques institutions, s’effectuant vers des fonctions institutio</w:t>
      </w:r>
      <w:r w:rsidRPr="00B04004">
        <w:rPr>
          <w:rStyle w:val="mw-headline"/>
        </w:rPr>
        <w:t>n</w:t>
      </w:r>
      <w:r w:rsidRPr="00B04004">
        <w:rPr>
          <w:rStyle w:val="mw-headline"/>
        </w:rPr>
        <w:t>nelles, des familles, des organisations gouvernementales, des proc</w:t>
      </w:r>
      <w:r w:rsidRPr="00B04004">
        <w:rPr>
          <w:rStyle w:val="mw-headline"/>
        </w:rPr>
        <w:t>é</w:t>
      </w:r>
      <w:r w:rsidRPr="00B04004">
        <w:rPr>
          <w:rStyle w:val="mw-headline"/>
        </w:rPr>
        <w:t>dures électorales, ou des groupes déterminés. Bien qu’ils ne soient pas légions dans leur société, ni dans l’absolu, ni au relatif ces de</w:t>
      </w:r>
      <w:r w:rsidRPr="00B04004">
        <w:rPr>
          <w:rStyle w:val="mw-headline"/>
        </w:rPr>
        <w:t>r</w:t>
      </w:r>
      <w:r w:rsidRPr="00B04004">
        <w:rPr>
          <w:rStyle w:val="mw-headline"/>
        </w:rPr>
        <w:t>niers sont considérablement plus nombreux que les porteurs orig</w:t>
      </w:r>
      <w:r w:rsidRPr="00B04004">
        <w:rPr>
          <w:rStyle w:val="mw-headline"/>
        </w:rPr>
        <w:t>i</w:t>
      </w:r>
      <w:r w:rsidRPr="00B04004">
        <w:rPr>
          <w:rStyle w:val="mw-headline"/>
        </w:rPr>
        <w:t>naux de la reconnaissance charismatique mais leur sensibilité ch</w:t>
      </w:r>
      <w:r w:rsidRPr="00B04004">
        <w:rPr>
          <w:rStyle w:val="mw-headline"/>
        </w:rPr>
        <w:t>a</w:t>
      </w:r>
      <w:r w:rsidRPr="00B04004">
        <w:rPr>
          <w:rStyle w:val="mw-headline"/>
        </w:rPr>
        <w:t>rismatique est naturellement beaucoup moins intense.</w:t>
      </w:r>
    </w:p>
    <w:p w14:paraId="7E669377" w14:textId="77777777" w:rsidR="00B01930" w:rsidRPr="00B04004" w:rsidRDefault="00B01930" w:rsidP="00B01930">
      <w:pPr>
        <w:autoSpaceDE w:val="0"/>
        <w:autoSpaceDN w:val="0"/>
        <w:adjustRightInd w:val="0"/>
        <w:spacing w:before="120" w:after="120"/>
        <w:ind w:left="20" w:right="100"/>
        <w:jc w:val="both"/>
        <w:rPr>
          <w:rStyle w:val="mw-headline"/>
        </w:rPr>
      </w:pPr>
      <w:r w:rsidRPr="00B04004">
        <w:rPr>
          <w:rStyle w:val="mw-headline"/>
        </w:rPr>
        <w:t>La pérennité de la routine doit être aussi prise en considération. La vie ne peut pas se poursuivre hors de celle-ci et elle se réaffirme constamment. Ainsi, les fondateurs charismatiques d’une nouvelle société ont bien pu avoir glorifié une norme particulière de conduite – l’égalité ou la sainteté par exemple à l’exclusion pratique de toute autre. Mais avec le temps, les liens personnels et élémentaires les considérations d’opportunité et les loyautés opérant au sein de gro</w:t>
      </w:r>
      <w:r w:rsidRPr="00B04004">
        <w:rPr>
          <w:rStyle w:val="mw-headline"/>
        </w:rPr>
        <w:t>u</w:t>
      </w:r>
      <w:r w:rsidRPr="00B04004">
        <w:rPr>
          <w:rStyle w:val="mw-headline"/>
        </w:rPr>
        <w:t>pements collectifs particuliers reprennent de leur importance Les normes d’égalité ou de sainteté peuvent encore être respectées, mais elles ne le sont plus de façon exclusive. C’est ce que l’on entend par atténuation.</w:t>
      </w:r>
    </w:p>
    <w:p w14:paraId="403440EE" w14:textId="77777777" w:rsidR="00B01930" w:rsidRPr="00B04004" w:rsidRDefault="00B01930" w:rsidP="00B01930">
      <w:pPr>
        <w:autoSpaceDE w:val="0"/>
        <w:autoSpaceDN w:val="0"/>
        <w:adjustRightInd w:val="0"/>
        <w:spacing w:before="120" w:after="120"/>
        <w:ind w:left="20" w:right="100"/>
        <w:jc w:val="both"/>
        <w:rPr>
          <w:rStyle w:val="mw-headline"/>
        </w:rPr>
      </w:pPr>
      <w:r w:rsidRPr="00B04004">
        <w:rPr>
          <w:rStyle w:val="mw-headline"/>
        </w:rPr>
        <w:t>Les phénomènes de diffusion ne découlent pas tous des modific</w:t>
      </w:r>
      <w:r w:rsidRPr="00B04004">
        <w:rPr>
          <w:rStyle w:val="mw-headline"/>
        </w:rPr>
        <w:t>a</w:t>
      </w:r>
      <w:r w:rsidRPr="00B04004">
        <w:rPr>
          <w:rStyle w:val="mw-headline"/>
        </w:rPr>
        <w:t>tions apparues dans la situation d’une nouvelle élite chez qui le ch</w:t>
      </w:r>
      <w:r w:rsidRPr="00B04004">
        <w:rPr>
          <w:rStyle w:val="mw-headline"/>
        </w:rPr>
        <w:t>a</w:t>
      </w:r>
      <w:r w:rsidRPr="00B04004">
        <w:rPr>
          <w:rStyle w:val="mw-headline"/>
        </w:rPr>
        <w:t>risme était à la fois concentré et intense. L’une des manifestations historiques majeures de diffusion est celle qui s’est produite dans les États modernes où l’ensemble des citoyens adultes est associé au charisme opérant sous une forme atténuée, et cela plus qu’au sein des oligarchies traditionnelles où il l’était déjà davantage que dans les sociétés primitives ou les monarchies absolues</w:t>
      </w:r>
      <w:r>
        <w:rPr>
          <w:rStyle w:val="mw-headline"/>
        </w:rPr>
        <w:t> </w:t>
      </w:r>
      <w:r>
        <w:rPr>
          <w:rStyle w:val="Appelnotedebasdep"/>
        </w:rPr>
        <w:footnoteReference w:id="1733"/>
      </w:r>
      <w:r w:rsidRPr="00B04004">
        <w:rPr>
          <w:rStyle w:val="Appelnotedebasdep"/>
          <w:position w:val="0"/>
        </w:rPr>
        <w:t>.</w:t>
      </w:r>
    </w:p>
    <w:p w14:paraId="2FABB850" w14:textId="77777777" w:rsidR="00B01930" w:rsidRPr="00740C29" w:rsidRDefault="00B01930" w:rsidP="00B01930">
      <w:pPr>
        <w:autoSpaceDE w:val="0"/>
        <w:autoSpaceDN w:val="0"/>
        <w:adjustRightInd w:val="0"/>
        <w:spacing w:before="120" w:after="120"/>
        <w:jc w:val="both"/>
        <w:rPr>
          <w:rStyle w:val="mw-headline"/>
        </w:rPr>
      </w:pPr>
      <w:r w:rsidRPr="00B04004">
        <w:rPr>
          <w:rStyle w:val="mw-headline"/>
        </w:rPr>
        <w:t>Le charisme extraordinaire dont parle Max Weber en est la forme concentrée et intense. Cependant, sous son aspect normal atténué et diffus le charisme existe dans toutes les sociétés. Il est alors reconnu dans le contexte de la quotidienneté, aux règles, aux normes, aux a</w:t>
      </w:r>
      <w:r w:rsidRPr="00B04004">
        <w:rPr>
          <w:rStyle w:val="mw-headline"/>
        </w:rPr>
        <w:t>d</w:t>
      </w:r>
      <w:r w:rsidRPr="00B04004">
        <w:rPr>
          <w:rStyle w:val="mw-headline"/>
        </w:rPr>
        <w:t>ministrations, aux institutions et aux hiérarchies de toute société. Bien que le charisme normal joue un rôle réduit dans la vie sociale de tous les jours il n’en demeure pas moins une force réelle et effective. Hors des manifestations caractérisant toutes les routines régies de façon l</w:t>
      </w:r>
      <w:r w:rsidRPr="00B04004">
        <w:rPr>
          <w:rStyle w:val="mw-headline"/>
        </w:rPr>
        <w:t>â</w:t>
      </w:r>
      <w:r w:rsidRPr="00B04004">
        <w:rPr>
          <w:rStyle w:val="mw-headline"/>
        </w:rPr>
        <w:t>che par la religiosité, il entre dans le respect des lois et des autorités constituées. En outre, il constitue le prin</w:t>
      </w:r>
      <w:r w:rsidRPr="00740C29">
        <w:rPr>
          <w:rStyle w:val="mw-headline"/>
        </w:rPr>
        <w:t>cipal critère d’attribution du status dans le système de stratification et imprègne les éléments pri</w:t>
      </w:r>
      <w:r w:rsidRPr="00740C29">
        <w:rPr>
          <w:rStyle w:val="mw-headline"/>
        </w:rPr>
        <w:t>n</w:t>
      </w:r>
      <w:r w:rsidRPr="00740C29">
        <w:rPr>
          <w:rStyle w:val="mw-headline"/>
        </w:rPr>
        <w:t>cipaux de l’héritage et des pratiques culturelles de toute société. Ainsi le charisme normal est-il un phénomène actif et effectif essentiel au maintien de l’ordre quotidien de la société.</w:t>
      </w:r>
    </w:p>
    <w:p w14:paraId="69CAA456" w14:textId="77777777" w:rsidR="00B01930" w:rsidRPr="00740C29" w:rsidRDefault="00B01930" w:rsidP="00B01930">
      <w:pPr>
        <w:spacing w:after="120"/>
        <w:ind w:firstLine="0"/>
        <w:jc w:val="both"/>
        <w:rPr>
          <w:rStyle w:val="mw-headline"/>
        </w:rPr>
      </w:pPr>
    </w:p>
    <w:p w14:paraId="1E0F57D4" w14:textId="77777777" w:rsidR="00B01930" w:rsidRDefault="00B01930" w:rsidP="00B01930">
      <w:pPr>
        <w:pStyle w:val="suite"/>
      </w:pPr>
      <w:r>
        <w:t>FIN</w:t>
      </w:r>
    </w:p>
    <w:sectPr w:rsidR="00B01930" w:rsidSect="00B01930">
      <w:headerReference w:type="default" r:id="rId27"/>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C9CF0" w14:textId="77777777" w:rsidR="008F3F89" w:rsidRDefault="008F3F89">
      <w:r>
        <w:separator/>
      </w:r>
    </w:p>
  </w:endnote>
  <w:endnote w:type="continuationSeparator" w:id="0">
    <w:p w14:paraId="2BB505FB" w14:textId="77777777" w:rsidR="008F3F89" w:rsidRDefault="008F3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Batang">
    <w:altName w:val="바탕"/>
    <w:panose1 w:val="02030600000101010101"/>
    <w:charset w:val="81"/>
    <w:family w:val="roman"/>
    <w:pitch w:val="variable"/>
    <w:sig w:usb0="B00002AF" w:usb1="69D77CFB" w:usb2="00000030" w:usb3="00000000" w:csb0="0028009F" w:csb1="00000000"/>
  </w:font>
  <w:font w:name="Mangal">
    <w:panose1 w:val="02040503050203030202"/>
    <w:charset w:val="00"/>
    <w:family w:val="roman"/>
    <w:pitch w:val="variable"/>
    <w:sig w:usb0="00008003" w:usb1="00000000" w:usb2="00000000" w:usb3="00000000" w:csb0="00000001" w:csb1="00000000"/>
  </w:font>
  <w:font w:name="Byington">
    <w:altName w:val="Times New Roman"/>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Arial-BoldMT">
    <w:altName w:val="Arial"/>
    <w:panose1 w:val="020B0604020202020204"/>
    <w:charset w:val="4D"/>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Narkisim">
    <w:panose1 w:val="020E0502050101010101"/>
    <w:charset w:val="B1"/>
    <w:family w:val="swiss"/>
    <w:pitch w:val="variable"/>
    <w:sig w:usb0="00000803" w:usb1="00000000" w:usb2="00000000" w:usb3="00000000" w:csb0="00000021" w:csb1="00000000"/>
  </w:font>
  <w:font w:name="SONGTI SC BLACK">
    <w:panose1 w:val="02010800040101010101"/>
    <w:charset w:val="86"/>
    <w:family w:val="auto"/>
    <w:pitch w:val="variable"/>
    <w:sig w:usb0="00000001" w:usb1="080F0000" w:usb2="00000010" w:usb3="00000000" w:csb0="00040000" w:csb1="00000000"/>
  </w:font>
  <w:font w:name="Lantinghei SC Extralight">
    <w:altName w:val="Times New Roman"/>
    <w:panose1 w:val="020B0604020202020204"/>
    <w:charset w:val="00"/>
    <w:family w:val="auto"/>
    <w:pitch w:val="variable"/>
    <w:sig w:usb0="00000003" w:usb1="00000000" w:usb2="00000000" w:usb3="00000000" w:csb0="00000001" w:csb1="00000000"/>
  </w:font>
  <w:font w:name="ヒラギノ明朝 ProN W3">
    <w:panose1 w:val="02020300000000000000"/>
    <w:charset w:val="80"/>
    <w:family w:val="roman"/>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F23C4" w14:textId="77777777" w:rsidR="008F3F89" w:rsidRDefault="008F3F89">
      <w:pPr>
        <w:ind w:firstLine="0"/>
      </w:pPr>
      <w:r>
        <w:separator/>
      </w:r>
    </w:p>
  </w:footnote>
  <w:footnote w:type="continuationSeparator" w:id="0">
    <w:p w14:paraId="431601D9" w14:textId="77777777" w:rsidR="008F3F89" w:rsidRDefault="008F3F89">
      <w:pPr>
        <w:ind w:firstLine="0"/>
      </w:pPr>
      <w:r>
        <w:separator/>
      </w:r>
    </w:p>
  </w:footnote>
  <w:footnote w:id="1">
    <w:p w14:paraId="435B8601" w14:textId="77777777" w:rsidR="00B01930" w:rsidRDefault="00B01930" w:rsidP="00B01930">
      <w:pPr>
        <w:pStyle w:val="Notedebasdepage"/>
      </w:pPr>
      <w:r>
        <w:rPr>
          <w:rStyle w:val="Appelnotedebasdep"/>
        </w:rPr>
        <w:footnoteRef/>
      </w:r>
      <w:r>
        <w:t xml:space="preserve"> </w:t>
      </w:r>
      <w:r>
        <w:tab/>
      </w:r>
      <w:r w:rsidRPr="0004576F">
        <w:t>Hervé Coutau-Bégarie, cité par Martin Motte, directeur d’études à l’</w:t>
      </w:r>
      <w:r w:rsidRPr="0004576F">
        <w:rPr>
          <w:smallCaps/>
        </w:rPr>
        <w:t>Éphe</w:t>
      </w:r>
      <w:r w:rsidRPr="0004576F">
        <w:t>, « Hervé Coutau-Bégarie et la géopolitique, un pr</w:t>
      </w:r>
      <w:r w:rsidRPr="0004576F">
        <w:t>a</w:t>
      </w:r>
      <w:r w:rsidRPr="0004576F">
        <w:t xml:space="preserve">tiquant non croyant ? », </w:t>
      </w:r>
      <w:r w:rsidRPr="0004576F">
        <w:rPr>
          <w:i/>
        </w:rPr>
        <w:t>in</w:t>
      </w:r>
      <w:r w:rsidRPr="0004576F">
        <w:t xml:space="preserve"> « </w:t>
      </w:r>
      <w:r w:rsidRPr="0004576F">
        <w:rPr>
          <w:i/>
        </w:rPr>
        <w:t>Hervé Coutau-Bégarie, L’homme</w:t>
      </w:r>
      <w:r w:rsidRPr="0004576F">
        <w:t xml:space="preserve">… », </w:t>
      </w:r>
      <w:r w:rsidRPr="0004576F">
        <w:rPr>
          <w:i/>
        </w:rPr>
        <w:t>op.cit</w:t>
      </w:r>
      <w:r w:rsidRPr="0004576F">
        <w:t>., p.122.</w:t>
      </w:r>
    </w:p>
  </w:footnote>
  <w:footnote w:id="2">
    <w:p w14:paraId="2930A969" w14:textId="77777777" w:rsidR="00B01930" w:rsidRDefault="00B01930" w:rsidP="00B01930">
      <w:pPr>
        <w:pStyle w:val="Notedebasdepage"/>
      </w:pPr>
      <w:r>
        <w:rPr>
          <w:rStyle w:val="Appelnotedebasdep"/>
        </w:rPr>
        <w:footnoteRef/>
      </w:r>
      <w:r>
        <w:t xml:space="preserve"> </w:t>
      </w:r>
      <w:r>
        <w:tab/>
      </w:r>
      <w:r w:rsidRPr="0004576F">
        <w:t xml:space="preserve">Hervé Coutau-Bégarie, </w:t>
      </w:r>
      <w:r w:rsidRPr="0004576F">
        <w:rPr>
          <w:i/>
        </w:rPr>
        <w:t>La Nouvelle Revue d’Histoire</w:t>
      </w:r>
      <w:r w:rsidRPr="0004576F">
        <w:t>, n°33, 2007.</w:t>
      </w:r>
    </w:p>
  </w:footnote>
  <w:footnote w:id="3">
    <w:p w14:paraId="4ADFDAD7" w14:textId="77777777" w:rsidR="00B01930" w:rsidRDefault="00B01930" w:rsidP="00B01930">
      <w:pPr>
        <w:pStyle w:val="Notedebasdepage"/>
      </w:pPr>
      <w:r>
        <w:rPr>
          <w:rStyle w:val="Appelnotedebasdep"/>
        </w:rPr>
        <w:footnoteRef/>
      </w:r>
      <w:r>
        <w:t xml:space="preserve"> </w:t>
      </w:r>
      <w:r>
        <w:tab/>
      </w:r>
      <w:r w:rsidRPr="0004576F">
        <w:t>Souligné par l’auteur.</w:t>
      </w:r>
    </w:p>
  </w:footnote>
  <w:footnote w:id="4">
    <w:p w14:paraId="08DB3EB4" w14:textId="77777777" w:rsidR="00B01930" w:rsidRDefault="00B01930" w:rsidP="00B01930">
      <w:pPr>
        <w:pStyle w:val="Notedebasdepage"/>
      </w:pPr>
      <w:r>
        <w:rPr>
          <w:rStyle w:val="Appelnotedebasdep"/>
        </w:rPr>
        <w:footnoteRef/>
      </w:r>
      <w:r>
        <w:t xml:space="preserve"> </w:t>
      </w:r>
      <w:r>
        <w:tab/>
      </w:r>
      <w:r w:rsidRPr="0004576F">
        <w:t xml:space="preserve">Georges-Henri Soutou, </w:t>
      </w:r>
      <w:r w:rsidRPr="0004576F">
        <w:rPr>
          <w:i/>
        </w:rPr>
        <w:t>in</w:t>
      </w:r>
      <w:r w:rsidRPr="0004576F">
        <w:t> : « </w:t>
      </w:r>
      <w:r w:rsidRPr="0004576F">
        <w:rPr>
          <w:i/>
        </w:rPr>
        <w:t>Hervé Coutau-Bégarie, L’homme</w:t>
      </w:r>
      <w:r w:rsidRPr="0004576F">
        <w:t xml:space="preserve">… », </w:t>
      </w:r>
      <w:r w:rsidRPr="0004576F">
        <w:rPr>
          <w:i/>
        </w:rPr>
        <w:t>op.cit</w:t>
      </w:r>
      <w:r w:rsidRPr="0004576F">
        <w:t>., p. 65.</w:t>
      </w:r>
    </w:p>
  </w:footnote>
  <w:footnote w:id="5">
    <w:p w14:paraId="5E0135A3" w14:textId="77777777" w:rsidR="00B01930" w:rsidRDefault="00B01930" w:rsidP="00B01930">
      <w:pPr>
        <w:pStyle w:val="Notedebasdepage"/>
      </w:pPr>
      <w:r>
        <w:rPr>
          <w:rStyle w:val="Appelnotedebasdep"/>
        </w:rPr>
        <w:footnoteRef/>
      </w:r>
      <w:r>
        <w:t xml:space="preserve"> </w:t>
      </w:r>
      <w:r>
        <w:tab/>
      </w:r>
      <w:r w:rsidRPr="0004576F">
        <w:t>Jean-Pierre Poussou, « stèle pour Hervé Coutau-Bégarie, maître de l’histoire navale frança</w:t>
      </w:r>
      <w:r w:rsidRPr="0004576F">
        <w:t>i</w:t>
      </w:r>
      <w:r w:rsidRPr="0004576F">
        <w:t xml:space="preserve">se », </w:t>
      </w:r>
      <w:r w:rsidRPr="0004576F">
        <w:rPr>
          <w:i/>
        </w:rPr>
        <w:t>in</w:t>
      </w:r>
      <w:r w:rsidRPr="0004576F">
        <w:t> : « </w:t>
      </w:r>
      <w:r w:rsidRPr="0004576F">
        <w:rPr>
          <w:i/>
        </w:rPr>
        <w:t>Hervé Coutau-Bégarie l’Homme… », op. cit.,</w:t>
      </w:r>
      <w:r w:rsidRPr="0004576F">
        <w:t xml:space="preserve"> p.73</w:t>
      </w:r>
      <w:r w:rsidRPr="0004576F">
        <w:rPr>
          <w:i/>
        </w:rPr>
        <w:t>.</w:t>
      </w:r>
    </w:p>
  </w:footnote>
  <w:footnote w:id="6">
    <w:p w14:paraId="6F739B88" w14:textId="77777777" w:rsidR="00B01930" w:rsidRDefault="00B01930" w:rsidP="00B01930">
      <w:pPr>
        <w:pStyle w:val="Notedebasdepage"/>
      </w:pPr>
      <w:r>
        <w:rPr>
          <w:rStyle w:val="Appelnotedebasdep"/>
        </w:rPr>
        <w:footnoteRef/>
      </w:r>
      <w:r>
        <w:t xml:space="preserve"> </w:t>
      </w:r>
      <w:r>
        <w:tab/>
      </w:r>
      <w:r w:rsidRPr="0004576F">
        <w:t xml:space="preserve">Hervé Coutau-Bégarie, </w:t>
      </w:r>
      <w:r w:rsidRPr="009B06E4">
        <w:rPr>
          <w:i/>
        </w:rPr>
        <w:t>La Nouvelle Revue</w:t>
      </w:r>
      <w:r w:rsidRPr="0004576F">
        <w:t xml:space="preserve"> …, article cité.</w:t>
      </w:r>
    </w:p>
  </w:footnote>
  <w:footnote w:id="7">
    <w:p w14:paraId="4122B122" w14:textId="77777777" w:rsidR="00B01930" w:rsidRDefault="00B01930" w:rsidP="00B01930">
      <w:pPr>
        <w:pStyle w:val="Notedebasdepage"/>
      </w:pPr>
      <w:r>
        <w:rPr>
          <w:rStyle w:val="Appelnotedebasdep"/>
        </w:rPr>
        <w:footnoteRef/>
      </w:r>
      <w:r>
        <w:t xml:space="preserve"> </w:t>
      </w:r>
      <w:r>
        <w:tab/>
      </w:r>
      <w:r w:rsidRPr="0004576F">
        <w:t>Comme il intitulait son enseignement en 1973-1975 pour marquer la singular</w:t>
      </w:r>
      <w:r w:rsidRPr="0004576F">
        <w:t>i</w:t>
      </w:r>
      <w:r w:rsidRPr="0004576F">
        <w:t>té de sa d</w:t>
      </w:r>
      <w:r w:rsidRPr="0004576F">
        <w:t>é</w:t>
      </w:r>
      <w:r w:rsidRPr="0004576F">
        <w:t>marche au sein d’une Faculté de Droit bordelaise où régnaient en ma</w:t>
      </w:r>
      <w:r w:rsidRPr="0004576F">
        <w:t>î</w:t>
      </w:r>
      <w:r w:rsidRPr="0004576F">
        <w:t>tre le positivisme et l’historicisme les plus stricts.</w:t>
      </w:r>
    </w:p>
  </w:footnote>
  <w:footnote w:id="8">
    <w:p w14:paraId="6AF24196" w14:textId="77777777" w:rsidR="00B01930" w:rsidRDefault="00B01930" w:rsidP="00B01930">
      <w:pPr>
        <w:pStyle w:val="Notedebasdepage"/>
      </w:pPr>
      <w:r>
        <w:rPr>
          <w:rStyle w:val="Appelnotedebasdep"/>
        </w:rPr>
        <w:footnoteRef/>
      </w:r>
      <w:r>
        <w:t xml:space="preserve"> </w:t>
      </w:r>
      <w:r>
        <w:tab/>
      </w:r>
      <w:r w:rsidRPr="0004576F">
        <w:rPr>
          <w:i/>
        </w:rPr>
        <w:t>La Vie de l’esprit</w:t>
      </w:r>
      <w:r w:rsidRPr="0004576F">
        <w:t xml:space="preserve">, tome 1, </w:t>
      </w:r>
      <w:r w:rsidRPr="0004576F">
        <w:rPr>
          <w:i/>
        </w:rPr>
        <w:t>La Pensée</w:t>
      </w:r>
      <w:r w:rsidRPr="0004576F">
        <w:t>, Paris, P</w:t>
      </w:r>
      <w:r w:rsidRPr="0004576F">
        <w:rPr>
          <w:smallCaps/>
        </w:rPr>
        <w:t>uf</w:t>
      </w:r>
      <w:r w:rsidRPr="0004576F">
        <w:t>, 1981.</w:t>
      </w:r>
    </w:p>
  </w:footnote>
  <w:footnote w:id="9">
    <w:p w14:paraId="6ACB0855" w14:textId="77777777" w:rsidR="00B01930" w:rsidRDefault="00B01930" w:rsidP="00B01930">
      <w:pPr>
        <w:pStyle w:val="Notedebasdepage"/>
      </w:pPr>
      <w:r>
        <w:rPr>
          <w:rStyle w:val="Appelnotedebasdep"/>
        </w:rPr>
        <w:footnoteRef/>
      </w:r>
      <w:r>
        <w:t xml:space="preserve"> </w:t>
      </w:r>
      <w:r>
        <w:tab/>
      </w:r>
      <w:r w:rsidRPr="0004576F">
        <w:t>Sans cela, c’était se trouver frappé de psittacisme en fin d’année, comme ce fût le cas pour nombre d’étudiants… Mais le pire était à venir. Dès les années 80, Jean-Louis Martres constata avec agacement et tristesse que ces deux d</w:t>
      </w:r>
      <w:r w:rsidRPr="0004576F">
        <w:t>é</w:t>
      </w:r>
      <w:r w:rsidRPr="0004576F">
        <w:t>marches avaient déserté les e</w:t>
      </w:r>
      <w:r w:rsidRPr="0004576F">
        <w:t>s</w:t>
      </w:r>
      <w:r w:rsidRPr="0004576F">
        <w:t>prits. Conséquence de la vision « managériale et technocrat</w:t>
      </w:r>
      <w:r w:rsidRPr="0004576F">
        <w:t>i</w:t>
      </w:r>
      <w:r w:rsidRPr="0004576F">
        <w:t xml:space="preserve">que » qu’appliquent avec constance dirigeants et fonctionnaires français et européens. Voir, par exemple, comme illustration le cinglant article de Claudia Moatti, « L’Université, cote d’alerte », </w:t>
      </w:r>
      <w:r w:rsidRPr="0004576F">
        <w:rPr>
          <w:i/>
        </w:rPr>
        <w:t>in Médium</w:t>
      </w:r>
      <w:r w:rsidRPr="0004576F">
        <w:t xml:space="preserve"> 2004/1 (n°1). Voir aussi Simon Leys, « Une idée de l’Université », in Revue </w:t>
      </w:r>
      <w:r w:rsidRPr="0004576F">
        <w:rPr>
          <w:i/>
        </w:rPr>
        <w:t>Commentaires</w:t>
      </w:r>
      <w:r w:rsidRPr="0004576F">
        <w:t>, 114, été 2006, p. 470. Sur le di</w:t>
      </w:r>
      <w:r w:rsidRPr="0004576F">
        <w:t>s</w:t>
      </w:r>
      <w:r w:rsidRPr="0004576F">
        <w:t>cours managérial qui a envahi entreprises et administrations, cf. Daniel Lagraula, « Des mots et des choses en manag</w:t>
      </w:r>
      <w:r w:rsidRPr="0004576F">
        <w:t>e</w:t>
      </w:r>
      <w:r w:rsidRPr="0004576F">
        <w:t xml:space="preserve">ment », </w:t>
      </w:r>
      <w:r w:rsidRPr="0004576F">
        <w:rPr>
          <w:i/>
        </w:rPr>
        <w:t>Qualitique</w:t>
      </w:r>
      <w:r w:rsidRPr="0004576F">
        <w:t xml:space="preserve">, 214, mars 2010. Cf. également de Pierre Legendre, </w:t>
      </w:r>
      <w:r w:rsidRPr="0004576F">
        <w:rPr>
          <w:rFonts w:cs="Helvetica"/>
          <w:i/>
          <w:iCs/>
          <w:szCs w:val="26"/>
        </w:rPr>
        <w:t>Dom</w:t>
      </w:r>
      <w:r w:rsidRPr="0004576F">
        <w:rPr>
          <w:rFonts w:cs="Helvetica"/>
          <w:i/>
          <w:iCs/>
          <w:szCs w:val="26"/>
        </w:rPr>
        <w:t>i</w:t>
      </w:r>
      <w:r w:rsidRPr="0004576F">
        <w:rPr>
          <w:rFonts w:cs="Helvetica"/>
          <w:i/>
          <w:iCs/>
          <w:szCs w:val="26"/>
        </w:rPr>
        <w:t>nium mundi. L’Empire du manag</w:t>
      </w:r>
      <w:r w:rsidRPr="0004576F">
        <w:rPr>
          <w:rFonts w:cs="Helvetica"/>
          <w:i/>
          <w:iCs/>
          <w:szCs w:val="26"/>
        </w:rPr>
        <w:t>e</w:t>
      </w:r>
      <w:r w:rsidRPr="0004576F">
        <w:rPr>
          <w:rFonts w:cs="Helvetica"/>
          <w:i/>
          <w:iCs/>
          <w:szCs w:val="26"/>
        </w:rPr>
        <w:t>ment</w:t>
      </w:r>
      <w:r w:rsidRPr="0004576F">
        <w:rPr>
          <w:rFonts w:cs="Helvetica"/>
          <w:szCs w:val="26"/>
        </w:rPr>
        <w:t xml:space="preserve">, Paris, Éd. Mille et une nuits, 2007, et du même auteur, </w:t>
      </w:r>
      <w:r w:rsidRPr="0004576F">
        <w:rPr>
          <w:rFonts w:cs="Helvetica"/>
          <w:i/>
          <w:szCs w:val="26"/>
        </w:rPr>
        <w:t>Vues éparses</w:t>
      </w:r>
      <w:r w:rsidRPr="0004576F">
        <w:rPr>
          <w:rFonts w:cs="Helvetica"/>
          <w:szCs w:val="26"/>
        </w:rPr>
        <w:t>, Paris, Fayard / Mille et une nuit, 2009 (entr</w:t>
      </w:r>
      <w:r w:rsidRPr="0004576F">
        <w:rPr>
          <w:rFonts w:cs="Helvetica"/>
          <w:szCs w:val="26"/>
        </w:rPr>
        <w:t>e</w:t>
      </w:r>
      <w:r w:rsidRPr="0004576F">
        <w:rPr>
          <w:rFonts w:cs="Helvetica"/>
          <w:szCs w:val="26"/>
        </w:rPr>
        <w:t xml:space="preserve">tiens à </w:t>
      </w:r>
      <w:r w:rsidRPr="0004576F">
        <w:rPr>
          <w:rFonts w:cs="Helvetica"/>
          <w:i/>
          <w:szCs w:val="26"/>
        </w:rPr>
        <w:t>France culture</w:t>
      </w:r>
      <w:r w:rsidRPr="0004576F">
        <w:rPr>
          <w:rFonts w:cs="Helvetica"/>
          <w:szCs w:val="26"/>
        </w:rPr>
        <w:t xml:space="preserve"> avec Philippe Périt).</w:t>
      </w:r>
    </w:p>
  </w:footnote>
  <w:footnote w:id="10">
    <w:p w14:paraId="0A0B9400" w14:textId="77777777" w:rsidR="00B01930" w:rsidRDefault="00B01930" w:rsidP="00B01930">
      <w:pPr>
        <w:pStyle w:val="Notedebasdepage"/>
      </w:pPr>
      <w:r>
        <w:rPr>
          <w:rStyle w:val="Appelnotedebasdep"/>
        </w:rPr>
        <w:footnoteRef/>
      </w:r>
      <w:r>
        <w:t xml:space="preserve"> </w:t>
      </w:r>
      <w:r>
        <w:tab/>
      </w:r>
      <w:r w:rsidRPr="0004576F">
        <w:t xml:space="preserve">Jean-Louis Martres, </w:t>
      </w:r>
      <w:r w:rsidRPr="00AE01D2">
        <w:rPr>
          <w:i/>
        </w:rPr>
        <w:t>Les Grilles de la pensée politiques</w:t>
      </w:r>
      <w:r w:rsidRPr="0004576F">
        <w:t>, op. cit., 2012.</w:t>
      </w:r>
    </w:p>
  </w:footnote>
  <w:footnote w:id="11">
    <w:p w14:paraId="793985DC" w14:textId="77777777" w:rsidR="00B01930" w:rsidRDefault="00B01930" w:rsidP="00B01930">
      <w:pPr>
        <w:pStyle w:val="Notedebasdepage"/>
      </w:pPr>
      <w:r>
        <w:rPr>
          <w:rStyle w:val="Appelnotedebasdep"/>
        </w:rPr>
        <w:footnoteRef/>
      </w:r>
      <w:r>
        <w:t xml:space="preserve"> </w:t>
      </w:r>
      <w:r>
        <w:tab/>
      </w:r>
      <w:r w:rsidRPr="0004576F">
        <w:t xml:space="preserve">De Xu Zhen Zhou, </w:t>
      </w:r>
      <w:hyperlink r:id="rId1" w:history="1">
        <w:r w:rsidRPr="00AE01D2">
          <w:rPr>
            <w:rStyle w:val="Hyperlien"/>
          </w:rPr>
          <w:t>L’Art de la politique chez les légistes chinois</w:t>
        </w:r>
      </w:hyperlink>
      <w:r w:rsidRPr="0004576F">
        <w:t>, Paris, Éc</w:t>
      </w:r>
      <w:r w:rsidRPr="0004576F">
        <w:t>o</w:t>
      </w:r>
      <w:r w:rsidRPr="0004576F">
        <w:t>nomica, 1995, en libre accès sur le si</w:t>
      </w:r>
      <w:r>
        <w:t>te « Les Classiques des sciences so</w:t>
      </w:r>
      <w:r w:rsidRPr="0004576F">
        <w:t>ci</w:t>
      </w:r>
      <w:r w:rsidRPr="0004576F">
        <w:t>a</w:t>
      </w:r>
      <w:r w:rsidRPr="0004576F">
        <w:t>les », de l’Université de Chicoutimi au Québec. Ouvrage qu’il eut la délicate</w:t>
      </w:r>
      <w:r w:rsidRPr="0004576F">
        <w:t>s</w:t>
      </w:r>
      <w:r w:rsidRPr="0004576F">
        <w:t>se de nous dédicacer ainsi « avec toute mon amitié et ma reconnaissance pour avoir réussi à me décider de transformer mes œuvres posthumes en ce mode</w:t>
      </w:r>
      <w:r w:rsidRPr="0004576F">
        <w:t>s</w:t>
      </w:r>
      <w:r w:rsidRPr="0004576F">
        <w:t xml:space="preserve">te fragment anthume ». Au moment même où il mettait un terme à son </w:t>
      </w:r>
      <w:r w:rsidRPr="0004576F">
        <w:rPr>
          <w:i/>
        </w:rPr>
        <w:t>opus magnum</w:t>
      </w:r>
      <w:r w:rsidRPr="0004576F">
        <w:t xml:space="preserve"> (cf. </w:t>
      </w:r>
      <w:r w:rsidRPr="0004576F">
        <w:rPr>
          <w:i/>
        </w:rPr>
        <w:t xml:space="preserve">supra </w:t>
      </w:r>
      <w:r w:rsidRPr="0004576F">
        <w:t>note 4.). Atropos décida de prendre au pied de la lettre la d</w:t>
      </w:r>
      <w:r w:rsidRPr="0004576F">
        <w:t>é</w:t>
      </w:r>
      <w:r w:rsidRPr="0004576F">
        <w:t>dicace et nous enleva Jean-Louis Martres le 11 avril 2013.</w:t>
      </w:r>
    </w:p>
  </w:footnote>
  <w:footnote w:id="12">
    <w:p w14:paraId="2ED13C2A" w14:textId="77777777" w:rsidR="00B01930" w:rsidRDefault="00B01930" w:rsidP="00B01930">
      <w:pPr>
        <w:pStyle w:val="Notedebasdepage"/>
      </w:pPr>
      <w:r>
        <w:rPr>
          <w:rStyle w:val="Appelnotedebasdep"/>
        </w:rPr>
        <w:footnoteRef/>
      </w:r>
      <w:r>
        <w:t xml:space="preserve"> </w:t>
      </w:r>
      <w:r>
        <w:tab/>
      </w:r>
      <w:r w:rsidRPr="0004576F">
        <w:t>Ouvrage de Claude Lévi-Strauss, Paris, Plon, 1983.</w:t>
      </w:r>
    </w:p>
  </w:footnote>
  <w:footnote w:id="13">
    <w:p w14:paraId="2BFDD8D2" w14:textId="77777777" w:rsidR="00B01930" w:rsidRDefault="00B01930" w:rsidP="00B01930">
      <w:pPr>
        <w:pStyle w:val="Notedebasdepage"/>
      </w:pPr>
      <w:r>
        <w:rPr>
          <w:rStyle w:val="Appelnotedebasdep"/>
        </w:rPr>
        <w:footnoteRef/>
      </w:r>
      <w:r>
        <w:t xml:space="preserve"> </w:t>
      </w:r>
      <w:r>
        <w:tab/>
      </w:r>
      <w:r w:rsidRPr="0004576F">
        <w:t>Ce n’est pas un hasard si Jean-Louis Martres cite, sur ce sujet, les propos de Michel Fo</w:t>
      </w:r>
      <w:r w:rsidRPr="0004576F">
        <w:t>u</w:t>
      </w:r>
      <w:r w:rsidRPr="0004576F">
        <w:t xml:space="preserve">cault, </w:t>
      </w:r>
      <w:r w:rsidRPr="0004576F">
        <w:rPr>
          <w:i/>
        </w:rPr>
        <w:t>Les Grilles</w:t>
      </w:r>
      <w:r w:rsidRPr="0004576F">
        <w:t xml:space="preserve">…, </w:t>
      </w:r>
      <w:r w:rsidRPr="0004576F">
        <w:rPr>
          <w:i/>
        </w:rPr>
        <w:t>op. cit.</w:t>
      </w:r>
      <w:r w:rsidRPr="0004576F">
        <w:t>, p. 720, note 677.</w:t>
      </w:r>
    </w:p>
  </w:footnote>
  <w:footnote w:id="14">
    <w:p w14:paraId="4473C7A8" w14:textId="77777777" w:rsidR="00B01930" w:rsidRDefault="00B01930" w:rsidP="00B01930">
      <w:pPr>
        <w:pStyle w:val="Notedebasdepage"/>
      </w:pPr>
      <w:r>
        <w:rPr>
          <w:rStyle w:val="Appelnotedebasdep"/>
        </w:rPr>
        <w:footnoteRef/>
      </w:r>
      <w:r>
        <w:t xml:space="preserve"> </w:t>
      </w:r>
      <w:r>
        <w:tab/>
      </w:r>
      <w:r w:rsidRPr="0004576F">
        <w:t>Les Grilles…, p. 7.</w:t>
      </w:r>
    </w:p>
  </w:footnote>
  <w:footnote w:id="15">
    <w:p w14:paraId="28BF49EE" w14:textId="77777777" w:rsidR="00B01930" w:rsidRDefault="00B01930" w:rsidP="00B01930">
      <w:pPr>
        <w:pStyle w:val="Notedebasdepage"/>
      </w:pPr>
      <w:r>
        <w:rPr>
          <w:rStyle w:val="Appelnotedebasdep"/>
        </w:rPr>
        <w:footnoteRef/>
      </w:r>
      <w:r>
        <w:t xml:space="preserve"> </w:t>
      </w:r>
      <w:r>
        <w:tab/>
      </w:r>
      <w:r w:rsidRPr="0004576F">
        <w:rPr>
          <w:i/>
        </w:rPr>
        <w:t>Ibidem</w:t>
      </w:r>
      <w:r w:rsidRPr="0004576F">
        <w:t>, p. 379.</w:t>
      </w:r>
    </w:p>
  </w:footnote>
  <w:footnote w:id="16">
    <w:p w14:paraId="4D83F764" w14:textId="77777777" w:rsidR="00B01930" w:rsidRDefault="00B01930" w:rsidP="00B01930">
      <w:pPr>
        <w:pStyle w:val="Notedebasdepage"/>
      </w:pPr>
      <w:r>
        <w:rPr>
          <w:rStyle w:val="Appelnotedebasdep"/>
        </w:rPr>
        <w:footnoteRef/>
      </w:r>
      <w:r>
        <w:t xml:space="preserve"> </w:t>
      </w:r>
      <w:r>
        <w:tab/>
      </w:r>
      <w:r w:rsidRPr="0004576F">
        <w:rPr>
          <w:i/>
        </w:rPr>
        <w:t>Ibidem</w:t>
      </w:r>
      <w:r w:rsidRPr="0004576F">
        <w:t>, p.567</w:t>
      </w:r>
      <w:r>
        <w:t>.</w:t>
      </w:r>
    </w:p>
  </w:footnote>
  <w:footnote w:id="17">
    <w:p w14:paraId="5AB69F8D" w14:textId="77777777" w:rsidR="00B01930" w:rsidRDefault="00B01930" w:rsidP="00B01930">
      <w:pPr>
        <w:pStyle w:val="Notedebasdepage"/>
      </w:pPr>
      <w:r>
        <w:rPr>
          <w:rStyle w:val="Appelnotedebasdep"/>
        </w:rPr>
        <w:footnoteRef/>
      </w:r>
      <w:r>
        <w:t xml:space="preserve"> </w:t>
      </w:r>
      <w:r>
        <w:tab/>
      </w:r>
      <w:r w:rsidRPr="0004576F">
        <w:t xml:space="preserve">Claude Lefort, </w:t>
      </w:r>
      <w:r w:rsidRPr="0004576F">
        <w:rPr>
          <w:i/>
        </w:rPr>
        <w:t>Machiavel. Le travail de l’œuvre</w:t>
      </w:r>
      <w:r w:rsidRPr="0004576F">
        <w:t>, Paris, Gall</w:t>
      </w:r>
      <w:r w:rsidRPr="0004576F">
        <w:t>i</w:t>
      </w:r>
      <w:r w:rsidRPr="0004576F">
        <w:t>mard, 1972.</w:t>
      </w:r>
    </w:p>
  </w:footnote>
  <w:footnote w:id="18">
    <w:p w14:paraId="2B13D777" w14:textId="77777777" w:rsidR="00B01930" w:rsidRDefault="00B01930" w:rsidP="00B01930">
      <w:pPr>
        <w:pStyle w:val="Notedebasdepage"/>
      </w:pPr>
      <w:r>
        <w:rPr>
          <w:rStyle w:val="Appelnotedebasdep"/>
        </w:rPr>
        <w:footnoteRef/>
      </w:r>
      <w:r>
        <w:t xml:space="preserve"> </w:t>
      </w:r>
      <w:r>
        <w:tab/>
      </w:r>
      <w:r w:rsidRPr="0004576F">
        <w:t xml:space="preserve">Jean-Louis Martres, préface à Gérard Dussouy, </w:t>
      </w:r>
      <w:hyperlink r:id="rId2" w:history="1">
        <w:r w:rsidRPr="00324ED9">
          <w:rPr>
            <w:rStyle w:val="Hyperlien"/>
            <w:i/>
          </w:rPr>
          <w:t>Quelle géopolitique au XXI</w:t>
        </w:r>
        <w:r w:rsidRPr="00324ED9">
          <w:rPr>
            <w:rStyle w:val="Hyperlien"/>
            <w:i/>
            <w:vertAlign w:val="superscript"/>
          </w:rPr>
          <w:t xml:space="preserve">e </w:t>
        </w:r>
        <w:r w:rsidRPr="00324ED9">
          <w:rPr>
            <w:rStyle w:val="Hyperlien"/>
            <w:i/>
          </w:rPr>
          <w:t>siècle</w:t>
        </w:r>
      </w:hyperlink>
      <w:r w:rsidRPr="0004576F">
        <w:t>, Paris, Bruxelles, Éd. Complexe, 2001, cité infra dans le présent ouvr</w:t>
      </w:r>
      <w:r w:rsidRPr="0004576F">
        <w:t>a</w:t>
      </w:r>
      <w:r w:rsidRPr="0004576F">
        <w:t>ge.</w:t>
      </w:r>
    </w:p>
  </w:footnote>
  <w:footnote w:id="19">
    <w:p w14:paraId="333DB1A5" w14:textId="77777777" w:rsidR="00B01930" w:rsidRDefault="00B01930" w:rsidP="00B01930">
      <w:pPr>
        <w:pStyle w:val="Notedebasdepage"/>
      </w:pPr>
      <w:r>
        <w:rPr>
          <w:rStyle w:val="Appelnotedebasdep"/>
        </w:rPr>
        <w:footnoteRef/>
      </w:r>
      <w:r>
        <w:t xml:space="preserve"> </w:t>
      </w:r>
      <w:r>
        <w:tab/>
      </w:r>
      <w:r w:rsidRPr="0004576F">
        <w:t>R. Baumet, « Carl Schmitt, entre tactique et théorie », 26 oct</w:t>
      </w:r>
      <w:r w:rsidRPr="0004576F">
        <w:t>o</w:t>
      </w:r>
      <w:r w:rsidRPr="0004576F">
        <w:t>bre 2012, http://www.laviedesidees.fr.</w:t>
      </w:r>
    </w:p>
  </w:footnote>
  <w:footnote w:id="20">
    <w:p w14:paraId="60D4D05F" w14:textId="77777777" w:rsidR="00B01930" w:rsidRDefault="00B01930" w:rsidP="00B01930">
      <w:pPr>
        <w:pStyle w:val="Notedebasdepage"/>
      </w:pPr>
      <w:r>
        <w:rPr>
          <w:rStyle w:val="Appelnotedebasdep"/>
        </w:rPr>
        <w:footnoteRef/>
      </w:r>
      <w:r>
        <w:t xml:space="preserve"> </w:t>
      </w:r>
      <w:r>
        <w:tab/>
      </w:r>
      <w:r w:rsidRPr="0004576F">
        <w:t>Ceci est un très bref résumé de l’introduction du cours de Jean-Louis Martres de 1972-1976, cours mis en forme, à sa demande, par nos soins entre 1975 et 1976, suite à la rem</w:t>
      </w:r>
      <w:r w:rsidRPr="0004576F">
        <w:t>i</w:t>
      </w:r>
      <w:r w:rsidRPr="0004576F">
        <w:t>se de ses notes et supports de cours, auxquels nous avions ajoutés nos notes et références et cit</w:t>
      </w:r>
      <w:r w:rsidRPr="0004576F">
        <w:t>a</w:t>
      </w:r>
      <w:r w:rsidRPr="0004576F">
        <w:t>tions avec son accord, le tout lui ayant été remis en 1976. L’introduction du livre  est beaucoup plus élaborée, cela va de soi, puisqu’écrite quarante ans après, néanmoins dans le cadre qui est le n</w:t>
      </w:r>
      <w:r w:rsidRPr="0004576F">
        <w:t>o</w:t>
      </w:r>
      <w:r w:rsidRPr="0004576F">
        <w:t>tre, le résumé fait ici est bien le cœur de la démarche et reflète tout à fait celle-ci.</w:t>
      </w:r>
    </w:p>
  </w:footnote>
  <w:footnote w:id="21">
    <w:p w14:paraId="5F4AA6A6" w14:textId="77777777" w:rsidR="00B01930" w:rsidRDefault="00B01930" w:rsidP="00B01930">
      <w:pPr>
        <w:pStyle w:val="Notedebasdepage"/>
      </w:pPr>
      <w:r>
        <w:rPr>
          <w:rStyle w:val="Appelnotedebasdep"/>
        </w:rPr>
        <w:footnoteRef/>
      </w:r>
      <w:r>
        <w:t xml:space="preserve"> </w:t>
      </w:r>
      <w:r>
        <w:tab/>
      </w:r>
      <w:r w:rsidRPr="0004576F">
        <w:t xml:space="preserve">Paul Veyne, </w:t>
      </w:r>
      <w:r w:rsidRPr="0004576F">
        <w:rPr>
          <w:i/>
        </w:rPr>
        <w:t>Comment on écrit l’histoire</w:t>
      </w:r>
      <w:r w:rsidRPr="0004576F">
        <w:t>, Paris, Le Seuil, col. « Points », éd. 1979, p. 18.</w:t>
      </w:r>
    </w:p>
  </w:footnote>
  <w:footnote w:id="22">
    <w:p w14:paraId="4DE81BD9" w14:textId="77777777" w:rsidR="00B01930" w:rsidRDefault="00B01930" w:rsidP="00B01930">
      <w:pPr>
        <w:pStyle w:val="Notedebasdepage"/>
      </w:pPr>
      <w:r>
        <w:rPr>
          <w:rStyle w:val="Appelnotedebasdep"/>
        </w:rPr>
        <w:footnoteRef/>
      </w:r>
      <w:r>
        <w:t xml:space="preserve"> </w:t>
      </w:r>
      <w:r>
        <w:tab/>
      </w:r>
      <w:r w:rsidRPr="0004576F">
        <w:rPr>
          <w:i/>
        </w:rPr>
        <w:t>Ibid.</w:t>
      </w:r>
      <w:r w:rsidRPr="0004576F">
        <w:t>, p. 232.</w:t>
      </w:r>
    </w:p>
  </w:footnote>
  <w:footnote w:id="23">
    <w:p w14:paraId="5C814319" w14:textId="77777777" w:rsidR="00B01930" w:rsidRDefault="00B01930" w:rsidP="00B01930">
      <w:pPr>
        <w:pStyle w:val="Notedebasdepage"/>
      </w:pPr>
      <w:r>
        <w:rPr>
          <w:rStyle w:val="Appelnotedebasdep"/>
        </w:rPr>
        <w:footnoteRef/>
      </w:r>
      <w:r>
        <w:t xml:space="preserve"> </w:t>
      </w:r>
      <w:r>
        <w:tab/>
      </w:r>
      <w:r w:rsidRPr="0004576F">
        <w:t>Robert Seely (1834-1895), historien anglais, inspirateur de A</w:t>
      </w:r>
      <w:r w:rsidRPr="0004576F">
        <w:t>l</w:t>
      </w:r>
      <w:r w:rsidRPr="0004576F">
        <w:t>fred T. Mahan (1840-1914), grand théoricien de la puissance maritime, cité par Hervé Co</w:t>
      </w:r>
      <w:r w:rsidRPr="0004576F">
        <w:t>u</w:t>
      </w:r>
      <w:r w:rsidRPr="0004576F">
        <w:t xml:space="preserve">tau-Bégarie (1956-2012), </w:t>
      </w:r>
      <w:r w:rsidRPr="0004576F">
        <w:rPr>
          <w:i/>
        </w:rPr>
        <w:t>Politique étrangère</w:t>
      </w:r>
      <w:r w:rsidRPr="0004576F">
        <w:t>, vol. 52, n° 2, 1987, consultable sur http://www.persée.fr.</w:t>
      </w:r>
    </w:p>
  </w:footnote>
  <w:footnote w:id="24">
    <w:p w14:paraId="65F80C2B" w14:textId="77777777" w:rsidR="00B01930" w:rsidRDefault="00B01930" w:rsidP="00B01930">
      <w:pPr>
        <w:pStyle w:val="Notedebasdepage"/>
      </w:pPr>
      <w:r>
        <w:rPr>
          <w:rStyle w:val="Appelnotedebasdep"/>
        </w:rPr>
        <w:footnoteRef/>
      </w:r>
      <w:r>
        <w:t xml:space="preserve"> </w:t>
      </w:r>
      <w:r>
        <w:tab/>
      </w:r>
      <w:r w:rsidRPr="0004576F">
        <w:t xml:space="preserve">Paul Veyne, </w:t>
      </w:r>
      <w:r w:rsidRPr="0004576F">
        <w:rPr>
          <w:i/>
        </w:rPr>
        <w:t>op. cit.</w:t>
      </w:r>
      <w:r w:rsidRPr="0004576F">
        <w:t>, p. 232.</w:t>
      </w:r>
    </w:p>
  </w:footnote>
  <w:footnote w:id="25">
    <w:p w14:paraId="77F7B1A6" w14:textId="77777777" w:rsidR="00B01930" w:rsidRDefault="00B01930" w:rsidP="00B01930">
      <w:pPr>
        <w:pStyle w:val="Notedebasdepage"/>
      </w:pPr>
      <w:r>
        <w:rPr>
          <w:rStyle w:val="Appelnotedebasdep"/>
        </w:rPr>
        <w:footnoteRef/>
      </w:r>
      <w:r>
        <w:t xml:space="preserve"> </w:t>
      </w:r>
      <w:r>
        <w:tab/>
      </w:r>
      <w:r w:rsidRPr="0004576F">
        <w:t>Seulement la rigidité binaire occidentale induit que la notion de structure pe</w:t>
      </w:r>
      <w:r w:rsidRPr="0004576F">
        <w:t>r</w:t>
      </w:r>
      <w:r w:rsidRPr="0004576F">
        <w:t>met de « rendre compte de la permanence d’un système de pensée sans parv</w:t>
      </w:r>
      <w:r w:rsidRPr="0004576F">
        <w:t>e</w:t>
      </w:r>
      <w:r w:rsidRPr="0004576F">
        <w:t>nir cependant à expliquer ses fluctuations dans le temps », Jean-Louis Ma</w:t>
      </w:r>
      <w:r w:rsidRPr="0004576F">
        <w:t>r</w:t>
      </w:r>
      <w:r w:rsidRPr="0004576F">
        <w:t xml:space="preserve">tres, </w:t>
      </w:r>
      <w:r w:rsidRPr="0004576F">
        <w:rPr>
          <w:i/>
        </w:rPr>
        <w:t>Les Grilles</w:t>
      </w:r>
      <w:r w:rsidRPr="0004576F">
        <w:t xml:space="preserve">.., </w:t>
      </w:r>
      <w:r w:rsidRPr="0004576F">
        <w:rPr>
          <w:i/>
        </w:rPr>
        <w:t>op. cit.</w:t>
      </w:r>
      <w:r w:rsidRPr="0004576F">
        <w:t>, p. 312 – il faut donc « doter l’objectivisme struct</w:t>
      </w:r>
      <w:r w:rsidRPr="0004576F">
        <w:t>u</w:t>
      </w:r>
      <w:r w:rsidRPr="0004576F">
        <w:t>ral d’un caractère prob</w:t>
      </w:r>
      <w:r w:rsidRPr="0004576F">
        <w:t>a</w:t>
      </w:r>
      <w:r w:rsidRPr="0004576F">
        <w:t xml:space="preserve">biliste et aléatoire », </w:t>
      </w:r>
      <w:r w:rsidRPr="0004576F">
        <w:rPr>
          <w:i/>
        </w:rPr>
        <w:t>ibid</w:t>
      </w:r>
      <w:r w:rsidRPr="0004576F">
        <w:t>.</w:t>
      </w:r>
    </w:p>
  </w:footnote>
  <w:footnote w:id="26">
    <w:p w14:paraId="746719F3" w14:textId="77777777" w:rsidR="00B01930" w:rsidRDefault="00B01930" w:rsidP="00B01930">
      <w:pPr>
        <w:pStyle w:val="Notedebasdepage"/>
      </w:pPr>
      <w:r>
        <w:rPr>
          <w:rStyle w:val="Appelnotedebasdep"/>
        </w:rPr>
        <w:footnoteRef/>
      </w:r>
      <w:r>
        <w:t xml:space="preserve"> </w:t>
      </w:r>
      <w:r>
        <w:tab/>
      </w:r>
      <w:r w:rsidRPr="000B74F8">
        <w:t>Comment on écrit l’histoire</w:t>
      </w:r>
      <w:r w:rsidRPr="0004576F">
        <w:t>, op. cit., p. 232</w:t>
      </w:r>
      <w:r>
        <w:t>.</w:t>
      </w:r>
    </w:p>
  </w:footnote>
  <w:footnote w:id="27">
    <w:p w14:paraId="325B67CE" w14:textId="77777777" w:rsidR="00B01930" w:rsidRDefault="00B01930" w:rsidP="00B01930">
      <w:pPr>
        <w:pStyle w:val="Notedebasdepage"/>
      </w:pPr>
      <w:r>
        <w:rPr>
          <w:rStyle w:val="Appelnotedebasdep"/>
        </w:rPr>
        <w:footnoteRef/>
      </w:r>
      <w:r>
        <w:t xml:space="preserve"> </w:t>
      </w:r>
      <w:r>
        <w:tab/>
      </w:r>
      <w:r w:rsidRPr="0004576F">
        <w:rPr>
          <w:i/>
        </w:rPr>
        <w:t>Utopie et civilisation</w:t>
      </w:r>
      <w:r w:rsidRPr="0004576F">
        <w:t>, magnifique livre en sa première édition, 1973, Éd. W</w:t>
      </w:r>
      <w:r w:rsidRPr="0004576F">
        <w:t>e</w:t>
      </w:r>
      <w:r w:rsidRPr="0004576F">
        <w:t>ber, col. « Terra universalis », p. 91 – citation que nous avions mise en exe</w:t>
      </w:r>
      <w:r w:rsidRPr="0004576F">
        <w:t>r</w:t>
      </w:r>
      <w:r w:rsidRPr="0004576F">
        <w:t>gue de la première pa</w:t>
      </w:r>
      <w:r w:rsidRPr="0004576F">
        <w:t>r</w:t>
      </w:r>
      <w:r w:rsidRPr="0004576F">
        <w:t xml:space="preserve">tie de son cours, voir </w:t>
      </w:r>
      <w:r w:rsidRPr="0004576F">
        <w:rPr>
          <w:i/>
        </w:rPr>
        <w:t>supra</w:t>
      </w:r>
      <w:r w:rsidRPr="0004576F">
        <w:t>, note 15.</w:t>
      </w:r>
    </w:p>
  </w:footnote>
  <w:footnote w:id="28">
    <w:p w14:paraId="77AA0C4B" w14:textId="77777777" w:rsidR="00B01930" w:rsidRDefault="00B01930" w:rsidP="00B01930">
      <w:pPr>
        <w:pStyle w:val="Notedebasdepage"/>
      </w:pPr>
      <w:r>
        <w:rPr>
          <w:rStyle w:val="Appelnotedebasdep"/>
        </w:rPr>
        <w:footnoteRef/>
      </w:r>
      <w:r>
        <w:t xml:space="preserve"> </w:t>
      </w:r>
      <w:r>
        <w:tab/>
      </w:r>
      <w:r w:rsidRPr="0004576F">
        <w:t xml:space="preserve">Vincent Azoulay, « La guerre de Troie a-t-elle eu lieu ?, in </w:t>
      </w:r>
      <w:r w:rsidRPr="0004576F">
        <w:rPr>
          <w:i/>
        </w:rPr>
        <w:t>L’Histoire</w:t>
      </w:r>
      <w:r w:rsidRPr="0004576F">
        <w:t>, « Grèce : des dieux et des hommes », n° 389, juillet-août 2013.</w:t>
      </w:r>
    </w:p>
  </w:footnote>
  <w:footnote w:id="29">
    <w:p w14:paraId="51A69DDE" w14:textId="77777777" w:rsidR="00B01930" w:rsidRDefault="00B01930" w:rsidP="00B01930">
      <w:pPr>
        <w:pStyle w:val="Notedebasdepage"/>
      </w:pPr>
      <w:r>
        <w:rPr>
          <w:rStyle w:val="Appelnotedebasdep"/>
        </w:rPr>
        <w:footnoteRef/>
      </w:r>
      <w:r>
        <w:t xml:space="preserve"> </w:t>
      </w:r>
      <w:r>
        <w:tab/>
      </w:r>
      <w:r w:rsidRPr="0004576F">
        <w:t>Les Grilles…, op. cit., p. 23.</w:t>
      </w:r>
    </w:p>
  </w:footnote>
  <w:footnote w:id="30">
    <w:p w14:paraId="00033AF9" w14:textId="77777777" w:rsidR="00B01930" w:rsidRDefault="00B01930" w:rsidP="00B01930">
      <w:pPr>
        <w:pStyle w:val="Notedebasdepage"/>
      </w:pPr>
      <w:r>
        <w:rPr>
          <w:rStyle w:val="Appelnotedebasdep"/>
        </w:rPr>
        <w:footnoteRef/>
      </w:r>
      <w:r>
        <w:t xml:space="preserve"> </w:t>
      </w:r>
      <w:r>
        <w:tab/>
      </w:r>
      <w:r w:rsidRPr="0004576F">
        <w:t xml:space="preserve">Paul Veyne, </w:t>
      </w:r>
      <w:r w:rsidRPr="0004576F">
        <w:rPr>
          <w:i/>
        </w:rPr>
        <w:t>op. cit.</w:t>
      </w:r>
    </w:p>
  </w:footnote>
  <w:footnote w:id="31">
    <w:p w14:paraId="16FA1676" w14:textId="77777777" w:rsidR="00B01930" w:rsidRDefault="00B01930" w:rsidP="00B01930">
      <w:pPr>
        <w:pStyle w:val="Notedebasdepage"/>
      </w:pPr>
      <w:r>
        <w:rPr>
          <w:rStyle w:val="Appelnotedebasdep"/>
        </w:rPr>
        <w:footnoteRef/>
      </w:r>
      <w:r>
        <w:t xml:space="preserve"> </w:t>
      </w:r>
      <w:r>
        <w:tab/>
      </w:r>
      <w:r w:rsidRPr="0004576F">
        <w:t xml:space="preserve">Jean-Louis Martres, </w:t>
      </w:r>
      <w:r w:rsidRPr="0004576F">
        <w:rPr>
          <w:i/>
        </w:rPr>
        <w:t>Les Grilles</w:t>
      </w:r>
      <w:r w:rsidRPr="0004576F">
        <w:t xml:space="preserve">.., </w:t>
      </w:r>
      <w:r w:rsidRPr="0004576F">
        <w:rPr>
          <w:i/>
        </w:rPr>
        <w:t>op. cit.</w:t>
      </w:r>
      <w:r w:rsidRPr="0004576F">
        <w:t>, p. 312.</w:t>
      </w:r>
    </w:p>
  </w:footnote>
  <w:footnote w:id="32">
    <w:p w14:paraId="133C6298" w14:textId="77777777" w:rsidR="00B01930" w:rsidRDefault="00B01930" w:rsidP="00B01930">
      <w:pPr>
        <w:pStyle w:val="Notedebasdepage"/>
      </w:pPr>
      <w:r>
        <w:rPr>
          <w:rStyle w:val="Appelnotedebasdep"/>
        </w:rPr>
        <w:footnoteRef/>
      </w:r>
      <w:r>
        <w:t xml:space="preserve"> </w:t>
      </w:r>
      <w:r>
        <w:tab/>
      </w:r>
      <w:r w:rsidRPr="000B74F8">
        <w:rPr>
          <w:i/>
        </w:rPr>
        <w:t>Comment on…,</w:t>
      </w:r>
      <w:r w:rsidRPr="0004576F">
        <w:t xml:space="preserve"> op. cit., p. 37.</w:t>
      </w:r>
    </w:p>
  </w:footnote>
  <w:footnote w:id="33">
    <w:p w14:paraId="0E9F2B97" w14:textId="77777777" w:rsidR="00B01930" w:rsidRDefault="00B01930" w:rsidP="00B01930">
      <w:pPr>
        <w:pStyle w:val="Notedebasdepage"/>
      </w:pPr>
      <w:r>
        <w:rPr>
          <w:rStyle w:val="Appelnotedebasdep"/>
        </w:rPr>
        <w:footnoteRef/>
      </w:r>
      <w:r>
        <w:t xml:space="preserve"> </w:t>
      </w:r>
      <w:r>
        <w:tab/>
      </w:r>
      <w:r w:rsidRPr="0004576F">
        <w:rPr>
          <w:i/>
        </w:rPr>
        <w:t>Les Grilles</w:t>
      </w:r>
      <w:r w:rsidRPr="0004576F">
        <w:t xml:space="preserve">…, </w:t>
      </w:r>
      <w:r w:rsidRPr="0004576F">
        <w:rPr>
          <w:i/>
        </w:rPr>
        <w:t>op. cit.</w:t>
      </w:r>
      <w:r w:rsidRPr="0004576F">
        <w:t>, notamment p. 2, 560 et 572.</w:t>
      </w:r>
    </w:p>
  </w:footnote>
  <w:footnote w:id="34">
    <w:p w14:paraId="0B57EAD5" w14:textId="77777777" w:rsidR="00B01930" w:rsidRDefault="00B01930" w:rsidP="00B01930">
      <w:pPr>
        <w:pStyle w:val="Notedebasdepage"/>
      </w:pPr>
      <w:r>
        <w:rPr>
          <w:rStyle w:val="Appelnotedebasdep"/>
        </w:rPr>
        <w:footnoteRef/>
      </w:r>
      <w:r>
        <w:t xml:space="preserve"> </w:t>
      </w:r>
      <w:r>
        <w:tab/>
      </w:r>
      <w:r w:rsidRPr="0004576F">
        <w:rPr>
          <w:i/>
        </w:rPr>
        <w:t xml:space="preserve">Ibid., </w:t>
      </w:r>
      <w:r w:rsidRPr="0004576F">
        <w:t>p. 28, 507.</w:t>
      </w:r>
    </w:p>
  </w:footnote>
  <w:footnote w:id="35">
    <w:p w14:paraId="46D8943B" w14:textId="77777777" w:rsidR="00B01930" w:rsidRDefault="00B01930" w:rsidP="00B01930">
      <w:pPr>
        <w:pStyle w:val="Notedebasdepage"/>
      </w:pPr>
      <w:r>
        <w:rPr>
          <w:rStyle w:val="Appelnotedebasdep"/>
        </w:rPr>
        <w:footnoteRef/>
      </w:r>
      <w:r>
        <w:t xml:space="preserve"> </w:t>
      </w:r>
      <w:r>
        <w:tab/>
      </w:r>
      <w:r w:rsidRPr="0004576F">
        <w:rPr>
          <w:i/>
        </w:rPr>
        <w:t>Ibid</w:t>
      </w:r>
      <w:r w:rsidRPr="0004576F">
        <w:t>., p. 806.</w:t>
      </w:r>
    </w:p>
  </w:footnote>
  <w:footnote w:id="36">
    <w:p w14:paraId="7DBB6905" w14:textId="77777777" w:rsidR="00B01930" w:rsidRDefault="00B01930" w:rsidP="00B01930">
      <w:pPr>
        <w:pStyle w:val="Notedebasdepage"/>
      </w:pPr>
      <w:r>
        <w:rPr>
          <w:rStyle w:val="Appelnotedebasdep"/>
        </w:rPr>
        <w:footnoteRef/>
      </w:r>
      <w:r>
        <w:t xml:space="preserve"> </w:t>
      </w:r>
      <w:r>
        <w:tab/>
      </w:r>
      <w:r w:rsidRPr="0004576F">
        <w:t xml:space="preserve">Cité par François Dosse, </w:t>
      </w:r>
      <w:r w:rsidRPr="0004576F">
        <w:rPr>
          <w:i/>
        </w:rPr>
        <w:t>Histoire du structuralisme</w:t>
      </w:r>
      <w:r w:rsidRPr="0004576F">
        <w:t xml:space="preserve">, Paris, La Découverte, livre de poche, tome 1,1992, p. 46, tome 2, 542, </w:t>
      </w:r>
      <w:r w:rsidRPr="0004576F">
        <w:rPr>
          <w:i/>
        </w:rPr>
        <w:t>passim</w:t>
      </w:r>
      <w:r w:rsidRPr="0004576F">
        <w:t>.</w:t>
      </w:r>
    </w:p>
  </w:footnote>
  <w:footnote w:id="37">
    <w:p w14:paraId="19B8D536" w14:textId="77777777" w:rsidR="00B01930" w:rsidRDefault="00B01930" w:rsidP="00B01930">
      <w:pPr>
        <w:pStyle w:val="Notedebasdepage"/>
      </w:pPr>
      <w:r>
        <w:rPr>
          <w:rStyle w:val="Appelnotedebasdep"/>
        </w:rPr>
        <w:footnoteRef/>
      </w:r>
      <w:r>
        <w:t xml:space="preserve"> </w:t>
      </w:r>
      <w:r>
        <w:tab/>
      </w:r>
      <w:r w:rsidRPr="0004576F">
        <w:t>Dans le cours il était aussi dénommé « réaliste ».</w:t>
      </w:r>
    </w:p>
  </w:footnote>
  <w:footnote w:id="38">
    <w:p w14:paraId="62D83DC6" w14:textId="77777777" w:rsidR="00B01930" w:rsidRDefault="00B01930" w:rsidP="00B01930">
      <w:pPr>
        <w:pStyle w:val="Notedebasdepage"/>
      </w:pPr>
      <w:r>
        <w:rPr>
          <w:rStyle w:val="Appelnotedebasdep"/>
        </w:rPr>
        <w:footnoteRef/>
      </w:r>
      <w:r>
        <w:t xml:space="preserve"> </w:t>
      </w:r>
      <w:r>
        <w:tab/>
      </w:r>
      <w:r w:rsidRPr="0004576F">
        <w:t xml:space="preserve">Jean-Louis  Martres, </w:t>
      </w:r>
      <w:r w:rsidRPr="0004576F">
        <w:rPr>
          <w:i/>
        </w:rPr>
        <w:t>Cours d’analyse</w:t>
      </w:r>
      <w:r>
        <w:t>..</w:t>
      </w:r>
      <w:r w:rsidRPr="0004576F">
        <w:t>.</w:t>
      </w:r>
    </w:p>
  </w:footnote>
  <w:footnote w:id="39">
    <w:p w14:paraId="1CC6C7DF" w14:textId="77777777" w:rsidR="00B01930" w:rsidRDefault="00B01930" w:rsidP="00B01930">
      <w:pPr>
        <w:pStyle w:val="Notedebasdepage"/>
      </w:pPr>
      <w:r>
        <w:rPr>
          <w:rStyle w:val="Appelnotedebasdep"/>
        </w:rPr>
        <w:footnoteRef/>
      </w:r>
      <w:r>
        <w:t xml:space="preserve"> </w:t>
      </w:r>
      <w:r>
        <w:tab/>
      </w:r>
      <w:r w:rsidRPr="0004576F">
        <w:t xml:space="preserve">Les Grilles…, </w:t>
      </w:r>
      <w:r w:rsidRPr="00DA1520">
        <w:rPr>
          <w:i/>
        </w:rPr>
        <w:t>op. cit</w:t>
      </w:r>
      <w:r w:rsidRPr="0004576F">
        <w:t>., p. 32.</w:t>
      </w:r>
    </w:p>
  </w:footnote>
  <w:footnote w:id="40">
    <w:p w14:paraId="10EE81EB" w14:textId="77777777" w:rsidR="00B01930" w:rsidRDefault="00B01930" w:rsidP="00B01930">
      <w:pPr>
        <w:pStyle w:val="Notedebasdepage"/>
      </w:pPr>
      <w:r>
        <w:rPr>
          <w:rStyle w:val="Appelnotedebasdep"/>
        </w:rPr>
        <w:footnoteRef/>
      </w:r>
      <w:r>
        <w:t xml:space="preserve"> </w:t>
      </w:r>
      <w:r>
        <w:tab/>
      </w:r>
      <w:r w:rsidRPr="00DA1520">
        <w:rPr>
          <w:i/>
        </w:rPr>
        <w:t>Idem</w:t>
      </w:r>
      <w:r w:rsidRPr="0004576F">
        <w:t>.</w:t>
      </w:r>
    </w:p>
  </w:footnote>
  <w:footnote w:id="41">
    <w:p w14:paraId="28FAC7EC" w14:textId="77777777" w:rsidR="00B01930" w:rsidRDefault="00B01930" w:rsidP="00B01930">
      <w:pPr>
        <w:pStyle w:val="Notedebasdepage"/>
      </w:pPr>
      <w:r>
        <w:rPr>
          <w:rStyle w:val="Appelnotedebasdep"/>
        </w:rPr>
        <w:footnoteRef/>
      </w:r>
      <w:r>
        <w:t xml:space="preserve"> </w:t>
      </w:r>
      <w:r>
        <w:tab/>
      </w:r>
      <w:r w:rsidRPr="0004576F">
        <w:rPr>
          <w:i/>
        </w:rPr>
        <w:t>Ibid.</w:t>
      </w:r>
      <w:r w:rsidRPr="0004576F">
        <w:t>,  p. 610, 733.</w:t>
      </w:r>
    </w:p>
  </w:footnote>
  <w:footnote w:id="42">
    <w:p w14:paraId="37D48160" w14:textId="77777777" w:rsidR="00B01930" w:rsidRDefault="00B01930" w:rsidP="00B01930">
      <w:pPr>
        <w:pStyle w:val="Notedebasdepage"/>
      </w:pPr>
      <w:r>
        <w:rPr>
          <w:rStyle w:val="Appelnotedebasdep"/>
        </w:rPr>
        <w:footnoteRef/>
      </w:r>
      <w:r>
        <w:t xml:space="preserve"> </w:t>
      </w:r>
      <w:r>
        <w:tab/>
      </w:r>
      <w:r w:rsidRPr="0004576F">
        <w:rPr>
          <w:i/>
        </w:rPr>
        <w:t>Ibid.</w:t>
      </w:r>
      <w:r w:rsidRPr="0004576F">
        <w:t>, p. 312, note 363.</w:t>
      </w:r>
    </w:p>
  </w:footnote>
  <w:footnote w:id="43">
    <w:p w14:paraId="6E741524" w14:textId="77777777" w:rsidR="00B01930" w:rsidRDefault="00B01930" w:rsidP="00B01930">
      <w:pPr>
        <w:pStyle w:val="Notedebasdepage"/>
      </w:pPr>
      <w:r>
        <w:rPr>
          <w:rStyle w:val="Appelnotedebasdep"/>
        </w:rPr>
        <w:footnoteRef/>
      </w:r>
      <w:r>
        <w:t xml:space="preserve"> </w:t>
      </w:r>
      <w:r>
        <w:tab/>
      </w:r>
      <w:r w:rsidRPr="0004576F">
        <w:t>En 1975 -1976, cf. note 15.</w:t>
      </w:r>
    </w:p>
  </w:footnote>
  <w:footnote w:id="44">
    <w:p w14:paraId="765BFB0A" w14:textId="77777777" w:rsidR="00B01930" w:rsidRDefault="00B01930" w:rsidP="00B01930">
      <w:pPr>
        <w:pStyle w:val="Notedebasdepage"/>
      </w:pPr>
      <w:r>
        <w:rPr>
          <w:rStyle w:val="Appelnotedebasdep"/>
        </w:rPr>
        <w:footnoteRef/>
      </w:r>
      <w:r>
        <w:t xml:space="preserve"> </w:t>
      </w:r>
      <w:r>
        <w:tab/>
      </w:r>
      <w:r w:rsidRPr="0004576F">
        <w:t xml:space="preserve">Terme repris par Jean-Louis  Martres, </w:t>
      </w:r>
      <w:r w:rsidRPr="0004576F">
        <w:rPr>
          <w:i/>
        </w:rPr>
        <w:t>Les Grilles</w:t>
      </w:r>
      <w:r w:rsidRPr="0004576F">
        <w:t xml:space="preserve">…, </w:t>
      </w:r>
      <w:r w:rsidRPr="0004576F">
        <w:rPr>
          <w:i/>
        </w:rPr>
        <w:t>op. cit.</w:t>
      </w:r>
      <w:r w:rsidRPr="0004576F">
        <w:t xml:space="preserve">, p. 29. Nous avions à l’époque mis en note de son cours (voir supra note </w:t>
      </w:r>
      <w:r w:rsidRPr="0004576F">
        <w:rPr>
          <w:vertAlign w:val="superscript"/>
        </w:rPr>
        <w:t>15</w:t>
      </w:r>
      <w:r w:rsidRPr="0004576F">
        <w:t>) : « La gra</w:t>
      </w:r>
      <w:r w:rsidRPr="0004576F">
        <w:t>m</w:t>
      </w:r>
      <w:r w:rsidRPr="0004576F">
        <w:t>maire [générative] est en quelque sorte une machine, un mécanisme, qui pe</w:t>
      </w:r>
      <w:r w:rsidRPr="0004576F">
        <w:t>r</w:t>
      </w:r>
      <w:r w:rsidRPr="0004576F">
        <w:t>met d’engendrer des phrases. La grammaire est “neutre” aussi bien vis-à-vis du locuteur que de l’auditeur. Elle est une théorie de la structure – et du fon</w:t>
      </w:r>
      <w:r w:rsidRPr="0004576F">
        <w:t>c</w:t>
      </w:r>
      <w:r w:rsidRPr="0004576F">
        <w:t xml:space="preserve">tionnement – du code linguistique et ne dit rien quant au mécanisme physico-psychologique qui permet de parler et de comprendre », Christian Nique, </w:t>
      </w:r>
      <w:r w:rsidRPr="0004576F">
        <w:rPr>
          <w:i/>
        </w:rPr>
        <w:t>In</w:t>
      </w:r>
      <w:r w:rsidRPr="0004576F">
        <w:rPr>
          <w:i/>
        </w:rPr>
        <w:t>i</w:t>
      </w:r>
      <w:r w:rsidRPr="0004576F">
        <w:rPr>
          <w:i/>
        </w:rPr>
        <w:t>tiation méthodique à la grammaire générative</w:t>
      </w:r>
      <w:r w:rsidRPr="0004576F">
        <w:t>, Paris, Armand Colin, 1974, p. 21-22. Voir aussi</w:t>
      </w:r>
      <w:r w:rsidRPr="0004576F">
        <w:rPr>
          <w:i/>
        </w:rPr>
        <w:t> </w:t>
      </w:r>
      <w:r w:rsidRPr="0004576F">
        <w:t>: Ferdinand de Saussure,</w:t>
      </w:r>
      <w:r w:rsidRPr="0004576F">
        <w:rPr>
          <w:i/>
        </w:rPr>
        <w:t xml:space="preserve"> Cours de linguistique générale</w:t>
      </w:r>
      <w:r w:rsidRPr="0004576F">
        <w:t>, P</w:t>
      </w:r>
      <w:r w:rsidRPr="0004576F">
        <w:t>a</w:t>
      </w:r>
      <w:r w:rsidRPr="0004576F">
        <w:t>ris, Payot, 1974 ; Françoise Dubois-Charlier, « </w:t>
      </w:r>
      <w:r w:rsidRPr="0004576F">
        <w:rPr>
          <w:i/>
        </w:rPr>
        <w:t>Comment s’initier à la lingui</w:t>
      </w:r>
      <w:r w:rsidRPr="0004576F">
        <w:rPr>
          <w:i/>
        </w:rPr>
        <w:t>s</w:t>
      </w:r>
      <w:r w:rsidRPr="0004576F">
        <w:rPr>
          <w:i/>
        </w:rPr>
        <w:t>tique</w:t>
      </w:r>
      <w:r w:rsidRPr="0004576F">
        <w:t> », Paris, Larousse, 1975.</w:t>
      </w:r>
    </w:p>
  </w:footnote>
  <w:footnote w:id="45">
    <w:p w14:paraId="41BA9D4D" w14:textId="77777777" w:rsidR="00B01930" w:rsidRDefault="00B01930" w:rsidP="00B01930">
      <w:pPr>
        <w:pStyle w:val="Notedebasdepage"/>
      </w:pPr>
      <w:r>
        <w:rPr>
          <w:rStyle w:val="Appelnotedebasdep"/>
        </w:rPr>
        <w:footnoteRef/>
      </w:r>
      <w:r>
        <w:t xml:space="preserve"> </w:t>
      </w:r>
      <w:r>
        <w:tab/>
      </w:r>
      <w:r w:rsidRPr="0004576F">
        <w:t>Les Grilles…, op. cit., p. 39.</w:t>
      </w:r>
    </w:p>
  </w:footnote>
  <w:footnote w:id="46">
    <w:p w14:paraId="2F3177C1" w14:textId="77777777" w:rsidR="00B01930" w:rsidRDefault="00B01930" w:rsidP="00B01930">
      <w:pPr>
        <w:pStyle w:val="Notedebasdepage"/>
      </w:pPr>
      <w:r>
        <w:rPr>
          <w:rStyle w:val="Appelnotedebasdep"/>
        </w:rPr>
        <w:footnoteRef/>
      </w:r>
      <w:r>
        <w:t xml:space="preserve"> </w:t>
      </w:r>
      <w:r>
        <w:tab/>
      </w:r>
      <w:r w:rsidRPr="0004576F">
        <w:t>Les Grilles…,  op. cit., p. 678.</w:t>
      </w:r>
    </w:p>
  </w:footnote>
  <w:footnote w:id="47">
    <w:p w14:paraId="17CBE65B" w14:textId="77777777" w:rsidR="00B01930" w:rsidRDefault="00B01930" w:rsidP="00B01930">
      <w:pPr>
        <w:pStyle w:val="Notedebasdepage"/>
      </w:pPr>
      <w:r>
        <w:rPr>
          <w:rStyle w:val="Appelnotedebasdep"/>
        </w:rPr>
        <w:footnoteRef/>
      </w:r>
      <w:r>
        <w:t xml:space="preserve"> </w:t>
      </w:r>
      <w:r>
        <w:tab/>
      </w:r>
      <w:r w:rsidRPr="0004576F">
        <w:t>Sans omettre la négation des ruptures historiques, comme par exemple pour la pensée grecque jusqu’au XII</w:t>
      </w:r>
      <w:r w:rsidRPr="0004576F">
        <w:rPr>
          <w:vertAlign w:val="superscript"/>
        </w:rPr>
        <w:t>e</w:t>
      </w:r>
      <w:r w:rsidRPr="0004576F">
        <w:t> siècle.</w:t>
      </w:r>
    </w:p>
  </w:footnote>
  <w:footnote w:id="48">
    <w:p w14:paraId="0450F03A" w14:textId="77777777" w:rsidR="00B01930" w:rsidRDefault="00B01930" w:rsidP="00B01930">
      <w:pPr>
        <w:pStyle w:val="Notedebasdepage"/>
      </w:pPr>
      <w:r>
        <w:rPr>
          <w:rStyle w:val="Appelnotedebasdep"/>
        </w:rPr>
        <w:footnoteRef/>
      </w:r>
      <w:r>
        <w:t xml:space="preserve"> </w:t>
      </w:r>
      <w:r>
        <w:tab/>
      </w:r>
      <w:r w:rsidRPr="0004576F">
        <w:rPr>
          <w:i/>
        </w:rPr>
        <w:t>L’Histoire</w:t>
      </w:r>
      <w:r w:rsidRPr="0004576F">
        <w:t>, Paris, Elsevier, 1978.</w:t>
      </w:r>
    </w:p>
  </w:footnote>
  <w:footnote w:id="49">
    <w:p w14:paraId="301C9945" w14:textId="77777777" w:rsidR="00B01930" w:rsidRDefault="00B01930" w:rsidP="00B01930">
      <w:pPr>
        <w:pStyle w:val="Notedebasdepage"/>
      </w:pPr>
      <w:r>
        <w:rPr>
          <w:rStyle w:val="Appelnotedebasdep"/>
        </w:rPr>
        <w:footnoteRef/>
      </w:r>
      <w:r>
        <w:t xml:space="preserve"> </w:t>
      </w:r>
      <w:r>
        <w:tab/>
      </w:r>
      <w:r w:rsidRPr="0004576F">
        <w:t xml:space="preserve">Jean-Claude Gens, </w:t>
      </w:r>
      <w:r w:rsidRPr="0004576F">
        <w:rPr>
          <w:i/>
        </w:rPr>
        <w:t>Karl Jaspers</w:t>
      </w:r>
      <w:r w:rsidRPr="0004576F">
        <w:t>, Paris, Bayard, 2003.</w:t>
      </w:r>
    </w:p>
  </w:footnote>
  <w:footnote w:id="50">
    <w:p w14:paraId="5430A862" w14:textId="77777777" w:rsidR="00B01930" w:rsidRDefault="00B01930" w:rsidP="00B01930">
      <w:pPr>
        <w:pStyle w:val="Notedebasdepage"/>
      </w:pPr>
      <w:r>
        <w:rPr>
          <w:rStyle w:val="Appelnotedebasdep"/>
        </w:rPr>
        <w:footnoteRef/>
      </w:r>
      <w:r>
        <w:t xml:space="preserve"> </w:t>
      </w:r>
      <w:r>
        <w:tab/>
      </w:r>
      <w:r w:rsidRPr="0004576F">
        <w:t>Titre du chapitre 1</w:t>
      </w:r>
      <w:r w:rsidRPr="0004576F">
        <w:rPr>
          <w:vertAlign w:val="superscript"/>
        </w:rPr>
        <w:t>er</w:t>
      </w:r>
      <w:r w:rsidRPr="0004576F">
        <w:t>, du livre 1</w:t>
      </w:r>
      <w:r w:rsidRPr="0004576F">
        <w:rPr>
          <w:vertAlign w:val="superscript"/>
        </w:rPr>
        <w:t>er</w:t>
      </w:r>
      <w:r w:rsidRPr="0004576F">
        <w:t xml:space="preserve">, de Don Joachim José Maria Donoso Cortés (1809-1853), </w:t>
      </w:r>
      <w:r w:rsidRPr="0004576F">
        <w:rPr>
          <w:i/>
        </w:rPr>
        <w:t>Essai sur le cath</w:t>
      </w:r>
      <w:r w:rsidRPr="0004576F">
        <w:rPr>
          <w:i/>
        </w:rPr>
        <w:t>o</w:t>
      </w:r>
      <w:r w:rsidRPr="0004576F">
        <w:rPr>
          <w:i/>
        </w:rPr>
        <w:t>licisme, le libéralisme et le socialisme</w:t>
      </w:r>
      <w:r w:rsidRPr="0004576F">
        <w:t>, Paris, éditions Dominique Martin Morin, Reprint, 1986, p.</w:t>
      </w:r>
    </w:p>
  </w:footnote>
  <w:footnote w:id="51">
    <w:p w14:paraId="69B899E8" w14:textId="77777777" w:rsidR="00B01930" w:rsidRDefault="00B01930" w:rsidP="00B01930">
      <w:pPr>
        <w:pStyle w:val="Notedebasdepage"/>
      </w:pPr>
      <w:r>
        <w:rPr>
          <w:rStyle w:val="Appelnotedebasdep"/>
        </w:rPr>
        <w:footnoteRef/>
      </w:r>
      <w:r>
        <w:t xml:space="preserve"> </w:t>
      </w:r>
      <w:r>
        <w:tab/>
      </w:r>
      <w:r w:rsidRPr="0004576F">
        <w:t xml:space="preserve">Joseph Proudhon, </w:t>
      </w:r>
      <w:r w:rsidRPr="0004576F">
        <w:rPr>
          <w:i/>
        </w:rPr>
        <w:t>Confessions d’un révolutionnaire</w:t>
      </w:r>
      <w:r w:rsidRPr="0004576F">
        <w:t>, édition 1849, cité par D</w:t>
      </w:r>
      <w:r w:rsidRPr="0004576F">
        <w:t>o</w:t>
      </w:r>
      <w:r w:rsidRPr="0004576F">
        <w:t>noso Cortés.</w:t>
      </w:r>
    </w:p>
  </w:footnote>
  <w:footnote w:id="52">
    <w:p w14:paraId="69F53F1B" w14:textId="77777777" w:rsidR="00B01930" w:rsidRDefault="00B01930" w:rsidP="00B01930">
      <w:pPr>
        <w:pStyle w:val="Notedebasdepage"/>
      </w:pPr>
      <w:r>
        <w:rPr>
          <w:rStyle w:val="Appelnotedebasdep"/>
        </w:rPr>
        <w:footnoteRef/>
      </w:r>
      <w:r>
        <w:t xml:space="preserve"> </w:t>
      </w:r>
      <w:r>
        <w:tab/>
      </w:r>
      <w:r w:rsidRPr="0004576F">
        <w:t xml:space="preserve">Jean-Louis Martres, </w:t>
      </w:r>
      <w:r w:rsidRPr="0004576F">
        <w:rPr>
          <w:i/>
        </w:rPr>
        <w:t>Les Grilles</w:t>
      </w:r>
      <w:r w:rsidRPr="0004576F">
        <w:t xml:space="preserve">…, </w:t>
      </w:r>
      <w:r w:rsidRPr="0004576F">
        <w:rPr>
          <w:i/>
        </w:rPr>
        <w:t>op. cit.</w:t>
      </w:r>
      <w:r w:rsidRPr="0004576F">
        <w:t>, p. 22.</w:t>
      </w:r>
    </w:p>
  </w:footnote>
  <w:footnote w:id="53">
    <w:p w14:paraId="0082E93F" w14:textId="77777777" w:rsidR="00B01930" w:rsidRDefault="00B01930" w:rsidP="00B01930">
      <w:pPr>
        <w:pStyle w:val="Notedebasdepage"/>
      </w:pPr>
      <w:r>
        <w:rPr>
          <w:rStyle w:val="Appelnotedebasdep"/>
        </w:rPr>
        <w:footnoteRef/>
      </w:r>
      <w:r>
        <w:t xml:space="preserve"> </w:t>
      </w:r>
      <w:r>
        <w:tab/>
      </w:r>
      <w:r w:rsidRPr="000B74F8">
        <w:t>Ibid.</w:t>
      </w:r>
    </w:p>
  </w:footnote>
  <w:footnote w:id="54">
    <w:p w14:paraId="393AC1B8" w14:textId="77777777" w:rsidR="00B01930" w:rsidRDefault="00B01930" w:rsidP="00B01930">
      <w:pPr>
        <w:pStyle w:val="Notedebasdepage"/>
      </w:pPr>
      <w:r>
        <w:rPr>
          <w:rStyle w:val="Appelnotedebasdep"/>
        </w:rPr>
        <w:footnoteRef/>
      </w:r>
      <w:r>
        <w:t xml:space="preserve"> </w:t>
      </w:r>
      <w:r>
        <w:tab/>
      </w:r>
      <w:r w:rsidRPr="0004576F">
        <w:t>Comme en mécanique quantique, il appert qu’ici aussi on ne peut connaître, encore moins exposer, simultanément, la position de l’objet et son mouv</w:t>
      </w:r>
      <w:r w:rsidRPr="0004576F">
        <w:t>e</w:t>
      </w:r>
      <w:r w:rsidRPr="0004576F">
        <w:t>ment. Si on a la position on n’a pas le mouvement (la trajectoire) et invers</w:t>
      </w:r>
      <w:r w:rsidRPr="0004576F">
        <w:t>e</w:t>
      </w:r>
      <w:r w:rsidRPr="0004576F">
        <w:t>ment.</w:t>
      </w:r>
    </w:p>
  </w:footnote>
  <w:footnote w:id="55">
    <w:p w14:paraId="1E2693A7" w14:textId="77777777" w:rsidR="00B01930" w:rsidRDefault="00B01930" w:rsidP="00B01930">
      <w:pPr>
        <w:pStyle w:val="Notedebasdepage"/>
      </w:pPr>
      <w:r>
        <w:rPr>
          <w:rStyle w:val="Appelnotedebasdep"/>
        </w:rPr>
        <w:footnoteRef/>
      </w:r>
      <w:r>
        <w:t xml:space="preserve"> </w:t>
      </w:r>
      <w:r>
        <w:tab/>
      </w:r>
      <w:r w:rsidRPr="0004576F">
        <w:t xml:space="preserve">Sur cette notion voir </w:t>
      </w:r>
      <w:r w:rsidRPr="0004576F">
        <w:rPr>
          <w:i/>
        </w:rPr>
        <w:t>supra</w:t>
      </w:r>
      <w:r w:rsidRPr="0004576F">
        <w:t xml:space="preserve"> I, </w:t>
      </w:r>
      <w:hyperlink w:anchor="Analyser_idees_pol_pt_1_texte_01_I" w:history="1">
        <w:r w:rsidRPr="000B74F8">
          <w:rPr>
            <w:rStyle w:val="Hyperlien"/>
          </w:rPr>
          <w:t>Méthode et concepts</w:t>
        </w:r>
      </w:hyperlink>
      <w:r w:rsidRPr="0004576F">
        <w:t>.</w:t>
      </w:r>
    </w:p>
  </w:footnote>
  <w:footnote w:id="56">
    <w:p w14:paraId="48FB2A82" w14:textId="77777777" w:rsidR="00B01930" w:rsidRDefault="00B01930" w:rsidP="00B01930">
      <w:pPr>
        <w:pStyle w:val="Notedebasdepage"/>
      </w:pPr>
      <w:r>
        <w:rPr>
          <w:rStyle w:val="Appelnotedebasdep"/>
        </w:rPr>
        <w:footnoteRef/>
      </w:r>
      <w:r>
        <w:t xml:space="preserve"> </w:t>
      </w:r>
      <w:r>
        <w:tab/>
      </w:r>
      <w:r w:rsidRPr="0004576F">
        <w:t xml:space="preserve">Jean-Louis Martres, </w:t>
      </w:r>
      <w:r w:rsidRPr="0004576F">
        <w:rPr>
          <w:i/>
        </w:rPr>
        <w:t>Les Grilles</w:t>
      </w:r>
      <w:r w:rsidRPr="0004576F">
        <w:t xml:space="preserve">…, </w:t>
      </w:r>
      <w:r w:rsidRPr="0004576F">
        <w:rPr>
          <w:i/>
        </w:rPr>
        <w:t>op. cit.</w:t>
      </w:r>
      <w:r w:rsidRPr="0004576F">
        <w:t>, p. 22.</w:t>
      </w:r>
    </w:p>
  </w:footnote>
  <w:footnote w:id="57">
    <w:p w14:paraId="669AA9F2" w14:textId="77777777" w:rsidR="00B01930" w:rsidRDefault="00B01930" w:rsidP="00B01930">
      <w:pPr>
        <w:pStyle w:val="Notedebasdepage"/>
      </w:pPr>
      <w:r>
        <w:rPr>
          <w:rStyle w:val="Appelnotedebasdep"/>
        </w:rPr>
        <w:footnoteRef/>
      </w:r>
      <w:r>
        <w:t xml:space="preserve"> </w:t>
      </w:r>
      <w:r>
        <w:tab/>
      </w:r>
      <w:r w:rsidRPr="0004576F">
        <w:t xml:space="preserve">Jean-Louis Martres, </w:t>
      </w:r>
      <w:r w:rsidRPr="0004576F">
        <w:rPr>
          <w:i/>
        </w:rPr>
        <w:t>Les Grilles</w:t>
      </w:r>
      <w:r w:rsidRPr="0004576F">
        <w:t xml:space="preserve">…, </w:t>
      </w:r>
      <w:r w:rsidRPr="0004576F">
        <w:rPr>
          <w:i/>
        </w:rPr>
        <w:t>op. cit.</w:t>
      </w:r>
      <w:r w:rsidRPr="0004576F">
        <w:t>, p. 47.</w:t>
      </w:r>
    </w:p>
  </w:footnote>
  <w:footnote w:id="58">
    <w:p w14:paraId="56769842" w14:textId="77777777" w:rsidR="00B01930" w:rsidRDefault="00B01930" w:rsidP="00B01930">
      <w:pPr>
        <w:pStyle w:val="Notedebasdepage"/>
      </w:pPr>
      <w:r>
        <w:rPr>
          <w:rStyle w:val="Appelnotedebasdep"/>
        </w:rPr>
        <w:footnoteRef/>
      </w:r>
      <w:r>
        <w:t xml:space="preserve"> </w:t>
      </w:r>
      <w:r>
        <w:tab/>
      </w:r>
      <w:r w:rsidRPr="0004576F">
        <w:rPr>
          <w:i/>
        </w:rPr>
        <w:t>Ibid.</w:t>
      </w:r>
      <w:r w:rsidRPr="0004576F">
        <w:t>,  p. 60 et 657.</w:t>
      </w:r>
    </w:p>
  </w:footnote>
  <w:footnote w:id="59">
    <w:p w14:paraId="1EBBF2AC" w14:textId="77777777" w:rsidR="00B01930" w:rsidRDefault="00B01930" w:rsidP="00B01930">
      <w:pPr>
        <w:pStyle w:val="Notedebasdepage"/>
      </w:pPr>
      <w:r>
        <w:rPr>
          <w:rStyle w:val="Appelnotedebasdep"/>
        </w:rPr>
        <w:footnoteRef/>
      </w:r>
      <w:r>
        <w:t xml:space="preserve"> </w:t>
      </w:r>
      <w:r>
        <w:tab/>
      </w:r>
      <w:r w:rsidRPr="0004576F">
        <w:rPr>
          <w:i/>
        </w:rPr>
        <w:t>Ibid.</w:t>
      </w:r>
      <w:r w:rsidRPr="0004576F">
        <w:t>, p. 681 et suiv.</w:t>
      </w:r>
    </w:p>
  </w:footnote>
  <w:footnote w:id="60">
    <w:p w14:paraId="2B596A08" w14:textId="77777777" w:rsidR="00B01930" w:rsidRDefault="00B01930" w:rsidP="00B01930">
      <w:pPr>
        <w:pStyle w:val="Notedebasdepage"/>
      </w:pPr>
      <w:r>
        <w:rPr>
          <w:rStyle w:val="Appelnotedebasdep"/>
        </w:rPr>
        <w:footnoteRef/>
      </w:r>
      <w:r>
        <w:t xml:space="preserve"> </w:t>
      </w:r>
      <w:r>
        <w:tab/>
      </w:r>
      <w:r w:rsidRPr="00DA1520">
        <w:rPr>
          <w:i/>
        </w:rPr>
        <w:t>Ibid</w:t>
      </w:r>
      <w:r w:rsidRPr="0004576F">
        <w:t>.</w:t>
      </w:r>
    </w:p>
  </w:footnote>
  <w:footnote w:id="61">
    <w:p w14:paraId="20457B91" w14:textId="77777777" w:rsidR="00B01930" w:rsidRDefault="00B01930" w:rsidP="00B01930">
      <w:pPr>
        <w:pStyle w:val="Notedebasdepage"/>
      </w:pPr>
      <w:r>
        <w:rPr>
          <w:rStyle w:val="Appelnotedebasdep"/>
        </w:rPr>
        <w:footnoteRef/>
      </w:r>
      <w:r>
        <w:t xml:space="preserve"> </w:t>
      </w:r>
      <w:r>
        <w:tab/>
      </w:r>
      <w:r w:rsidRPr="0004576F">
        <w:t>Jean-Louis Martres distingue la religion de l’idéologie en ce que la première assume et revendique sa mét</w:t>
      </w:r>
      <w:r w:rsidRPr="0004576F">
        <w:t>a</w:t>
      </w:r>
      <w:r w:rsidRPr="0004576F">
        <w:t>physique, alors que l’idéologie la nie et l’évacue dans son discours. Par ailleurs la religion a pour« supériorité » de ne pas être démentie par la réalité terrestre pour ce qui est de l’avenir, puisque le paradis est céleste. Ce qui n’est pas le cas de l’idéologie, d’où son usure.</w:t>
      </w:r>
    </w:p>
  </w:footnote>
  <w:footnote w:id="62">
    <w:p w14:paraId="24A2282B" w14:textId="77777777" w:rsidR="00B01930" w:rsidRDefault="00B01930" w:rsidP="00B01930">
      <w:pPr>
        <w:pStyle w:val="Notedebasdepage"/>
      </w:pPr>
      <w:r>
        <w:rPr>
          <w:rStyle w:val="Appelnotedebasdep"/>
        </w:rPr>
        <w:footnoteRef/>
      </w:r>
      <w:r>
        <w:t xml:space="preserve"> </w:t>
      </w:r>
      <w:r>
        <w:tab/>
      </w:r>
      <w:r w:rsidRPr="0004576F">
        <w:t xml:space="preserve">Ainsi cette question est éludée dès la note 138 sur le port du voile en France, voir </w:t>
      </w:r>
      <w:r w:rsidRPr="0004576F">
        <w:rPr>
          <w:i/>
        </w:rPr>
        <w:t>infra</w:t>
      </w:r>
      <w:r w:rsidRPr="0004576F">
        <w:t xml:space="preserve"> note 70, ainsi que II-3 sur le code syncrét</w:t>
      </w:r>
      <w:r w:rsidRPr="0004576F">
        <w:t>i</w:t>
      </w:r>
      <w:r w:rsidRPr="0004576F">
        <w:t>que.</w:t>
      </w:r>
    </w:p>
  </w:footnote>
  <w:footnote w:id="63">
    <w:p w14:paraId="7BEBBFD3" w14:textId="77777777" w:rsidR="00B01930" w:rsidRDefault="00B01930" w:rsidP="00B01930">
      <w:pPr>
        <w:pStyle w:val="Notedebasdepage"/>
      </w:pPr>
      <w:r>
        <w:rPr>
          <w:rStyle w:val="Appelnotedebasdep"/>
        </w:rPr>
        <w:footnoteRef/>
      </w:r>
      <w:r>
        <w:t xml:space="preserve"> </w:t>
      </w:r>
      <w:r>
        <w:tab/>
      </w:r>
      <w:r w:rsidRPr="0004576F">
        <w:t xml:space="preserve">Jean-Louis  Martres, </w:t>
      </w:r>
      <w:r w:rsidRPr="0004576F">
        <w:rPr>
          <w:i/>
        </w:rPr>
        <w:t>Les Grilles</w:t>
      </w:r>
      <w:r w:rsidRPr="0004576F">
        <w:t xml:space="preserve">…, </w:t>
      </w:r>
      <w:r w:rsidRPr="0004576F">
        <w:rPr>
          <w:i/>
        </w:rPr>
        <w:t>op. cit.</w:t>
      </w:r>
      <w:r w:rsidRPr="0004576F">
        <w:t>, p. 164.</w:t>
      </w:r>
    </w:p>
  </w:footnote>
  <w:footnote w:id="64">
    <w:p w14:paraId="1E2B096D" w14:textId="77777777" w:rsidR="00B01930" w:rsidRDefault="00B01930" w:rsidP="00B01930">
      <w:pPr>
        <w:pStyle w:val="Notedebasdepage"/>
      </w:pPr>
      <w:r>
        <w:rPr>
          <w:rStyle w:val="Appelnotedebasdep"/>
        </w:rPr>
        <w:footnoteRef/>
      </w:r>
      <w:r>
        <w:t xml:space="preserve"> </w:t>
      </w:r>
      <w:r>
        <w:tab/>
      </w:r>
      <w:r w:rsidRPr="0004576F">
        <w:t xml:space="preserve">Voir Hamadi Redissi, </w:t>
      </w:r>
      <w:r w:rsidRPr="0004576F">
        <w:rPr>
          <w:i/>
        </w:rPr>
        <w:t>L’Exception islamique</w:t>
      </w:r>
      <w:r w:rsidRPr="0004576F">
        <w:t>, Paris, Seuil, 2004, Tunisien laïc déclaré (rare en 2004), cet a</w:t>
      </w:r>
      <w:r w:rsidRPr="0004576F">
        <w:t>u</w:t>
      </w:r>
      <w:r w:rsidRPr="0004576F">
        <w:t>teur est peu cité en France.</w:t>
      </w:r>
    </w:p>
  </w:footnote>
  <w:footnote w:id="65">
    <w:p w14:paraId="7415532A" w14:textId="77777777" w:rsidR="00B01930" w:rsidRDefault="00B01930" w:rsidP="00B01930">
      <w:pPr>
        <w:pStyle w:val="Notedebasdepage"/>
      </w:pPr>
      <w:r>
        <w:rPr>
          <w:rStyle w:val="Appelnotedebasdep"/>
        </w:rPr>
        <w:footnoteRef/>
      </w:r>
      <w:r>
        <w:t xml:space="preserve"> </w:t>
      </w:r>
      <w:r>
        <w:tab/>
      </w:r>
      <w:r w:rsidRPr="0004576F">
        <w:t xml:space="preserve">Georges Castellan, </w:t>
      </w:r>
      <w:r w:rsidRPr="0004576F">
        <w:rPr>
          <w:i/>
        </w:rPr>
        <w:t>Histoire des Balkans</w:t>
      </w:r>
      <w:r w:rsidRPr="0004576F">
        <w:t>, Paris, Fayard, 1991.</w:t>
      </w:r>
    </w:p>
  </w:footnote>
  <w:footnote w:id="66">
    <w:p w14:paraId="712477C7" w14:textId="77777777" w:rsidR="00B01930" w:rsidRDefault="00B01930" w:rsidP="00B01930">
      <w:pPr>
        <w:pStyle w:val="Notedebasdepage"/>
      </w:pPr>
      <w:r>
        <w:rPr>
          <w:rStyle w:val="Appelnotedebasdep"/>
        </w:rPr>
        <w:footnoteRef/>
      </w:r>
      <w:r>
        <w:t xml:space="preserve"> </w:t>
      </w:r>
      <w:r>
        <w:tab/>
      </w:r>
      <w:r w:rsidRPr="0004576F">
        <w:t xml:space="preserve">Hamadi Redissi, </w:t>
      </w:r>
      <w:r w:rsidRPr="0004576F">
        <w:rPr>
          <w:i/>
        </w:rPr>
        <w:t>op. cit.</w:t>
      </w:r>
      <w:r w:rsidRPr="0004576F">
        <w:t xml:space="preserve">, </w:t>
      </w:r>
      <w:r w:rsidRPr="0004576F">
        <w:rPr>
          <w:i/>
        </w:rPr>
        <w:t>passim,</w:t>
      </w:r>
      <w:r w:rsidRPr="0004576F">
        <w:t xml:space="preserve"> c’est pire que d’être chrétien ou juif.</w:t>
      </w:r>
    </w:p>
  </w:footnote>
  <w:footnote w:id="67">
    <w:p w14:paraId="1F140182" w14:textId="77777777" w:rsidR="00B01930" w:rsidRDefault="00B01930" w:rsidP="00B01930">
      <w:pPr>
        <w:pStyle w:val="Notedebasdepage"/>
      </w:pPr>
      <w:r>
        <w:rPr>
          <w:rStyle w:val="Appelnotedebasdep"/>
        </w:rPr>
        <w:footnoteRef/>
      </w:r>
      <w:r>
        <w:t xml:space="preserve"> </w:t>
      </w:r>
      <w:r>
        <w:tab/>
      </w:r>
      <w:r w:rsidRPr="00D041A4">
        <w:t>Très intéressantes sont toujours les préfaces de Jean-Louis Martres à divers ouvrages, qui pr</w:t>
      </w:r>
      <w:r w:rsidRPr="00D041A4">
        <w:t>é</w:t>
      </w:r>
      <w:r w:rsidRPr="00D041A4">
        <w:t xml:space="preserve">cisent souvent sa pensée. Cf. notamment celle livrée pour l’ouvrage de Claude Horrut, </w:t>
      </w:r>
      <w:hyperlink r:id="rId3" w:history="1">
        <w:r w:rsidRPr="00DA1520">
          <w:rPr>
            <w:rStyle w:val="Hyperlien"/>
          </w:rPr>
          <w:t>Ibn Khaldûn, un islam des lumières ?</w:t>
        </w:r>
      </w:hyperlink>
      <w:r w:rsidRPr="00D041A4">
        <w:t>, télécha</w:t>
      </w:r>
      <w:r w:rsidRPr="00D041A4">
        <w:t>r</w:t>
      </w:r>
      <w:r w:rsidRPr="00D041A4">
        <w:t>geable sur le site « </w:t>
      </w:r>
      <w:r>
        <w:t>Les Classiques Sciences sociales »</w:t>
      </w:r>
      <w:r w:rsidRPr="00D041A4">
        <w:t>.</w:t>
      </w:r>
    </w:p>
  </w:footnote>
  <w:footnote w:id="68">
    <w:p w14:paraId="5D8AA793" w14:textId="77777777" w:rsidR="00B01930" w:rsidRDefault="00B01930" w:rsidP="00B01930">
      <w:pPr>
        <w:pStyle w:val="Notedebasdepage"/>
      </w:pPr>
      <w:r>
        <w:rPr>
          <w:rStyle w:val="Appelnotedebasdep"/>
        </w:rPr>
        <w:footnoteRef/>
      </w:r>
      <w:r>
        <w:t xml:space="preserve"> </w:t>
      </w:r>
      <w:r>
        <w:tab/>
      </w:r>
      <w:r w:rsidRPr="0004576F">
        <w:t>On pourrait citer aussi Lévi-Strauss qui en 1955</w:t>
      </w:r>
      <w:r w:rsidRPr="0004576F">
        <w:rPr>
          <w:i/>
        </w:rPr>
        <w:t xml:space="preserve"> </w:t>
      </w:r>
      <w:r w:rsidRPr="0004576F">
        <w:t xml:space="preserve">dans </w:t>
      </w:r>
      <w:r w:rsidRPr="0004576F">
        <w:rPr>
          <w:i/>
        </w:rPr>
        <w:t xml:space="preserve">Tristes Tropiques </w:t>
      </w:r>
      <w:r w:rsidRPr="0004576F">
        <w:t>notait (suite à un voyage en Orient en 1950) : « une tol</w:t>
      </w:r>
      <w:r w:rsidRPr="0004576F">
        <w:t>é</w:t>
      </w:r>
      <w:r w:rsidRPr="0004576F">
        <w:t>rance affichée en dépit d’un prosélytisme dont le caractère compulsif est évident », p. 462, et il ajoute : «  les autres cultures, plus ouvertes, plus libres que la leur, constituent pour eux une menace permanente […] le plus grave, en définitive, est que les musu</w:t>
      </w:r>
      <w:r w:rsidRPr="0004576F">
        <w:t>l</w:t>
      </w:r>
      <w:r w:rsidRPr="0004576F">
        <w:t>mans n’ont même plus conscience de leur intolérance, et sont incapables de supporter  l’existence d’autrui comme autrui », p. 467.</w:t>
      </w:r>
    </w:p>
  </w:footnote>
  <w:footnote w:id="69">
    <w:p w14:paraId="2B4B99F4" w14:textId="77777777" w:rsidR="00B01930" w:rsidRDefault="00B01930" w:rsidP="00B01930">
      <w:pPr>
        <w:pStyle w:val="Notedebasdepage"/>
      </w:pPr>
      <w:r>
        <w:rPr>
          <w:rStyle w:val="Appelnotedebasdep"/>
        </w:rPr>
        <w:footnoteRef/>
      </w:r>
      <w:r>
        <w:t xml:space="preserve"> </w:t>
      </w:r>
      <w:r>
        <w:tab/>
      </w:r>
      <w:r w:rsidRPr="0004576F">
        <w:t>Les Grilles…, op. cit., p. 166.</w:t>
      </w:r>
    </w:p>
  </w:footnote>
  <w:footnote w:id="70">
    <w:p w14:paraId="0E5E0088" w14:textId="77777777" w:rsidR="00B01930" w:rsidRDefault="00B01930" w:rsidP="00B01930">
      <w:pPr>
        <w:pStyle w:val="Notedebasdepage"/>
      </w:pPr>
      <w:r>
        <w:rPr>
          <w:rStyle w:val="Appelnotedebasdep"/>
        </w:rPr>
        <w:footnoteRef/>
      </w:r>
      <w:r>
        <w:t xml:space="preserve"> </w:t>
      </w:r>
      <w:r>
        <w:tab/>
      </w:r>
      <w:r w:rsidRPr="0004576F">
        <w:t xml:space="preserve">Cf. </w:t>
      </w:r>
      <w:r w:rsidRPr="0004576F">
        <w:rPr>
          <w:i/>
        </w:rPr>
        <w:t>infra</w:t>
      </w:r>
      <w:r w:rsidRPr="0004576F">
        <w:t>, II-3.</w:t>
      </w:r>
    </w:p>
  </w:footnote>
  <w:footnote w:id="71">
    <w:p w14:paraId="4747218B" w14:textId="77777777" w:rsidR="00B01930" w:rsidRDefault="00B01930" w:rsidP="00B01930">
      <w:pPr>
        <w:pStyle w:val="Notedebasdepage"/>
      </w:pPr>
      <w:r>
        <w:rPr>
          <w:rStyle w:val="Appelnotedebasdep"/>
        </w:rPr>
        <w:footnoteRef/>
      </w:r>
      <w:r>
        <w:t xml:space="preserve"> </w:t>
      </w:r>
      <w:r>
        <w:tab/>
      </w:r>
      <w:r w:rsidRPr="0004576F">
        <w:t xml:space="preserve">Cf. Bart Ehrman, </w:t>
      </w:r>
      <w:r w:rsidRPr="0004576F">
        <w:rPr>
          <w:i/>
        </w:rPr>
        <w:t>Les Christianismes disparus</w:t>
      </w:r>
      <w:r w:rsidRPr="0004576F">
        <w:t>, Paris, Bayard, 2007.</w:t>
      </w:r>
    </w:p>
  </w:footnote>
  <w:footnote w:id="72">
    <w:p w14:paraId="0EDEBDEC" w14:textId="77777777" w:rsidR="00B01930" w:rsidRDefault="00B01930" w:rsidP="00B01930">
      <w:pPr>
        <w:pStyle w:val="Notedebasdepage"/>
      </w:pPr>
      <w:r>
        <w:rPr>
          <w:rStyle w:val="Appelnotedebasdep"/>
        </w:rPr>
        <w:footnoteRef/>
      </w:r>
      <w:r>
        <w:t xml:space="preserve"> </w:t>
      </w:r>
      <w:r>
        <w:tab/>
      </w:r>
      <w:r w:rsidRPr="0004576F">
        <w:t xml:space="preserve">Jean-Louis  Martes, </w:t>
      </w:r>
      <w:r w:rsidRPr="0004576F">
        <w:rPr>
          <w:i/>
        </w:rPr>
        <w:t>Les Grilles</w:t>
      </w:r>
      <w:r w:rsidRPr="0004576F">
        <w:t xml:space="preserve">…, </w:t>
      </w:r>
      <w:r w:rsidRPr="0004576F">
        <w:rPr>
          <w:i/>
        </w:rPr>
        <w:t>op. cit.</w:t>
      </w:r>
      <w:r w:rsidRPr="0004576F">
        <w:t>, p. 597, note 592.</w:t>
      </w:r>
    </w:p>
  </w:footnote>
  <w:footnote w:id="73">
    <w:p w14:paraId="1228B3D8" w14:textId="77777777" w:rsidR="00B01930" w:rsidRDefault="00B01930" w:rsidP="00B01930">
      <w:pPr>
        <w:pStyle w:val="Notedebasdepage"/>
      </w:pPr>
      <w:r>
        <w:rPr>
          <w:rStyle w:val="Appelnotedebasdep"/>
        </w:rPr>
        <w:footnoteRef/>
      </w:r>
      <w:r>
        <w:t xml:space="preserve"> </w:t>
      </w:r>
      <w:r>
        <w:tab/>
      </w:r>
      <w:r w:rsidRPr="0004576F">
        <w:rPr>
          <w:i/>
        </w:rPr>
        <w:t>Idem</w:t>
      </w:r>
      <w:r w:rsidRPr="0004576F">
        <w:t>.</w:t>
      </w:r>
    </w:p>
  </w:footnote>
  <w:footnote w:id="74">
    <w:p w14:paraId="3E882648" w14:textId="77777777" w:rsidR="00B01930" w:rsidRDefault="00B01930" w:rsidP="00B01930">
      <w:pPr>
        <w:pStyle w:val="Notedebasdepage"/>
      </w:pPr>
      <w:r>
        <w:rPr>
          <w:rStyle w:val="Appelnotedebasdep"/>
        </w:rPr>
        <w:footnoteRef/>
      </w:r>
      <w:r>
        <w:t xml:space="preserve"> </w:t>
      </w:r>
      <w:r>
        <w:tab/>
      </w:r>
      <w:r w:rsidRPr="0004576F">
        <w:t>L’Exception…, op. cit., passim.</w:t>
      </w:r>
    </w:p>
  </w:footnote>
  <w:footnote w:id="75">
    <w:p w14:paraId="08317692" w14:textId="77777777" w:rsidR="00B01930" w:rsidRDefault="00B01930" w:rsidP="00B01930">
      <w:pPr>
        <w:pStyle w:val="Notedebasdepage"/>
      </w:pPr>
      <w:r>
        <w:rPr>
          <w:rStyle w:val="Appelnotedebasdep"/>
        </w:rPr>
        <w:footnoteRef/>
      </w:r>
      <w:r>
        <w:t xml:space="preserve"> </w:t>
      </w:r>
      <w:r>
        <w:tab/>
      </w:r>
      <w:r w:rsidRPr="0004576F">
        <w:t>est difficile d’accepter l’interprétation de Jean-Louis Martres (</w:t>
      </w:r>
      <w:r w:rsidRPr="0004576F">
        <w:rPr>
          <w:i/>
        </w:rPr>
        <w:t>Les Grilles</w:t>
      </w:r>
      <w:r w:rsidRPr="0004576F">
        <w:t xml:space="preserve">.., </w:t>
      </w:r>
      <w:r w:rsidRPr="0004576F">
        <w:rPr>
          <w:i/>
        </w:rPr>
        <w:t>op. cit.</w:t>
      </w:r>
      <w:r w:rsidRPr="0004576F">
        <w:t>, note 138) selon laquelle l’interdiction du port du voile pour les fe</w:t>
      </w:r>
      <w:r w:rsidRPr="0004576F">
        <w:t>m</w:t>
      </w:r>
      <w:r w:rsidRPr="0004576F">
        <w:t>mes serait un moment de répression celle-ci traduisant une offense au plur</w:t>
      </w:r>
      <w:r w:rsidRPr="0004576F">
        <w:t>a</w:t>
      </w:r>
      <w:r w:rsidRPr="0004576F">
        <w:t>lisme démocratique. Or jusqu’à la fin des années quatre-vingt-dix au moins le phénomène n’existait pas, même chez les perso</w:t>
      </w:r>
      <w:r w:rsidRPr="0004576F">
        <w:t>n</w:t>
      </w:r>
      <w:r w:rsidRPr="0004576F">
        <w:t>nes âgées. Pas plus que n’existaient les demandes et attitudes visant à obtenir des règles particulières directement liées à la religion musulmane en matière scolaire, sportive, al</w:t>
      </w:r>
      <w:r w:rsidRPr="0004576F">
        <w:t>i</w:t>
      </w:r>
      <w:r w:rsidRPr="0004576F">
        <w:t>mentaire. Il s’agit donc bien d’une logique identitaire religieuse dont le fo</w:t>
      </w:r>
      <w:r w:rsidRPr="0004576F">
        <w:t>n</w:t>
      </w:r>
      <w:r w:rsidRPr="0004576F">
        <w:t>dement se trouve dans l’appartenance de l’islam au code n° 1. Il est opportun de rappeler, qu’historiquement, un phénomène de même nature s’est produit avec les chrétiens. Co</w:t>
      </w:r>
      <w:r w:rsidRPr="0004576F">
        <w:t>m</w:t>
      </w:r>
      <w:r w:rsidRPr="0004576F">
        <w:t>me l’écrit Paul Veyne, au II</w:t>
      </w:r>
      <w:r w:rsidRPr="0004576F">
        <w:rPr>
          <w:vertAlign w:val="superscript"/>
        </w:rPr>
        <w:t xml:space="preserve">e </w:t>
      </w:r>
      <w:r w:rsidRPr="0004576F">
        <w:t xml:space="preserve">siècle </w:t>
      </w:r>
      <w:r w:rsidRPr="0004576F">
        <w:rPr>
          <w:i/>
        </w:rPr>
        <w:t>p. c.</w:t>
      </w:r>
      <w:r w:rsidRPr="0004576F">
        <w:t>, à Rome, on se moque des chrétiens, au III</w:t>
      </w:r>
      <w:r w:rsidRPr="0004576F">
        <w:rPr>
          <w:vertAlign w:val="superscript"/>
        </w:rPr>
        <w:t>e</w:t>
      </w:r>
      <w:r w:rsidRPr="0004576F">
        <w:t xml:space="preserve"> siècle on tonne contre eux et on discute. Après les chrétiens persécutent et éliminent les païens et font disparaître leur culture.</w:t>
      </w:r>
    </w:p>
  </w:footnote>
  <w:footnote w:id="76">
    <w:p w14:paraId="6C9E6D6B" w14:textId="77777777" w:rsidR="00B01930" w:rsidRDefault="00B01930" w:rsidP="00B01930">
      <w:pPr>
        <w:pStyle w:val="Notedebasdepage"/>
      </w:pPr>
      <w:r>
        <w:rPr>
          <w:rStyle w:val="Appelnotedebasdep"/>
        </w:rPr>
        <w:footnoteRef/>
      </w:r>
      <w:r>
        <w:t xml:space="preserve"> </w:t>
      </w:r>
      <w:r>
        <w:tab/>
      </w:r>
      <w:r w:rsidRPr="0004576F">
        <w:rPr>
          <w:i/>
        </w:rPr>
        <w:t>Les Grilles</w:t>
      </w:r>
      <w:r w:rsidRPr="0004576F">
        <w:t xml:space="preserve">…, </w:t>
      </w:r>
      <w:r w:rsidRPr="0004576F">
        <w:rPr>
          <w:i/>
        </w:rPr>
        <w:t>op. cit.</w:t>
      </w:r>
      <w:r w:rsidRPr="0004576F">
        <w:t>, p. 626, 629, 632 et 636.</w:t>
      </w:r>
    </w:p>
  </w:footnote>
  <w:footnote w:id="77">
    <w:p w14:paraId="14D88C6C" w14:textId="77777777" w:rsidR="00B01930" w:rsidRDefault="00B01930" w:rsidP="00B01930">
      <w:pPr>
        <w:pStyle w:val="Notedebasdepage"/>
      </w:pPr>
      <w:r>
        <w:rPr>
          <w:rStyle w:val="Appelnotedebasdep"/>
        </w:rPr>
        <w:footnoteRef/>
      </w:r>
      <w:r>
        <w:t xml:space="preserve"> </w:t>
      </w:r>
      <w:r>
        <w:tab/>
      </w:r>
      <w:r w:rsidRPr="0004576F">
        <w:t xml:space="preserve">P. Veyne, </w:t>
      </w:r>
      <w:r w:rsidRPr="0004576F">
        <w:rPr>
          <w:i/>
        </w:rPr>
        <w:t>L’Empire gréco-romain</w:t>
      </w:r>
      <w:r w:rsidRPr="0004576F">
        <w:t xml:space="preserve">, Paris, Le Seuil, 2005 ; </w:t>
      </w:r>
      <w:r w:rsidRPr="0004576F">
        <w:rPr>
          <w:i/>
        </w:rPr>
        <w:t xml:space="preserve">Quand notre monde est devenu chrétien, </w:t>
      </w:r>
      <w:r w:rsidRPr="0004576F">
        <w:t>Paris, Albin Michel, 2007.</w:t>
      </w:r>
    </w:p>
  </w:footnote>
  <w:footnote w:id="78">
    <w:p w14:paraId="528FCA19" w14:textId="77777777" w:rsidR="00B01930" w:rsidRDefault="00B01930" w:rsidP="00B01930">
      <w:pPr>
        <w:pStyle w:val="Notedebasdepage"/>
      </w:pPr>
      <w:r>
        <w:rPr>
          <w:rStyle w:val="Appelnotedebasdep"/>
        </w:rPr>
        <w:footnoteRef/>
      </w:r>
      <w:r>
        <w:t xml:space="preserve"> </w:t>
      </w:r>
      <w:r>
        <w:tab/>
      </w:r>
      <w:r w:rsidRPr="0004576F">
        <w:t>Les Grilles…, op. cit., p. 683.</w:t>
      </w:r>
    </w:p>
  </w:footnote>
  <w:footnote w:id="79">
    <w:p w14:paraId="71490A21" w14:textId="77777777" w:rsidR="00B01930" w:rsidRDefault="00B01930" w:rsidP="00B01930">
      <w:pPr>
        <w:pStyle w:val="Notedebasdepage"/>
      </w:pPr>
      <w:r>
        <w:rPr>
          <w:rStyle w:val="Appelnotedebasdep"/>
        </w:rPr>
        <w:footnoteRef/>
      </w:r>
      <w:r>
        <w:t xml:space="preserve"> </w:t>
      </w:r>
      <w:r>
        <w:tab/>
      </w:r>
      <w:r w:rsidRPr="0004576F">
        <w:t xml:space="preserve">Sauf à recourir à une autre explication, voir </w:t>
      </w:r>
      <w:r w:rsidRPr="0004576F">
        <w:rPr>
          <w:i/>
        </w:rPr>
        <w:t>infra</w:t>
      </w:r>
      <w:r w:rsidRPr="0004576F">
        <w:t xml:space="preserve"> sur la Chine.</w:t>
      </w:r>
    </w:p>
  </w:footnote>
  <w:footnote w:id="80">
    <w:p w14:paraId="1A168728" w14:textId="77777777" w:rsidR="00B01930" w:rsidRDefault="00B01930" w:rsidP="00B01930">
      <w:pPr>
        <w:pStyle w:val="Notedebasdepage"/>
      </w:pPr>
      <w:r>
        <w:rPr>
          <w:rStyle w:val="Appelnotedebasdep"/>
        </w:rPr>
        <w:footnoteRef/>
      </w:r>
      <w:r>
        <w:t xml:space="preserve"> </w:t>
      </w:r>
      <w:r>
        <w:tab/>
      </w:r>
      <w:r w:rsidRPr="0004576F">
        <w:t>L’Empire Khazar (VII</w:t>
      </w:r>
      <w:r w:rsidRPr="0004576F">
        <w:rPr>
          <w:vertAlign w:val="superscript"/>
        </w:rPr>
        <w:t>e</w:t>
      </w:r>
      <w:r w:rsidRPr="0004576F">
        <w:t>-XI</w:t>
      </w:r>
      <w:r w:rsidRPr="0004576F">
        <w:rPr>
          <w:vertAlign w:val="superscript"/>
        </w:rPr>
        <w:t>e</w:t>
      </w:r>
      <w:r w:rsidRPr="0004576F">
        <w:t xml:space="preserve"> siècle) « fait quasiment sans égal, s’était converti massivement au judaïsme », cf. </w:t>
      </w:r>
      <w:r w:rsidRPr="0004576F">
        <w:rPr>
          <w:i/>
        </w:rPr>
        <w:t>Le Grand</w:t>
      </w:r>
      <w:r w:rsidRPr="0004576F">
        <w:t xml:space="preserve"> </w:t>
      </w:r>
      <w:r w:rsidRPr="0004576F">
        <w:rPr>
          <w:i/>
        </w:rPr>
        <w:t>jeu, XIX</w:t>
      </w:r>
      <w:r w:rsidRPr="0004576F">
        <w:rPr>
          <w:i/>
          <w:vertAlign w:val="superscript"/>
        </w:rPr>
        <w:t>e</w:t>
      </w:r>
      <w:r w:rsidRPr="0004576F">
        <w:rPr>
          <w:i/>
        </w:rPr>
        <w:t xml:space="preserve"> siècle. Les enjeux géop</w:t>
      </w:r>
      <w:r w:rsidRPr="0004576F">
        <w:rPr>
          <w:i/>
        </w:rPr>
        <w:t>o</w:t>
      </w:r>
      <w:r w:rsidRPr="0004576F">
        <w:rPr>
          <w:i/>
        </w:rPr>
        <w:t>plitiques de l’Asie centrale</w:t>
      </w:r>
      <w:r w:rsidRPr="0004576F">
        <w:t>, sous la dir. de Jacques Piatigorsky et Jacques S</w:t>
      </w:r>
      <w:r w:rsidRPr="0004576F">
        <w:t>a</w:t>
      </w:r>
      <w:r w:rsidRPr="0004576F">
        <w:t>pir, Paris, Éd. Autrement, 2008, p. 8.</w:t>
      </w:r>
    </w:p>
  </w:footnote>
  <w:footnote w:id="81">
    <w:p w14:paraId="6D4BC40C" w14:textId="77777777" w:rsidR="00B01930" w:rsidRDefault="00B01930" w:rsidP="00B01930">
      <w:pPr>
        <w:pStyle w:val="Notedebasdepage"/>
      </w:pPr>
      <w:r>
        <w:rPr>
          <w:rStyle w:val="Appelnotedebasdep"/>
        </w:rPr>
        <w:footnoteRef/>
      </w:r>
      <w:r>
        <w:t xml:space="preserve"> </w:t>
      </w:r>
      <w:r>
        <w:tab/>
      </w:r>
      <w:r w:rsidRPr="0004576F">
        <w:t>Nombre 23, 9.</w:t>
      </w:r>
    </w:p>
  </w:footnote>
  <w:footnote w:id="82">
    <w:p w14:paraId="0EACFB3F" w14:textId="77777777" w:rsidR="00B01930" w:rsidRDefault="00B01930" w:rsidP="00B01930">
      <w:pPr>
        <w:pStyle w:val="Notedebasdepage"/>
      </w:pPr>
      <w:r>
        <w:rPr>
          <w:rStyle w:val="Appelnotedebasdep"/>
        </w:rPr>
        <w:footnoteRef/>
      </w:r>
      <w:r>
        <w:t xml:space="preserve"> </w:t>
      </w:r>
      <w:r>
        <w:tab/>
      </w:r>
      <w:r w:rsidRPr="0004576F">
        <w:t xml:space="preserve">Cf. </w:t>
      </w:r>
      <w:r w:rsidRPr="0004576F">
        <w:rPr>
          <w:i/>
        </w:rPr>
        <w:t>Histoire de l’alimentation</w:t>
      </w:r>
      <w:r w:rsidRPr="0004576F">
        <w:t>, Paris, Fayard, 1996.</w:t>
      </w:r>
    </w:p>
  </w:footnote>
  <w:footnote w:id="83">
    <w:p w14:paraId="1D2F4F2B" w14:textId="77777777" w:rsidR="00B01930" w:rsidRDefault="00B01930" w:rsidP="00B01930">
      <w:pPr>
        <w:pStyle w:val="Notedebasdepage"/>
      </w:pPr>
      <w:r>
        <w:rPr>
          <w:rStyle w:val="Appelnotedebasdep"/>
        </w:rPr>
        <w:footnoteRef/>
      </w:r>
      <w:r>
        <w:t xml:space="preserve"> </w:t>
      </w:r>
      <w:r>
        <w:tab/>
      </w:r>
      <w:r w:rsidRPr="0004576F">
        <w:t>Les ultras orthodoxes juifs – c’est-à-dire « non sionistes » –, r</w:t>
      </w:r>
      <w:r w:rsidRPr="0004576F">
        <w:t>é</w:t>
      </w:r>
      <w:r w:rsidRPr="0004576F">
        <w:t>cusent même l’existence d’Israël, comme transgression des écrits sacrés qui ont fixé un c</w:t>
      </w:r>
      <w:r w:rsidRPr="0004576F">
        <w:t>a</w:t>
      </w:r>
      <w:r w:rsidRPr="0004576F">
        <w:t>lendrier, que les hommes ne sauraient transgresser par leur a</w:t>
      </w:r>
      <w:r w:rsidRPr="0004576F">
        <w:t>c</w:t>
      </w:r>
      <w:r w:rsidRPr="0004576F">
        <w:t>tion politique, comme l’a fait le mouvement sioniste depuis la déclaration Balfour de 1917 jusqu’à aujourd’hui.</w:t>
      </w:r>
    </w:p>
  </w:footnote>
  <w:footnote w:id="84">
    <w:p w14:paraId="3AFCEFB3" w14:textId="77777777" w:rsidR="00B01930" w:rsidRDefault="00B01930" w:rsidP="00B01930">
      <w:pPr>
        <w:pStyle w:val="Notedebasdepage"/>
      </w:pPr>
      <w:r>
        <w:rPr>
          <w:rStyle w:val="Appelnotedebasdep"/>
        </w:rPr>
        <w:footnoteRef/>
      </w:r>
      <w:r>
        <w:t xml:space="preserve"> </w:t>
      </w:r>
      <w:r>
        <w:tab/>
      </w:r>
      <w:r w:rsidRPr="0004576F">
        <w:t>Entretien que nous a accordé par Jean-Louis Martres, le 24 se</w:t>
      </w:r>
      <w:r w:rsidRPr="0004576F">
        <w:t>p</w:t>
      </w:r>
      <w:r w:rsidRPr="0004576F">
        <w:t>tembre 2012.</w:t>
      </w:r>
    </w:p>
  </w:footnote>
  <w:footnote w:id="85">
    <w:p w14:paraId="14848005" w14:textId="77777777" w:rsidR="00B01930" w:rsidRDefault="00B01930" w:rsidP="00B01930">
      <w:pPr>
        <w:pStyle w:val="Notedebasdepage"/>
      </w:pPr>
      <w:r>
        <w:rPr>
          <w:rStyle w:val="Appelnotedebasdep"/>
        </w:rPr>
        <w:footnoteRef/>
      </w:r>
      <w:r>
        <w:t xml:space="preserve"> </w:t>
      </w:r>
      <w:r>
        <w:tab/>
      </w:r>
      <w:r w:rsidRPr="0004576F">
        <w:t>Notion qui resta étrangère aux sadducéens, et ne fût adoptée que par les phar</w:t>
      </w:r>
      <w:r w:rsidRPr="0004576F">
        <w:t>i</w:t>
      </w:r>
      <w:r w:rsidRPr="0004576F">
        <w:t>siens.</w:t>
      </w:r>
    </w:p>
  </w:footnote>
  <w:footnote w:id="86">
    <w:p w14:paraId="3A2FF910" w14:textId="77777777" w:rsidR="00B01930" w:rsidRDefault="00B01930" w:rsidP="00B01930">
      <w:pPr>
        <w:pStyle w:val="Notedebasdepage"/>
      </w:pPr>
      <w:r>
        <w:rPr>
          <w:rStyle w:val="Appelnotedebasdep"/>
        </w:rPr>
        <w:footnoteRef/>
      </w:r>
      <w:r>
        <w:t xml:space="preserve"> </w:t>
      </w:r>
      <w:r>
        <w:tab/>
      </w:r>
      <w:r w:rsidRPr="0004576F">
        <w:t>Ce n’est pas par méchanceté, mais par nécessité : on ne peut a</w:t>
      </w:r>
      <w:r w:rsidRPr="0004576F">
        <w:t>c</w:t>
      </w:r>
      <w:r w:rsidRPr="0004576F">
        <w:t>cepter ceux qui refusent la Vérité, ils mettent en péril la réalisation du Bien, donc, en l’espèce, l’Humanité.</w:t>
      </w:r>
    </w:p>
  </w:footnote>
  <w:footnote w:id="87">
    <w:p w14:paraId="5D72ABF5" w14:textId="77777777" w:rsidR="00B01930" w:rsidRDefault="00B01930" w:rsidP="00B01930">
      <w:pPr>
        <w:pStyle w:val="Notedebasdepage"/>
      </w:pPr>
      <w:r>
        <w:rPr>
          <w:rStyle w:val="Appelnotedebasdep"/>
        </w:rPr>
        <w:footnoteRef/>
      </w:r>
      <w:r>
        <w:t xml:space="preserve"> </w:t>
      </w:r>
      <w:r>
        <w:tab/>
      </w:r>
      <w:r w:rsidRPr="0004576F">
        <w:t xml:space="preserve">Voir note 66, </w:t>
      </w:r>
      <w:r w:rsidRPr="0004576F">
        <w:rPr>
          <w:i/>
        </w:rPr>
        <w:t>supra</w:t>
      </w:r>
      <w:r w:rsidRPr="0004576F">
        <w:t>.</w:t>
      </w:r>
    </w:p>
  </w:footnote>
  <w:footnote w:id="88">
    <w:p w14:paraId="133BCB58" w14:textId="77777777" w:rsidR="00B01930" w:rsidRDefault="00B01930" w:rsidP="00B01930">
      <w:pPr>
        <w:pStyle w:val="Notedebasdepage"/>
      </w:pPr>
      <w:r>
        <w:rPr>
          <w:rStyle w:val="Appelnotedebasdep"/>
        </w:rPr>
        <w:footnoteRef/>
      </w:r>
      <w:r>
        <w:t xml:space="preserve"> </w:t>
      </w:r>
      <w:r>
        <w:tab/>
      </w:r>
      <w:r w:rsidRPr="0004576F">
        <w:t>Ils furent ensuite persécutés par les musulmans, à compter du XII</w:t>
      </w:r>
      <w:r w:rsidRPr="0004576F">
        <w:rPr>
          <w:vertAlign w:val="superscript"/>
        </w:rPr>
        <w:t xml:space="preserve">e </w:t>
      </w:r>
      <w:r w:rsidRPr="0004576F">
        <w:t>siècle, di</w:t>
      </w:r>
      <w:r w:rsidRPr="0004576F">
        <w:t>s</w:t>
      </w:r>
      <w:r w:rsidRPr="0004576F">
        <w:t>criminés e</w:t>
      </w:r>
      <w:r w:rsidRPr="0004576F">
        <w:t>n</w:t>
      </w:r>
      <w:r w:rsidRPr="0004576F">
        <w:t>core aujourd’hui, et victimes de violences ces dernières années.</w:t>
      </w:r>
    </w:p>
  </w:footnote>
  <w:footnote w:id="89">
    <w:p w14:paraId="77F4B3AD" w14:textId="77777777" w:rsidR="00B01930" w:rsidRDefault="00B01930" w:rsidP="00B01930">
      <w:pPr>
        <w:pStyle w:val="Notedebasdepage"/>
      </w:pPr>
      <w:r>
        <w:rPr>
          <w:rStyle w:val="Appelnotedebasdep"/>
        </w:rPr>
        <w:footnoteRef/>
      </w:r>
      <w:r>
        <w:t xml:space="preserve"> </w:t>
      </w:r>
      <w:r>
        <w:tab/>
      </w:r>
      <w:r w:rsidRPr="0004576F">
        <w:t>Aux XII</w:t>
      </w:r>
      <w:r w:rsidRPr="0004576F">
        <w:rPr>
          <w:vertAlign w:val="superscript"/>
        </w:rPr>
        <w:t>e</w:t>
      </w:r>
      <w:r w:rsidRPr="0004576F">
        <w:t>-XIII</w:t>
      </w:r>
      <w:r w:rsidRPr="0004576F">
        <w:rPr>
          <w:vertAlign w:val="superscript"/>
        </w:rPr>
        <w:t xml:space="preserve">e </w:t>
      </w:r>
      <w:r w:rsidRPr="0004576F">
        <w:t xml:space="preserve"> siècles. Cf. Jeannine Quillet, </w:t>
      </w:r>
      <w:r w:rsidRPr="0004576F">
        <w:rPr>
          <w:i/>
        </w:rPr>
        <w:t>Les Clefs du po</w:t>
      </w:r>
      <w:r w:rsidRPr="0004576F">
        <w:rPr>
          <w:i/>
        </w:rPr>
        <w:t>u</w:t>
      </w:r>
      <w:r w:rsidRPr="0004576F">
        <w:rPr>
          <w:i/>
        </w:rPr>
        <w:t>voir au Moyen âge</w:t>
      </w:r>
      <w:r w:rsidRPr="0004576F">
        <w:t>, Paris, Flammarion, 1972.</w:t>
      </w:r>
    </w:p>
  </w:footnote>
  <w:footnote w:id="90">
    <w:p w14:paraId="019DE358" w14:textId="77777777" w:rsidR="00B01930" w:rsidRDefault="00B01930" w:rsidP="00B01930">
      <w:pPr>
        <w:pStyle w:val="Notedebasdepage"/>
      </w:pPr>
      <w:r>
        <w:rPr>
          <w:rStyle w:val="Appelnotedebasdep"/>
        </w:rPr>
        <w:footnoteRef/>
      </w:r>
      <w:r>
        <w:t xml:space="preserve"> </w:t>
      </w:r>
      <w:r>
        <w:tab/>
      </w:r>
      <w:r w:rsidRPr="0004576F">
        <w:t>La démocratie chrétienne est une tentative, face aux réalités politiques, de refaire le lien entre pouvoir spirituel et pouvoir temporel, mais hormis ce c</w:t>
      </w:r>
      <w:r w:rsidRPr="0004576F">
        <w:t>a</w:t>
      </w:r>
      <w:r w:rsidRPr="0004576F">
        <w:t>nal, les exemples sont nombreux, notamment en France, d’interventions p</w:t>
      </w:r>
      <w:r w:rsidRPr="0004576F">
        <w:t>u</w:t>
      </w:r>
      <w:r w:rsidRPr="0004576F">
        <w:t>bliques (ou non) fortes de l’Église cath</w:t>
      </w:r>
      <w:r w:rsidRPr="0004576F">
        <w:t>o</w:t>
      </w:r>
      <w:r w:rsidRPr="0004576F">
        <w:t>lique dans le jeu politique,  au nom de la Vérité, en accord avec la log</w:t>
      </w:r>
      <w:r w:rsidRPr="0004576F">
        <w:t>i</w:t>
      </w:r>
      <w:r w:rsidRPr="0004576F">
        <w:t>que du code n° 1.</w:t>
      </w:r>
    </w:p>
  </w:footnote>
  <w:footnote w:id="91">
    <w:p w14:paraId="2127653D" w14:textId="77777777" w:rsidR="00B01930" w:rsidRDefault="00B01930" w:rsidP="00B01930">
      <w:pPr>
        <w:pStyle w:val="Notedebasdepage"/>
      </w:pPr>
      <w:r>
        <w:rPr>
          <w:rStyle w:val="Appelnotedebasdep"/>
        </w:rPr>
        <w:footnoteRef/>
      </w:r>
      <w:r>
        <w:t xml:space="preserve"> </w:t>
      </w:r>
      <w:r>
        <w:tab/>
      </w:r>
      <w:r w:rsidRPr="0004576F">
        <w:t xml:space="preserve">Gilles Lapouge, </w:t>
      </w:r>
      <w:r w:rsidRPr="0004576F">
        <w:rPr>
          <w:i/>
        </w:rPr>
        <w:t>Utopie et</w:t>
      </w:r>
      <w:r w:rsidRPr="0004576F">
        <w:t xml:space="preserve">…, </w:t>
      </w:r>
      <w:r w:rsidRPr="0004576F">
        <w:rPr>
          <w:i/>
        </w:rPr>
        <w:t>op. cit.</w:t>
      </w:r>
      <w:r w:rsidRPr="0004576F">
        <w:t>, texte que nous avions mis en épigraphe de la pr</w:t>
      </w:r>
      <w:r w:rsidRPr="0004576F">
        <w:t>e</w:t>
      </w:r>
      <w:r w:rsidRPr="0004576F">
        <w:t>mière partie de son cours, voir supra note 15.</w:t>
      </w:r>
    </w:p>
  </w:footnote>
  <w:footnote w:id="92">
    <w:p w14:paraId="7F638676" w14:textId="77777777" w:rsidR="00B01930" w:rsidRDefault="00B01930" w:rsidP="00B01930">
      <w:pPr>
        <w:pStyle w:val="Notedebasdepage"/>
      </w:pPr>
      <w:r>
        <w:rPr>
          <w:rStyle w:val="Appelnotedebasdep"/>
        </w:rPr>
        <w:footnoteRef/>
      </w:r>
      <w:r>
        <w:t xml:space="preserve"> </w:t>
      </w:r>
      <w:r>
        <w:tab/>
      </w:r>
      <w:r w:rsidRPr="0004576F">
        <w:rPr>
          <w:i/>
        </w:rPr>
        <w:t>Les Grilles</w:t>
      </w:r>
      <w:r w:rsidRPr="0004576F">
        <w:t xml:space="preserve">…, </w:t>
      </w:r>
      <w:r w:rsidRPr="0004576F">
        <w:rPr>
          <w:i/>
        </w:rPr>
        <w:t>op. cit.</w:t>
      </w:r>
      <w:r w:rsidRPr="0004576F">
        <w:t>, p. 381 et suiv.</w:t>
      </w:r>
    </w:p>
  </w:footnote>
  <w:footnote w:id="93">
    <w:p w14:paraId="282A5624" w14:textId="77777777" w:rsidR="00B01930" w:rsidRDefault="00B01930" w:rsidP="00B01930">
      <w:pPr>
        <w:pStyle w:val="Notedebasdepage"/>
      </w:pPr>
      <w:r>
        <w:rPr>
          <w:rStyle w:val="Appelnotedebasdep"/>
        </w:rPr>
        <w:footnoteRef/>
      </w:r>
      <w:r>
        <w:t xml:space="preserve"> </w:t>
      </w:r>
      <w:r>
        <w:tab/>
      </w:r>
      <w:r w:rsidRPr="0004576F">
        <w:t>Si on peut se permettre cette formule actuelle.</w:t>
      </w:r>
    </w:p>
  </w:footnote>
  <w:footnote w:id="94">
    <w:p w14:paraId="7B376948" w14:textId="77777777" w:rsidR="00B01930" w:rsidRDefault="00B01930" w:rsidP="00B01930">
      <w:pPr>
        <w:pStyle w:val="Notedebasdepage"/>
      </w:pPr>
      <w:r>
        <w:rPr>
          <w:rStyle w:val="Appelnotedebasdep"/>
        </w:rPr>
        <w:footnoteRef/>
      </w:r>
      <w:r>
        <w:t xml:space="preserve"> </w:t>
      </w:r>
      <w:r>
        <w:tab/>
      </w:r>
      <w:r w:rsidRPr="0004576F">
        <w:t>Les Grilles…, op. cit.</w:t>
      </w:r>
    </w:p>
  </w:footnote>
  <w:footnote w:id="95">
    <w:p w14:paraId="17CEF6EE" w14:textId="77777777" w:rsidR="00B01930" w:rsidRDefault="00B01930" w:rsidP="00B01930">
      <w:pPr>
        <w:pStyle w:val="Notedebasdepage"/>
      </w:pPr>
      <w:r>
        <w:rPr>
          <w:rStyle w:val="Appelnotedebasdep"/>
        </w:rPr>
        <w:footnoteRef/>
      </w:r>
      <w:r>
        <w:t xml:space="preserve"> </w:t>
      </w:r>
      <w:r>
        <w:tab/>
      </w:r>
      <w:r w:rsidRPr="0004576F">
        <w:t>Ibidem.</w:t>
      </w:r>
    </w:p>
  </w:footnote>
  <w:footnote w:id="96">
    <w:p w14:paraId="79E3C107" w14:textId="77777777" w:rsidR="00B01930" w:rsidRDefault="00B01930" w:rsidP="00B01930">
      <w:pPr>
        <w:pStyle w:val="Notedebasdepage"/>
      </w:pPr>
      <w:r>
        <w:rPr>
          <w:rStyle w:val="Appelnotedebasdep"/>
        </w:rPr>
        <w:footnoteRef/>
      </w:r>
      <w:r>
        <w:t xml:space="preserve"> </w:t>
      </w:r>
      <w:r>
        <w:tab/>
      </w:r>
      <w:r w:rsidRPr="0004576F">
        <w:t>Le contre-révolutionnaire Donoso Cortés ne s’y trompait pas en écrivant que l’école lib</w:t>
      </w:r>
      <w:r w:rsidRPr="0004576F">
        <w:t>é</w:t>
      </w:r>
      <w:r w:rsidRPr="0004576F">
        <w:t>rale nie le Mal et qu’elle explique le Bien et Le Mal par la diversité des formes gouvernementales qui toutes sont purement transitoires et éphém</w:t>
      </w:r>
      <w:r w:rsidRPr="0004576F">
        <w:t>è</w:t>
      </w:r>
      <w:r w:rsidRPr="0004576F">
        <w:t xml:space="preserve">res, </w:t>
      </w:r>
      <w:r w:rsidRPr="0004576F">
        <w:rPr>
          <w:i/>
        </w:rPr>
        <w:t>cf.</w:t>
      </w:r>
      <w:r w:rsidRPr="0004576F">
        <w:t xml:space="preserve"> </w:t>
      </w:r>
      <w:r w:rsidRPr="0004576F">
        <w:rPr>
          <w:i/>
        </w:rPr>
        <w:t>Essai sur le catholici</w:t>
      </w:r>
      <w:r w:rsidRPr="0004576F">
        <w:rPr>
          <w:i/>
        </w:rPr>
        <w:t>s</w:t>
      </w:r>
      <w:r w:rsidRPr="0004576F">
        <w:rPr>
          <w:i/>
        </w:rPr>
        <w:t>me</w:t>
      </w:r>
      <w:r w:rsidRPr="0004576F">
        <w:t xml:space="preserve">…, </w:t>
      </w:r>
      <w:r w:rsidRPr="0004576F">
        <w:rPr>
          <w:i/>
        </w:rPr>
        <w:t>op. cit.</w:t>
      </w:r>
      <w:r w:rsidRPr="0004576F">
        <w:t>, p. 223-227.</w:t>
      </w:r>
    </w:p>
  </w:footnote>
  <w:footnote w:id="97">
    <w:p w14:paraId="31712F11" w14:textId="77777777" w:rsidR="00B01930" w:rsidRDefault="00B01930" w:rsidP="00B01930">
      <w:pPr>
        <w:pStyle w:val="Notedebasdepage"/>
      </w:pPr>
      <w:r>
        <w:rPr>
          <w:rStyle w:val="Appelnotedebasdep"/>
        </w:rPr>
        <w:footnoteRef/>
      </w:r>
      <w:r>
        <w:t xml:space="preserve"> </w:t>
      </w:r>
      <w:r>
        <w:tab/>
      </w:r>
      <w:r w:rsidRPr="0004576F">
        <w:t>Jean-Louis Martres étudie Joseph Proudhon en France, mais on pourrait sign</w:t>
      </w:r>
      <w:r w:rsidRPr="0004576F">
        <w:t>a</w:t>
      </w:r>
      <w:r w:rsidRPr="0004576F">
        <w:t xml:space="preserve">ler aux États-Unis Lysander Spooner (1808-1887). On peut toutefois noter chez Proudhon, </w:t>
      </w:r>
      <w:r w:rsidRPr="0004576F">
        <w:rPr>
          <w:i/>
        </w:rPr>
        <w:t>a fo</w:t>
      </w:r>
      <w:r w:rsidRPr="0004576F">
        <w:rPr>
          <w:i/>
        </w:rPr>
        <w:t>r</w:t>
      </w:r>
      <w:r w:rsidRPr="0004576F">
        <w:rPr>
          <w:i/>
        </w:rPr>
        <w:t>tiori</w:t>
      </w:r>
      <w:r w:rsidRPr="0004576F">
        <w:t xml:space="preserve"> chez Bakounine une prégnance du code n° 1. Carl Schmitt, à propos de Bakounine, souligne que son antithèse radicale contre tout gouvernement fait qu’il d</w:t>
      </w:r>
      <w:r w:rsidRPr="0004576F">
        <w:t>e</w:t>
      </w:r>
      <w:r w:rsidRPr="0004576F">
        <w:t xml:space="preserve">vient, au plan théorique, une « théologie » et un dictateur de… l’antidictature, cf. Carl Schmitt, </w:t>
      </w:r>
      <w:r w:rsidRPr="0004576F">
        <w:rPr>
          <w:i/>
        </w:rPr>
        <w:t>La Vis</w:t>
      </w:r>
      <w:r w:rsidRPr="0004576F">
        <w:rPr>
          <w:i/>
        </w:rPr>
        <w:t>i</w:t>
      </w:r>
      <w:r w:rsidRPr="0004576F">
        <w:rPr>
          <w:i/>
        </w:rPr>
        <w:t>bilité de l’Église. Catholicisme romain</w:t>
      </w:r>
      <w:r w:rsidRPr="0004576F">
        <w:t xml:space="preserve"> </w:t>
      </w:r>
      <w:r w:rsidRPr="0004576F">
        <w:rPr>
          <w:i/>
        </w:rPr>
        <w:t xml:space="preserve">et forme politique, </w:t>
      </w:r>
      <w:r w:rsidRPr="0004576F">
        <w:t>Donoso Cortés, Paris, Cerf, 2011, p. 207.</w:t>
      </w:r>
    </w:p>
  </w:footnote>
  <w:footnote w:id="98">
    <w:p w14:paraId="5E276D06" w14:textId="77777777" w:rsidR="00B01930" w:rsidRDefault="00B01930" w:rsidP="00B01930">
      <w:pPr>
        <w:pStyle w:val="Notedebasdepage"/>
      </w:pPr>
      <w:r>
        <w:rPr>
          <w:rStyle w:val="Appelnotedebasdep"/>
        </w:rPr>
        <w:footnoteRef/>
      </w:r>
      <w:r>
        <w:t xml:space="preserve"> </w:t>
      </w:r>
      <w:r>
        <w:tab/>
      </w:r>
      <w:r w:rsidRPr="0004576F">
        <w:rPr>
          <w:i/>
        </w:rPr>
        <w:t>Les Grilles</w:t>
      </w:r>
      <w:r w:rsidRPr="0004576F">
        <w:t xml:space="preserve">…, </w:t>
      </w:r>
      <w:r w:rsidRPr="0004576F">
        <w:rPr>
          <w:i/>
        </w:rPr>
        <w:t>op. cit.</w:t>
      </w:r>
      <w:r w:rsidRPr="0004576F">
        <w:t>, p. 459 et suiv.</w:t>
      </w:r>
    </w:p>
  </w:footnote>
  <w:footnote w:id="99">
    <w:p w14:paraId="298E74D2" w14:textId="77777777" w:rsidR="00B01930" w:rsidRDefault="00B01930" w:rsidP="00B01930">
      <w:pPr>
        <w:pStyle w:val="Notedebasdepage"/>
      </w:pPr>
      <w:r>
        <w:rPr>
          <w:rStyle w:val="Appelnotedebasdep"/>
        </w:rPr>
        <w:footnoteRef/>
      </w:r>
      <w:r>
        <w:t xml:space="preserve"> </w:t>
      </w:r>
      <w:r>
        <w:tab/>
      </w:r>
      <w:r w:rsidRPr="0004576F">
        <w:t xml:space="preserve">Sur ce point, et seulement celui là, on pense à Carl Schmitt, </w:t>
      </w:r>
      <w:r w:rsidRPr="0004576F">
        <w:rPr>
          <w:i/>
        </w:rPr>
        <w:t>Théologie polit</w:t>
      </w:r>
      <w:r w:rsidRPr="0004576F">
        <w:rPr>
          <w:i/>
        </w:rPr>
        <w:t>i</w:t>
      </w:r>
      <w:r w:rsidRPr="0004576F">
        <w:rPr>
          <w:i/>
        </w:rPr>
        <w:t>que</w:t>
      </w:r>
      <w:r w:rsidRPr="0004576F">
        <w:t>, Paris, Gallimard, édition 1988. Pour le reste Jean-Louis Martres était aux antipodes du « </w:t>
      </w:r>
      <w:r w:rsidRPr="0004576F">
        <w:rPr>
          <w:i/>
        </w:rPr>
        <w:t>Kronjurist</w:t>
      </w:r>
      <w:r w:rsidRPr="0004576F">
        <w:t xml:space="preserve"> du III</w:t>
      </w:r>
      <w:r w:rsidRPr="0004576F">
        <w:rPr>
          <w:vertAlign w:val="superscript"/>
        </w:rPr>
        <w:t>e</w:t>
      </w:r>
      <w:r w:rsidRPr="0004576F">
        <w:t xml:space="preserve"> Reich allemand », tant sur le plan de l’éthique personnelle, que sur c</w:t>
      </w:r>
      <w:r w:rsidRPr="0004576F">
        <w:t>e</w:t>
      </w:r>
      <w:r w:rsidRPr="0004576F">
        <w:t>lui du rapport à la Science, à la recherche universitaire et des valeurs qui doivent y prés</w:t>
      </w:r>
      <w:r w:rsidRPr="0004576F">
        <w:t>i</w:t>
      </w:r>
      <w:r w:rsidRPr="0004576F">
        <w:t>der.</w:t>
      </w:r>
    </w:p>
  </w:footnote>
  <w:footnote w:id="100">
    <w:p w14:paraId="59245682" w14:textId="77777777" w:rsidR="00B01930" w:rsidRDefault="00B01930" w:rsidP="00B01930">
      <w:pPr>
        <w:pStyle w:val="Notedebasdepage"/>
      </w:pPr>
      <w:r>
        <w:rPr>
          <w:rStyle w:val="Appelnotedebasdep"/>
        </w:rPr>
        <w:footnoteRef/>
      </w:r>
      <w:r>
        <w:t xml:space="preserve"> </w:t>
      </w:r>
      <w:r>
        <w:tab/>
      </w:r>
      <w:r w:rsidRPr="0004576F">
        <w:t>Les Grilles…, op. cit.</w:t>
      </w:r>
    </w:p>
  </w:footnote>
  <w:footnote w:id="101">
    <w:p w14:paraId="6217983C" w14:textId="77777777" w:rsidR="00B01930" w:rsidRDefault="00B01930" w:rsidP="00B01930">
      <w:pPr>
        <w:pStyle w:val="Notedebasdepage"/>
      </w:pPr>
      <w:r>
        <w:rPr>
          <w:rStyle w:val="Appelnotedebasdep"/>
        </w:rPr>
        <w:footnoteRef/>
      </w:r>
      <w:r>
        <w:t xml:space="preserve"> </w:t>
      </w:r>
      <w:r>
        <w:tab/>
      </w:r>
      <w:r w:rsidRPr="0004576F">
        <w:rPr>
          <w:i/>
        </w:rPr>
        <w:t>Ibid.</w:t>
      </w:r>
      <w:r w:rsidRPr="0004576F">
        <w:t xml:space="preserve">, p. 529 ; </w:t>
      </w:r>
      <w:r w:rsidRPr="0004576F">
        <w:rPr>
          <w:i/>
        </w:rPr>
        <w:t>cf</w:t>
      </w:r>
      <w:r w:rsidRPr="0004576F">
        <w:t xml:space="preserve">. aussi, </w:t>
      </w:r>
      <w:r w:rsidRPr="0004576F">
        <w:rPr>
          <w:i/>
        </w:rPr>
        <w:t>infra</w:t>
      </w:r>
      <w:r w:rsidRPr="0004576F">
        <w:t>, II-3.</w:t>
      </w:r>
    </w:p>
  </w:footnote>
  <w:footnote w:id="102">
    <w:p w14:paraId="3E381BED" w14:textId="77777777" w:rsidR="00B01930" w:rsidRDefault="00B01930" w:rsidP="00B01930">
      <w:pPr>
        <w:pStyle w:val="Notedebasdepage"/>
      </w:pPr>
      <w:r>
        <w:rPr>
          <w:rStyle w:val="Appelnotedebasdep"/>
        </w:rPr>
        <w:footnoteRef/>
      </w:r>
      <w:r>
        <w:t xml:space="preserve"> </w:t>
      </w:r>
      <w:r>
        <w:tab/>
      </w:r>
      <w:r w:rsidRPr="0004576F">
        <w:rPr>
          <w:i/>
        </w:rPr>
        <w:t>Ibid.</w:t>
      </w:r>
      <w:r w:rsidRPr="0004576F">
        <w:t>, p. 495.</w:t>
      </w:r>
    </w:p>
  </w:footnote>
  <w:footnote w:id="103">
    <w:p w14:paraId="09941CAE" w14:textId="77777777" w:rsidR="00B01930" w:rsidRDefault="00B01930" w:rsidP="00B01930">
      <w:pPr>
        <w:pStyle w:val="Notedebasdepage"/>
      </w:pPr>
      <w:r>
        <w:rPr>
          <w:rStyle w:val="Appelnotedebasdep"/>
        </w:rPr>
        <w:footnoteRef/>
      </w:r>
      <w:r>
        <w:t xml:space="preserve"> </w:t>
      </w:r>
      <w:r>
        <w:tab/>
      </w:r>
      <w:r w:rsidRPr="0004576F">
        <w:t>Qui, toutes,  pouvons nous ajouter, promettent « le chang</w:t>
      </w:r>
      <w:r w:rsidRPr="0004576F">
        <w:t>e</w:t>
      </w:r>
      <w:r w:rsidRPr="0004576F">
        <w:t>ment », devenu fin soi, forme dégradée de la pr</w:t>
      </w:r>
      <w:r w:rsidRPr="0004576F">
        <w:t>o</w:t>
      </w:r>
      <w:r w:rsidRPr="0004576F">
        <w:t>messe du Paradis, du Progrès pour lui-même, sans but ni contenu, tant en politique que dans les organisations publiques ou privées.</w:t>
      </w:r>
    </w:p>
  </w:footnote>
  <w:footnote w:id="104">
    <w:p w14:paraId="121D00ED" w14:textId="77777777" w:rsidR="00B01930" w:rsidRDefault="00B01930" w:rsidP="00B01930">
      <w:pPr>
        <w:pStyle w:val="Notedebasdepage"/>
      </w:pPr>
      <w:r>
        <w:rPr>
          <w:rStyle w:val="Appelnotedebasdep"/>
        </w:rPr>
        <w:footnoteRef/>
      </w:r>
      <w:r>
        <w:t xml:space="preserve"> </w:t>
      </w:r>
      <w:r>
        <w:tab/>
      </w:r>
      <w:r w:rsidRPr="0004576F">
        <w:rPr>
          <w:i/>
        </w:rPr>
        <w:t>Cf</w:t>
      </w:r>
      <w:r w:rsidRPr="0004576F">
        <w:t xml:space="preserve">. Platon, </w:t>
      </w:r>
      <w:r w:rsidRPr="0004576F">
        <w:rPr>
          <w:i/>
        </w:rPr>
        <w:t>Gorgias</w:t>
      </w:r>
      <w:r w:rsidRPr="0004576F">
        <w:t>, trad. et notes, E. Chambéry, Paris, Garnier-Flammarion, 1969.</w:t>
      </w:r>
    </w:p>
  </w:footnote>
  <w:footnote w:id="105">
    <w:p w14:paraId="7DB94309" w14:textId="77777777" w:rsidR="00B01930" w:rsidRDefault="00B01930" w:rsidP="00B01930">
      <w:pPr>
        <w:pStyle w:val="Notedebasdepage"/>
      </w:pPr>
      <w:r>
        <w:rPr>
          <w:rStyle w:val="Appelnotedebasdep"/>
        </w:rPr>
        <w:footnoteRef/>
      </w:r>
      <w:r>
        <w:t xml:space="preserve"> </w:t>
      </w:r>
      <w:r>
        <w:tab/>
      </w:r>
      <w:r w:rsidRPr="0004576F">
        <w:t xml:space="preserve">Cf. Platon, </w:t>
      </w:r>
      <w:hyperlink r:id="rId4" w:history="1">
        <w:r w:rsidRPr="002E130C">
          <w:rPr>
            <w:rStyle w:val="Hyperlien"/>
            <w:i/>
          </w:rPr>
          <w:t>La République</w:t>
        </w:r>
      </w:hyperlink>
      <w:r w:rsidRPr="0004576F">
        <w:t>, trad. et notes, R. Baccou, Paris, Ga</w:t>
      </w:r>
      <w:r w:rsidRPr="0004576F">
        <w:t>r</w:t>
      </w:r>
      <w:r w:rsidRPr="0004576F">
        <w:t>nier-Flammarion, 1966.</w:t>
      </w:r>
    </w:p>
  </w:footnote>
  <w:footnote w:id="106">
    <w:p w14:paraId="474DA04A" w14:textId="77777777" w:rsidR="00B01930" w:rsidRDefault="00B01930" w:rsidP="00B01930">
      <w:pPr>
        <w:pStyle w:val="Notedebasdepage"/>
      </w:pPr>
      <w:r>
        <w:rPr>
          <w:rStyle w:val="Appelnotedebasdep"/>
        </w:rPr>
        <w:footnoteRef/>
      </w:r>
      <w:r>
        <w:t xml:space="preserve"> </w:t>
      </w:r>
      <w:r>
        <w:tab/>
      </w:r>
      <w:r w:rsidRPr="0004576F">
        <w:t>Selon Leo Strauss (1899-1973).</w:t>
      </w:r>
    </w:p>
  </w:footnote>
  <w:footnote w:id="107">
    <w:p w14:paraId="080AFFA4" w14:textId="77777777" w:rsidR="00B01930" w:rsidRDefault="00B01930" w:rsidP="00B01930">
      <w:pPr>
        <w:pStyle w:val="Notedebasdepage"/>
      </w:pPr>
      <w:r>
        <w:rPr>
          <w:rStyle w:val="Appelnotedebasdep"/>
        </w:rPr>
        <w:footnoteRef/>
      </w:r>
      <w:r>
        <w:t xml:space="preserve"> </w:t>
      </w:r>
      <w:r>
        <w:tab/>
      </w:r>
      <w:r w:rsidRPr="0004576F">
        <w:t xml:space="preserve">Jean-Louis  Martres, </w:t>
      </w:r>
      <w:r w:rsidRPr="0004576F">
        <w:rPr>
          <w:i/>
        </w:rPr>
        <w:t>Les Grilles</w:t>
      </w:r>
      <w:r w:rsidRPr="0004576F">
        <w:t xml:space="preserve">…, </w:t>
      </w:r>
      <w:r w:rsidRPr="0004576F">
        <w:rPr>
          <w:i/>
        </w:rPr>
        <w:t>op. cit.</w:t>
      </w:r>
      <w:r w:rsidRPr="0004576F">
        <w:t>, p. 410.</w:t>
      </w:r>
    </w:p>
  </w:footnote>
  <w:footnote w:id="108">
    <w:p w14:paraId="28FDF85E" w14:textId="77777777" w:rsidR="00B01930" w:rsidRDefault="00B01930" w:rsidP="00B01930">
      <w:pPr>
        <w:pStyle w:val="Notedebasdepage"/>
      </w:pPr>
      <w:r>
        <w:rPr>
          <w:rStyle w:val="Appelnotedebasdep"/>
        </w:rPr>
        <w:footnoteRef/>
      </w:r>
      <w:r>
        <w:t xml:space="preserve"> </w:t>
      </w:r>
      <w:r>
        <w:tab/>
      </w:r>
      <w:r w:rsidRPr="0004576F">
        <w:t>Nicolas Tenzer, Pour une nouvelle philosophie politique, Paris, P</w:t>
      </w:r>
      <w:r w:rsidRPr="0004576F">
        <w:rPr>
          <w:smallCaps/>
        </w:rPr>
        <w:t>uf</w:t>
      </w:r>
      <w:r w:rsidRPr="0004576F">
        <w:t>, 2007.</w:t>
      </w:r>
    </w:p>
  </w:footnote>
  <w:footnote w:id="109">
    <w:p w14:paraId="322DF40F" w14:textId="77777777" w:rsidR="00B01930" w:rsidRDefault="00B01930" w:rsidP="00B01930">
      <w:pPr>
        <w:pStyle w:val="Notedebasdepage"/>
      </w:pPr>
      <w:r>
        <w:rPr>
          <w:rStyle w:val="Appelnotedebasdep"/>
        </w:rPr>
        <w:footnoteRef/>
      </w:r>
      <w:r>
        <w:t xml:space="preserve"> </w:t>
      </w:r>
      <w:r>
        <w:tab/>
      </w:r>
      <w:r w:rsidRPr="0004576F">
        <w:t xml:space="preserve">Julien Freund, </w:t>
      </w:r>
      <w:r w:rsidRPr="0004576F">
        <w:rPr>
          <w:i/>
        </w:rPr>
        <w:t>Qu’est ce que la politique ?</w:t>
      </w:r>
      <w:r w:rsidRPr="0004576F">
        <w:t>, Paris, Seuil, col. Points, 1967, p. 18.</w:t>
      </w:r>
    </w:p>
  </w:footnote>
  <w:footnote w:id="110">
    <w:p w14:paraId="27F8A8FC" w14:textId="77777777" w:rsidR="00B01930" w:rsidRDefault="00B01930" w:rsidP="00B01930">
      <w:pPr>
        <w:pStyle w:val="Notedebasdepage"/>
      </w:pPr>
      <w:r>
        <w:rPr>
          <w:rStyle w:val="Appelnotedebasdep"/>
        </w:rPr>
        <w:footnoteRef/>
      </w:r>
      <w:r>
        <w:t xml:space="preserve"> </w:t>
      </w:r>
      <w:r>
        <w:tab/>
      </w:r>
      <w:r w:rsidRPr="0004576F">
        <w:rPr>
          <w:i/>
        </w:rPr>
        <w:t>Ibid.</w:t>
      </w:r>
      <w:r w:rsidRPr="0004576F">
        <w:t>, p. 19.</w:t>
      </w:r>
    </w:p>
  </w:footnote>
  <w:footnote w:id="111">
    <w:p w14:paraId="0977949B" w14:textId="77777777" w:rsidR="00B01930" w:rsidRDefault="00B01930" w:rsidP="00B01930">
      <w:pPr>
        <w:pStyle w:val="Notedebasdepage"/>
      </w:pPr>
      <w:r>
        <w:rPr>
          <w:rStyle w:val="Appelnotedebasdep"/>
        </w:rPr>
        <w:footnoteRef/>
      </w:r>
      <w:r>
        <w:t xml:space="preserve"> </w:t>
      </w:r>
      <w:r>
        <w:tab/>
      </w:r>
      <w:r w:rsidRPr="0004576F">
        <w:t xml:space="preserve">Dans un livre d’une grande richesse, y compris d’écriture, </w:t>
      </w:r>
      <w:hyperlink r:id="rId5" w:history="1">
        <w:r w:rsidRPr="002E130C">
          <w:rPr>
            <w:rStyle w:val="Hyperlien"/>
            <w:i/>
          </w:rPr>
          <w:t>Machiavel, un pe</w:t>
        </w:r>
        <w:r w:rsidRPr="002E130C">
          <w:rPr>
            <w:rStyle w:val="Hyperlien"/>
            <w:i/>
          </w:rPr>
          <w:t>n</w:t>
        </w:r>
        <w:r w:rsidRPr="002E130C">
          <w:rPr>
            <w:rStyle w:val="Hyperlien"/>
            <w:i/>
          </w:rPr>
          <w:t>seur masqué ?</w:t>
        </w:r>
      </w:hyperlink>
      <w:r w:rsidRPr="0004576F">
        <w:t>, Paris, éd. Complexe, 2000, consu</w:t>
      </w:r>
      <w:r w:rsidRPr="0004576F">
        <w:t>l</w:t>
      </w:r>
      <w:r w:rsidRPr="0004576F">
        <w:t xml:space="preserve">table gratuitement sur </w:t>
      </w:r>
      <w:r>
        <w:t>le site Les Classiques des sciences sociales.</w:t>
      </w:r>
    </w:p>
  </w:footnote>
  <w:footnote w:id="112">
    <w:p w14:paraId="4B8CB59B" w14:textId="77777777" w:rsidR="00B01930" w:rsidRDefault="00B01930" w:rsidP="00B01930">
      <w:pPr>
        <w:pStyle w:val="Notedebasdepage"/>
      </w:pPr>
      <w:r>
        <w:rPr>
          <w:rStyle w:val="Appelnotedebasdep"/>
        </w:rPr>
        <w:footnoteRef/>
      </w:r>
      <w:r>
        <w:t xml:space="preserve"> </w:t>
      </w:r>
      <w:r>
        <w:tab/>
      </w:r>
      <w:r w:rsidRPr="0004576F">
        <w:t>D’où le scandale, autre trait du code n° 1, mais celui-ci ne se produira qu’après la mort de Machiavel, dans le cadre des conflits politiques qui s</w:t>
      </w:r>
      <w:r w:rsidRPr="0004576F">
        <w:t>e</w:t>
      </w:r>
      <w:r w:rsidRPr="0004576F">
        <w:t>couent l’Europe. Son nom sera i</w:t>
      </w:r>
      <w:r w:rsidRPr="0004576F">
        <w:t>n</w:t>
      </w:r>
      <w:r w:rsidRPr="0004576F">
        <w:t>voqué pour disqualifier moralement l’ennemi ou l’adversaire.</w:t>
      </w:r>
    </w:p>
  </w:footnote>
  <w:footnote w:id="113">
    <w:p w14:paraId="701FD718" w14:textId="77777777" w:rsidR="00B01930" w:rsidRDefault="00B01930" w:rsidP="00B01930">
      <w:pPr>
        <w:pStyle w:val="Notedebasdepage"/>
      </w:pPr>
      <w:r>
        <w:rPr>
          <w:rStyle w:val="Appelnotedebasdep"/>
        </w:rPr>
        <w:footnoteRef/>
      </w:r>
      <w:r>
        <w:t xml:space="preserve"> </w:t>
      </w:r>
      <w:r>
        <w:tab/>
      </w:r>
      <w:r w:rsidRPr="0004576F">
        <w:t xml:space="preserve">Propos empruntés à Claude Lefort, </w:t>
      </w:r>
      <w:r w:rsidRPr="0004576F">
        <w:rPr>
          <w:i/>
        </w:rPr>
        <w:t>Machiavel…,</w:t>
      </w:r>
      <w:r w:rsidRPr="0004576F">
        <w:t xml:space="preserve"> </w:t>
      </w:r>
      <w:r w:rsidRPr="0004576F">
        <w:rPr>
          <w:i/>
        </w:rPr>
        <w:t>op. cit.</w:t>
      </w:r>
    </w:p>
  </w:footnote>
  <w:footnote w:id="114">
    <w:p w14:paraId="108BA11E" w14:textId="77777777" w:rsidR="00B01930" w:rsidRDefault="00B01930" w:rsidP="00B01930">
      <w:pPr>
        <w:pStyle w:val="Notedebasdepage"/>
      </w:pPr>
      <w:r>
        <w:rPr>
          <w:rStyle w:val="Appelnotedebasdep"/>
        </w:rPr>
        <w:footnoteRef/>
      </w:r>
      <w:r>
        <w:t xml:space="preserve"> </w:t>
      </w:r>
      <w:r>
        <w:tab/>
      </w:r>
      <w:r w:rsidRPr="0004576F">
        <w:t>Ibid.</w:t>
      </w:r>
    </w:p>
  </w:footnote>
  <w:footnote w:id="115">
    <w:p w14:paraId="57B0B6DE" w14:textId="77777777" w:rsidR="00B01930" w:rsidRDefault="00B01930" w:rsidP="00B01930">
      <w:pPr>
        <w:pStyle w:val="Notedebasdepage"/>
      </w:pPr>
      <w:r>
        <w:rPr>
          <w:rStyle w:val="Appelnotedebasdep"/>
        </w:rPr>
        <w:footnoteRef/>
      </w:r>
      <w:r>
        <w:t xml:space="preserve"> </w:t>
      </w:r>
      <w:r>
        <w:tab/>
      </w:r>
      <w:r w:rsidRPr="0004576F">
        <w:t>Sans oublier le succès des films et séries télévisées qui ont pour sujet le côté « obscur » du pouvoir, sur les turpitudes des gouvernants, comme si cela se</w:t>
      </w:r>
      <w:r w:rsidRPr="0004576F">
        <w:t>r</w:t>
      </w:r>
      <w:r w:rsidRPr="0004576F">
        <w:t>vait de « vaccin », et servait à conforter  la croyance en un possible « bon » Prince…</w:t>
      </w:r>
    </w:p>
  </w:footnote>
  <w:footnote w:id="116">
    <w:p w14:paraId="31643A9E" w14:textId="77777777" w:rsidR="00B01930" w:rsidRDefault="00B01930" w:rsidP="00B01930">
      <w:pPr>
        <w:pStyle w:val="Notedebasdepage"/>
      </w:pPr>
      <w:r>
        <w:rPr>
          <w:rStyle w:val="Appelnotedebasdep"/>
        </w:rPr>
        <w:footnoteRef/>
      </w:r>
      <w:r>
        <w:t xml:space="preserve"> </w:t>
      </w:r>
      <w:r>
        <w:tab/>
      </w:r>
      <w:r w:rsidRPr="0004576F">
        <w:t xml:space="preserve">Par exemples, Baltasar Gracián (1601-1658), </w:t>
      </w:r>
      <w:r w:rsidRPr="0004576F">
        <w:rPr>
          <w:i/>
        </w:rPr>
        <w:t>L’Homme de cour</w:t>
      </w:r>
      <w:r w:rsidRPr="0004576F">
        <w:t xml:space="preserve">, Paris, éd. Champ libre, 1972; Gabriel Naudé (1600-1653), </w:t>
      </w:r>
      <w:r w:rsidRPr="0004576F">
        <w:rPr>
          <w:i/>
        </w:rPr>
        <w:t>Considér</w:t>
      </w:r>
      <w:r w:rsidRPr="0004576F">
        <w:rPr>
          <w:i/>
        </w:rPr>
        <w:t>a</w:t>
      </w:r>
      <w:r w:rsidRPr="0004576F">
        <w:rPr>
          <w:i/>
        </w:rPr>
        <w:t>tions sur les coups d’États</w:t>
      </w:r>
      <w:r w:rsidRPr="0004576F">
        <w:t xml:space="preserve">, Paris, éd. Le Promeneur, 2004 ; Bernard Mandeville (1705-1714), </w:t>
      </w:r>
      <w:r w:rsidRPr="0004576F">
        <w:rPr>
          <w:i/>
        </w:rPr>
        <w:t>La Fable des abeilles</w:t>
      </w:r>
      <w:r w:rsidRPr="0004576F">
        <w:t>, Paris, Vrin, 1998.</w:t>
      </w:r>
    </w:p>
  </w:footnote>
  <w:footnote w:id="117">
    <w:p w14:paraId="6D297C50" w14:textId="77777777" w:rsidR="00B01930" w:rsidRDefault="00B01930" w:rsidP="00B01930">
      <w:pPr>
        <w:pStyle w:val="Notedebasdepage"/>
      </w:pPr>
      <w:r>
        <w:rPr>
          <w:rStyle w:val="Appelnotedebasdep"/>
        </w:rPr>
        <w:footnoteRef/>
      </w:r>
      <w:r>
        <w:t xml:space="preserve"> </w:t>
      </w:r>
      <w:r>
        <w:tab/>
      </w:r>
      <w:r w:rsidRPr="0004576F">
        <w:t>Vraisemblablement écrit aux environs du IV</w:t>
      </w:r>
      <w:r w:rsidRPr="0004576F">
        <w:rPr>
          <w:vertAlign w:val="superscript"/>
        </w:rPr>
        <w:t xml:space="preserve">e </w:t>
      </w:r>
      <w:r w:rsidRPr="0004576F">
        <w:t xml:space="preserve"> siècle av. J.-C., P</w:t>
      </w:r>
      <w:r w:rsidRPr="0004576F">
        <w:t>a</w:t>
      </w:r>
      <w:r w:rsidRPr="0004576F">
        <w:t>ris, Marcel Rivière et C</w:t>
      </w:r>
      <w:r w:rsidRPr="0004576F">
        <w:rPr>
          <w:vertAlign w:val="superscript"/>
        </w:rPr>
        <w:t>ie</w:t>
      </w:r>
      <w:r w:rsidRPr="0004576F">
        <w:t>, 1971.</w:t>
      </w:r>
    </w:p>
  </w:footnote>
  <w:footnote w:id="118">
    <w:p w14:paraId="6B92FCC0" w14:textId="77777777" w:rsidR="00B01930" w:rsidRDefault="00B01930" w:rsidP="00B01930">
      <w:pPr>
        <w:pStyle w:val="Notedebasdepage"/>
      </w:pPr>
      <w:r>
        <w:rPr>
          <w:rStyle w:val="Appelnotedebasdep"/>
        </w:rPr>
        <w:footnoteRef/>
      </w:r>
      <w:r>
        <w:t xml:space="preserve"> </w:t>
      </w:r>
      <w:r>
        <w:tab/>
      </w:r>
      <w:r w:rsidRPr="0004576F">
        <w:t>Le vocabulaire lui-même n’autorise pas de traduction littérale ou de compr</w:t>
      </w:r>
      <w:r w:rsidRPr="0004576F">
        <w:t>é</w:t>
      </w:r>
      <w:r w:rsidRPr="0004576F">
        <w:t>hension immédiate sous peine de perdre tout sens, toute i</w:t>
      </w:r>
      <w:r w:rsidRPr="0004576F">
        <w:t>n</w:t>
      </w:r>
      <w:r w:rsidRPr="0004576F">
        <w:t>telligibilité, l’adage italien « </w:t>
      </w:r>
      <w:r w:rsidRPr="0004576F">
        <w:rPr>
          <w:i/>
        </w:rPr>
        <w:t>traduttore, traditore </w:t>
      </w:r>
      <w:r w:rsidRPr="0004576F">
        <w:t>» s’applique ple</w:t>
      </w:r>
      <w:r w:rsidRPr="0004576F">
        <w:t>i</w:t>
      </w:r>
      <w:r w:rsidRPr="0004576F">
        <w:t>nement si on ne prend pas d’extrêmes précautions.</w:t>
      </w:r>
    </w:p>
  </w:footnote>
  <w:footnote w:id="119">
    <w:p w14:paraId="00F73CFA" w14:textId="77777777" w:rsidR="00B01930" w:rsidRDefault="00B01930" w:rsidP="00B01930">
      <w:pPr>
        <w:pStyle w:val="Notedebasdepage"/>
      </w:pPr>
      <w:r>
        <w:rPr>
          <w:rStyle w:val="Appelnotedebasdep"/>
        </w:rPr>
        <w:footnoteRef/>
      </w:r>
      <w:r>
        <w:t xml:space="preserve"> </w:t>
      </w:r>
      <w:r>
        <w:tab/>
      </w:r>
      <w:r w:rsidRPr="0004576F">
        <w:t xml:space="preserve">Anne Cheng, </w:t>
      </w:r>
      <w:r w:rsidRPr="0004576F">
        <w:rPr>
          <w:i/>
        </w:rPr>
        <w:t>Histoire de la pensée chinoise</w:t>
      </w:r>
      <w:r w:rsidRPr="0004576F">
        <w:t>, Paris, Le Seuil, col. « Points », 1992, p. 80.</w:t>
      </w:r>
    </w:p>
  </w:footnote>
  <w:footnote w:id="120">
    <w:p w14:paraId="27EAF39A" w14:textId="77777777" w:rsidR="00B01930" w:rsidRDefault="00B01930" w:rsidP="00B01930">
      <w:pPr>
        <w:pStyle w:val="Notedebasdepage"/>
      </w:pPr>
      <w:r>
        <w:rPr>
          <w:rStyle w:val="Appelnotedebasdep"/>
        </w:rPr>
        <w:footnoteRef/>
      </w:r>
      <w:r>
        <w:t xml:space="preserve"> </w:t>
      </w:r>
      <w:r>
        <w:tab/>
      </w:r>
      <w:r w:rsidRPr="0004576F">
        <w:t xml:space="preserve">André Chieng, </w:t>
      </w:r>
      <w:r w:rsidRPr="0004576F">
        <w:rPr>
          <w:i/>
        </w:rPr>
        <w:t>La Pratique de la Chine en compagnie de François Jullien</w:t>
      </w:r>
      <w:r w:rsidRPr="0004576F">
        <w:t>, P</w:t>
      </w:r>
      <w:r w:rsidRPr="0004576F">
        <w:t>a</w:t>
      </w:r>
      <w:r w:rsidRPr="0004576F">
        <w:t xml:space="preserve">ris, Grasset, 2006, p. 103. Cf. aussi Nicolas Martin et Antoine Spire, </w:t>
      </w:r>
      <w:r w:rsidRPr="0004576F">
        <w:rPr>
          <w:i/>
        </w:rPr>
        <w:t>La Dissidence de François Ju</w:t>
      </w:r>
      <w:r w:rsidRPr="0004576F">
        <w:rPr>
          <w:i/>
        </w:rPr>
        <w:t>l</w:t>
      </w:r>
      <w:r w:rsidRPr="0004576F">
        <w:rPr>
          <w:i/>
        </w:rPr>
        <w:t>lien</w:t>
      </w:r>
      <w:r w:rsidRPr="0004576F">
        <w:t>, Paris, Seuil, 2011, p. 129.</w:t>
      </w:r>
    </w:p>
  </w:footnote>
  <w:footnote w:id="121">
    <w:p w14:paraId="7B9017EF" w14:textId="77777777" w:rsidR="00B01930" w:rsidRDefault="00B01930" w:rsidP="00B01930">
      <w:pPr>
        <w:pStyle w:val="Notedebasdepage"/>
      </w:pPr>
      <w:r>
        <w:rPr>
          <w:rStyle w:val="Appelnotedebasdep"/>
        </w:rPr>
        <w:footnoteRef/>
      </w:r>
      <w:r>
        <w:t xml:space="preserve"> </w:t>
      </w:r>
      <w:r>
        <w:tab/>
      </w:r>
      <w:r w:rsidRPr="0004576F">
        <w:t xml:space="preserve">Anne Cheng, </w:t>
      </w:r>
      <w:r w:rsidRPr="0004576F">
        <w:rPr>
          <w:i/>
        </w:rPr>
        <w:t>op. cit.</w:t>
      </w:r>
      <w:r w:rsidRPr="0004576F">
        <w:t>, p. 61.</w:t>
      </w:r>
    </w:p>
  </w:footnote>
  <w:footnote w:id="122">
    <w:p w14:paraId="61F331FB" w14:textId="77777777" w:rsidR="00B01930" w:rsidRDefault="00B01930" w:rsidP="00B01930">
      <w:pPr>
        <w:pStyle w:val="Notedebasdepage"/>
      </w:pPr>
      <w:r>
        <w:rPr>
          <w:rStyle w:val="Appelnotedebasdep"/>
        </w:rPr>
        <w:footnoteRef/>
      </w:r>
      <w:r>
        <w:t xml:space="preserve"> </w:t>
      </w:r>
      <w:r>
        <w:tab/>
      </w:r>
      <w:r w:rsidRPr="0004576F">
        <w:rPr>
          <w:i/>
        </w:rPr>
        <w:t>Ibid.</w:t>
      </w:r>
      <w:r w:rsidRPr="0004576F">
        <w:t>, p. 63-65.</w:t>
      </w:r>
    </w:p>
  </w:footnote>
  <w:footnote w:id="123">
    <w:p w14:paraId="49D1600C" w14:textId="77777777" w:rsidR="00B01930" w:rsidRDefault="00B01930" w:rsidP="00B01930">
      <w:pPr>
        <w:pStyle w:val="Notedebasdepage"/>
      </w:pPr>
      <w:r>
        <w:rPr>
          <w:rStyle w:val="Appelnotedebasdep"/>
        </w:rPr>
        <w:footnoteRef/>
      </w:r>
      <w:r>
        <w:t xml:space="preserve"> </w:t>
      </w:r>
      <w:r>
        <w:tab/>
      </w:r>
      <w:r w:rsidRPr="0004576F">
        <w:t xml:space="preserve">François Jullien, </w:t>
      </w:r>
      <w:r w:rsidRPr="0004576F">
        <w:rPr>
          <w:i/>
        </w:rPr>
        <w:t>La Propension des choses</w:t>
      </w:r>
      <w:r w:rsidRPr="0004576F">
        <w:t>, Paris, Le Seuil, éd.1992. Il est p</w:t>
      </w:r>
      <w:r w:rsidRPr="0004576F">
        <w:t>i</w:t>
      </w:r>
      <w:r w:rsidRPr="0004576F">
        <w:t>quant de savoir que Joseph Needham « grand prêtre » de l’histoire des sciences chinoises, était très loin de la pensée chino</w:t>
      </w:r>
      <w:r w:rsidRPr="0004576F">
        <w:t>i</w:t>
      </w:r>
      <w:r w:rsidRPr="0004576F">
        <w:t>se ; communiste, ami et adulateur de Mao Ze Dong jusqu’au bout, lequel était au plan des idées polit</w:t>
      </w:r>
      <w:r w:rsidRPr="0004576F">
        <w:t>i</w:t>
      </w:r>
      <w:r w:rsidRPr="0004576F">
        <w:t>ques selon la classification martrie</w:t>
      </w:r>
      <w:r w:rsidRPr="0004576F">
        <w:t>n</w:t>
      </w:r>
      <w:r w:rsidRPr="0004576F">
        <w:t>ne, le prototype de « l’Illuminé » du code n° 1…, voir la revue</w:t>
      </w:r>
      <w:r w:rsidRPr="0004576F">
        <w:rPr>
          <w:i/>
        </w:rPr>
        <w:t xml:space="preserve"> Fusion</w:t>
      </w:r>
      <w:r w:rsidRPr="0004576F">
        <w:t>, n° 54, janvier-février 1995 « La perversion taoï</w:t>
      </w:r>
      <w:r w:rsidRPr="0004576F">
        <w:t>s</w:t>
      </w:r>
      <w:r w:rsidRPr="0004576F">
        <w:t>te de la Science du XX</w:t>
      </w:r>
      <w:r w:rsidRPr="0004576F">
        <w:rPr>
          <w:vertAlign w:val="superscript"/>
        </w:rPr>
        <w:t xml:space="preserve">e </w:t>
      </w:r>
      <w:r w:rsidRPr="0004576F">
        <w:t xml:space="preserve">siècle » – revue elle-même discutable, sur plusieurs points. On peut aussi se reporter à la revue </w:t>
      </w:r>
      <w:r w:rsidRPr="0004576F">
        <w:rPr>
          <w:i/>
        </w:rPr>
        <w:t>Sciences humaines</w:t>
      </w:r>
      <w:r w:rsidRPr="0004576F">
        <w:t>, n° 118, juillet 2001, « La pensée orientale, une invention de l’Occident ?</w:t>
      </w:r>
      <w:r w:rsidRPr="0004576F">
        <w:rPr>
          <w:i/>
        </w:rPr>
        <w:t> </w:t>
      </w:r>
      <w:r w:rsidRPr="0004576F">
        <w:t>».</w:t>
      </w:r>
    </w:p>
  </w:footnote>
  <w:footnote w:id="124">
    <w:p w14:paraId="005E7B7D" w14:textId="77777777" w:rsidR="00B01930" w:rsidRDefault="00B01930" w:rsidP="00B01930">
      <w:pPr>
        <w:pStyle w:val="Notedebasdepage"/>
      </w:pPr>
      <w:r>
        <w:rPr>
          <w:rStyle w:val="Appelnotedebasdep"/>
        </w:rPr>
        <w:footnoteRef/>
      </w:r>
      <w:r>
        <w:t xml:space="preserve"> </w:t>
      </w:r>
      <w:r>
        <w:tab/>
      </w:r>
      <w:r w:rsidRPr="0004576F">
        <w:t xml:space="preserve">Olivier Weber, </w:t>
      </w:r>
      <w:r w:rsidRPr="0004576F">
        <w:rPr>
          <w:i/>
        </w:rPr>
        <w:t>Lucien Bodard</w:t>
      </w:r>
      <w:r w:rsidRPr="0004576F">
        <w:t>, Paris, Plon, 1997, p. 125 ; Lucien Bodard né à Chongqing en 1914 vécut en Chine toute la période tro</w:t>
      </w:r>
      <w:r w:rsidRPr="0004576F">
        <w:t>u</w:t>
      </w:r>
      <w:r w:rsidRPr="0004576F">
        <w:t>ble des années 1920 à 1940.</w:t>
      </w:r>
    </w:p>
  </w:footnote>
  <w:footnote w:id="125">
    <w:p w14:paraId="43B416B1" w14:textId="77777777" w:rsidR="00B01930" w:rsidRDefault="00B01930" w:rsidP="00B01930">
      <w:pPr>
        <w:pStyle w:val="Notedebasdepage"/>
      </w:pPr>
      <w:r>
        <w:rPr>
          <w:rStyle w:val="Appelnotedebasdep"/>
        </w:rPr>
        <w:footnoteRef/>
      </w:r>
      <w:r>
        <w:t xml:space="preserve"> </w:t>
      </w:r>
      <w:r>
        <w:tab/>
      </w:r>
      <w:r w:rsidRPr="0004576F">
        <w:t xml:space="preserve">Anne Cheng, </w:t>
      </w:r>
      <w:r w:rsidRPr="0004576F">
        <w:rPr>
          <w:i/>
        </w:rPr>
        <w:t>op. cit.</w:t>
      </w:r>
      <w:r w:rsidRPr="0004576F">
        <w:t>, p. 94 et suiv.</w:t>
      </w:r>
    </w:p>
  </w:footnote>
  <w:footnote w:id="126">
    <w:p w14:paraId="6ED76B8D" w14:textId="77777777" w:rsidR="00B01930" w:rsidRDefault="00B01930" w:rsidP="00B01930">
      <w:pPr>
        <w:pStyle w:val="Notedebasdepage"/>
      </w:pPr>
      <w:r>
        <w:rPr>
          <w:rStyle w:val="Appelnotedebasdep"/>
        </w:rPr>
        <w:footnoteRef/>
      </w:r>
      <w:r>
        <w:t xml:space="preserve"> </w:t>
      </w:r>
      <w:r>
        <w:tab/>
      </w:r>
      <w:r w:rsidRPr="0004576F">
        <w:t xml:space="preserve">David Landes, </w:t>
      </w:r>
      <w:r w:rsidRPr="0004576F">
        <w:rPr>
          <w:i/>
        </w:rPr>
        <w:t>Richesse et pauvreté de nations</w:t>
      </w:r>
      <w:r w:rsidRPr="0004576F">
        <w:t>, Paris, Albin M</w:t>
      </w:r>
      <w:r w:rsidRPr="0004576F">
        <w:t>i</w:t>
      </w:r>
      <w:r w:rsidRPr="0004576F">
        <w:t>chel, 2000, p. 448.</w:t>
      </w:r>
    </w:p>
  </w:footnote>
  <w:footnote w:id="127">
    <w:p w14:paraId="5945F3FC" w14:textId="77777777" w:rsidR="00B01930" w:rsidRDefault="00B01930" w:rsidP="00B01930">
      <w:pPr>
        <w:pStyle w:val="Notedebasdepage"/>
      </w:pPr>
      <w:r>
        <w:rPr>
          <w:rStyle w:val="Appelnotedebasdep"/>
        </w:rPr>
        <w:footnoteRef/>
      </w:r>
      <w:r>
        <w:t xml:space="preserve"> </w:t>
      </w:r>
      <w:r>
        <w:tab/>
      </w:r>
      <w:r w:rsidRPr="0004576F">
        <w:t xml:space="preserve">Jean Lévi, </w:t>
      </w:r>
      <w:r w:rsidRPr="0004576F">
        <w:rPr>
          <w:i/>
        </w:rPr>
        <w:t>Les Fonctionnaires divins</w:t>
      </w:r>
      <w:r w:rsidRPr="0004576F">
        <w:t>, Paris, Le Seuil, 1989.</w:t>
      </w:r>
    </w:p>
  </w:footnote>
  <w:footnote w:id="128">
    <w:p w14:paraId="6BADFCCF" w14:textId="77777777" w:rsidR="00B01930" w:rsidRDefault="00B01930" w:rsidP="00B01930">
      <w:pPr>
        <w:pStyle w:val="Notedebasdepage"/>
      </w:pPr>
      <w:r>
        <w:rPr>
          <w:rStyle w:val="Appelnotedebasdep"/>
        </w:rPr>
        <w:footnoteRef/>
      </w:r>
      <w:r>
        <w:t xml:space="preserve"> </w:t>
      </w:r>
      <w:r>
        <w:tab/>
      </w:r>
      <w:r w:rsidRPr="0004576F">
        <w:t>Yuri Pines, L’Invention de la Chine éternelle. Comment les maîtres penseurs des Roya</w:t>
      </w:r>
      <w:r w:rsidRPr="0004576F">
        <w:t>u</w:t>
      </w:r>
      <w:r w:rsidRPr="0004576F">
        <w:t>mes combattants ont construit l’empire le plus long de l’Histoire (V</w:t>
      </w:r>
      <w:r w:rsidRPr="0004576F">
        <w:rPr>
          <w:vertAlign w:val="superscript"/>
        </w:rPr>
        <w:t>e</w:t>
      </w:r>
      <w:r w:rsidRPr="0004576F">
        <w:t>-III</w:t>
      </w:r>
      <w:r w:rsidRPr="0004576F">
        <w:rPr>
          <w:vertAlign w:val="superscript"/>
        </w:rPr>
        <w:t>e</w:t>
      </w:r>
      <w:r w:rsidRPr="0004576F">
        <w:t xml:space="preserve"> siècles av. J. C.), Paris, Les Belles lettres, 2013. Tout notre propos r</w:t>
      </w:r>
      <w:r w:rsidRPr="0004576F">
        <w:t>e</w:t>
      </w:r>
      <w:r w:rsidRPr="0004576F">
        <w:t>prend ici, résumé et adapté, ce livre dense, riche de lectures (dans le texte en langue chinoise), par l’auteur, dont Jean-Louis Martres aurait fait son miel…</w:t>
      </w:r>
    </w:p>
  </w:footnote>
  <w:footnote w:id="129">
    <w:p w14:paraId="0CC8917B" w14:textId="77777777" w:rsidR="00B01930" w:rsidRDefault="00B01930" w:rsidP="00B01930">
      <w:pPr>
        <w:pStyle w:val="Notedebasdepage"/>
      </w:pPr>
      <w:r>
        <w:rPr>
          <w:rStyle w:val="Appelnotedebasdep"/>
        </w:rPr>
        <w:footnoteRef/>
      </w:r>
      <w:r>
        <w:t xml:space="preserve"> </w:t>
      </w:r>
      <w:r>
        <w:tab/>
      </w:r>
      <w:r w:rsidRPr="0004576F">
        <w:t xml:space="preserve">Ainsi qu’un discours anarchiste, cf. </w:t>
      </w:r>
      <w:r w:rsidRPr="0004576F">
        <w:rPr>
          <w:i/>
        </w:rPr>
        <w:t>Éloge de l’anarchie par deux excentr</w:t>
      </w:r>
      <w:r w:rsidRPr="0004576F">
        <w:rPr>
          <w:i/>
        </w:rPr>
        <w:t>i</w:t>
      </w:r>
      <w:r w:rsidRPr="0004576F">
        <w:rPr>
          <w:i/>
        </w:rPr>
        <w:t>ques chinois</w:t>
      </w:r>
      <w:r w:rsidRPr="0004576F">
        <w:t xml:space="preserve">, </w:t>
      </w:r>
      <w:r w:rsidRPr="0004576F">
        <w:rPr>
          <w:i/>
        </w:rPr>
        <w:t>polémiques du III</w:t>
      </w:r>
      <w:r w:rsidRPr="0004576F">
        <w:rPr>
          <w:i/>
          <w:vertAlign w:val="superscript"/>
        </w:rPr>
        <w:t xml:space="preserve">e </w:t>
      </w:r>
      <w:r w:rsidRPr="0004576F">
        <w:rPr>
          <w:i/>
        </w:rPr>
        <w:t xml:space="preserve"> siècle av. J.C</w:t>
      </w:r>
      <w:r w:rsidRPr="0004576F">
        <w:t>, présenté par Jean Lévi, Paris, Éd. De l’Encyclopédie des nuisances, 2004.</w:t>
      </w:r>
    </w:p>
  </w:footnote>
  <w:footnote w:id="130">
    <w:p w14:paraId="0581CDF7" w14:textId="77777777" w:rsidR="00B01930" w:rsidRDefault="00B01930" w:rsidP="00B01930">
      <w:pPr>
        <w:pStyle w:val="Notedebasdepage"/>
      </w:pPr>
      <w:r>
        <w:rPr>
          <w:rStyle w:val="Appelnotedebasdep"/>
        </w:rPr>
        <w:footnoteRef/>
      </w:r>
      <w:r>
        <w:t xml:space="preserve"> </w:t>
      </w:r>
      <w:r>
        <w:tab/>
      </w:r>
      <w:r w:rsidRPr="0004576F">
        <w:rPr>
          <w:i/>
        </w:rPr>
        <w:t>Han Fei Tse ou le Tao du Prince</w:t>
      </w:r>
      <w:r w:rsidRPr="0004576F">
        <w:t>, Paris, Le Seuil, col. « Points », 1999.</w:t>
      </w:r>
    </w:p>
  </w:footnote>
  <w:footnote w:id="131">
    <w:p w14:paraId="5FC72BA2" w14:textId="77777777" w:rsidR="00B01930" w:rsidRDefault="00B01930" w:rsidP="00B01930">
      <w:pPr>
        <w:pStyle w:val="Notedebasdepage"/>
      </w:pPr>
      <w:r>
        <w:rPr>
          <w:rStyle w:val="Appelnotedebasdep"/>
        </w:rPr>
        <w:footnoteRef/>
      </w:r>
      <w:r>
        <w:t xml:space="preserve"> </w:t>
      </w:r>
      <w:r>
        <w:tab/>
      </w:r>
      <w:r w:rsidRPr="0004576F">
        <w:t xml:space="preserve">Yuri Pines, </w:t>
      </w:r>
      <w:r w:rsidRPr="0004576F">
        <w:rPr>
          <w:i/>
        </w:rPr>
        <w:t>op. cit.</w:t>
      </w:r>
      <w:r w:rsidRPr="0004576F">
        <w:t xml:space="preserve"> Cf. aussi Han Fei Tse, </w:t>
      </w:r>
      <w:r w:rsidRPr="0004576F">
        <w:rPr>
          <w:i/>
        </w:rPr>
        <w:t>op. cit.</w:t>
      </w:r>
      <w:r w:rsidRPr="0004576F">
        <w:t xml:space="preserve"> Xu Zhen Zhou, </w:t>
      </w:r>
      <w:r w:rsidRPr="0004576F">
        <w:rPr>
          <w:i/>
        </w:rPr>
        <w:t>L’Art de la politique chez les légistes ch</w:t>
      </w:r>
      <w:r w:rsidRPr="0004576F">
        <w:rPr>
          <w:i/>
        </w:rPr>
        <w:t>i</w:t>
      </w:r>
      <w:r w:rsidRPr="0004576F">
        <w:rPr>
          <w:i/>
        </w:rPr>
        <w:t>nois,</w:t>
      </w:r>
      <w:r w:rsidRPr="0004576F">
        <w:t xml:space="preserve"> Paris, Économica, 1995.</w:t>
      </w:r>
    </w:p>
  </w:footnote>
  <w:footnote w:id="132">
    <w:p w14:paraId="76E1DAD0" w14:textId="77777777" w:rsidR="00B01930" w:rsidRDefault="00B01930" w:rsidP="00B01930">
      <w:pPr>
        <w:pStyle w:val="Notedebasdepage"/>
      </w:pPr>
      <w:r>
        <w:rPr>
          <w:rStyle w:val="Appelnotedebasdep"/>
        </w:rPr>
        <w:footnoteRef/>
      </w:r>
      <w:r>
        <w:t xml:space="preserve"> </w:t>
      </w:r>
      <w:r>
        <w:tab/>
      </w:r>
      <w:r w:rsidRPr="0004576F">
        <w:t xml:space="preserve">David Landes, </w:t>
      </w:r>
      <w:r w:rsidRPr="0004576F">
        <w:rPr>
          <w:i/>
        </w:rPr>
        <w:t>op. cit.</w:t>
      </w:r>
      <w:r w:rsidRPr="0004576F">
        <w:t>, p. 67, 90.</w:t>
      </w:r>
    </w:p>
  </w:footnote>
  <w:footnote w:id="133">
    <w:p w14:paraId="51944C28" w14:textId="77777777" w:rsidR="00B01930" w:rsidRDefault="00B01930" w:rsidP="00B01930">
      <w:pPr>
        <w:pStyle w:val="Notedebasdepage"/>
      </w:pPr>
      <w:r>
        <w:rPr>
          <w:rStyle w:val="Appelnotedebasdep"/>
        </w:rPr>
        <w:footnoteRef/>
      </w:r>
      <w:r>
        <w:t xml:space="preserve"> </w:t>
      </w:r>
      <w:r>
        <w:tab/>
      </w:r>
      <w:r w:rsidRPr="0004576F">
        <w:t xml:space="preserve">Yuri Pines, </w:t>
      </w:r>
      <w:r w:rsidRPr="0004576F">
        <w:rPr>
          <w:i/>
        </w:rPr>
        <w:t>op. cit.</w:t>
      </w:r>
      <w:r w:rsidRPr="0004576F">
        <w:t>, p. 139.</w:t>
      </w:r>
    </w:p>
  </w:footnote>
  <w:footnote w:id="134">
    <w:p w14:paraId="413A7844" w14:textId="77777777" w:rsidR="00B01930" w:rsidRDefault="00B01930" w:rsidP="00B01930">
      <w:pPr>
        <w:pStyle w:val="Notedebasdepage"/>
      </w:pPr>
      <w:r>
        <w:rPr>
          <w:rStyle w:val="Appelnotedebasdep"/>
        </w:rPr>
        <w:footnoteRef/>
      </w:r>
      <w:r>
        <w:t xml:space="preserve"> </w:t>
      </w:r>
      <w:r>
        <w:tab/>
      </w:r>
      <w:r w:rsidRPr="0004576F">
        <w:t xml:space="preserve">En l’espèce les dynasties </w:t>
      </w:r>
      <w:r w:rsidRPr="0004576F">
        <w:rPr>
          <w:i/>
        </w:rPr>
        <w:t>Zhou</w:t>
      </w:r>
      <w:r w:rsidRPr="0004576F">
        <w:t xml:space="preserve"> (1046-256 av.J.C.), surtout la période des Pri</w:t>
      </w:r>
      <w:r w:rsidRPr="0004576F">
        <w:t>n</w:t>
      </w:r>
      <w:r w:rsidRPr="0004576F">
        <w:t xml:space="preserve">temps et automnes (770-453 av. J.-C.), des Royaumes combattants (423-221 av.J.C.) et </w:t>
      </w:r>
      <w:r w:rsidRPr="0004576F">
        <w:rPr>
          <w:i/>
        </w:rPr>
        <w:t>Qin</w:t>
      </w:r>
      <w:r w:rsidRPr="0004576F">
        <w:t xml:space="preserve"> (pr</w:t>
      </w:r>
      <w:r w:rsidRPr="0004576F">
        <w:t>e</w:t>
      </w:r>
      <w:r w:rsidRPr="0004576F">
        <w:t>mier empereur de Chine, 221-207 av. J. C.).</w:t>
      </w:r>
    </w:p>
  </w:footnote>
  <w:footnote w:id="135">
    <w:p w14:paraId="7B24AB75" w14:textId="77777777" w:rsidR="00B01930" w:rsidRDefault="00B01930" w:rsidP="00B01930">
      <w:pPr>
        <w:pStyle w:val="Notedebasdepage"/>
      </w:pPr>
      <w:r>
        <w:rPr>
          <w:rStyle w:val="Appelnotedebasdep"/>
        </w:rPr>
        <w:footnoteRef/>
      </w:r>
      <w:r>
        <w:t xml:space="preserve"> </w:t>
      </w:r>
      <w:r>
        <w:tab/>
      </w:r>
      <w:r w:rsidRPr="0004576F">
        <w:t xml:space="preserve">Mention est faite de ce distinguo sur la dispute par Jean-Louis Martres, </w:t>
      </w:r>
      <w:r w:rsidRPr="0004576F">
        <w:rPr>
          <w:i/>
        </w:rPr>
        <w:t>Les Grilles</w:t>
      </w:r>
      <w:r w:rsidRPr="0004576F">
        <w:t xml:space="preserve">…, </w:t>
      </w:r>
      <w:r w:rsidRPr="0004576F">
        <w:rPr>
          <w:i/>
        </w:rPr>
        <w:t>op. cit.</w:t>
      </w:r>
      <w:r w:rsidRPr="0004576F">
        <w:t>, p. 682-683.</w:t>
      </w:r>
    </w:p>
  </w:footnote>
  <w:footnote w:id="136">
    <w:p w14:paraId="48D290C7" w14:textId="77777777" w:rsidR="00B01930" w:rsidRDefault="00B01930" w:rsidP="00B01930">
      <w:pPr>
        <w:pStyle w:val="Notedebasdepage"/>
      </w:pPr>
      <w:r>
        <w:rPr>
          <w:rStyle w:val="Appelnotedebasdep"/>
        </w:rPr>
        <w:footnoteRef/>
      </w:r>
      <w:r>
        <w:t xml:space="preserve"> </w:t>
      </w:r>
      <w:r>
        <w:tab/>
      </w:r>
      <w:r w:rsidRPr="0004576F">
        <w:rPr>
          <w:i/>
        </w:rPr>
        <w:t>Ibid.</w:t>
      </w:r>
      <w:r w:rsidRPr="0004576F">
        <w:t>, p. 355.</w:t>
      </w:r>
    </w:p>
  </w:footnote>
  <w:footnote w:id="137">
    <w:p w14:paraId="51090413" w14:textId="77777777" w:rsidR="00B01930" w:rsidRDefault="00B01930" w:rsidP="00B01930">
      <w:pPr>
        <w:pStyle w:val="Notedebasdepage"/>
      </w:pPr>
      <w:r>
        <w:rPr>
          <w:rStyle w:val="Appelnotedebasdep"/>
        </w:rPr>
        <w:footnoteRef/>
      </w:r>
      <w:r>
        <w:t xml:space="preserve"> </w:t>
      </w:r>
      <w:r>
        <w:tab/>
      </w:r>
      <w:r w:rsidRPr="0004576F">
        <w:t>Lorsque nous lui avions fait part de cette conclusion très terre à terre, il r</w:t>
      </w:r>
      <w:r w:rsidRPr="0004576F">
        <w:t>é</w:t>
      </w:r>
      <w:r w:rsidRPr="0004576F">
        <w:t>pondit avec i</w:t>
      </w:r>
      <w:r w:rsidRPr="0004576F">
        <w:t>n</w:t>
      </w:r>
      <w:r w:rsidRPr="0004576F">
        <w:t xml:space="preserve">dulgence pour ce raccourci, que ce point de vue, </w:t>
      </w:r>
      <w:r w:rsidRPr="0004576F">
        <w:rPr>
          <w:i/>
        </w:rPr>
        <w:t>in concreto</w:t>
      </w:r>
      <w:r w:rsidRPr="0004576F">
        <w:t>, n’était pas faux.</w:t>
      </w:r>
    </w:p>
  </w:footnote>
  <w:footnote w:id="138">
    <w:p w14:paraId="61EE2850" w14:textId="77777777" w:rsidR="00B01930" w:rsidRDefault="00B01930" w:rsidP="00B01930">
      <w:pPr>
        <w:pStyle w:val="Notedebasdepage"/>
      </w:pPr>
      <w:r>
        <w:rPr>
          <w:rStyle w:val="Appelnotedebasdep"/>
        </w:rPr>
        <w:footnoteRef/>
      </w:r>
      <w:r>
        <w:t xml:space="preserve"> </w:t>
      </w:r>
      <w:r>
        <w:tab/>
      </w:r>
      <w:r w:rsidRPr="0004576F">
        <w:t>Jean-Louis Martres envisage dans le cadre des modes de cha</w:t>
      </w:r>
      <w:r w:rsidRPr="0004576F">
        <w:t>n</w:t>
      </w:r>
      <w:r w:rsidRPr="0004576F">
        <w:t>gement des idées politiques des mouvements de contagion, par la « gangrène des mots ».</w:t>
      </w:r>
    </w:p>
  </w:footnote>
  <w:footnote w:id="139">
    <w:p w14:paraId="088D75FC" w14:textId="77777777" w:rsidR="00B01930" w:rsidRDefault="00B01930" w:rsidP="00B01930">
      <w:pPr>
        <w:pStyle w:val="Notedebasdepage"/>
      </w:pPr>
      <w:r>
        <w:rPr>
          <w:rStyle w:val="Appelnotedebasdep"/>
        </w:rPr>
        <w:footnoteRef/>
      </w:r>
      <w:r>
        <w:t xml:space="preserve"> </w:t>
      </w:r>
      <w:r>
        <w:tab/>
      </w:r>
      <w:r w:rsidRPr="0004576F">
        <w:t xml:space="preserve">Pavan K. Varda, </w:t>
      </w:r>
      <w:r w:rsidRPr="0004576F">
        <w:rPr>
          <w:i/>
        </w:rPr>
        <w:t>Le Défi indien</w:t>
      </w:r>
      <w:r w:rsidRPr="0004576F">
        <w:t>, Aix-en-Provence, Actes-sud, éd. 2007. O</w:t>
      </w:r>
      <w:r w:rsidRPr="0004576F">
        <w:t>u</w:t>
      </w:r>
      <w:r w:rsidRPr="0004576F">
        <w:t>vrage auquel nous emprunterons l’essentiel de cette élémentaire ébauche, car résumant bien les que</w:t>
      </w:r>
      <w:r w:rsidRPr="0004576F">
        <w:t>l</w:t>
      </w:r>
      <w:r w:rsidRPr="0004576F">
        <w:t xml:space="preserve">ques autres lectures faites par ailleurs. Voir aussi Izzi Lokku, </w:t>
      </w:r>
      <w:r w:rsidRPr="0004576F">
        <w:rPr>
          <w:i/>
        </w:rPr>
        <w:t>La Face cachée de L’Inde</w:t>
      </w:r>
      <w:r w:rsidRPr="0004576F">
        <w:t xml:space="preserve">, Paris, Eyrolles, 2007. Koennadt Elst, </w:t>
      </w:r>
      <w:r w:rsidRPr="0004576F">
        <w:rPr>
          <w:i/>
        </w:rPr>
        <w:t>Pourquoi j’ai tué Gandhi, examen critique de la d</w:t>
      </w:r>
      <w:r w:rsidRPr="0004576F">
        <w:rPr>
          <w:i/>
        </w:rPr>
        <w:t>é</w:t>
      </w:r>
      <w:r w:rsidRPr="0004576F">
        <w:rPr>
          <w:i/>
        </w:rPr>
        <w:t>fense de Nathuram Godse</w:t>
      </w:r>
      <w:r w:rsidRPr="0004576F">
        <w:t xml:space="preserve">, Paris, Les Belles lettres, 2007. Christophe Jaffrelot, </w:t>
      </w:r>
      <w:r w:rsidRPr="0004576F">
        <w:rPr>
          <w:i/>
        </w:rPr>
        <w:t>La Démocratie par la ca</w:t>
      </w:r>
      <w:r w:rsidRPr="0004576F">
        <w:rPr>
          <w:i/>
        </w:rPr>
        <w:t>s</w:t>
      </w:r>
      <w:r w:rsidRPr="0004576F">
        <w:rPr>
          <w:i/>
        </w:rPr>
        <w:t>te</w:t>
      </w:r>
      <w:r w:rsidRPr="0004576F">
        <w:t xml:space="preserve">, Paris, Fayard, 2005 ; </w:t>
      </w:r>
      <w:r w:rsidRPr="0004576F">
        <w:rPr>
          <w:i/>
        </w:rPr>
        <w:t>La Démocratie en Inde</w:t>
      </w:r>
      <w:r w:rsidRPr="0004576F">
        <w:t>, Paris, Fayard, 1998. Plus r</w:t>
      </w:r>
      <w:r w:rsidRPr="0004576F">
        <w:t>é</w:t>
      </w:r>
      <w:r w:rsidRPr="0004576F">
        <w:t>cemment, sur le particularisme indien et les conséquences de la vision angla</w:t>
      </w:r>
      <w:r w:rsidRPr="0004576F">
        <w:t>i</w:t>
      </w:r>
      <w:r w:rsidRPr="0004576F">
        <w:t xml:space="preserve">se sur notre connaissance de l’Inde, voir Michel Angot : « Il n’y a jamais eu d’Inde », </w:t>
      </w:r>
      <w:r w:rsidRPr="0004576F">
        <w:rPr>
          <w:i/>
        </w:rPr>
        <w:t>L’Express</w:t>
      </w:r>
      <w:r w:rsidRPr="0004576F">
        <w:t>, sp</w:t>
      </w:r>
      <w:r w:rsidRPr="0004576F">
        <w:t>é</w:t>
      </w:r>
      <w:r w:rsidRPr="0004576F">
        <w:t>cial Inde, 3207-3208, 19 déc. 2012, p. 52.</w:t>
      </w:r>
    </w:p>
  </w:footnote>
  <w:footnote w:id="140">
    <w:p w14:paraId="35F3EDC2" w14:textId="77777777" w:rsidR="00B01930" w:rsidRDefault="00B01930" w:rsidP="00B01930">
      <w:pPr>
        <w:pStyle w:val="Notedebasdepage"/>
      </w:pPr>
      <w:r>
        <w:rPr>
          <w:rStyle w:val="Appelnotedebasdep"/>
        </w:rPr>
        <w:footnoteRef/>
      </w:r>
      <w:r>
        <w:t xml:space="preserve"> </w:t>
      </w:r>
      <w:r>
        <w:tab/>
      </w:r>
      <w:r w:rsidRPr="0004576F">
        <w:t xml:space="preserve">Denis Matringe, </w:t>
      </w:r>
      <w:r w:rsidRPr="0004576F">
        <w:rPr>
          <w:i/>
        </w:rPr>
        <w:t>Les Sikhs</w:t>
      </w:r>
      <w:r w:rsidRPr="0004576F">
        <w:t>, Paris, Albin Michel, 2008.</w:t>
      </w:r>
    </w:p>
  </w:footnote>
  <w:footnote w:id="141">
    <w:p w14:paraId="69F50191" w14:textId="77777777" w:rsidR="00B01930" w:rsidRDefault="00B01930" w:rsidP="00B01930">
      <w:pPr>
        <w:pStyle w:val="Notedebasdepage"/>
      </w:pPr>
      <w:r>
        <w:rPr>
          <w:rStyle w:val="Appelnotedebasdep"/>
        </w:rPr>
        <w:footnoteRef/>
      </w:r>
      <w:r>
        <w:t xml:space="preserve"> </w:t>
      </w:r>
      <w:r>
        <w:tab/>
      </w:r>
      <w:r w:rsidRPr="0004576F">
        <w:t xml:space="preserve">Cf. </w:t>
      </w:r>
      <w:r w:rsidRPr="0004576F">
        <w:rPr>
          <w:i/>
        </w:rPr>
        <w:t>infra</w:t>
      </w:r>
      <w:r w:rsidRPr="0004576F">
        <w:t>, II-3.</w:t>
      </w:r>
    </w:p>
  </w:footnote>
  <w:footnote w:id="142">
    <w:p w14:paraId="774A0C90" w14:textId="77777777" w:rsidR="00B01930" w:rsidRDefault="00B01930" w:rsidP="00B01930">
      <w:pPr>
        <w:pStyle w:val="Notedebasdepage"/>
      </w:pPr>
      <w:r>
        <w:rPr>
          <w:rStyle w:val="Appelnotedebasdep"/>
        </w:rPr>
        <w:footnoteRef/>
      </w:r>
      <w:r>
        <w:t xml:space="preserve"> </w:t>
      </w:r>
      <w:r>
        <w:tab/>
      </w:r>
      <w:r w:rsidRPr="0004576F">
        <w:t xml:space="preserve">Cf. entre autre « Bouddhisme et pouvoir », revue </w:t>
      </w:r>
      <w:r w:rsidRPr="0004576F">
        <w:rPr>
          <w:i/>
        </w:rPr>
        <w:t>Géopolitique</w:t>
      </w:r>
      <w:r w:rsidRPr="0004576F">
        <w:t>, n° 85, ja</w:t>
      </w:r>
      <w:r w:rsidRPr="0004576F">
        <w:t>n</w:t>
      </w:r>
      <w:r w:rsidRPr="0004576F">
        <w:t>vier-mars 2004.</w:t>
      </w:r>
    </w:p>
  </w:footnote>
  <w:footnote w:id="143">
    <w:p w14:paraId="6ED0D7F0" w14:textId="77777777" w:rsidR="00B01930" w:rsidRDefault="00B01930" w:rsidP="00B01930">
      <w:pPr>
        <w:pStyle w:val="Notedebasdepage"/>
      </w:pPr>
      <w:r>
        <w:rPr>
          <w:rStyle w:val="Appelnotedebasdep"/>
        </w:rPr>
        <w:footnoteRef/>
      </w:r>
      <w:r>
        <w:t xml:space="preserve"> </w:t>
      </w:r>
      <w:r>
        <w:tab/>
      </w:r>
      <w:r w:rsidRPr="0004576F">
        <w:t>Les réactions de pouvoir impérial chinois contre le taoïsme furent d’ordre strictement politique, sans fond</w:t>
      </w:r>
      <w:r w:rsidRPr="0004576F">
        <w:t>e</w:t>
      </w:r>
      <w:r w:rsidRPr="0004576F">
        <w:t>ment religieux.</w:t>
      </w:r>
    </w:p>
  </w:footnote>
  <w:footnote w:id="144">
    <w:p w14:paraId="5CF8F41E" w14:textId="77777777" w:rsidR="00B01930" w:rsidRDefault="00B01930" w:rsidP="00B01930">
      <w:pPr>
        <w:pStyle w:val="Notedebasdepage"/>
      </w:pPr>
      <w:r>
        <w:rPr>
          <w:rStyle w:val="Appelnotedebasdep"/>
        </w:rPr>
        <w:footnoteRef/>
      </w:r>
      <w:r>
        <w:t xml:space="preserve"> </w:t>
      </w:r>
      <w:r>
        <w:tab/>
      </w:r>
      <w:r w:rsidRPr="0004576F">
        <w:t xml:space="preserve">Cf. </w:t>
      </w:r>
      <w:r w:rsidRPr="0004576F">
        <w:rPr>
          <w:i/>
        </w:rPr>
        <w:t>infra</w:t>
      </w:r>
      <w:r w:rsidRPr="0004576F">
        <w:t>, II-3.</w:t>
      </w:r>
    </w:p>
  </w:footnote>
  <w:footnote w:id="145">
    <w:p w14:paraId="55BA0C52" w14:textId="77777777" w:rsidR="00B01930" w:rsidRDefault="00B01930" w:rsidP="00B01930">
      <w:pPr>
        <w:pStyle w:val="Notedebasdepage"/>
      </w:pPr>
      <w:r>
        <w:rPr>
          <w:rStyle w:val="Appelnotedebasdep"/>
        </w:rPr>
        <w:footnoteRef/>
      </w:r>
      <w:r>
        <w:t xml:space="preserve"> </w:t>
      </w:r>
      <w:r>
        <w:tab/>
      </w:r>
      <w:hyperlink r:id="rId6" w:history="1">
        <w:r w:rsidRPr="00235BAB">
          <w:rPr>
            <w:rStyle w:val="Hyperlien"/>
            <w:i/>
          </w:rPr>
          <w:t>Du Contrat social</w:t>
        </w:r>
      </w:hyperlink>
      <w:r w:rsidRPr="0004576F">
        <w:t>, Livre III, Chapitre IV.</w:t>
      </w:r>
    </w:p>
  </w:footnote>
  <w:footnote w:id="146">
    <w:p w14:paraId="5D77956E" w14:textId="77777777" w:rsidR="00B01930" w:rsidRDefault="00B01930" w:rsidP="00B01930">
      <w:pPr>
        <w:pStyle w:val="Notedebasdepage"/>
      </w:pPr>
      <w:r>
        <w:rPr>
          <w:rStyle w:val="Appelnotedebasdep"/>
        </w:rPr>
        <w:footnoteRef/>
      </w:r>
      <w:r>
        <w:t xml:space="preserve"> </w:t>
      </w:r>
      <w:r>
        <w:tab/>
      </w:r>
      <w:r w:rsidRPr="0004576F">
        <w:rPr>
          <w:i/>
        </w:rPr>
        <w:t>Idem</w:t>
      </w:r>
      <w:r w:rsidRPr="0004576F">
        <w:t>.</w:t>
      </w:r>
    </w:p>
  </w:footnote>
  <w:footnote w:id="147">
    <w:p w14:paraId="4FAC8F87" w14:textId="77777777" w:rsidR="00B01930" w:rsidRDefault="00B01930" w:rsidP="00B01930">
      <w:pPr>
        <w:pStyle w:val="Notedebasdepage"/>
      </w:pPr>
      <w:r>
        <w:rPr>
          <w:rStyle w:val="Appelnotedebasdep"/>
        </w:rPr>
        <w:footnoteRef/>
      </w:r>
      <w:r>
        <w:t xml:space="preserve"> </w:t>
      </w:r>
      <w:r>
        <w:tab/>
      </w:r>
      <w:r w:rsidRPr="0004576F">
        <w:rPr>
          <w:i/>
        </w:rPr>
        <w:t>Cf</w:t>
      </w:r>
      <w:r w:rsidRPr="0004576F">
        <w:t>. par exemple l’Allemagne des années trente, ou les pays de l’Europe de l’Est après la seconde guerre mondiale avec les partis communistes, ou bien, depuis 2011, les « printemps arabes » devenus « hivers islami</w:t>
      </w:r>
      <w:r w:rsidRPr="0004576F">
        <w:t>s</w:t>
      </w:r>
      <w:r w:rsidRPr="0004576F">
        <w:t>tes » pour les tenants d’une vision laïque de la société et d’une véritable séparation entre temporel et spirituel, ou encore, en Turquie, le processus continu d’abolition de la laïcité mise en place par Atatürk après la première guerre mondiale, d</w:t>
      </w:r>
      <w:r w:rsidRPr="0004576F">
        <w:t>e</w:t>
      </w:r>
      <w:r w:rsidRPr="0004576F">
        <w:t>puis l’accession au pouvoir en 2002 du parti A</w:t>
      </w:r>
      <w:r w:rsidRPr="0004576F">
        <w:rPr>
          <w:smallCaps/>
        </w:rPr>
        <w:t>kp</w:t>
      </w:r>
      <w:r w:rsidRPr="0004576F">
        <w:t>.</w:t>
      </w:r>
    </w:p>
  </w:footnote>
  <w:footnote w:id="148">
    <w:p w14:paraId="2A0AFD78" w14:textId="77777777" w:rsidR="00B01930" w:rsidRDefault="00B01930" w:rsidP="00B01930">
      <w:pPr>
        <w:pStyle w:val="Notedebasdepage"/>
      </w:pPr>
      <w:r>
        <w:rPr>
          <w:rStyle w:val="Appelnotedebasdep"/>
        </w:rPr>
        <w:footnoteRef/>
      </w:r>
      <w:r>
        <w:t xml:space="preserve"> </w:t>
      </w:r>
      <w:r>
        <w:tab/>
      </w:r>
      <w:r w:rsidRPr="0004576F">
        <w:t xml:space="preserve">Voir </w:t>
      </w:r>
      <w:r w:rsidRPr="0004576F">
        <w:rPr>
          <w:i/>
        </w:rPr>
        <w:t>supra</w:t>
      </w:r>
      <w:r>
        <w:t xml:space="preserve"> II-1</w:t>
      </w:r>
      <w:r w:rsidRPr="0004576F">
        <w:t>.</w:t>
      </w:r>
    </w:p>
  </w:footnote>
  <w:footnote w:id="149">
    <w:p w14:paraId="02AAACC1" w14:textId="77777777" w:rsidR="00B01930" w:rsidRDefault="00B01930" w:rsidP="00B01930">
      <w:pPr>
        <w:pStyle w:val="Notedebasdepage"/>
      </w:pPr>
      <w:r>
        <w:rPr>
          <w:rStyle w:val="Appelnotedebasdep"/>
        </w:rPr>
        <w:footnoteRef/>
      </w:r>
      <w:r>
        <w:t xml:space="preserve"> </w:t>
      </w:r>
      <w:r>
        <w:tab/>
      </w:r>
      <w:r w:rsidRPr="0004576F">
        <w:rPr>
          <w:i/>
        </w:rPr>
        <w:t>Introduction à la philosophie politique</w:t>
      </w:r>
      <w:r w:rsidRPr="0004576F">
        <w:t>, 1952, édité seulement en 1997, Paris, Livre de Poche, p. 36.</w:t>
      </w:r>
    </w:p>
  </w:footnote>
  <w:footnote w:id="150">
    <w:p w14:paraId="68B21884" w14:textId="77777777" w:rsidR="00B01930" w:rsidRDefault="00B01930" w:rsidP="00B01930">
      <w:pPr>
        <w:pStyle w:val="Notedebasdepage"/>
      </w:pPr>
      <w:r>
        <w:rPr>
          <w:rStyle w:val="Appelnotedebasdep"/>
        </w:rPr>
        <w:footnoteRef/>
      </w:r>
      <w:r>
        <w:t xml:space="preserve"> </w:t>
      </w:r>
      <w:r>
        <w:tab/>
      </w:r>
      <w:r w:rsidRPr="0004576F">
        <w:rPr>
          <w:i/>
        </w:rPr>
        <w:t>La Persécution ou l’art d’écrire</w:t>
      </w:r>
      <w:r w:rsidRPr="0004576F">
        <w:t>, Paris, Gallimard, col. « Tel », éd. 2009.</w:t>
      </w:r>
    </w:p>
  </w:footnote>
  <w:footnote w:id="151">
    <w:p w14:paraId="136366D6" w14:textId="77777777" w:rsidR="00B01930" w:rsidRDefault="00B01930" w:rsidP="00B01930">
      <w:pPr>
        <w:pStyle w:val="Notedebasdepage"/>
      </w:pPr>
      <w:r>
        <w:rPr>
          <w:rStyle w:val="Appelnotedebasdep"/>
        </w:rPr>
        <w:footnoteRef/>
      </w:r>
      <w:r>
        <w:t xml:space="preserve"> </w:t>
      </w:r>
      <w:r>
        <w:tab/>
      </w:r>
      <w:r w:rsidRPr="0004576F">
        <w:t xml:space="preserve">Titre de la première partie du livre de Jean-Louis Martres, </w:t>
      </w:r>
      <w:r w:rsidRPr="0004576F">
        <w:rPr>
          <w:i/>
        </w:rPr>
        <w:t>Les Grilles</w:t>
      </w:r>
      <w:r w:rsidRPr="0004576F">
        <w:t xml:space="preserve">, </w:t>
      </w:r>
      <w:r w:rsidRPr="0004576F">
        <w:rPr>
          <w:i/>
        </w:rPr>
        <w:t>op. cit.</w:t>
      </w:r>
    </w:p>
  </w:footnote>
  <w:footnote w:id="152">
    <w:p w14:paraId="676CD2EB" w14:textId="77777777" w:rsidR="00B01930" w:rsidRDefault="00B01930" w:rsidP="00B01930">
      <w:pPr>
        <w:pStyle w:val="Notedebasdepage"/>
      </w:pPr>
      <w:r>
        <w:rPr>
          <w:rStyle w:val="Appelnotedebasdep"/>
        </w:rPr>
        <w:footnoteRef/>
      </w:r>
      <w:r>
        <w:t xml:space="preserve"> </w:t>
      </w:r>
      <w:r>
        <w:tab/>
      </w:r>
      <w:r w:rsidRPr="0004576F">
        <w:t xml:space="preserve">Titre de la deuxième partie du livre, </w:t>
      </w:r>
      <w:r w:rsidRPr="0004576F">
        <w:rPr>
          <w:i/>
        </w:rPr>
        <w:t>Les Grilles</w:t>
      </w:r>
      <w:r w:rsidRPr="0004576F">
        <w:t xml:space="preserve">…, </w:t>
      </w:r>
      <w:r w:rsidRPr="0004576F">
        <w:rPr>
          <w:i/>
        </w:rPr>
        <w:t>op. cit.</w:t>
      </w:r>
    </w:p>
  </w:footnote>
  <w:footnote w:id="153">
    <w:p w14:paraId="54E45D88" w14:textId="77777777" w:rsidR="00B01930" w:rsidRDefault="00B01930" w:rsidP="00B01930">
      <w:pPr>
        <w:pStyle w:val="Notedebasdepage"/>
      </w:pPr>
      <w:r>
        <w:rPr>
          <w:rStyle w:val="Appelnotedebasdep"/>
        </w:rPr>
        <w:footnoteRef/>
      </w:r>
      <w:r>
        <w:t xml:space="preserve"> </w:t>
      </w:r>
      <w:r>
        <w:tab/>
      </w:r>
      <w:r w:rsidRPr="0004576F">
        <w:t>Démythisation et idéologies, Paris, Aubier, 1973.</w:t>
      </w:r>
    </w:p>
  </w:footnote>
  <w:footnote w:id="154">
    <w:p w14:paraId="57E51447" w14:textId="77777777" w:rsidR="00B01930" w:rsidRDefault="00B01930" w:rsidP="00B01930">
      <w:pPr>
        <w:pStyle w:val="Notedebasdepage"/>
      </w:pPr>
      <w:r>
        <w:rPr>
          <w:rStyle w:val="Appelnotedebasdep"/>
        </w:rPr>
        <w:footnoteRef/>
      </w:r>
      <w:r>
        <w:t xml:space="preserve"> </w:t>
      </w:r>
      <w:r>
        <w:tab/>
      </w:r>
      <w:r w:rsidRPr="0004576F">
        <w:t>Les Grilles…, op. cit.</w:t>
      </w:r>
    </w:p>
  </w:footnote>
  <w:footnote w:id="155">
    <w:p w14:paraId="0A47DAE3" w14:textId="77777777" w:rsidR="00B01930" w:rsidRDefault="00B01930" w:rsidP="00B01930">
      <w:pPr>
        <w:pStyle w:val="Notedebasdepage"/>
      </w:pPr>
      <w:r>
        <w:rPr>
          <w:rStyle w:val="Appelnotedebasdep"/>
        </w:rPr>
        <w:footnoteRef/>
      </w:r>
      <w:r>
        <w:t xml:space="preserve"> </w:t>
      </w:r>
      <w:r>
        <w:tab/>
      </w:r>
      <w:r w:rsidRPr="0004576F">
        <w:t>Mises par nos soins en épigraphe  de la c</w:t>
      </w:r>
      <w:r>
        <w:t>onclusion générale de son cours</w:t>
      </w:r>
      <w:r w:rsidRPr="0004576F">
        <w:t>.</w:t>
      </w:r>
    </w:p>
  </w:footnote>
  <w:footnote w:id="156">
    <w:p w14:paraId="01A4E9F2" w14:textId="77777777" w:rsidR="00B01930" w:rsidRDefault="00B01930" w:rsidP="00B01930">
      <w:pPr>
        <w:pStyle w:val="Notedebasdepage"/>
      </w:pPr>
      <w:r>
        <w:rPr>
          <w:rStyle w:val="Appelnotedebasdep"/>
        </w:rPr>
        <w:footnoteRef/>
      </w:r>
      <w:r>
        <w:t xml:space="preserve"> </w:t>
      </w:r>
      <w:r>
        <w:tab/>
      </w:r>
      <w:r w:rsidRPr="0004576F">
        <w:t xml:space="preserve">Madeleine Grawitz, </w:t>
      </w:r>
      <w:r w:rsidRPr="0004576F">
        <w:rPr>
          <w:i/>
        </w:rPr>
        <w:t>Méthodes des sciences sociales</w:t>
      </w:r>
      <w:r w:rsidRPr="0004576F">
        <w:t>, Paris, Da</w:t>
      </w:r>
      <w:r w:rsidRPr="0004576F">
        <w:t>l</w:t>
      </w:r>
      <w:r w:rsidRPr="0004576F">
        <w:t>loz, p. 897.</w:t>
      </w:r>
    </w:p>
  </w:footnote>
  <w:footnote w:id="157">
    <w:p w14:paraId="2EAF9439" w14:textId="77777777" w:rsidR="00B01930" w:rsidRDefault="00B01930" w:rsidP="00B01930">
      <w:pPr>
        <w:pStyle w:val="Notedebasdepage"/>
      </w:pPr>
      <w:r>
        <w:rPr>
          <w:rStyle w:val="Appelnotedebasdep"/>
        </w:rPr>
        <w:footnoteRef/>
      </w:r>
      <w:r>
        <w:t xml:space="preserve"> </w:t>
      </w:r>
      <w:r>
        <w:tab/>
      </w:r>
      <w:r w:rsidRPr="0004576F">
        <w:t xml:space="preserve">Gilles Lapouges, </w:t>
      </w:r>
      <w:r w:rsidRPr="0004576F">
        <w:rPr>
          <w:i/>
        </w:rPr>
        <w:t>Utopie et…</w:t>
      </w:r>
      <w:r w:rsidRPr="0004576F">
        <w:t xml:space="preserve">, </w:t>
      </w:r>
      <w:r w:rsidRPr="0004576F">
        <w:rPr>
          <w:i/>
        </w:rPr>
        <w:t>op. cit.</w:t>
      </w:r>
      <w:r w:rsidRPr="0004576F">
        <w:t>, p. 250.</w:t>
      </w:r>
    </w:p>
  </w:footnote>
  <w:footnote w:id="158">
    <w:p w14:paraId="20D6281A" w14:textId="77777777" w:rsidR="00B01930" w:rsidRDefault="00B01930" w:rsidP="00B01930">
      <w:pPr>
        <w:pStyle w:val="Notedebasdepage"/>
      </w:pPr>
      <w:r>
        <w:rPr>
          <w:rStyle w:val="Appelnotedebasdep"/>
        </w:rPr>
        <w:footnoteRef/>
      </w:r>
      <w:r>
        <w:t xml:space="preserve"> </w:t>
      </w:r>
      <w:r>
        <w:tab/>
      </w:r>
      <w:r w:rsidRPr="0004576F">
        <w:t xml:space="preserve">Claude Lévi-Strauss, </w:t>
      </w:r>
      <w:hyperlink r:id="rId7" w:anchor="Anchor-11481" w:history="1">
        <w:r w:rsidRPr="00235BAB">
          <w:rPr>
            <w:rStyle w:val="Hyperlien"/>
            <w:i/>
          </w:rPr>
          <w:t>Introduction à l’œuvre de Marcel Mauss</w:t>
        </w:r>
      </w:hyperlink>
      <w:r w:rsidRPr="0004576F">
        <w:t>, sociologie et anthropologie, P</w:t>
      </w:r>
      <w:r w:rsidRPr="0004576F">
        <w:rPr>
          <w:smallCaps/>
        </w:rPr>
        <w:t>uf</w:t>
      </w:r>
      <w:r w:rsidRPr="0004576F">
        <w:t>, 1950, consultable sur </w:t>
      </w:r>
      <w:r w:rsidRPr="0004576F">
        <w:rPr>
          <w:b/>
        </w:rPr>
        <w:t>:</w:t>
      </w:r>
      <w:r>
        <w:rPr>
          <w:b/>
        </w:rPr>
        <w:t xml:space="preserve"> </w:t>
      </w:r>
      <w:r>
        <w:t>Les Classiques des sciences soci</w:t>
      </w:r>
      <w:r>
        <w:t>a</w:t>
      </w:r>
      <w:r>
        <w:t>les.</w:t>
      </w:r>
    </w:p>
  </w:footnote>
  <w:footnote w:id="159">
    <w:p w14:paraId="52CD20CF" w14:textId="77777777" w:rsidR="00B01930" w:rsidRDefault="00B01930">
      <w:pPr>
        <w:pStyle w:val="Notedebasdepage"/>
      </w:pPr>
      <w:r>
        <w:rPr>
          <w:rStyle w:val="Appelnotedebasdep"/>
        </w:rPr>
        <w:footnoteRef/>
      </w:r>
      <w:r>
        <w:t xml:space="preserve"> </w:t>
      </w:r>
      <w:r>
        <w:tab/>
      </w:r>
      <w:r w:rsidRPr="00EC50AF">
        <w:rPr>
          <w:color w:val="000000"/>
          <w:szCs w:val="18"/>
        </w:rPr>
        <w:t xml:space="preserve">Cette partie (2016-2017) est le second volet (à paraître) de notre « Introduction critique à la pensée martrienne des idées politiques » paru dans le numéro d’hommage à Jean-Louis Martres de la revue </w:t>
      </w:r>
      <w:r w:rsidRPr="00EC50AF">
        <w:rPr>
          <w:i/>
          <w:color w:val="000000"/>
          <w:szCs w:val="18"/>
        </w:rPr>
        <w:t>Politeia</w:t>
      </w:r>
      <w:r w:rsidRPr="00EC50AF">
        <w:rPr>
          <w:color w:val="000000"/>
          <w:szCs w:val="18"/>
        </w:rPr>
        <w:t xml:space="preserve"> n°</w:t>
      </w:r>
      <w:r>
        <w:rPr>
          <w:color w:val="000000"/>
          <w:szCs w:val="18"/>
        </w:rPr>
        <w:t> </w:t>
      </w:r>
      <w:r w:rsidRPr="00EC50AF">
        <w:rPr>
          <w:color w:val="000000"/>
          <w:szCs w:val="18"/>
        </w:rPr>
        <w:t>30, 2016, Cahiers de l’Association Française des Auditeurs de l’Académie Internation</w:t>
      </w:r>
      <w:r w:rsidRPr="00EC50AF">
        <w:rPr>
          <w:color w:val="000000"/>
          <w:szCs w:val="18"/>
        </w:rPr>
        <w:t>a</w:t>
      </w:r>
      <w:r w:rsidRPr="00EC50AF">
        <w:rPr>
          <w:color w:val="000000"/>
          <w:szCs w:val="18"/>
        </w:rPr>
        <w:t>le de Droit Co</w:t>
      </w:r>
      <w:r w:rsidRPr="00EC50AF">
        <w:rPr>
          <w:color w:val="000000"/>
          <w:szCs w:val="18"/>
        </w:rPr>
        <w:t>n</w:t>
      </w:r>
      <w:r w:rsidRPr="00EC50AF">
        <w:rPr>
          <w:color w:val="000000"/>
          <w:szCs w:val="18"/>
        </w:rPr>
        <w:t>stitutionnel.</w:t>
      </w:r>
    </w:p>
  </w:footnote>
  <w:footnote w:id="160">
    <w:p w14:paraId="22707F9A" w14:textId="77777777" w:rsidR="00B01930" w:rsidRDefault="00B01930">
      <w:pPr>
        <w:pStyle w:val="Notedebasdepage"/>
      </w:pPr>
      <w:r>
        <w:rPr>
          <w:rStyle w:val="Appelnotedebasdep"/>
        </w:rPr>
        <w:footnoteRef/>
      </w:r>
      <w:r>
        <w:t xml:space="preserve"> </w:t>
      </w:r>
      <w:r>
        <w:tab/>
      </w:r>
      <w:r w:rsidRPr="00EC50AF">
        <w:rPr>
          <w:i/>
          <w:color w:val="000000"/>
          <w:szCs w:val="18"/>
        </w:rPr>
        <w:t>Les Grilles de la pensée politique</w:t>
      </w:r>
      <w:r w:rsidRPr="00EC50AF">
        <w:rPr>
          <w:color w:val="000000"/>
          <w:szCs w:val="18"/>
        </w:rPr>
        <w:t>, China Century Press Group c°. Hon</w:t>
      </w:r>
      <w:r w:rsidRPr="00EC50AF">
        <w:rPr>
          <w:color w:val="000000"/>
          <w:szCs w:val="18"/>
        </w:rPr>
        <w:t>g</w:t>
      </w:r>
      <w:r w:rsidRPr="00EC50AF">
        <w:rPr>
          <w:color w:val="000000"/>
          <w:szCs w:val="18"/>
        </w:rPr>
        <w:t>Kong,</w:t>
      </w:r>
      <w:r w:rsidRPr="00EC50AF">
        <w:rPr>
          <w:i/>
          <w:color w:val="000000"/>
          <w:szCs w:val="18"/>
        </w:rPr>
        <w:t xml:space="preserve"> </w:t>
      </w:r>
      <w:r w:rsidRPr="00EC50AF">
        <w:rPr>
          <w:color w:val="000000"/>
          <w:szCs w:val="18"/>
        </w:rPr>
        <w:t>812 p., 2012</w:t>
      </w:r>
      <w:r w:rsidRPr="00EC50AF">
        <w:rPr>
          <w:i/>
          <w:color w:val="000000"/>
          <w:szCs w:val="18"/>
        </w:rPr>
        <w:t>.</w:t>
      </w:r>
    </w:p>
  </w:footnote>
  <w:footnote w:id="161">
    <w:p w14:paraId="50DC035F" w14:textId="77777777" w:rsidR="00B01930" w:rsidRDefault="00B01930">
      <w:pPr>
        <w:pStyle w:val="Notedebasdepage"/>
      </w:pPr>
      <w:r>
        <w:rPr>
          <w:rStyle w:val="Appelnotedebasdep"/>
        </w:rPr>
        <w:footnoteRef/>
      </w:r>
      <w:r>
        <w:t xml:space="preserve"> </w:t>
      </w:r>
      <w:r>
        <w:tab/>
      </w:r>
      <w:r w:rsidRPr="00EC50AF">
        <w:rPr>
          <w:i/>
          <w:color w:val="000000"/>
          <w:szCs w:val="18"/>
        </w:rPr>
        <w:t>Ibidem</w:t>
      </w:r>
      <w:r w:rsidRPr="00EC50AF">
        <w:rPr>
          <w:color w:val="000000"/>
          <w:szCs w:val="18"/>
        </w:rPr>
        <w:t>, p. 541.</w:t>
      </w:r>
    </w:p>
  </w:footnote>
  <w:footnote w:id="162">
    <w:p w14:paraId="237A37D8"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587.</w:t>
      </w:r>
    </w:p>
  </w:footnote>
  <w:footnote w:id="163">
    <w:p w14:paraId="22BD1543"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 p. 590.</w:t>
      </w:r>
    </w:p>
  </w:footnote>
  <w:footnote w:id="164">
    <w:p w14:paraId="4AE5833B" w14:textId="77777777" w:rsidR="00B01930" w:rsidRDefault="00B01930">
      <w:pPr>
        <w:pStyle w:val="Notedebasdepage"/>
      </w:pPr>
      <w:r>
        <w:rPr>
          <w:rStyle w:val="Appelnotedebasdep"/>
        </w:rPr>
        <w:footnoteRef/>
      </w:r>
      <w:r>
        <w:t xml:space="preserve"> </w:t>
      </w:r>
      <w:r>
        <w:tab/>
      </w:r>
      <w:r w:rsidRPr="00EC50AF">
        <w:rPr>
          <w:i/>
          <w:color w:val="000000"/>
          <w:szCs w:val="18"/>
        </w:rPr>
        <w:t>Ibid.</w:t>
      </w:r>
    </w:p>
  </w:footnote>
  <w:footnote w:id="165">
    <w:p w14:paraId="61E84ABE" w14:textId="77777777" w:rsidR="00B01930" w:rsidRDefault="00B01930">
      <w:pPr>
        <w:pStyle w:val="Notedebasdepage"/>
      </w:pPr>
      <w:r>
        <w:rPr>
          <w:rStyle w:val="Appelnotedebasdep"/>
        </w:rPr>
        <w:footnoteRef/>
      </w:r>
      <w:r>
        <w:t xml:space="preserve"> </w:t>
      </w:r>
      <w:r>
        <w:tab/>
      </w:r>
      <w:r w:rsidRPr="00EC50AF">
        <w:rPr>
          <w:i/>
          <w:color w:val="000000"/>
          <w:szCs w:val="18"/>
        </w:rPr>
        <w:t>Ibid.</w:t>
      </w:r>
    </w:p>
  </w:footnote>
  <w:footnote w:id="166">
    <w:p w14:paraId="278852D6"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w:t>
      </w:r>
    </w:p>
  </w:footnote>
  <w:footnote w:id="167">
    <w:p w14:paraId="33DEA03A"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 p. 542.</w:t>
      </w:r>
    </w:p>
  </w:footnote>
  <w:footnote w:id="168">
    <w:p w14:paraId="7EB5ABA8" w14:textId="77777777" w:rsidR="00B01930" w:rsidRDefault="00B01930">
      <w:pPr>
        <w:pStyle w:val="Notedebasdepage"/>
      </w:pPr>
      <w:r>
        <w:rPr>
          <w:rStyle w:val="Appelnotedebasdep"/>
        </w:rPr>
        <w:footnoteRef/>
      </w:r>
      <w:r>
        <w:t xml:space="preserve"> </w:t>
      </w:r>
      <w:r>
        <w:tab/>
      </w:r>
      <w:r w:rsidRPr="00EC50AF">
        <w:rPr>
          <w:i/>
          <w:color w:val="000000"/>
          <w:szCs w:val="18"/>
        </w:rPr>
        <w:t>Ibidem</w:t>
      </w:r>
      <w:r w:rsidRPr="00EC50AF">
        <w:rPr>
          <w:color w:val="000000"/>
          <w:szCs w:val="18"/>
        </w:rPr>
        <w:t>.</w:t>
      </w:r>
    </w:p>
  </w:footnote>
  <w:footnote w:id="169">
    <w:p w14:paraId="1A873D07" w14:textId="77777777" w:rsidR="00B01930" w:rsidRDefault="00B01930">
      <w:pPr>
        <w:pStyle w:val="Notedebasdepage"/>
      </w:pPr>
      <w:r>
        <w:rPr>
          <w:rStyle w:val="Appelnotedebasdep"/>
        </w:rPr>
        <w:footnoteRef/>
      </w:r>
      <w:r>
        <w:t xml:space="preserve"> </w:t>
      </w:r>
      <w:r>
        <w:tab/>
      </w:r>
      <w:r w:rsidRPr="00EC50AF">
        <w:rPr>
          <w:i/>
          <w:color w:val="000000"/>
          <w:szCs w:val="18"/>
        </w:rPr>
        <w:t>Les Grilles …</w:t>
      </w:r>
      <w:r w:rsidRPr="00EC50AF">
        <w:rPr>
          <w:color w:val="000000"/>
          <w:szCs w:val="18"/>
        </w:rPr>
        <w:t>, p. 552.</w:t>
      </w:r>
    </w:p>
  </w:footnote>
  <w:footnote w:id="170">
    <w:p w14:paraId="513CE5B9" w14:textId="77777777" w:rsidR="00B01930" w:rsidRDefault="00B01930">
      <w:pPr>
        <w:pStyle w:val="Notedebasdepage"/>
      </w:pPr>
      <w:r>
        <w:rPr>
          <w:rStyle w:val="Appelnotedebasdep"/>
        </w:rPr>
        <w:footnoteRef/>
      </w:r>
      <w:r>
        <w:t xml:space="preserve"> </w:t>
      </w:r>
      <w:r>
        <w:tab/>
      </w:r>
      <w:r w:rsidRPr="00EC50AF">
        <w:rPr>
          <w:i/>
          <w:color w:val="000000"/>
          <w:szCs w:val="18"/>
        </w:rPr>
        <w:t>bidem</w:t>
      </w:r>
      <w:r w:rsidRPr="00EC50AF">
        <w:rPr>
          <w:color w:val="000000"/>
          <w:szCs w:val="18"/>
        </w:rPr>
        <w:t>., p. 555.</w:t>
      </w:r>
    </w:p>
  </w:footnote>
  <w:footnote w:id="171">
    <w:p w14:paraId="2845BC2E"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508.</w:t>
      </w:r>
    </w:p>
  </w:footnote>
  <w:footnote w:id="172">
    <w:p w14:paraId="1650FF9D"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560.</w:t>
      </w:r>
    </w:p>
  </w:footnote>
  <w:footnote w:id="173">
    <w:p w14:paraId="3C6AE7C7"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565-566.</w:t>
      </w:r>
    </w:p>
  </w:footnote>
  <w:footnote w:id="174">
    <w:p w14:paraId="6C4A8A8B"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570.</w:t>
      </w:r>
    </w:p>
  </w:footnote>
  <w:footnote w:id="175">
    <w:p w14:paraId="02B1DAC1"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588.</w:t>
      </w:r>
    </w:p>
  </w:footnote>
  <w:footnote w:id="176">
    <w:p w14:paraId="7C21D316"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570.</w:t>
      </w:r>
    </w:p>
  </w:footnote>
  <w:footnote w:id="177">
    <w:p w14:paraId="38ABDCF2"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 p. 572.</w:t>
      </w:r>
    </w:p>
  </w:footnote>
  <w:footnote w:id="178">
    <w:p w14:paraId="3447F453" w14:textId="77777777" w:rsidR="00B01930" w:rsidRDefault="00B01930">
      <w:pPr>
        <w:pStyle w:val="Notedebasdepage"/>
      </w:pPr>
      <w:r>
        <w:rPr>
          <w:rStyle w:val="Appelnotedebasdep"/>
        </w:rPr>
        <w:footnoteRef/>
      </w:r>
      <w:r>
        <w:t xml:space="preserve"> </w:t>
      </w:r>
      <w:r>
        <w:tab/>
      </w:r>
      <w:r w:rsidRPr="00EC50AF">
        <w:rPr>
          <w:i/>
          <w:color w:val="000000"/>
          <w:szCs w:val="18"/>
        </w:rPr>
        <w:t>Ibidem</w:t>
      </w:r>
      <w:r w:rsidRPr="00EC50AF">
        <w:rPr>
          <w:color w:val="000000"/>
          <w:szCs w:val="18"/>
        </w:rPr>
        <w:t>, p. 568.</w:t>
      </w:r>
    </w:p>
  </w:footnote>
  <w:footnote w:id="179">
    <w:p w14:paraId="4774E7C6"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568.</w:t>
      </w:r>
    </w:p>
  </w:footnote>
  <w:footnote w:id="180">
    <w:p w14:paraId="6AEC65AD"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573. À noter que le code de valeurs dont il s’agit est une particul</w:t>
      </w:r>
      <w:r w:rsidRPr="00EC50AF">
        <w:rPr>
          <w:color w:val="000000"/>
          <w:szCs w:val="18"/>
        </w:rPr>
        <w:t>a</w:t>
      </w:r>
      <w:r w:rsidRPr="00EC50AF">
        <w:rPr>
          <w:color w:val="000000"/>
          <w:szCs w:val="18"/>
        </w:rPr>
        <w:t>rité occidentale puisqu’il en va différemment de la Chine (cf</w:t>
      </w:r>
      <w:r w:rsidRPr="00EC50AF">
        <w:rPr>
          <w:i/>
          <w:color w:val="000000"/>
          <w:szCs w:val="18"/>
        </w:rPr>
        <w:t xml:space="preserve">. supra </w:t>
      </w:r>
      <w:r w:rsidRPr="00EC50AF">
        <w:rPr>
          <w:color w:val="000000"/>
          <w:szCs w:val="18"/>
        </w:rPr>
        <w:t>note 2</w:t>
      </w:r>
      <w:r w:rsidRPr="00EC50AF">
        <w:rPr>
          <w:i/>
          <w:color w:val="000000"/>
          <w:szCs w:val="18"/>
        </w:rPr>
        <w:t xml:space="preserve"> </w:t>
      </w:r>
      <w:r w:rsidRPr="00EC50AF">
        <w:rPr>
          <w:color w:val="000000"/>
          <w:szCs w:val="18"/>
        </w:rPr>
        <w:t>: « Introduction critique… »).</w:t>
      </w:r>
    </w:p>
  </w:footnote>
  <w:footnote w:id="181">
    <w:p w14:paraId="0A059A62"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809.</w:t>
      </w:r>
    </w:p>
  </w:footnote>
  <w:footnote w:id="182">
    <w:p w14:paraId="140050E2"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603.</w:t>
      </w:r>
    </w:p>
  </w:footnote>
  <w:footnote w:id="183">
    <w:p w14:paraId="6B2BB92D"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 p. 561.</w:t>
      </w:r>
    </w:p>
  </w:footnote>
  <w:footnote w:id="184">
    <w:p w14:paraId="076BF3B4" w14:textId="77777777" w:rsidR="00B01930" w:rsidRDefault="00B01930">
      <w:pPr>
        <w:pStyle w:val="Notedebasdepage"/>
      </w:pPr>
      <w:r>
        <w:rPr>
          <w:rStyle w:val="Appelnotedebasdep"/>
        </w:rPr>
        <w:footnoteRef/>
      </w:r>
      <w:r>
        <w:t xml:space="preserve"> </w:t>
      </w:r>
      <w:r>
        <w:tab/>
      </w:r>
      <w:r w:rsidRPr="00EC50AF">
        <w:rPr>
          <w:i/>
          <w:color w:val="000000"/>
          <w:szCs w:val="18"/>
        </w:rPr>
        <w:t>Ibidem</w:t>
      </w:r>
      <w:r w:rsidRPr="00EC50AF">
        <w:rPr>
          <w:color w:val="000000"/>
          <w:szCs w:val="18"/>
        </w:rPr>
        <w:t>, p. 562.</w:t>
      </w:r>
    </w:p>
  </w:footnote>
  <w:footnote w:id="185">
    <w:p w14:paraId="5370F9B6"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562.</w:t>
      </w:r>
    </w:p>
  </w:footnote>
  <w:footnote w:id="186">
    <w:p w14:paraId="3028933C" w14:textId="77777777" w:rsidR="00B01930" w:rsidRDefault="00B01930">
      <w:pPr>
        <w:pStyle w:val="Notedebasdepage"/>
      </w:pPr>
      <w:r>
        <w:rPr>
          <w:rStyle w:val="Appelnotedebasdep"/>
        </w:rPr>
        <w:footnoteRef/>
      </w:r>
      <w:r>
        <w:t xml:space="preserve"> </w:t>
      </w:r>
      <w:r>
        <w:tab/>
      </w:r>
      <w:r w:rsidRPr="00EC50AF">
        <w:rPr>
          <w:i/>
          <w:color w:val="000000"/>
          <w:szCs w:val="18"/>
        </w:rPr>
        <w:t>Ibid.</w:t>
      </w:r>
    </w:p>
  </w:footnote>
  <w:footnote w:id="187">
    <w:p w14:paraId="1FA52FA7" w14:textId="77777777" w:rsidR="00B01930" w:rsidRDefault="00B01930">
      <w:pPr>
        <w:pStyle w:val="Notedebasdepage"/>
      </w:pPr>
      <w:r>
        <w:rPr>
          <w:rStyle w:val="Appelnotedebasdep"/>
        </w:rPr>
        <w:footnoteRef/>
      </w:r>
      <w:r>
        <w:t xml:space="preserve"> </w:t>
      </w:r>
      <w:r>
        <w:tab/>
      </w:r>
      <w:r w:rsidRPr="00EC50AF">
        <w:rPr>
          <w:i/>
          <w:color w:val="000000"/>
          <w:szCs w:val="18"/>
        </w:rPr>
        <w:t>Ibid.</w:t>
      </w:r>
    </w:p>
  </w:footnote>
  <w:footnote w:id="188">
    <w:p w14:paraId="1F21DEC1"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564.</w:t>
      </w:r>
    </w:p>
  </w:footnote>
  <w:footnote w:id="189">
    <w:p w14:paraId="716B57B8"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565.</w:t>
      </w:r>
    </w:p>
  </w:footnote>
  <w:footnote w:id="190">
    <w:p w14:paraId="3E11243B" w14:textId="77777777" w:rsidR="00B01930" w:rsidRDefault="00B01930">
      <w:pPr>
        <w:pStyle w:val="Notedebasdepage"/>
      </w:pPr>
      <w:r>
        <w:rPr>
          <w:rStyle w:val="Appelnotedebasdep"/>
        </w:rPr>
        <w:footnoteRef/>
      </w:r>
      <w:r>
        <w:t xml:space="preserve"> </w:t>
      </w:r>
      <w:r>
        <w:tab/>
      </w:r>
      <w:r w:rsidRPr="00EC50AF">
        <w:rPr>
          <w:i/>
          <w:color w:val="000000"/>
          <w:szCs w:val="18"/>
        </w:rPr>
        <w:t>Les Grilles de….</w:t>
      </w:r>
      <w:r w:rsidRPr="00EC50AF">
        <w:rPr>
          <w:color w:val="000000"/>
          <w:szCs w:val="18"/>
        </w:rPr>
        <w:t>, p. 592. À noter que, comme le souligne Jean-Louis Martres, suprême par</w:t>
      </w:r>
      <w:r w:rsidRPr="00EC50AF">
        <w:rPr>
          <w:color w:val="000000"/>
          <w:szCs w:val="18"/>
        </w:rPr>
        <w:t>a</w:t>
      </w:r>
      <w:r w:rsidRPr="00EC50AF">
        <w:rPr>
          <w:color w:val="000000"/>
          <w:szCs w:val="18"/>
        </w:rPr>
        <w:t>doxe, « </w:t>
      </w:r>
      <w:r w:rsidRPr="00EC50AF">
        <w:rPr>
          <w:i/>
          <w:color w:val="000000"/>
          <w:szCs w:val="18"/>
        </w:rPr>
        <w:t>l’Occident métaphysique débouchera sur la technique et la puissance, alors que la Chine, pétrie de matérialisme fonctionnaliste, pe</w:t>
      </w:r>
      <w:r w:rsidRPr="00EC50AF">
        <w:rPr>
          <w:i/>
          <w:color w:val="000000"/>
          <w:szCs w:val="18"/>
        </w:rPr>
        <w:t>r</w:t>
      </w:r>
      <w:r w:rsidRPr="00EC50AF">
        <w:rPr>
          <w:i/>
          <w:color w:val="000000"/>
          <w:szCs w:val="18"/>
        </w:rPr>
        <w:t>dra</w:t>
      </w:r>
      <w:r w:rsidRPr="00EC50AF">
        <w:rPr>
          <w:color w:val="000000"/>
          <w:szCs w:val="18"/>
        </w:rPr>
        <w:t xml:space="preserve"> </w:t>
      </w:r>
      <w:r w:rsidRPr="00EC50AF">
        <w:rPr>
          <w:i/>
          <w:color w:val="000000"/>
          <w:szCs w:val="18"/>
        </w:rPr>
        <w:t>d’un coup sous les Tsing la clé matérielle du pouvoir </w:t>
      </w:r>
      <w:r w:rsidRPr="00EC50AF">
        <w:rPr>
          <w:color w:val="000000"/>
          <w:szCs w:val="18"/>
        </w:rPr>
        <w:t>». (NB Tsing, ou s</w:t>
      </w:r>
      <w:r w:rsidRPr="00EC50AF">
        <w:rPr>
          <w:color w:val="000000"/>
          <w:szCs w:val="18"/>
        </w:rPr>
        <w:t>e</w:t>
      </w:r>
      <w:r w:rsidRPr="00EC50AF">
        <w:rPr>
          <w:color w:val="000000"/>
          <w:szCs w:val="18"/>
        </w:rPr>
        <w:t>lon la tran</w:t>
      </w:r>
      <w:r w:rsidRPr="00EC50AF">
        <w:rPr>
          <w:color w:val="000000"/>
          <w:szCs w:val="18"/>
        </w:rPr>
        <w:t>s</w:t>
      </w:r>
      <w:r w:rsidRPr="00EC50AF">
        <w:rPr>
          <w:color w:val="000000"/>
          <w:szCs w:val="18"/>
        </w:rPr>
        <w:t>cription : T’sin, ou Qin).</w:t>
      </w:r>
    </w:p>
  </w:footnote>
  <w:footnote w:id="191">
    <w:p w14:paraId="32A7C4F9"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 p. 598.</w:t>
      </w:r>
    </w:p>
  </w:footnote>
  <w:footnote w:id="192">
    <w:p w14:paraId="693C609E" w14:textId="77777777" w:rsidR="00B01930" w:rsidRDefault="00B01930">
      <w:pPr>
        <w:pStyle w:val="Notedebasdepage"/>
      </w:pPr>
      <w:r>
        <w:rPr>
          <w:rStyle w:val="Appelnotedebasdep"/>
        </w:rPr>
        <w:footnoteRef/>
      </w:r>
      <w:r>
        <w:t xml:space="preserve"> </w:t>
      </w:r>
      <w:r>
        <w:tab/>
      </w:r>
      <w:r w:rsidRPr="00EC50AF">
        <w:rPr>
          <w:i/>
          <w:color w:val="000000"/>
          <w:szCs w:val="18"/>
        </w:rPr>
        <w:t>Ibidem</w:t>
      </w:r>
      <w:r>
        <w:rPr>
          <w:i/>
          <w:color w:val="000000"/>
          <w:szCs w:val="18"/>
        </w:rPr>
        <w:t>.</w:t>
      </w:r>
    </w:p>
  </w:footnote>
  <w:footnote w:id="193">
    <w:p w14:paraId="4C537746" w14:textId="77777777" w:rsidR="00B01930" w:rsidRDefault="00B01930">
      <w:pPr>
        <w:pStyle w:val="Notedebasdepage"/>
      </w:pPr>
      <w:r>
        <w:rPr>
          <w:rStyle w:val="Appelnotedebasdep"/>
        </w:rPr>
        <w:footnoteRef/>
      </w:r>
      <w:r>
        <w:t xml:space="preserve"> </w:t>
      </w:r>
      <w:r>
        <w:tab/>
      </w:r>
      <w:r w:rsidRPr="00EC50AF">
        <w:rPr>
          <w:i/>
          <w:color w:val="000000"/>
          <w:szCs w:val="18"/>
        </w:rPr>
        <w:t>Ibid.</w:t>
      </w:r>
    </w:p>
  </w:footnote>
  <w:footnote w:id="194">
    <w:p w14:paraId="39138528" w14:textId="77777777" w:rsidR="00B01930" w:rsidRDefault="00B01930">
      <w:pPr>
        <w:pStyle w:val="Notedebasdepage"/>
      </w:pPr>
      <w:r>
        <w:rPr>
          <w:rStyle w:val="Appelnotedebasdep"/>
        </w:rPr>
        <w:footnoteRef/>
      </w:r>
      <w:r>
        <w:t xml:space="preserve"> </w:t>
      </w:r>
      <w:r>
        <w:tab/>
      </w:r>
      <w:r w:rsidRPr="00EC50AF">
        <w:rPr>
          <w:color w:val="000000"/>
          <w:szCs w:val="18"/>
        </w:rPr>
        <w:t xml:space="preserve">Progrès, espoir, militantisme, </w:t>
      </w:r>
      <w:r w:rsidRPr="00EC50AF">
        <w:rPr>
          <w:i/>
          <w:color w:val="000000"/>
          <w:szCs w:val="18"/>
        </w:rPr>
        <w:t>etc.</w:t>
      </w:r>
      <w:r w:rsidRPr="00EC50AF">
        <w:rPr>
          <w:color w:val="000000"/>
          <w:szCs w:val="18"/>
        </w:rPr>
        <w:t>, sont les corollaires de cette vision.</w:t>
      </w:r>
    </w:p>
  </w:footnote>
  <w:footnote w:id="195">
    <w:p w14:paraId="3CE8295F"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 p. 619.</w:t>
      </w:r>
    </w:p>
  </w:footnote>
  <w:footnote w:id="196">
    <w:p w14:paraId="3187F32F"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620.</w:t>
      </w:r>
    </w:p>
  </w:footnote>
  <w:footnote w:id="197">
    <w:p w14:paraId="47892B77"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 p. 602.</w:t>
      </w:r>
    </w:p>
  </w:footnote>
  <w:footnote w:id="198">
    <w:p w14:paraId="74554274" w14:textId="77777777" w:rsidR="00B01930" w:rsidRDefault="00B01930">
      <w:pPr>
        <w:pStyle w:val="Notedebasdepage"/>
      </w:pPr>
      <w:r>
        <w:rPr>
          <w:rStyle w:val="Appelnotedebasdep"/>
        </w:rPr>
        <w:footnoteRef/>
      </w:r>
      <w:r>
        <w:t xml:space="preserve"> </w:t>
      </w:r>
      <w:r>
        <w:tab/>
      </w:r>
      <w:r w:rsidRPr="00EC50AF">
        <w:rPr>
          <w:color w:val="000000"/>
          <w:szCs w:val="18"/>
        </w:rPr>
        <w:t>Avertissement : à partir d’ici, notre texte, hormis les citations issues du livre de Jean-Louis Martres, s’appuie sur le cours (1973-1976) mis en forme, à sa dema</w:t>
      </w:r>
      <w:r w:rsidRPr="00EC50AF">
        <w:rPr>
          <w:color w:val="000000"/>
          <w:szCs w:val="18"/>
        </w:rPr>
        <w:t>n</w:t>
      </w:r>
      <w:r w:rsidRPr="00EC50AF">
        <w:rPr>
          <w:color w:val="000000"/>
          <w:szCs w:val="18"/>
        </w:rPr>
        <w:t>de, par nos soins entre 1975 et 1976, suite à la remise de ses notes et supports de cours, auxquels nous avions ajoutés nos propres notes, références et citations, le tout lui ayant été remis en 1976 (voir</w:t>
      </w:r>
      <w:r w:rsidRPr="00EC50AF">
        <w:rPr>
          <w:i/>
          <w:color w:val="000000"/>
          <w:szCs w:val="18"/>
        </w:rPr>
        <w:t xml:space="preserve"> « introduction crit</w:t>
      </w:r>
      <w:r w:rsidRPr="00EC50AF">
        <w:rPr>
          <w:i/>
          <w:color w:val="000000"/>
          <w:szCs w:val="18"/>
        </w:rPr>
        <w:t>i</w:t>
      </w:r>
      <w:r w:rsidRPr="00EC50AF">
        <w:rPr>
          <w:i/>
          <w:color w:val="000000"/>
          <w:szCs w:val="18"/>
        </w:rPr>
        <w:t>que… » supra</w:t>
      </w:r>
      <w:r w:rsidRPr="00EC50AF">
        <w:rPr>
          <w:color w:val="000000"/>
          <w:szCs w:val="18"/>
        </w:rPr>
        <w:t xml:space="preserve"> note </w:t>
      </w:r>
      <w:r w:rsidRPr="00EC50AF">
        <w:rPr>
          <w:color w:val="000000"/>
        </w:rPr>
        <w:t>2).</w:t>
      </w:r>
      <w:r w:rsidRPr="00EC50AF">
        <w:rPr>
          <w:color w:val="000000"/>
          <w:szCs w:val="18"/>
        </w:rPr>
        <w:t xml:space="preserve"> En effet ce cours nous a semblé plus approprié, car plus didactique, pour une </w:t>
      </w:r>
      <w:r w:rsidRPr="00EC50AF">
        <w:rPr>
          <w:i/>
          <w:color w:val="000000"/>
          <w:szCs w:val="18"/>
        </w:rPr>
        <w:t>introdu</w:t>
      </w:r>
      <w:r w:rsidRPr="00EC50AF">
        <w:rPr>
          <w:i/>
          <w:color w:val="000000"/>
          <w:szCs w:val="18"/>
        </w:rPr>
        <w:t>c</w:t>
      </w:r>
      <w:r w:rsidRPr="00EC50AF">
        <w:rPr>
          <w:i/>
          <w:color w:val="000000"/>
          <w:szCs w:val="18"/>
        </w:rPr>
        <w:t xml:space="preserve">tion </w:t>
      </w:r>
      <w:r w:rsidRPr="00EC50AF">
        <w:rPr>
          <w:color w:val="000000"/>
          <w:szCs w:val="18"/>
        </w:rPr>
        <w:t>au changement des idées politiques dans la pensée martrienne ; le livre était impossible à restituer dans toute sa complex</w:t>
      </w:r>
      <w:r w:rsidRPr="00EC50AF">
        <w:rPr>
          <w:color w:val="000000"/>
          <w:szCs w:val="18"/>
        </w:rPr>
        <w:t>i</w:t>
      </w:r>
      <w:r w:rsidRPr="00EC50AF">
        <w:rPr>
          <w:color w:val="000000"/>
          <w:szCs w:val="18"/>
        </w:rPr>
        <w:t>té au risque d’en perdre toute la richesse d’écriture, sauf à citer l’intégralité de son texte !</w:t>
      </w:r>
    </w:p>
  </w:footnote>
  <w:footnote w:id="199">
    <w:p w14:paraId="05E34E43"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 p. 681.</w:t>
      </w:r>
    </w:p>
  </w:footnote>
  <w:footnote w:id="200">
    <w:p w14:paraId="7C3E0607" w14:textId="77777777" w:rsidR="00B01930" w:rsidRDefault="00B01930">
      <w:pPr>
        <w:pStyle w:val="Notedebasdepage"/>
      </w:pPr>
      <w:r>
        <w:rPr>
          <w:rStyle w:val="Appelnotedebasdep"/>
        </w:rPr>
        <w:footnoteRef/>
      </w:r>
      <w:r>
        <w:t xml:space="preserve"> </w:t>
      </w:r>
      <w:r>
        <w:tab/>
      </w:r>
      <w:r w:rsidRPr="00EC50AF">
        <w:rPr>
          <w:i/>
          <w:color w:val="000000"/>
          <w:szCs w:val="18"/>
        </w:rPr>
        <w:t>Ibidem</w:t>
      </w:r>
      <w:r w:rsidRPr="00EC50AF">
        <w:rPr>
          <w:color w:val="000000"/>
          <w:szCs w:val="18"/>
        </w:rPr>
        <w:t xml:space="preserve">, p. 685. Citons aussi, comme archétype, </w:t>
      </w:r>
      <w:r w:rsidRPr="00EC50AF">
        <w:rPr>
          <w:i/>
          <w:color w:val="000000"/>
          <w:szCs w:val="18"/>
        </w:rPr>
        <w:t>La cité du soleil</w:t>
      </w:r>
      <w:r w:rsidRPr="00EC50AF">
        <w:rPr>
          <w:color w:val="000000"/>
          <w:szCs w:val="18"/>
        </w:rPr>
        <w:t>, de To</w:t>
      </w:r>
      <w:r w:rsidRPr="00EC50AF">
        <w:rPr>
          <w:color w:val="000000"/>
          <w:szCs w:val="18"/>
        </w:rPr>
        <w:t>m</w:t>
      </w:r>
      <w:r w:rsidRPr="00EC50AF">
        <w:rPr>
          <w:color w:val="000000"/>
          <w:szCs w:val="18"/>
        </w:rPr>
        <w:t>maso Campanella.</w:t>
      </w:r>
    </w:p>
  </w:footnote>
  <w:footnote w:id="201">
    <w:p w14:paraId="727A2264"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 p. 684.</w:t>
      </w:r>
    </w:p>
  </w:footnote>
  <w:footnote w:id="202">
    <w:p w14:paraId="52864D3D"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 p. 686-687 ; quant à ses modes de manifestation, Jean-Louis Ma</w:t>
      </w:r>
      <w:r w:rsidRPr="00EC50AF">
        <w:rPr>
          <w:color w:val="000000"/>
          <w:szCs w:val="18"/>
        </w:rPr>
        <w:t>r</w:t>
      </w:r>
      <w:r w:rsidRPr="00EC50AF">
        <w:rPr>
          <w:color w:val="000000"/>
          <w:szCs w:val="18"/>
        </w:rPr>
        <w:t>tres souligne que l’utopie « n’est pas prisonnière du livre, elle peut choisir d’autres modes de manifestation » ; comme par e</w:t>
      </w:r>
      <w:r w:rsidRPr="00EC50AF">
        <w:rPr>
          <w:color w:val="000000"/>
          <w:szCs w:val="18"/>
        </w:rPr>
        <w:t>x</w:t>
      </w:r>
      <w:r w:rsidRPr="00EC50AF">
        <w:rPr>
          <w:color w:val="000000"/>
          <w:szCs w:val="18"/>
        </w:rPr>
        <w:t xml:space="preserve">emples l’Art, ou, au </w:t>
      </w:r>
      <w:r w:rsidRPr="00EC50AF">
        <w:rPr>
          <w:rFonts w:eastAsia="Arial Unicode MS"/>
          <w:smallCaps/>
          <w:color w:val="000000"/>
          <w:szCs w:val="18"/>
        </w:rPr>
        <w:t>xx</w:t>
      </w:r>
      <w:r w:rsidRPr="00EC50AF">
        <w:rPr>
          <w:rFonts w:eastAsia="Arial Unicode MS"/>
          <w:color w:val="000000"/>
          <w:szCs w:val="18"/>
          <w:vertAlign w:val="superscript"/>
        </w:rPr>
        <w:t>e</w:t>
      </w:r>
      <w:r w:rsidRPr="00EC50AF">
        <w:rPr>
          <w:color w:val="000000"/>
          <w:szCs w:val="18"/>
        </w:rPr>
        <w:t xml:space="preserve"> siècle – notamment – la science-fiction.</w:t>
      </w:r>
    </w:p>
  </w:footnote>
  <w:footnote w:id="203">
    <w:p w14:paraId="054E0131" w14:textId="77777777" w:rsidR="00B01930" w:rsidRDefault="00B01930">
      <w:pPr>
        <w:pStyle w:val="Notedebasdepage"/>
      </w:pPr>
      <w:r>
        <w:rPr>
          <w:rStyle w:val="Appelnotedebasdep"/>
        </w:rPr>
        <w:footnoteRef/>
      </w:r>
      <w:r>
        <w:t xml:space="preserve"> </w:t>
      </w:r>
      <w:r>
        <w:tab/>
      </w:r>
      <w:r w:rsidRPr="00EC50AF">
        <w:rPr>
          <w:color w:val="000000"/>
          <w:szCs w:val="18"/>
        </w:rPr>
        <w:t>Sur cette notion, Cf.</w:t>
      </w:r>
      <w:r w:rsidRPr="00EC50AF">
        <w:rPr>
          <w:i/>
          <w:color w:val="000000"/>
          <w:szCs w:val="18"/>
        </w:rPr>
        <w:t xml:space="preserve"> supra </w:t>
      </w:r>
      <w:r w:rsidRPr="00EC50AF">
        <w:rPr>
          <w:color w:val="000000"/>
          <w:szCs w:val="18"/>
        </w:rPr>
        <w:t>note 2</w:t>
      </w:r>
      <w:r w:rsidRPr="00EC50AF">
        <w:rPr>
          <w:i/>
          <w:color w:val="000000"/>
          <w:szCs w:val="18"/>
        </w:rPr>
        <w:t>,</w:t>
      </w:r>
      <w:r w:rsidRPr="00EC50AF">
        <w:rPr>
          <w:color w:val="000000"/>
          <w:szCs w:val="18"/>
        </w:rPr>
        <w:t xml:space="preserve"> « Introduction critique…, ».</w:t>
      </w:r>
    </w:p>
  </w:footnote>
  <w:footnote w:id="204">
    <w:p w14:paraId="1C907B16" w14:textId="77777777" w:rsidR="00B01930" w:rsidRDefault="00B01930">
      <w:pPr>
        <w:pStyle w:val="Notedebasdepage"/>
      </w:pPr>
      <w:r>
        <w:rPr>
          <w:rStyle w:val="Appelnotedebasdep"/>
        </w:rPr>
        <w:footnoteRef/>
      </w:r>
      <w:r>
        <w:t xml:space="preserve"> </w:t>
      </w:r>
      <w:r>
        <w:tab/>
      </w:r>
      <w:r w:rsidRPr="00EC50AF">
        <w:rPr>
          <w:color w:val="000000"/>
          <w:szCs w:val="18"/>
        </w:rPr>
        <w:t>Mais simultanément on relève sous la plume des doctrinaires calvinistes la recherche de contr</w:t>
      </w:r>
      <w:r w:rsidRPr="00EC50AF">
        <w:rPr>
          <w:color w:val="000000"/>
          <w:szCs w:val="18"/>
        </w:rPr>
        <w:t>e</w:t>
      </w:r>
      <w:r w:rsidRPr="00EC50AF">
        <w:rPr>
          <w:color w:val="000000"/>
          <w:szCs w:val="18"/>
        </w:rPr>
        <w:t>poids à ce pouvoir absolu qui va s’exprimer sous la forme du Tyrannicide. Moyen d’engager la responsabilité du monarque. Mais do</w:t>
      </w:r>
      <w:r w:rsidRPr="00EC50AF">
        <w:rPr>
          <w:color w:val="000000"/>
          <w:szCs w:val="18"/>
        </w:rPr>
        <w:t>n</w:t>
      </w:r>
      <w:r w:rsidRPr="00EC50AF">
        <w:rPr>
          <w:color w:val="000000"/>
          <w:szCs w:val="18"/>
        </w:rPr>
        <w:t>ner la mort par assassinat est un acte en contradiction avec la morale. Par cons</w:t>
      </w:r>
      <w:r w:rsidRPr="00EC50AF">
        <w:rPr>
          <w:color w:val="000000"/>
          <w:szCs w:val="18"/>
        </w:rPr>
        <w:t>é</w:t>
      </w:r>
      <w:r w:rsidRPr="00EC50AF">
        <w:rPr>
          <w:color w:val="000000"/>
          <w:szCs w:val="18"/>
        </w:rPr>
        <w:t>quent il faut changer la qualité de la victime. On ne peut tuer que les individus qui portent atteinte au Bien et commettent le Mal. Tuer les mauvais princes dev</w:t>
      </w:r>
      <w:r w:rsidRPr="00EC50AF">
        <w:rPr>
          <w:color w:val="000000"/>
          <w:szCs w:val="18"/>
        </w:rPr>
        <w:t>i</w:t>
      </w:r>
      <w:r w:rsidRPr="00EC50AF">
        <w:rPr>
          <w:color w:val="000000"/>
          <w:szCs w:val="18"/>
        </w:rPr>
        <w:t>ent alors une bonne action. Cf. les traités monarchomaques (1560-1600) comme : le plus connu, </w:t>
      </w:r>
      <w:r w:rsidRPr="00EC50AF">
        <w:rPr>
          <w:i/>
          <w:color w:val="000000"/>
          <w:szCs w:val="18"/>
        </w:rPr>
        <w:t>Vindiciae contra Tyrannos</w:t>
      </w:r>
      <w:r w:rsidRPr="00EC50AF">
        <w:rPr>
          <w:color w:val="000000"/>
          <w:szCs w:val="18"/>
        </w:rPr>
        <w:t>, (1579), de Hubert Languet et – co-auteur pr</w:t>
      </w:r>
      <w:r w:rsidRPr="00EC50AF">
        <w:rPr>
          <w:color w:val="000000"/>
          <w:szCs w:val="18"/>
        </w:rPr>
        <w:t>é</w:t>
      </w:r>
      <w:r w:rsidRPr="00EC50AF">
        <w:rPr>
          <w:color w:val="000000"/>
          <w:szCs w:val="18"/>
        </w:rPr>
        <w:t xml:space="preserve">sumé, Duplessis-Mornay – ; </w:t>
      </w:r>
      <w:r w:rsidRPr="00EC50AF">
        <w:rPr>
          <w:i/>
          <w:color w:val="000000"/>
          <w:szCs w:val="18"/>
        </w:rPr>
        <w:t>La France Gaule</w:t>
      </w:r>
      <w:r w:rsidRPr="00EC50AF">
        <w:rPr>
          <w:color w:val="000000"/>
          <w:szCs w:val="18"/>
        </w:rPr>
        <w:t xml:space="preserve">, (1573), de François Hotman ; </w:t>
      </w:r>
      <w:r w:rsidRPr="00EC50AF">
        <w:rPr>
          <w:i/>
          <w:color w:val="000000"/>
          <w:szCs w:val="18"/>
        </w:rPr>
        <w:t>Du droit des magistrats sur leurs sujets</w:t>
      </w:r>
      <w:r w:rsidRPr="00EC50AF">
        <w:rPr>
          <w:color w:val="000000"/>
          <w:szCs w:val="18"/>
        </w:rPr>
        <w:t xml:space="preserve"> (1575), de Théod</w:t>
      </w:r>
      <w:r w:rsidRPr="00EC50AF">
        <w:rPr>
          <w:color w:val="000000"/>
          <w:szCs w:val="18"/>
        </w:rPr>
        <w:t>o</w:t>
      </w:r>
      <w:r w:rsidRPr="00EC50AF">
        <w:rPr>
          <w:color w:val="000000"/>
          <w:szCs w:val="18"/>
        </w:rPr>
        <w:t xml:space="preserve">re de Bèze ; </w:t>
      </w:r>
      <w:r w:rsidRPr="00EC50AF">
        <w:rPr>
          <w:i/>
          <w:color w:val="000000"/>
          <w:szCs w:val="18"/>
        </w:rPr>
        <w:t>De l’autorité du peuple sur le Prince</w:t>
      </w:r>
      <w:r w:rsidRPr="00EC50AF">
        <w:rPr>
          <w:color w:val="000000"/>
          <w:szCs w:val="18"/>
        </w:rPr>
        <w:t>, Philippe Duplessis-Mornay. Sur les monarchom</w:t>
      </w:r>
      <w:r w:rsidRPr="00EC50AF">
        <w:rPr>
          <w:color w:val="000000"/>
          <w:szCs w:val="18"/>
        </w:rPr>
        <w:t>a</w:t>
      </w:r>
      <w:r w:rsidRPr="00EC50AF">
        <w:rPr>
          <w:color w:val="000000"/>
          <w:szCs w:val="18"/>
        </w:rPr>
        <w:t xml:space="preserve">ques, voir, entre autres, Pallier Denis, recension du livre </w:t>
      </w:r>
      <w:r w:rsidRPr="00EC50AF">
        <w:rPr>
          <w:i/>
          <w:color w:val="000000"/>
          <w:szCs w:val="18"/>
        </w:rPr>
        <w:t>Stephanus Junius Brutus. Vindiciae co</w:t>
      </w:r>
      <w:r w:rsidRPr="00EC50AF">
        <w:rPr>
          <w:i/>
          <w:color w:val="000000"/>
          <w:szCs w:val="18"/>
        </w:rPr>
        <w:t>n</w:t>
      </w:r>
      <w:r w:rsidRPr="00EC50AF">
        <w:rPr>
          <w:i/>
          <w:color w:val="000000"/>
          <w:szCs w:val="18"/>
        </w:rPr>
        <w:t>tra tyrannos</w:t>
      </w:r>
      <w:r w:rsidRPr="00EC50AF">
        <w:rPr>
          <w:color w:val="000000"/>
          <w:szCs w:val="18"/>
        </w:rPr>
        <w:t xml:space="preserve">, traduction française de 1581, </w:t>
      </w:r>
      <w:hyperlink r:id="rId8" w:history="1">
        <w:r w:rsidRPr="00EC50AF">
          <w:rPr>
            <w:color w:val="000000"/>
            <w:szCs w:val="18"/>
          </w:rPr>
          <w:t>http://www.persee.fr/doc/bec_03736237_1980</w:t>
        </w:r>
      </w:hyperlink>
      <w:r w:rsidRPr="00EC50AF">
        <w:rPr>
          <w:color w:val="000000"/>
          <w:szCs w:val="18"/>
        </w:rPr>
        <w:t xml:space="preserve"> ; Jules Racine St-Jacques, </w:t>
      </w:r>
      <w:r w:rsidRPr="00EC50AF">
        <w:rPr>
          <w:i/>
          <w:color w:val="000000"/>
          <w:szCs w:val="18"/>
        </w:rPr>
        <w:t>De L’obéissance Calvinienne à la</w:t>
      </w:r>
      <w:r w:rsidRPr="00EC50AF">
        <w:rPr>
          <w:color w:val="000000"/>
          <w:szCs w:val="18"/>
        </w:rPr>
        <w:t xml:space="preserve"> </w:t>
      </w:r>
      <w:r w:rsidRPr="00EC50AF">
        <w:rPr>
          <w:i/>
          <w:color w:val="000000"/>
          <w:szCs w:val="18"/>
        </w:rPr>
        <w:t>Résistance Monarchomaque, Ap</w:t>
      </w:r>
      <w:r w:rsidRPr="00EC50AF">
        <w:rPr>
          <w:i/>
          <w:color w:val="000000"/>
          <w:szCs w:val="18"/>
        </w:rPr>
        <w:t>o</w:t>
      </w:r>
      <w:r w:rsidRPr="00EC50AF">
        <w:rPr>
          <w:i/>
          <w:color w:val="000000"/>
          <w:szCs w:val="18"/>
        </w:rPr>
        <w:t>logie de la violence politique dans les textes justificatifs des</w:t>
      </w:r>
      <w:r w:rsidRPr="00EC50AF">
        <w:rPr>
          <w:color w:val="000000"/>
          <w:szCs w:val="18"/>
        </w:rPr>
        <w:t xml:space="preserve"> </w:t>
      </w:r>
      <w:r w:rsidRPr="00EC50AF">
        <w:rPr>
          <w:i/>
          <w:color w:val="000000"/>
          <w:szCs w:val="18"/>
        </w:rPr>
        <w:t>insurgés calvini</w:t>
      </w:r>
      <w:r w:rsidRPr="00EC50AF">
        <w:rPr>
          <w:i/>
          <w:color w:val="000000"/>
          <w:szCs w:val="18"/>
        </w:rPr>
        <w:t>s</w:t>
      </w:r>
      <w:r w:rsidRPr="00EC50AF">
        <w:rPr>
          <w:i/>
          <w:color w:val="000000"/>
          <w:szCs w:val="18"/>
        </w:rPr>
        <w:t>tes de 1559 à 1581</w:t>
      </w:r>
      <w:r w:rsidRPr="00EC50AF">
        <w:rPr>
          <w:color w:val="000000"/>
          <w:szCs w:val="18"/>
        </w:rPr>
        <w:t>, mémoire de maîtrise d’Histoire, Université Laval, Qu</w:t>
      </w:r>
      <w:r w:rsidRPr="00EC50AF">
        <w:rPr>
          <w:color w:val="000000"/>
          <w:szCs w:val="18"/>
        </w:rPr>
        <w:t>é</w:t>
      </w:r>
      <w:r w:rsidRPr="00EC50AF">
        <w:rPr>
          <w:color w:val="000000"/>
          <w:szCs w:val="18"/>
        </w:rPr>
        <w:t>bec ; du même a</w:t>
      </w:r>
      <w:r w:rsidRPr="00EC50AF">
        <w:rPr>
          <w:color w:val="000000"/>
          <w:szCs w:val="18"/>
        </w:rPr>
        <w:t>u</w:t>
      </w:r>
      <w:r w:rsidRPr="00EC50AF">
        <w:rPr>
          <w:color w:val="000000"/>
          <w:szCs w:val="18"/>
        </w:rPr>
        <w:t xml:space="preserve">teur : </w:t>
      </w:r>
      <w:r w:rsidRPr="00EC50AF">
        <w:rPr>
          <w:i/>
          <w:color w:val="000000"/>
          <w:szCs w:val="18"/>
        </w:rPr>
        <w:t>Un monarchomaque avant le massacre ? La pensée politique de jean de Coras (1570)</w:t>
      </w:r>
      <w:r w:rsidRPr="00EC50AF">
        <w:rPr>
          <w:color w:val="000000"/>
          <w:szCs w:val="18"/>
        </w:rPr>
        <w:t xml:space="preserve"> ; Tatiana Debbagi Baranova, « Recension du livre de Paul-Alexis Mellet, </w:t>
      </w:r>
      <w:r w:rsidRPr="00EC50AF">
        <w:rPr>
          <w:i/>
          <w:iCs/>
          <w:color w:val="000000"/>
          <w:szCs w:val="18"/>
        </w:rPr>
        <w:t>Les traités monarchomaques. Confusion des</w:t>
      </w:r>
      <w:r w:rsidRPr="00EC50AF">
        <w:rPr>
          <w:bCs/>
          <w:i/>
          <w:color w:val="000000"/>
          <w:szCs w:val="18"/>
        </w:rPr>
        <w:t xml:space="preserve"> </w:t>
      </w:r>
      <w:r w:rsidRPr="00EC50AF">
        <w:rPr>
          <w:i/>
          <w:iCs/>
          <w:color w:val="000000"/>
          <w:szCs w:val="18"/>
        </w:rPr>
        <w:t>temps, résistance armée et</w:t>
      </w:r>
      <w:r w:rsidRPr="00EC50AF">
        <w:rPr>
          <w:iCs/>
          <w:color w:val="000000"/>
          <w:szCs w:val="18"/>
        </w:rPr>
        <w:t xml:space="preserve"> </w:t>
      </w:r>
      <w:r w:rsidRPr="00EC50AF">
        <w:rPr>
          <w:i/>
          <w:iCs/>
          <w:color w:val="000000"/>
          <w:szCs w:val="18"/>
        </w:rPr>
        <w:t>mona</w:t>
      </w:r>
      <w:r w:rsidRPr="00EC50AF">
        <w:rPr>
          <w:i/>
          <w:iCs/>
          <w:color w:val="000000"/>
          <w:szCs w:val="18"/>
        </w:rPr>
        <w:t>r</w:t>
      </w:r>
      <w:r w:rsidRPr="00EC50AF">
        <w:rPr>
          <w:i/>
          <w:iCs/>
          <w:color w:val="000000"/>
          <w:szCs w:val="18"/>
        </w:rPr>
        <w:t>chie parfaite</w:t>
      </w:r>
      <w:r w:rsidRPr="00EC50AF">
        <w:rPr>
          <w:bCs/>
          <w:i/>
          <w:color w:val="000000"/>
          <w:szCs w:val="18"/>
        </w:rPr>
        <w:t xml:space="preserve"> </w:t>
      </w:r>
      <w:r w:rsidRPr="00EC50AF">
        <w:rPr>
          <w:i/>
          <w:iCs/>
          <w:color w:val="000000"/>
          <w:szCs w:val="18"/>
        </w:rPr>
        <w:t>(1560-1600)</w:t>
      </w:r>
      <w:r w:rsidRPr="00EC50AF">
        <w:rPr>
          <w:color w:val="000000"/>
          <w:szCs w:val="18"/>
        </w:rPr>
        <w:t>, Genève, Droz, 2007 », Editions de l’EHESS, Annales, Histoire, Sciences Sociales, n° 5, 2008, notons que Tatiana Debbagi Baranova écrit, en conclusion de sa rece</w:t>
      </w:r>
      <w:r w:rsidRPr="00EC50AF">
        <w:rPr>
          <w:color w:val="000000"/>
          <w:szCs w:val="18"/>
        </w:rPr>
        <w:t>n</w:t>
      </w:r>
      <w:r w:rsidRPr="00EC50AF">
        <w:rPr>
          <w:color w:val="000000"/>
          <w:szCs w:val="18"/>
        </w:rPr>
        <w:t>sion, des lignes on ne peut plus « martriennes » : « Enfin, il serait intéressant de réfléchir sur le statut des “idées” politiques. Ne pourrait-on pas les consid</w:t>
      </w:r>
      <w:r w:rsidRPr="00EC50AF">
        <w:rPr>
          <w:color w:val="000000"/>
          <w:szCs w:val="18"/>
        </w:rPr>
        <w:t>é</w:t>
      </w:r>
      <w:r w:rsidRPr="00EC50AF">
        <w:rPr>
          <w:color w:val="000000"/>
          <w:szCs w:val="18"/>
        </w:rPr>
        <w:t>rer, à la fois, comme i</w:t>
      </w:r>
      <w:r w:rsidRPr="00EC50AF">
        <w:rPr>
          <w:color w:val="000000"/>
          <w:szCs w:val="18"/>
        </w:rPr>
        <w:t>n</w:t>
      </w:r>
      <w:r w:rsidRPr="00EC50AF">
        <w:rPr>
          <w:color w:val="000000"/>
          <w:szCs w:val="18"/>
        </w:rPr>
        <w:t>scrites dans un système d’argumentation (une théorie) et comme des unités plus ou moins autonomes qui impliquent une prise de p</w:t>
      </w:r>
      <w:r w:rsidRPr="00EC50AF">
        <w:rPr>
          <w:color w:val="000000"/>
          <w:szCs w:val="18"/>
        </w:rPr>
        <w:t>o</w:t>
      </w:r>
      <w:r w:rsidRPr="00EC50AF">
        <w:rPr>
          <w:color w:val="000000"/>
          <w:szCs w:val="18"/>
        </w:rPr>
        <w:t>sition sur un point précis mais qui sont capables de s’intégrer dans des raiso</w:t>
      </w:r>
      <w:r w:rsidRPr="00EC50AF">
        <w:rPr>
          <w:color w:val="000000"/>
          <w:szCs w:val="18"/>
        </w:rPr>
        <w:t>n</w:t>
      </w:r>
      <w:r w:rsidRPr="00EC50AF">
        <w:rPr>
          <w:color w:val="000000"/>
          <w:szCs w:val="18"/>
        </w:rPr>
        <w:t>nements très différents ? Dans le prolong</w:t>
      </w:r>
      <w:r w:rsidRPr="00EC50AF">
        <w:rPr>
          <w:color w:val="000000"/>
          <w:szCs w:val="18"/>
        </w:rPr>
        <w:t>e</w:t>
      </w:r>
      <w:r w:rsidRPr="00EC50AF">
        <w:rPr>
          <w:color w:val="000000"/>
          <w:szCs w:val="18"/>
        </w:rPr>
        <w:t>ment de la réflexion de l’auteur, on peut se demander si l’on ne pourrait parler davantage des idées que des traités mona</w:t>
      </w:r>
      <w:r w:rsidRPr="00EC50AF">
        <w:rPr>
          <w:color w:val="000000"/>
          <w:szCs w:val="18"/>
        </w:rPr>
        <w:t>r</w:t>
      </w:r>
      <w:r w:rsidRPr="00EC50AF">
        <w:rPr>
          <w:color w:val="000000"/>
          <w:szCs w:val="18"/>
        </w:rPr>
        <w:t>chomaques. » ; Monique Cottret, Tuer le</w:t>
      </w:r>
      <w:r w:rsidRPr="00EC50AF">
        <w:rPr>
          <w:i/>
          <w:color w:val="000000"/>
          <w:szCs w:val="18"/>
        </w:rPr>
        <w:t xml:space="preserve"> tyran ? le tyrannicide dans l’Europe</w:t>
      </w:r>
      <w:r w:rsidRPr="00EC50AF">
        <w:rPr>
          <w:color w:val="000000"/>
          <w:szCs w:val="18"/>
        </w:rPr>
        <w:t xml:space="preserve"> </w:t>
      </w:r>
      <w:r w:rsidRPr="00EC50AF">
        <w:rPr>
          <w:i/>
          <w:color w:val="000000"/>
          <w:szCs w:val="18"/>
        </w:rPr>
        <w:t>moderne</w:t>
      </w:r>
      <w:r w:rsidRPr="00EC50AF">
        <w:rPr>
          <w:color w:val="000000"/>
          <w:szCs w:val="18"/>
        </w:rPr>
        <w:t>, Paris, Fayard, 2009. On trouvera une réactualisation du t</w:t>
      </w:r>
      <w:r w:rsidRPr="00EC50AF">
        <w:rPr>
          <w:color w:val="000000"/>
          <w:szCs w:val="18"/>
        </w:rPr>
        <w:t>y</w:t>
      </w:r>
      <w:r w:rsidRPr="00EC50AF">
        <w:rPr>
          <w:color w:val="000000"/>
          <w:szCs w:val="18"/>
        </w:rPr>
        <w:t>rannicide à l’occasion des attentats contre le général de Gaulle lors de la fin de la guerre d’Algérie, notamment par Jean Bastien-Thiry, lieutenant-colonel, in</w:t>
      </w:r>
      <w:r w:rsidRPr="00EC50AF">
        <w:rPr>
          <w:i/>
          <w:color w:val="000000"/>
          <w:szCs w:val="18"/>
        </w:rPr>
        <w:t xml:space="preserve"> Procès de l’attentat du Petit-Clamart</w:t>
      </w:r>
      <w:r w:rsidRPr="00EC50AF">
        <w:rPr>
          <w:color w:val="000000"/>
          <w:szCs w:val="18"/>
        </w:rPr>
        <w:t xml:space="preserve">, </w:t>
      </w:r>
      <w:r w:rsidRPr="00EC50AF">
        <w:rPr>
          <w:i/>
          <w:color w:val="000000"/>
          <w:szCs w:val="18"/>
        </w:rPr>
        <w:t>compte rendu stén</w:t>
      </w:r>
      <w:r w:rsidRPr="00EC50AF">
        <w:rPr>
          <w:i/>
          <w:color w:val="000000"/>
          <w:szCs w:val="18"/>
        </w:rPr>
        <w:t>o</w:t>
      </w:r>
      <w:r w:rsidRPr="00EC50AF">
        <w:rPr>
          <w:i/>
          <w:color w:val="000000"/>
          <w:szCs w:val="18"/>
        </w:rPr>
        <w:t>graphique</w:t>
      </w:r>
      <w:r w:rsidRPr="00EC50AF">
        <w:rPr>
          <w:color w:val="000000"/>
          <w:szCs w:val="18"/>
        </w:rPr>
        <w:t xml:space="preserve">, 2 vol., Paris, éd. Albin Michel, 1963 ; Jean-Pax Méfret, </w:t>
      </w:r>
      <w:r w:rsidRPr="00EC50AF">
        <w:rPr>
          <w:i/>
          <w:color w:val="000000"/>
          <w:szCs w:val="18"/>
        </w:rPr>
        <w:t>Jusqu’au bout de l’Algérie française, Bastien-Thiry</w:t>
      </w:r>
      <w:r w:rsidRPr="00EC50AF">
        <w:rPr>
          <w:color w:val="000000"/>
          <w:szCs w:val="18"/>
        </w:rPr>
        <w:t>, Paris, Pygm</w:t>
      </w:r>
      <w:r w:rsidRPr="00EC50AF">
        <w:rPr>
          <w:color w:val="000000"/>
          <w:szCs w:val="18"/>
        </w:rPr>
        <w:t>a</w:t>
      </w:r>
      <w:r w:rsidRPr="00EC50AF">
        <w:rPr>
          <w:color w:val="000000"/>
          <w:szCs w:val="18"/>
        </w:rPr>
        <w:t>lion, 2007.</w:t>
      </w:r>
    </w:p>
  </w:footnote>
  <w:footnote w:id="205">
    <w:p w14:paraId="6DCEBD00"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 p. 688. Il suffit de penser aussi à une autre grande manifest</w:t>
      </w:r>
      <w:r w:rsidRPr="00EC50AF">
        <w:rPr>
          <w:color w:val="000000"/>
          <w:szCs w:val="18"/>
        </w:rPr>
        <w:t>a</w:t>
      </w:r>
      <w:r w:rsidRPr="00EC50AF">
        <w:rPr>
          <w:color w:val="000000"/>
          <w:szCs w:val="18"/>
        </w:rPr>
        <w:t>tion du code n° 1, l’Islam, impitoyable avec les hérésies qui l’ont parcouru, dont la plus connue et la plus ine</w:t>
      </w:r>
      <w:r w:rsidRPr="00EC50AF">
        <w:rPr>
          <w:color w:val="000000"/>
          <w:szCs w:val="18"/>
        </w:rPr>
        <w:t>x</w:t>
      </w:r>
      <w:r w:rsidRPr="00EC50AF">
        <w:rPr>
          <w:color w:val="000000"/>
          <w:szCs w:val="18"/>
        </w:rPr>
        <w:t>piable est la fracture sunnisme – chiisme.</w:t>
      </w:r>
    </w:p>
  </w:footnote>
  <w:footnote w:id="206">
    <w:p w14:paraId="2F35AA2D" w14:textId="77777777" w:rsidR="00B01930" w:rsidRDefault="00B01930">
      <w:pPr>
        <w:pStyle w:val="Notedebasdepage"/>
      </w:pPr>
      <w:r>
        <w:rPr>
          <w:rStyle w:val="Appelnotedebasdep"/>
        </w:rPr>
        <w:footnoteRef/>
      </w:r>
      <w:r>
        <w:t xml:space="preserve"> </w:t>
      </w:r>
      <w:r>
        <w:tab/>
      </w:r>
      <w:r w:rsidRPr="00EC50AF">
        <w:rPr>
          <w:i/>
          <w:color w:val="000000"/>
          <w:szCs w:val="18"/>
        </w:rPr>
        <w:t>Ibidem</w:t>
      </w:r>
      <w:r w:rsidRPr="00EC50AF">
        <w:rPr>
          <w:color w:val="000000"/>
          <w:szCs w:val="18"/>
        </w:rPr>
        <w:t>, p. 689. Comme le dit Jean-Louis Martres : « Tous n’ont pas le cara</w:t>
      </w:r>
      <w:r w:rsidRPr="00EC50AF">
        <w:rPr>
          <w:color w:val="000000"/>
          <w:szCs w:val="18"/>
        </w:rPr>
        <w:t>c</w:t>
      </w:r>
      <w:r w:rsidRPr="00EC50AF">
        <w:rPr>
          <w:color w:val="000000"/>
          <w:szCs w:val="18"/>
        </w:rPr>
        <w:t>tère spectac</w:t>
      </w:r>
      <w:r w:rsidRPr="00EC50AF">
        <w:rPr>
          <w:color w:val="000000"/>
          <w:szCs w:val="18"/>
        </w:rPr>
        <w:t>u</w:t>
      </w:r>
      <w:r w:rsidRPr="00EC50AF">
        <w:rPr>
          <w:color w:val="000000"/>
          <w:szCs w:val="18"/>
        </w:rPr>
        <w:t>laire, parfaitement clôturé dans un laps de temps déterminé comme la Révolution française. »</w:t>
      </w:r>
    </w:p>
  </w:footnote>
  <w:footnote w:id="207">
    <w:p w14:paraId="38CE5FE2" w14:textId="77777777" w:rsidR="00B01930" w:rsidRDefault="00B01930">
      <w:pPr>
        <w:pStyle w:val="Notedebasdepage"/>
      </w:pPr>
      <w:r>
        <w:rPr>
          <w:rStyle w:val="Appelnotedebasdep"/>
        </w:rPr>
        <w:footnoteRef/>
      </w:r>
      <w:r>
        <w:t xml:space="preserve"> </w:t>
      </w:r>
      <w:r>
        <w:tab/>
      </w:r>
      <w:r w:rsidRPr="00EC50AF">
        <w:rPr>
          <w:i/>
          <w:color w:val="000000"/>
          <w:szCs w:val="18"/>
        </w:rPr>
        <w:t>Trahison de l’Occident</w:t>
      </w:r>
      <w:r w:rsidRPr="00EC50AF">
        <w:rPr>
          <w:color w:val="000000"/>
          <w:szCs w:val="18"/>
        </w:rPr>
        <w:t>, Paris, Calmann-Lévy, 1975, p. 164.</w:t>
      </w:r>
    </w:p>
  </w:footnote>
  <w:footnote w:id="208">
    <w:p w14:paraId="60412B47" w14:textId="77777777" w:rsidR="00B01930" w:rsidRDefault="00B01930">
      <w:pPr>
        <w:pStyle w:val="Notedebasdepage"/>
      </w:pPr>
      <w:r>
        <w:rPr>
          <w:rStyle w:val="Appelnotedebasdep"/>
        </w:rPr>
        <w:footnoteRef/>
      </w:r>
      <w:r>
        <w:t xml:space="preserve"> </w:t>
      </w:r>
      <w:r>
        <w:tab/>
      </w:r>
      <w:r w:rsidRPr="00EC50AF">
        <w:rPr>
          <w:color w:val="000000"/>
          <w:szCs w:val="18"/>
        </w:rPr>
        <w:t xml:space="preserve">Sur toute cette problématique, à titre indicatif, citons : Lénine, </w:t>
      </w:r>
      <w:r w:rsidRPr="00EC50AF">
        <w:rPr>
          <w:i/>
          <w:color w:val="000000"/>
          <w:szCs w:val="18"/>
        </w:rPr>
        <w:t>Que faire ?,</w:t>
      </w:r>
      <w:r w:rsidRPr="00EC50AF">
        <w:rPr>
          <w:color w:val="000000"/>
          <w:szCs w:val="18"/>
        </w:rPr>
        <w:t xml:space="preserve"> Paris, Seuil, 1966 ; </w:t>
      </w:r>
      <w:r w:rsidRPr="00EC50AF">
        <w:rPr>
          <w:i/>
          <w:color w:val="000000"/>
          <w:szCs w:val="18"/>
        </w:rPr>
        <w:t>L’</w:t>
      </w:r>
      <w:r>
        <w:rPr>
          <w:i/>
          <w:color w:val="000000"/>
          <w:szCs w:val="18"/>
        </w:rPr>
        <w:t>État</w:t>
      </w:r>
      <w:r w:rsidRPr="00EC50AF">
        <w:rPr>
          <w:i/>
          <w:color w:val="000000"/>
          <w:szCs w:val="18"/>
        </w:rPr>
        <w:t xml:space="preserve"> et la révolution</w:t>
      </w:r>
      <w:r w:rsidRPr="00EC50AF">
        <w:rPr>
          <w:color w:val="000000"/>
          <w:szCs w:val="18"/>
        </w:rPr>
        <w:t xml:space="preserve">, Paris, Denoël, 1964 ; Trotski, </w:t>
      </w:r>
      <w:r w:rsidRPr="00EC50AF">
        <w:rPr>
          <w:i/>
          <w:color w:val="000000"/>
          <w:szCs w:val="18"/>
        </w:rPr>
        <w:t>Te</w:t>
      </w:r>
      <w:r w:rsidRPr="00EC50AF">
        <w:rPr>
          <w:i/>
          <w:color w:val="000000"/>
          <w:szCs w:val="18"/>
        </w:rPr>
        <w:t>r</w:t>
      </w:r>
      <w:r w:rsidRPr="00EC50AF">
        <w:rPr>
          <w:i/>
          <w:color w:val="000000"/>
          <w:szCs w:val="18"/>
        </w:rPr>
        <w:t>rorisme et communisme</w:t>
      </w:r>
      <w:r w:rsidRPr="00EC50AF">
        <w:rPr>
          <w:color w:val="000000"/>
          <w:szCs w:val="18"/>
        </w:rPr>
        <w:t xml:space="preserve">, Paris, UGE 10-18, 1963 ; </w:t>
      </w:r>
      <w:r w:rsidRPr="00EC50AF">
        <w:rPr>
          <w:i/>
          <w:color w:val="000000"/>
          <w:szCs w:val="18"/>
        </w:rPr>
        <w:t>La révolution permanente</w:t>
      </w:r>
      <w:r w:rsidRPr="00EC50AF">
        <w:rPr>
          <w:color w:val="000000"/>
          <w:szCs w:val="18"/>
        </w:rPr>
        <w:t xml:space="preserve">, Paris, Gallimard-idées, 1970 ; Mao Tse Toung, </w:t>
      </w:r>
      <w:r w:rsidRPr="00EC50AF">
        <w:rPr>
          <w:i/>
          <w:color w:val="000000"/>
          <w:szCs w:val="18"/>
        </w:rPr>
        <w:t>La guerre révolutionnaire</w:t>
      </w:r>
      <w:r w:rsidRPr="00EC50AF">
        <w:rPr>
          <w:color w:val="000000"/>
          <w:szCs w:val="18"/>
        </w:rPr>
        <w:t>, P</w:t>
      </w:r>
      <w:r w:rsidRPr="00EC50AF">
        <w:rPr>
          <w:color w:val="000000"/>
          <w:szCs w:val="18"/>
        </w:rPr>
        <w:t>a</w:t>
      </w:r>
      <w:r w:rsidRPr="00EC50AF">
        <w:rPr>
          <w:color w:val="000000"/>
          <w:szCs w:val="18"/>
        </w:rPr>
        <w:t xml:space="preserve">ris, UGE 10-18, 1962 ; Ernesto Che Guevara, </w:t>
      </w:r>
      <w:r w:rsidRPr="00EC50AF">
        <w:rPr>
          <w:i/>
          <w:color w:val="000000"/>
          <w:szCs w:val="18"/>
        </w:rPr>
        <w:t>La guerre de</w:t>
      </w:r>
      <w:r w:rsidRPr="00EC50AF">
        <w:rPr>
          <w:color w:val="000000"/>
          <w:szCs w:val="18"/>
        </w:rPr>
        <w:t xml:space="preserve"> </w:t>
      </w:r>
      <w:r w:rsidRPr="00EC50AF">
        <w:rPr>
          <w:i/>
          <w:color w:val="000000"/>
          <w:szCs w:val="18"/>
        </w:rPr>
        <w:t>guérilla</w:t>
      </w:r>
      <w:r w:rsidRPr="00EC50AF">
        <w:rPr>
          <w:color w:val="000000"/>
          <w:szCs w:val="18"/>
        </w:rPr>
        <w:t xml:space="preserve">, Paris, Maspero, 1967 ; </w:t>
      </w:r>
      <w:r w:rsidRPr="00EC50AF">
        <w:rPr>
          <w:i/>
          <w:color w:val="000000"/>
          <w:szCs w:val="18"/>
        </w:rPr>
        <w:t>Journal de Bolivie</w:t>
      </w:r>
      <w:r w:rsidRPr="00EC50AF">
        <w:rPr>
          <w:color w:val="000000"/>
          <w:szCs w:val="18"/>
        </w:rPr>
        <w:t xml:space="preserve">, Paris, Maspero, 1968 ; </w:t>
      </w:r>
      <w:r w:rsidRPr="00EC50AF">
        <w:rPr>
          <w:i/>
          <w:color w:val="000000"/>
          <w:szCs w:val="18"/>
        </w:rPr>
        <w:t>Œuvres révol</w:t>
      </w:r>
      <w:r w:rsidRPr="00EC50AF">
        <w:rPr>
          <w:i/>
          <w:color w:val="000000"/>
          <w:szCs w:val="18"/>
        </w:rPr>
        <w:t>u</w:t>
      </w:r>
      <w:r w:rsidRPr="00EC50AF">
        <w:rPr>
          <w:i/>
          <w:color w:val="000000"/>
          <w:szCs w:val="18"/>
        </w:rPr>
        <w:t>tionnaires (1957-1967)</w:t>
      </w:r>
      <w:r w:rsidRPr="00EC50AF">
        <w:rPr>
          <w:color w:val="000000"/>
          <w:szCs w:val="18"/>
        </w:rPr>
        <w:t xml:space="preserve">, Paris, Maspero, 1968 ; Régis Debray, </w:t>
      </w:r>
      <w:r w:rsidRPr="00EC50AF">
        <w:rPr>
          <w:i/>
          <w:color w:val="000000"/>
          <w:szCs w:val="18"/>
        </w:rPr>
        <w:t>Révolution dans le révolution ?</w:t>
      </w:r>
      <w:r w:rsidRPr="00EC50AF">
        <w:rPr>
          <w:color w:val="000000"/>
          <w:szCs w:val="18"/>
        </w:rPr>
        <w:t xml:space="preserve">, Paris, Maspero, 1967 ; V. N. Giap, </w:t>
      </w:r>
      <w:r w:rsidRPr="00EC50AF">
        <w:rPr>
          <w:i/>
          <w:color w:val="000000"/>
          <w:szCs w:val="18"/>
        </w:rPr>
        <w:t>Guerre du pe</w:t>
      </w:r>
      <w:r w:rsidRPr="00EC50AF">
        <w:rPr>
          <w:i/>
          <w:color w:val="000000"/>
          <w:szCs w:val="18"/>
        </w:rPr>
        <w:t>u</w:t>
      </w:r>
      <w:r w:rsidRPr="00EC50AF">
        <w:rPr>
          <w:i/>
          <w:color w:val="000000"/>
          <w:szCs w:val="18"/>
        </w:rPr>
        <w:t>ple armée du</w:t>
      </w:r>
      <w:r w:rsidRPr="00EC50AF">
        <w:rPr>
          <w:color w:val="000000"/>
          <w:szCs w:val="18"/>
        </w:rPr>
        <w:t xml:space="preserve"> </w:t>
      </w:r>
      <w:r w:rsidRPr="00EC50AF">
        <w:rPr>
          <w:i/>
          <w:color w:val="000000"/>
          <w:szCs w:val="18"/>
        </w:rPr>
        <w:t>peuple</w:t>
      </w:r>
      <w:r w:rsidRPr="00EC50AF">
        <w:rPr>
          <w:color w:val="000000"/>
          <w:szCs w:val="18"/>
        </w:rPr>
        <w:t xml:space="preserve">, Paris, Maspero, 1968 ; Anne Steiner et Loïc Debray, </w:t>
      </w:r>
      <w:r w:rsidRPr="00EC50AF">
        <w:rPr>
          <w:i/>
          <w:color w:val="000000"/>
          <w:szCs w:val="18"/>
        </w:rPr>
        <w:t>La Fraction Armée rouge, guérilla urbaine en Europe</w:t>
      </w:r>
      <w:r w:rsidRPr="00EC50AF">
        <w:rPr>
          <w:color w:val="000000"/>
          <w:szCs w:val="18"/>
        </w:rPr>
        <w:t xml:space="preserve"> </w:t>
      </w:r>
      <w:r w:rsidRPr="00EC50AF">
        <w:rPr>
          <w:i/>
          <w:color w:val="000000"/>
          <w:szCs w:val="18"/>
        </w:rPr>
        <w:t>occide</w:t>
      </w:r>
      <w:r w:rsidRPr="00EC50AF">
        <w:rPr>
          <w:i/>
          <w:color w:val="000000"/>
          <w:szCs w:val="18"/>
        </w:rPr>
        <w:t>n</w:t>
      </w:r>
      <w:r w:rsidRPr="00EC50AF">
        <w:rPr>
          <w:i/>
          <w:color w:val="000000"/>
          <w:szCs w:val="18"/>
        </w:rPr>
        <w:t xml:space="preserve">tale </w:t>
      </w:r>
      <w:r w:rsidRPr="00EC50AF">
        <w:rPr>
          <w:color w:val="000000"/>
          <w:szCs w:val="18"/>
        </w:rPr>
        <w:t xml:space="preserve">[textes de la RAF allemande], Paris, Méridien Kincksiek, 1967 (réédité aux éd. L’Echappée, 2006) ; Curzio Malaparte, </w:t>
      </w:r>
      <w:r w:rsidRPr="00EC50AF">
        <w:rPr>
          <w:i/>
          <w:color w:val="000000"/>
          <w:szCs w:val="18"/>
        </w:rPr>
        <w:t>Tec</w:t>
      </w:r>
      <w:r w:rsidRPr="00EC50AF">
        <w:rPr>
          <w:i/>
          <w:color w:val="000000"/>
          <w:szCs w:val="18"/>
        </w:rPr>
        <w:t>h</w:t>
      </w:r>
      <w:r w:rsidRPr="00EC50AF">
        <w:rPr>
          <w:i/>
          <w:color w:val="000000"/>
          <w:szCs w:val="18"/>
        </w:rPr>
        <w:t>nique du coup d’</w:t>
      </w:r>
      <w:r>
        <w:rPr>
          <w:i/>
          <w:color w:val="000000"/>
          <w:szCs w:val="18"/>
        </w:rPr>
        <w:t>État</w:t>
      </w:r>
      <w:r w:rsidRPr="00EC50AF">
        <w:rPr>
          <w:color w:val="000000"/>
          <w:szCs w:val="18"/>
        </w:rPr>
        <w:t xml:space="preserve">, Paris, Grasset, 1966 ; Luis Mercier Vega, </w:t>
      </w:r>
      <w:r w:rsidRPr="00EC50AF">
        <w:rPr>
          <w:i/>
          <w:color w:val="000000"/>
          <w:szCs w:val="18"/>
        </w:rPr>
        <w:t>Technique du contre-État</w:t>
      </w:r>
      <w:r w:rsidRPr="00EC50AF">
        <w:rPr>
          <w:color w:val="000000"/>
          <w:szCs w:val="18"/>
        </w:rPr>
        <w:t xml:space="preserve">, Paris, Belfond, 1968 ; Carlos Marighela, </w:t>
      </w:r>
      <w:r w:rsidRPr="00EC50AF">
        <w:rPr>
          <w:i/>
          <w:color w:val="000000"/>
          <w:szCs w:val="18"/>
        </w:rPr>
        <w:t>Pour la libération du Brésil</w:t>
      </w:r>
      <w:r w:rsidRPr="00EC50AF">
        <w:rPr>
          <w:color w:val="000000"/>
          <w:szCs w:val="18"/>
        </w:rPr>
        <w:t>, Paris, éditeurs [regro</w:t>
      </w:r>
      <w:r w:rsidRPr="00EC50AF">
        <w:rPr>
          <w:color w:val="000000"/>
          <w:szCs w:val="18"/>
        </w:rPr>
        <w:t>u</w:t>
      </w:r>
      <w:r w:rsidRPr="00EC50AF">
        <w:rPr>
          <w:color w:val="000000"/>
          <w:szCs w:val="18"/>
        </w:rPr>
        <w:t xml:space="preserve">pement des éditeurs français contre la censure du livre], 1970 ; Emilio Lussu, </w:t>
      </w:r>
      <w:r w:rsidRPr="00EC50AF">
        <w:rPr>
          <w:i/>
          <w:color w:val="000000"/>
          <w:szCs w:val="18"/>
        </w:rPr>
        <w:t>Théorie de l’insurrection</w:t>
      </w:r>
      <w:r w:rsidRPr="00EC50AF">
        <w:rPr>
          <w:color w:val="000000"/>
          <w:szCs w:val="18"/>
        </w:rPr>
        <w:t xml:space="preserve">, Paris, Maspero, 1971 ; Michael Confino, </w:t>
      </w:r>
      <w:r w:rsidRPr="00EC50AF">
        <w:rPr>
          <w:i/>
          <w:color w:val="000000"/>
          <w:szCs w:val="18"/>
        </w:rPr>
        <w:t>Vi</w:t>
      </w:r>
      <w:r w:rsidRPr="00EC50AF">
        <w:rPr>
          <w:i/>
          <w:color w:val="000000"/>
          <w:szCs w:val="18"/>
        </w:rPr>
        <w:t>o</w:t>
      </w:r>
      <w:r w:rsidRPr="00EC50AF">
        <w:rPr>
          <w:i/>
          <w:color w:val="000000"/>
          <w:szCs w:val="18"/>
        </w:rPr>
        <w:t>lence dans la violence, le débat Bakounine-Necaev</w:t>
      </w:r>
      <w:r w:rsidRPr="00EC50AF">
        <w:rPr>
          <w:color w:val="000000"/>
          <w:szCs w:val="18"/>
        </w:rPr>
        <w:t>, Paris, Maspero, 1973 ; Hans Magnus Enzen</w:t>
      </w:r>
      <w:r w:rsidRPr="00EC50AF">
        <w:rPr>
          <w:color w:val="000000"/>
          <w:szCs w:val="18"/>
        </w:rPr>
        <w:t>s</w:t>
      </w:r>
      <w:r w:rsidRPr="00EC50AF">
        <w:rPr>
          <w:color w:val="000000"/>
          <w:szCs w:val="18"/>
        </w:rPr>
        <w:t xml:space="preserve">berger, </w:t>
      </w:r>
      <w:r w:rsidRPr="00EC50AF">
        <w:rPr>
          <w:i/>
          <w:color w:val="000000"/>
          <w:szCs w:val="18"/>
        </w:rPr>
        <w:t>Les rêveurs</w:t>
      </w:r>
      <w:r w:rsidRPr="00EC50AF">
        <w:rPr>
          <w:color w:val="000000"/>
          <w:szCs w:val="18"/>
        </w:rPr>
        <w:t xml:space="preserve"> </w:t>
      </w:r>
      <w:r w:rsidRPr="00EC50AF">
        <w:rPr>
          <w:i/>
          <w:color w:val="000000"/>
          <w:szCs w:val="18"/>
        </w:rPr>
        <w:t>d’absolue</w:t>
      </w:r>
      <w:r w:rsidRPr="00EC50AF">
        <w:rPr>
          <w:color w:val="000000"/>
          <w:szCs w:val="18"/>
        </w:rPr>
        <w:t xml:space="preserve">, Paris, Allia, 1998 ; Marc Lazar et Marie-Anne Matard-Bonucci (dir.), </w:t>
      </w:r>
      <w:r w:rsidRPr="00EC50AF">
        <w:rPr>
          <w:i/>
          <w:color w:val="000000"/>
          <w:szCs w:val="18"/>
        </w:rPr>
        <w:t>L’Italie des années de plomb</w:t>
      </w:r>
      <w:r w:rsidRPr="00EC50AF">
        <w:rPr>
          <w:color w:val="000000"/>
          <w:szCs w:val="18"/>
        </w:rPr>
        <w:t xml:space="preserve">, Paris, Autrement, 2010 ; Alberto Franceshini (entretien avec G. Fasanella), </w:t>
      </w:r>
      <w:r w:rsidRPr="00EC50AF">
        <w:rPr>
          <w:i/>
          <w:color w:val="000000"/>
          <w:szCs w:val="18"/>
        </w:rPr>
        <w:t>Br</w:t>
      </w:r>
      <w:r w:rsidRPr="00EC50AF">
        <w:rPr>
          <w:i/>
          <w:color w:val="000000"/>
          <w:szCs w:val="18"/>
        </w:rPr>
        <w:t>i</w:t>
      </w:r>
      <w:r w:rsidRPr="00EC50AF">
        <w:rPr>
          <w:i/>
          <w:color w:val="000000"/>
          <w:szCs w:val="18"/>
        </w:rPr>
        <w:t>gades rouges</w:t>
      </w:r>
      <w:r w:rsidRPr="00EC50AF">
        <w:rPr>
          <w:color w:val="000000"/>
          <w:szCs w:val="18"/>
        </w:rPr>
        <w:t>, Paris, Panama éd., 2005 ; Renato Curcio (entretien avec M. Sci</w:t>
      </w:r>
      <w:r w:rsidRPr="00EC50AF">
        <w:rPr>
          <w:color w:val="000000"/>
          <w:szCs w:val="18"/>
        </w:rPr>
        <w:t>a</w:t>
      </w:r>
      <w:r w:rsidRPr="00EC50AF">
        <w:rPr>
          <w:color w:val="000000"/>
          <w:szCs w:val="18"/>
        </w:rPr>
        <w:t xml:space="preserve">loja), </w:t>
      </w:r>
      <w:r w:rsidRPr="00EC50AF">
        <w:rPr>
          <w:i/>
          <w:color w:val="000000"/>
          <w:szCs w:val="18"/>
        </w:rPr>
        <w:t>À visage découvert</w:t>
      </w:r>
      <w:r w:rsidRPr="00EC50AF">
        <w:rPr>
          <w:color w:val="000000"/>
          <w:szCs w:val="18"/>
        </w:rPr>
        <w:t xml:space="preserve">, Paris, éd. Lieu commun, 1993 ; Philippe Foro, </w:t>
      </w:r>
      <w:r w:rsidRPr="00EC50AF">
        <w:rPr>
          <w:i/>
          <w:color w:val="000000"/>
          <w:szCs w:val="18"/>
        </w:rPr>
        <w:t>Une lo</w:t>
      </w:r>
      <w:r w:rsidRPr="00EC50AF">
        <w:rPr>
          <w:i/>
          <w:color w:val="000000"/>
          <w:szCs w:val="18"/>
        </w:rPr>
        <w:t>n</w:t>
      </w:r>
      <w:r w:rsidRPr="00EC50AF">
        <w:rPr>
          <w:i/>
          <w:color w:val="000000"/>
          <w:szCs w:val="18"/>
        </w:rPr>
        <w:t>gue saison de douleur et de mort, l’affaire Aldo Moro</w:t>
      </w:r>
      <w:r w:rsidRPr="00EC50AF">
        <w:rPr>
          <w:color w:val="000000"/>
          <w:szCs w:val="18"/>
        </w:rPr>
        <w:t xml:space="preserve">, Paris, éd. Vendémiaire, 2011 ; Mario Calabresi, </w:t>
      </w:r>
      <w:r w:rsidRPr="00EC50AF">
        <w:rPr>
          <w:i/>
          <w:color w:val="000000"/>
          <w:szCs w:val="18"/>
        </w:rPr>
        <w:t>Sortir la</w:t>
      </w:r>
      <w:r w:rsidRPr="00EC50AF">
        <w:rPr>
          <w:color w:val="000000"/>
          <w:szCs w:val="18"/>
        </w:rPr>
        <w:t xml:space="preserve"> </w:t>
      </w:r>
      <w:r w:rsidRPr="00EC50AF">
        <w:rPr>
          <w:i/>
          <w:color w:val="000000"/>
          <w:szCs w:val="18"/>
        </w:rPr>
        <w:t>nuit, une histoire des années de Plomb</w:t>
      </w:r>
      <w:r w:rsidRPr="00EC50AF">
        <w:rPr>
          <w:color w:val="000000"/>
          <w:szCs w:val="18"/>
        </w:rPr>
        <w:t>, P</w:t>
      </w:r>
      <w:r w:rsidRPr="00EC50AF">
        <w:rPr>
          <w:color w:val="000000"/>
          <w:szCs w:val="18"/>
        </w:rPr>
        <w:t>a</w:t>
      </w:r>
      <w:r w:rsidRPr="00EC50AF">
        <w:rPr>
          <w:color w:val="000000"/>
          <w:szCs w:val="18"/>
        </w:rPr>
        <w:t xml:space="preserve">ris, Gallimard, 2008 ; Hans Joachim Klein, </w:t>
      </w:r>
      <w:r w:rsidRPr="00EC50AF">
        <w:rPr>
          <w:i/>
          <w:color w:val="000000"/>
          <w:szCs w:val="18"/>
        </w:rPr>
        <w:t>La mort mercenaire, témoignage</w:t>
      </w:r>
      <w:r w:rsidRPr="00EC50AF">
        <w:rPr>
          <w:color w:val="000000"/>
          <w:szCs w:val="18"/>
        </w:rPr>
        <w:t xml:space="preserve"> </w:t>
      </w:r>
      <w:r w:rsidRPr="00EC50AF">
        <w:rPr>
          <w:i/>
          <w:color w:val="000000"/>
          <w:szCs w:val="18"/>
        </w:rPr>
        <w:t>d’un ancien terroriste ouest-allemand</w:t>
      </w:r>
      <w:r w:rsidRPr="00EC50AF">
        <w:rPr>
          <w:color w:val="000000"/>
          <w:szCs w:val="18"/>
        </w:rPr>
        <w:t>, Paris, Seuil, 1980 ; Anna Laura Bra</w:t>
      </w:r>
      <w:r w:rsidRPr="00EC50AF">
        <w:rPr>
          <w:color w:val="000000"/>
          <w:szCs w:val="18"/>
        </w:rPr>
        <w:t>g</w:t>
      </w:r>
      <w:r w:rsidRPr="00EC50AF">
        <w:rPr>
          <w:color w:val="000000"/>
          <w:szCs w:val="18"/>
        </w:rPr>
        <w:t xml:space="preserve">hetti et Paola Tavella, </w:t>
      </w:r>
      <w:r w:rsidRPr="00EC50AF">
        <w:rPr>
          <w:i/>
          <w:color w:val="000000"/>
          <w:szCs w:val="18"/>
        </w:rPr>
        <w:t>Le prisonnier, 55</w:t>
      </w:r>
      <w:r w:rsidRPr="00EC50AF">
        <w:rPr>
          <w:color w:val="000000"/>
          <w:szCs w:val="18"/>
        </w:rPr>
        <w:t xml:space="preserve"> </w:t>
      </w:r>
      <w:r w:rsidRPr="00EC50AF">
        <w:rPr>
          <w:i/>
          <w:color w:val="000000"/>
          <w:szCs w:val="18"/>
        </w:rPr>
        <w:t>jours avec Aldo Moro</w:t>
      </w:r>
      <w:r w:rsidRPr="00EC50AF">
        <w:rPr>
          <w:color w:val="000000"/>
          <w:szCs w:val="18"/>
        </w:rPr>
        <w:t>, Paris, Denoël, 1999 ; Emmanuela Am</w:t>
      </w:r>
      <w:r w:rsidRPr="00EC50AF">
        <w:rPr>
          <w:color w:val="000000"/>
          <w:szCs w:val="18"/>
        </w:rPr>
        <w:t>a</w:t>
      </w:r>
      <w:r w:rsidRPr="00EC50AF">
        <w:rPr>
          <w:color w:val="000000"/>
          <w:szCs w:val="18"/>
        </w:rPr>
        <w:t xml:space="preserve">ra, </w:t>
      </w:r>
      <w:r w:rsidRPr="00EC50AF">
        <w:rPr>
          <w:i/>
          <w:color w:val="000000"/>
          <w:szCs w:val="18"/>
        </w:rPr>
        <w:t>Nous avons tué Aldo Moro</w:t>
      </w:r>
      <w:r w:rsidRPr="00EC50AF">
        <w:rPr>
          <w:color w:val="000000"/>
          <w:szCs w:val="18"/>
        </w:rPr>
        <w:t xml:space="preserve">, Paris, Patrick Robien éd., 2006 ; Aldo Moro, </w:t>
      </w:r>
      <w:r w:rsidRPr="00EC50AF">
        <w:rPr>
          <w:i/>
          <w:color w:val="000000"/>
          <w:szCs w:val="18"/>
        </w:rPr>
        <w:t>Mon sang retombera sur vous</w:t>
      </w:r>
      <w:r w:rsidRPr="00EC50AF">
        <w:rPr>
          <w:color w:val="000000"/>
          <w:szCs w:val="18"/>
        </w:rPr>
        <w:t xml:space="preserve"> [lettres d’Aldo Moro r</w:t>
      </w:r>
      <w:r w:rsidRPr="00EC50AF">
        <w:rPr>
          <w:color w:val="000000"/>
          <w:szCs w:val="18"/>
        </w:rPr>
        <w:t>e</w:t>
      </w:r>
      <w:r w:rsidRPr="00EC50AF">
        <w:rPr>
          <w:color w:val="000000"/>
          <w:szCs w:val="18"/>
        </w:rPr>
        <w:t>trouvées, mars-mai 1978] Paris, Tallan</w:t>
      </w:r>
      <w:r w:rsidRPr="00EC50AF">
        <w:rPr>
          <w:color w:val="000000"/>
          <w:szCs w:val="18"/>
        </w:rPr>
        <w:t>d</w:t>
      </w:r>
      <w:r w:rsidRPr="00EC50AF">
        <w:rPr>
          <w:color w:val="000000"/>
          <w:szCs w:val="18"/>
        </w:rPr>
        <w:t xml:space="preserve">ier, 2005. Alessandro Stella, </w:t>
      </w:r>
      <w:r w:rsidRPr="00EC50AF">
        <w:rPr>
          <w:i/>
          <w:color w:val="000000"/>
          <w:szCs w:val="18"/>
        </w:rPr>
        <w:t>Années de rêves et de Plomb, des grèves à la lutte armée en Italie (1968-1980)</w:t>
      </w:r>
      <w:r w:rsidRPr="00EC50AF">
        <w:rPr>
          <w:color w:val="000000"/>
          <w:szCs w:val="18"/>
        </w:rPr>
        <w:t>, Ma</w:t>
      </w:r>
      <w:r w:rsidRPr="00EC50AF">
        <w:rPr>
          <w:color w:val="000000"/>
          <w:szCs w:val="18"/>
        </w:rPr>
        <w:t>r</w:t>
      </w:r>
      <w:r w:rsidRPr="00EC50AF">
        <w:rPr>
          <w:color w:val="000000"/>
          <w:szCs w:val="18"/>
        </w:rPr>
        <w:t xml:space="preserve">seille, Agone, 2016 ; à l’opposé de l’échiquier politique, mais dans le même esprit : colonel Roger Trinquier, </w:t>
      </w:r>
      <w:r w:rsidRPr="00EC50AF">
        <w:rPr>
          <w:i/>
          <w:color w:val="000000"/>
          <w:szCs w:val="18"/>
        </w:rPr>
        <w:t>Guerre, subversion</w:t>
      </w:r>
      <w:r w:rsidRPr="00EC50AF">
        <w:rPr>
          <w:color w:val="000000"/>
          <w:szCs w:val="18"/>
        </w:rPr>
        <w:t xml:space="preserve">, </w:t>
      </w:r>
      <w:r w:rsidRPr="00EC50AF">
        <w:rPr>
          <w:i/>
          <w:color w:val="000000"/>
          <w:szCs w:val="18"/>
        </w:rPr>
        <w:t>révolution</w:t>
      </w:r>
      <w:r w:rsidRPr="00EC50AF">
        <w:rPr>
          <w:color w:val="000000"/>
          <w:szCs w:val="18"/>
        </w:rPr>
        <w:t>, Paris, La</w:t>
      </w:r>
      <w:r w:rsidRPr="00EC50AF">
        <w:rPr>
          <w:color w:val="000000"/>
          <w:szCs w:val="18"/>
        </w:rPr>
        <w:t>f</w:t>
      </w:r>
      <w:r w:rsidRPr="00EC50AF">
        <w:rPr>
          <w:color w:val="000000"/>
          <w:szCs w:val="18"/>
        </w:rPr>
        <w:t xml:space="preserve">font, 1968 ; David Galula, </w:t>
      </w:r>
      <w:r w:rsidRPr="00EC50AF">
        <w:rPr>
          <w:i/>
          <w:color w:val="000000"/>
          <w:szCs w:val="18"/>
        </w:rPr>
        <w:t>Contre-insurrection, théorie et pratique</w:t>
      </w:r>
      <w:r w:rsidRPr="00EC50AF">
        <w:rPr>
          <w:color w:val="000000"/>
          <w:szCs w:val="18"/>
        </w:rPr>
        <w:t>, préface du Gal David H. Pe</w:t>
      </w:r>
      <w:r w:rsidRPr="00EC50AF">
        <w:rPr>
          <w:color w:val="000000"/>
          <w:szCs w:val="18"/>
        </w:rPr>
        <w:t>t</w:t>
      </w:r>
      <w:r w:rsidRPr="00EC50AF">
        <w:rPr>
          <w:color w:val="000000"/>
          <w:szCs w:val="18"/>
        </w:rPr>
        <w:t>raeus, Paris, Economica, 2008.</w:t>
      </w:r>
    </w:p>
  </w:footnote>
  <w:footnote w:id="209">
    <w:p w14:paraId="3F263C41" w14:textId="77777777" w:rsidR="00B01930" w:rsidRDefault="00B01930">
      <w:pPr>
        <w:pStyle w:val="Notedebasdepage"/>
      </w:pPr>
      <w:r>
        <w:rPr>
          <w:rStyle w:val="Appelnotedebasdep"/>
        </w:rPr>
        <w:footnoteRef/>
      </w:r>
      <w:r>
        <w:t xml:space="preserve"> </w:t>
      </w:r>
      <w:r>
        <w:tab/>
      </w:r>
      <w:r w:rsidRPr="00EC50AF">
        <w:rPr>
          <w:color w:val="000000"/>
          <w:szCs w:val="18"/>
        </w:rPr>
        <w:t xml:space="preserve">Cf. </w:t>
      </w:r>
      <w:r w:rsidRPr="00EC50AF">
        <w:rPr>
          <w:i/>
          <w:color w:val="000000"/>
          <w:szCs w:val="18"/>
        </w:rPr>
        <w:t xml:space="preserve">supra </w:t>
      </w:r>
      <w:r w:rsidRPr="00EC50AF">
        <w:rPr>
          <w:color w:val="000000"/>
          <w:szCs w:val="18"/>
        </w:rPr>
        <w:t>note 2 : « Introduction critique… ».</w:t>
      </w:r>
      <w:r w:rsidRPr="00EC50AF">
        <w:rPr>
          <w:i/>
          <w:color w:val="000000"/>
          <w:szCs w:val="18"/>
        </w:rPr>
        <w:t xml:space="preserve"> </w:t>
      </w:r>
    </w:p>
  </w:footnote>
  <w:footnote w:id="210">
    <w:p w14:paraId="38E24DF3" w14:textId="77777777" w:rsidR="00B01930" w:rsidRDefault="00B01930">
      <w:pPr>
        <w:pStyle w:val="Notedebasdepage"/>
      </w:pPr>
      <w:r>
        <w:rPr>
          <w:rStyle w:val="Appelnotedebasdep"/>
        </w:rPr>
        <w:footnoteRef/>
      </w:r>
      <w:r>
        <w:t xml:space="preserve"> </w:t>
      </w:r>
      <w:r>
        <w:tab/>
      </w:r>
      <w:r w:rsidRPr="00EC50AF">
        <w:rPr>
          <w:color w:val="000000"/>
          <w:szCs w:val="18"/>
        </w:rPr>
        <w:t>Titisme, du nom de Tito (Josip Broz Tito), nom du dirigeant comm</w:t>
      </w:r>
      <w:r w:rsidRPr="00EC50AF">
        <w:rPr>
          <w:color w:val="000000"/>
          <w:szCs w:val="18"/>
        </w:rPr>
        <w:t>u</w:t>
      </w:r>
      <w:r w:rsidRPr="00EC50AF">
        <w:rPr>
          <w:color w:val="000000"/>
          <w:szCs w:val="18"/>
        </w:rPr>
        <w:t>niste qui pris le pouvoir en ex-Yougoslavie (de 1945 à 1980) et tenta de mener une p</w:t>
      </w:r>
      <w:r w:rsidRPr="00EC50AF">
        <w:rPr>
          <w:color w:val="000000"/>
          <w:szCs w:val="18"/>
        </w:rPr>
        <w:t>o</w:t>
      </w:r>
      <w:r w:rsidRPr="00EC50AF">
        <w:rPr>
          <w:color w:val="000000"/>
          <w:szCs w:val="18"/>
        </w:rPr>
        <w:t>lit</w:t>
      </w:r>
      <w:r w:rsidRPr="00EC50AF">
        <w:rPr>
          <w:color w:val="000000"/>
          <w:szCs w:val="18"/>
        </w:rPr>
        <w:t>i</w:t>
      </w:r>
      <w:r w:rsidRPr="00EC50AF">
        <w:rPr>
          <w:color w:val="000000"/>
          <w:szCs w:val="18"/>
        </w:rPr>
        <w:t>que plus indépendante vis à vis de Moscou, ce qui était inacceptable pour les ma</w:t>
      </w:r>
      <w:r w:rsidRPr="00EC50AF">
        <w:rPr>
          <w:color w:val="000000"/>
          <w:szCs w:val="18"/>
        </w:rPr>
        <w:t>î</w:t>
      </w:r>
      <w:r w:rsidRPr="00EC50AF">
        <w:rPr>
          <w:color w:val="000000"/>
          <w:szCs w:val="18"/>
        </w:rPr>
        <w:t>tres du Kremlin, tant au plan doctrinal qu’au plan géostratégique.</w:t>
      </w:r>
    </w:p>
  </w:footnote>
  <w:footnote w:id="211">
    <w:p w14:paraId="5CD52FED" w14:textId="77777777" w:rsidR="00B01930" w:rsidRDefault="00B01930">
      <w:pPr>
        <w:pStyle w:val="Notedebasdepage"/>
      </w:pPr>
      <w:r>
        <w:rPr>
          <w:rStyle w:val="Appelnotedebasdep"/>
        </w:rPr>
        <w:footnoteRef/>
      </w:r>
      <w:r>
        <w:t xml:space="preserve"> </w:t>
      </w:r>
      <w:r>
        <w:tab/>
      </w:r>
      <w:r w:rsidRPr="00EC50AF">
        <w:rPr>
          <w:color w:val="000000"/>
          <w:szCs w:val="18"/>
        </w:rPr>
        <w:t>Décalques de l’Inquisition catholique, à l’instar de celle-ci les procès marxi</w:t>
      </w:r>
      <w:r w:rsidRPr="00EC50AF">
        <w:rPr>
          <w:color w:val="000000"/>
          <w:szCs w:val="18"/>
        </w:rPr>
        <w:t>s</w:t>
      </w:r>
      <w:r w:rsidRPr="00EC50AF">
        <w:rPr>
          <w:color w:val="000000"/>
          <w:szCs w:val="18"/>
        </w:rPr>
        <w:t>tes (y compris à l’intérieur des partis communistes hors URSS) reposaient sur la rel</w:t>
      </w:r>
      <w:r w:rsidRPr="00EC50AF">
        <w:rPr>
          <w:color w:val="000000"/>
          <w:szCs w:val="18"/>
        </w:rPr>
        <w:t>i</w:t>
      </w:r>
      <w:r w:rsidRPr="00EC50AF">
        <w:rPr>
          <w:color w:val="000000"/>
          <w:szCs w:val="18"/>
        </w:rPr>
        <w:t>gion de l’aveu et de l’auto-accusation. Voir la parfaite illustration de ce mécani</w:t>
      </w:r>
      <w:r w:rsidRPr="00EC50AF">
        <w:rPr>
          <w:color w:val="000000"/>
          <w:szCs w:val="18"/>
        </w:rPr>
        <w:t>s</w:t>
      </w:r>
      <w:r w:rsidRPr="00EC50AF">
        <w:rPr>
          <w:color w:val="000000"/>
          <w:szCs w:val="18"/>
        </w:rPr>
        <w:t>me dans le film « </w:t>
      </w:r>
      <w:r w:rsidRPr="00EC50AF">
        <w:rPr>
          <w:i/>
          <w:color w:val="000000"/>
          <w:szCs w:val="18"/>
        </w:rPr>
        <w:t>L’aveu</w:t>
      </w:r>
      <w:r w:rsidRPr="00EC50AF">
        <w:rPr>
          <w:color w:val="000000"/>
          <w:szCs w:val="18"/>
        </w:rPr>
        <w:t xml:space="preserve"> » de Costa Gavras, 1970. Voir aussi : </w:t>
      </w:r>
      <w:r w:rsidRPr="00EC50AF">
        <w:rPr>
          <w:i/>
          <w:color w:val="000000"/>
          <w:szCs w:val="18"/>
        </w:rPr>
        <w:t>Le Manuel des Inquisiteurs</w:t>
      </w:r>
      <w:r w:rsidRPr="00EC50AF">
        <w:rPr>
          <w:color w:val="000000"/>
          <w:szCs w:val="18"/>
        </w:rPr>
        <w:t>, de Nicolau Eymerich et Francisco Peña, 1503, intr</w:t>
      </w:r>
      <w:r w:rsidRPr="00EC50AF">
        <w:rPr>
          <w:color w:val="000000"/>
          <w:szCs w:val="18"/>
        </w:rPr>
        <w:t>o</w:t>
      </w:r>
      <w:r w:rsidRPr="00EC50AF">
        <w:rPr>
          <w:color w:val="000000"/>
          <w:szCs w:val="18"/>
        </w:rPr>
        <w:t>duction, tradu</w:t>
      </w:r>
      <w:r w:rsidRPr="00EC50AF">
        <w:rPr>
          <w:color w:val="000000"/>
          <w:szCs w:val="18"/>
        </w:rPr>
        <w:t>c</w:t>
      </w:r>
      <w:r w:rsidRPr="00EC50AF">
        <w:rPr>
          <w:color w:val="000000"/>
          <w:szCs w:val="18"/>
        </w:rPr>
        <w:t>tion, et notes de Louis Sala-Molins, Paris-La Haye, Mouton éd. 1973 : « </w:t>
      </w:r>
      <w:r w:rsidRPr="00EC50AF">
        <w:rPr>
          <w:i/>
          <w:color w:val="000000"/>
          <w:szCs w:val="18"/>
        </w:rPr>
        <w:t>Tout ce que l’on fait pour la conversion des hérétiques tout est gr</w:t>
      </w:r>
      <w:r w:rsidRPr="00EC50AF">
        <w:rPr>
          <w:i/>
          <w:color w:val="000000"/>
          <w:szCs w:val="18"/>
        </w:rPr>
        <w:t>â</w:t>
      </w:r>
      <w:r w:rsidRPr="00EC50AF">
        <w:rPr>
          <w:i/>
          <w:color w:val="000000"/>
          <w:szCs w:val="18"/>
        </w:rPr>
        <w:t>ce </w:t>
      </w:r>
      <w:r w:rsidRPr="00EC50AF">
        <w:rPr>
          <w:color w:val="000000"/>
          <w:szCs w:val="18"/>
        </w:rPr>
        <w:t>» ; « </w:t>
      </w:r>
      <w:r w:rsidRPr="00EC50AF">
        <w:rPr>
          <w:i/>
          <w:color w:val="000000"/>
          <w:szCs w:val="18"/>
        </w:rPr>
        <w:t>La finalité des procès et de la condamnation à mort n’est pas de sa</w:t>
      </w:r>
      <w:r w:rsidRPr="00EC50AF">
        <w:rPr>
          <w:i/>
          <w:color w:val="000000"/>
          <w:szCs w:val="18"/>
        </w:rPr>
        <w:t>u</w:t>
      </w:r>
      <w:r w:rsidRPr="00EC50AF">
        <w:rPr>
          <w:i/>
          <w:color w:val="000000"/>
          <w:szCs w:val="18"/>
        </w:rPr>
        <w:t>ver l’âme de l’accusé, mais de maintenir le bien public et de terroriser le pe</w:t>
      </w:r>
      <w:r w:rsidRPr="00EC50AF">
        <w:rPr>
          <w:i/>
          <w:color w:val="000000"/>
          <w:szCs w:val="18"/>
        </w:rPr>
        <w:t>u</w:t>
      </w:r>
      <w:r w:rsidRPr="00EC50AF">
        <w:rPr>
          <w:i/>
          <w:color w:val="000000"/>
          <w:szCs w:val="18"/>
        </w:rPr>
        <w:t xml:space="preserve">ple. Le rôle de l’avocat est de presser l’accusé d’avouer et de repentir, et de solliciter une pénitence pour le crime qu’il a commis ». </w:t>
      </w:r>
    </w:p>
  </w:footnote>
  <w:footnote w:id="212">
    <w:p w14:paraId="799C9054" w14:textId="77777777" w:rsidR="00B01930" w:rsidRDefault="00B01930">
      <w:pPr>
        <w:pStyle w:val="Notedebasdepage"/>
      </w:pPr>
      <w:r>
        <w:rPr>
          <w:rStyle w:val="Appelnotedebasdep"/>
        </w:rPr>
        <w:footnoteRef/>
      </w:r>
      <w:r>
        <w:t xml:space="preserve"> </w:t>
      </w:r>
      <w:r>
        <w:tab/>
      </w:r>
      <w:r w:rsidRPr="00EC50AF">
        <w:rPr>
          <w:color w:val="000000"/>
          <w:szCs w:val="18"/>
        </w:rPr>
        <w:t xml:space="preserve">Christophe Bourseiller, </w:t>
      </w:r>
      <w:r w:rsidRPr="00EC50AF">
        <w:rPr>
          <w:i/>
          <w:color w:val="000000"/>
          <w:szCs w:val="18"/>
        </w:rPr>
        <w:t>Les Maoïstes, La folle histoire des gardes rouges fra</w:t>
      </w:r>
      <w:r w:rsidRPr="00EC50AF">
        <w:rPr>
          <w:i/>
          <w:color w:val="000000"/>
          <w:szCs w:val="18"/>
        </w:rPr>
        <w:t>n</w:t>
      </w:r>
      <w:r w:rsidRPr="00EC50AF">
        <w:rPr>
          <w:i/>
          <w:color w:val="000000"/>
          <w:szCs w:val="18"/>
        </w:rPr>
        <w:t>çais</w:t>
      </w:r>
      <w:r w:rsidRPr="00EC50AF">
        <w:rPr>
          <w:color w:val="000000"/>
          <w:szCs w:val="18"/>
        </w:rPr>
        <w:t>, Paris, Plon-poche-points, éd.</w:t>
      </w:r>
      <w:r>
        <w:rPr>
          <w:color w:val="000000"/>
          <w:szCs w:val="18"/>
        </w:rPr>
        <w:t xml:space="preserve"> </w:t>
      </w:r>
      <w:r w:rsidRPr="00EC50AF">
        <w:rPr>
          <w:color w:val="000000"/>
          <w:szCs w:val="18"/>
        </w:rPr>
        <w:t>2008.</w:t>
      </w:r>
    </w:p>
  </w:footnote>
  <w:footnote w:id="213">
    <w:p w14:paraId="0659E2AD" w14:textId="77777777" w:rsidR="00B01930" w:rsidRDefault="00B01930">
      <w:pPr>
        <w:pStyle w:val="Notedebasdepage"/>
      </w:pPr>
      <w:r>
        <w:rPr>
          <w:rStyle w:val="Appelnotedebasdep"/>
        </w:rPr>
        <w:footnoteRef/>
      </w:r>
      <w:r>
        <w:t xml:space="preserve"> </w:t>
      </w:r>
      <w:r>
        <w:tab/>
      </w:r>
      <w:r w:rsidRPr="00EC50AF">
        <w:rPr>
          <w:color w:val="000000"/>
          <w:szCs w:val="18"/>
        </w:rPr>
        <w:t>Mais il est vrai que le Gouvernement français, sous la présidence de M. Val</w:t>
      </w:r>
      <w:r w:rsidRPr="00EC50AF">
        <w:rPr>
          <w:color w:val="000000"/>
          <w:szCs w:val="18"/>
        </w:rPr>
        <w:t>e</w:t>
      </w:r>
      <w:r w:rsidRPr="00EC50AF">
        <w:rPr>
          <w:color w:val="000000"/>
          <w:szCs w:val="18"/>
        </w:rPr>
        <w:t>ry Giscard d’Estaing, ne fit pas preuve de clairvoyance non plus en a</w:t>
      </w:r>
      <w:r w:rsidRPr="00EC50AF">
        <w:rPr>
          <w:color w:val="000000"/>
          <w:szCs w:val="18"/>
        </w:rPr>
        <w:t>c</w:t>
      </w:r>
      <w:r w:rsidRPr="00EC50AF">
        <w:rPr>
          <w:color w:val="000000"/>
          <w:szCs w:val="18"/>
        </w:rPr>
        <w:t>ceptant de l’héberger en France en lui laissant tout loisir de mener son combat contre le shah d’Iran. Jean-Louis Martres écrivit en 1983, de façon un peu provoca</w:t>
      </w:r>
      <w:r w:rsidRPr="00EC50AF">
        <w:rPr>
          <w:color w:val="000000"/>
          <w:szCs w:val="18"/>
        </w:rPr>
        <w:t>n</w:t>
      </w:r>
      <w:r w:rsidRPr="00EC50AF">
        <w:rPr>
          <w:color w:val="000000"/>
          <w:szCs w:val="18"/>
        </w:rPr>
        <w:t xml:space="preserve">te mais avec pertinence, un « Éloge du Shah d’Iran », </w:t>
      </w:r>
      <w:r w:rsidRPr="00EC50AF">
        <w:rPr>
          <w:i/>
          <w:color w:val="000000"/>
          <w:szCs w:val="18"/>
        </w:rPr>
        <w:t>in Religion, société et politique</w:t>
      </w:r>
      <w:r w:rsidRPr="00EC50AF">
        <w:rPr>
          <w:color w:val="000000"/>
          <w:szCs w:val="18"/>
        </w:rPr>
        <w:t xml:space="preserve">, </w:t>
      </w:r>
      <w:r w:rsidRPr="00EC50AF">
        <w:rPr>
          <w:i/>
          <w:color w:val="000000"/>
          <w:szCs w:val="18"/>
        </w:rPr>
        <w:t>Méla</w:t>
      </w:r>
      <w:r w:rsidRPr="00EC50AF">
        <w:rPr>
          <w:i/>
          <w:color w:val="000000"/>
          <w:szCs w:val="18"/>
        </w:rPr>
        <w:t>n</w:t>
      </w:r>
      <w:r w:rsidRPr="00EC50AF">
        <w:rPr>
          <w:i/>
          <w:color w:val="000000"/>
          <w:szCs w:val="18"/>
        </w:rPr>
        <w:t>ges en hommage à Jacques Ellul</w:t>
      </w:r>
      <w:r w:rsidRPr="00EC50AF">
        <w:rPr>
          <w:color w:val="000000"/>
          <w:szCs w:val="18"/>
        </w:rPr>
        <w:t>, Paris, PUF, 1983, 865 p.</w:t>
      </w:r>
    </w:p>
  </w:footnote>
  <w:footnote w:id="214">
    <w:p w14:paraId="4159B993" w14:textId="77777777" w:rsidR="00B01930" w:rsidRDefault="00B01930">
      <w:pPr>
        <w:pStyle w:val="Notedebasdepage"/>
      </w:pPr>
      <w:r>
        <w:rPr>
          <w:rStyle w:val="Appelnotedebasdep"/>
        </w:rPr>
        <w:footnoteRef/>
      </w:r>
      <w:r>
        <w:t xml:space="preserve"> </w:t>
      </w:r>
      <w:r>
        <w:tab/>
      </w:r>
      <w:r w:rsidRPr="00EC50AF">
        <w:rPr>
          <w:color w:val="000000"/>
          <w:szCs w:val="18"/>
        </w:rPr>
        <w:t>Cf.</w:t>
      </w:r>
      <w:r w:rsidRPr="00EC50AF">
        <w:rPr>
          <w:i/>
          <w:color w:val="000000"/>
          <w:szCs w:val="18"/>
        </w:rPr>
        <w:t xml:space="preserve"> supra </w:t>
      </w:r>
      <w:r w:rsidRPr="00EC50AF">
        <w:rPr>
          <w:color w:val="000000"/>
          <w:szCs w:val="18"/>
        </w:rPr>
        <w:t>note 2</w:t>
      </w:r>
      <w:r w:rsidRPr="00EC50AF">
        <w:rPr>
          <w:i/>
          <w:color w:val="000000"/>
          <w:szCs w:val="18"/>
        </w:rPr>
        <w:t>,</w:t>
      </w:r>
      <w:r w:rsidRPr="00EC50AF">
        <w:rPr>
          <w:color w:val="000000"/>
          <w:szCs w:val="18"/>
        </w:rPr>
        <w:t xml:space="preserve"> « Introduction critique… ».</w:t>
      </w:r>
    </w:p>
  </w:footnote>
  <w:footnote w:id="215">
    <w:p w14:paraId="2A31151E" w14:textId="77777777" w:rsidR="00B01930" w:rsidRDefault="00B01930">
      <w:pPr>
        <w:pStyle w:val="Notedebasdepage"/>
      </w:pPr>
      <w:r>
        <w:rPr>
          <w:rStyle w:val="Appelnotedebasdep"/>
        </w:rPr>
        <w:footnoteRef/>
      </w:r>
      <w:r>
        <w:t xml:space="preserve"> </w:t>
      </w:r>
      <w:r>
        <w:tab/>
      </w:r>
      <w:r w:rsidRPr="00EC50AF">
        <w:rPr>
          <w:color w:val="000000"/>
          <w:szCs w:val="18"/>
        </w:rPr>
        <w:t>Un jour Jean-Louis Martres nous fit part de son interrogation quant à ce type de « trajectoires ». Il se demandait si on adhérait à une idéologie porteuse de tyrannie par adhésion rationnelle ou si c’était parce qu’on avait une personn</w:t>
      </w:r>
      <w:r w:rsidRPr="00EC50AF">
        <w:rPr>
          <w:color w:val="000000"/>
          <w:szCs w:val="18"/>
        </w:rPr>
        <w:t>a</w:t>
      </w:r>
      <w:r w:rsidRPr="00EC50AF">
        <w:rPr>
          <w:color w:val="000000"/>
          <w:szCs w:val="18"/>
        </w:rPr>
        <w:t>lité autoritaire (latente ou non) qu’on se « retrouvait » dans l’idéologie en question. D’où ces parcours, to</w:t>
      </w:r>
      <w:r w:rsidRPr="00EC50AF">
        <w:rPr>
          <w:color w:val="000000"/>
          <w:szCs w:val="18"/>
        </w:rPr>
        <w:t>u</w:t>
      </w:r>
      <w:r w:rsidRPr="00EC50AF">
        <w:rPr>
          <w:color w:val="000000"/>
          <w:szCs w:val="18"/>
        </w:rPr>
        <w:t>jours justifiés par les acteurs concernés, mais dont la constante est une forme de radicalisme, ou d’excès.</w:t>
      </w:r>
    </w:p>
  </w:footnote>
  <w:footnote w:id="216">
    <w:p w14:paraId="3803FC23" w14:textId="77777777" w:rsidR="00B01930" w:rsidRDefault="00B01930">
      <w:pPr>
        <w:pStyle w:val="Notedebasdepage"/>
      </w:pPr>
      <w:r>
        <w:rPr>
          <w:rStyle w:val="Appelnotedebasdep"/>
        </w:rPr>
        <w:footnoteRef/>
      </w:r>
      <w:r>
        <w:t xml:space="preserve"> </w:t>
      </w:r>
      <w:r>
        <w:tab/>
      </w:r>
      <w:r w:rsidRPr="00EC50AF">
        <w:rPr>
          <w:color w:val="000000"/>
          <w:szCs w:val="18"/>
        </w:rPr>
        <w:t xml:space="preserve">Raymond Aron, « Existe-t-il un mystère nazi ? » </w:t>
      </w:r>
      <w:r w:rsidRPr="00EC50AF">
        <w:rPr>
          <w:i/>
          <w:color w:val="000000"/>
          <w:szCs w:val="18"/>
        </w:rPr>
        <w:t>in</w:t>
      </w:r>
      <w:r w:rsidRPr="00EC50AF">
        <w:rPr>
          <w:color w:val="000000"/>
          <w:szCs w:val="18"/>
        </w:rPr>
        <w:t xml:space="preserve"> </w:t>
      </w:r>
      <w:r w:rsidRPr="00EC50AF">
        <w:rPr>
          <w:i/>
          <w:color w:val="000000"/>
          <w:szCs w:val="18"/>
        </w:rPr>
        <w:t xml:space="preserve">Une histoire du </w:t>
      </w:r>
      <w:r w:rsidRPr="00EC50AF">
        <w:rPr>
          <w:rFonts w:eastAsia="Arial Unicode MS"/>
          <w:i/>
          <w:smallCaps/>
          <w:color w:val="000000"/>
          <w:szCs w:val="18"/>
        </w:rPr>
        <w:t>xx</w:t>
      </w:r>
      <w:r w:rsidRPr="00EC50AF">
        <w:rPr>
          <w:rFonts w:eastAsia="Arial Unicode MS"/>
          <w:i/>
          <w:color w:val="000000"/>
          <w:szCs w:val="18"/>
          <w:vertAlign w:val="superscript"/>
        </w:rPr>
        <w:t>e</w:t>
      </w:r>
      <w:r w:rsidRPr="00EC50AF">
        <w:rPr>
          <w:i/>
          <w:color w:val="000000"/>
          <w:szCs w:val="18"/>
        </w:rPr>
        <w:t xml:space="preserve"> siècle</w:t>
      </w:r>
      <w:r w:rsidRPr="00EC50AF">
        <w:rPr>
          <w:color w:val="000000"/>
          <w:szCs w:val="18"/>
        </w:rPr>
        <w:t xml:space="preserve">, </w:t>
      </w:r>
      <w:r w:rsidRPr="00EC50AF">
        <w:rPr>
          <w:i/>
          <w:color w:val="000000"/>
          <w:szCs w:val="18"/>
        </w:rPr>
        <w:t>anthologie</w:t>
      </w:r>
      <w:r w:rsidRPr="00EC50AF">
        <w:rPr>
          <w:color w:val="000000"/>
          <w:szCs w:val="18"/>
        </w:rPr>
        <w:t>, Paris, Plon, 1996, p. 205 </w:t>
      </w:r>
    </w:p>
  </w:footnote>
  <w:footnote w:id="217">
    <w:p w14:paraId="0BEC9532" w14:textId="77777777" w:rsidR="00B01930" w:rsidRDefault="00B01930">
      <w:pPr>
        <w:pStyle w:val="Notedebasdepage"/>
      </w:pPr>
      <w:r>
        <w:rPr>
          <w:rStyle w:val="Appelnotedebasdep"/>
        </w:rPr>
        <w:footnoteRef/>
      </w:r>
      <w:r>
        <w:t xml:space="preserve"> </w:t>
      </w:r>
      <w:r>
        <w:tab/>
      </w:r>
      <w:r w:rsidRPr="00EC50AF">
        <w:rPr>
          <w:color w:val="000000"/>
          <w:szCs w:val="18"/>
        </w:rPr>
        <w:t>Neville Chamberlain, Chancelier de l’Échiquier en 1931, Premier ministre du Royaume Uni entre 1937 et 1940, artisan des accords de Munich de 1938.</w:t>
      </w:r>
    </w:p>
  </w:footnote>
  <w:footnote w:id="218">
    <w:p w14:paraId="0E2467C6" w14:textId="77777777" w:rsidR="00B01930" w:rsidRDefault="00B01930">
      <w:pPr>
        <w:pStyle w:val="Notedebasdepage"/>
      </w:pPr>
      <w:r>
        <w:rPr>
          <w:rStyle w:val="Appelnotedebasdep"/>
        </w:rPr>
        <w:footnoteRef/>
      </w:r>
      <w:r>
        <w:t xml:space="preserve"> </w:t>
      </w:r>
      <w:r>
        <w:tab/>
      </w:r>
      <w:r w:rsidRPr="00EC50AF">
        <w:rPr>
          <w:color w:val="000000"/>
          <w:szCs w:val="18"/>
        </w:rPr>
        <w:t>Himmler pouvait penser « s’en sortir ». Rappelons qu’en dépit des « déclarations selon lesquelles l’extermination des juifs était l’unique moyen d’assurer sa propre survie, on n’avait pas suffisamment confiance en ses pr</w:t>
      </w:r>
      <w:r w:rsidRPr="00EC50AF">
        <w:rPr>
          <w:color w:val="000000"/>
          <w:szCs w:val="18"/>
        </w:rPr>
        <w:t>o</w:t>
      </w:r>
      <w:r w:rsidRPr="00EC50AF">
        <w:rPr>
          <w:color w:val="000000"/>
          <w:szCs w:val="18"/>
        </w:rPr>
        <w:t>pres arguments pour les révéler au monde entier » et « que même sa propre population ne comprendrait pas les opérations d’assassinats. Himmler pre</w:t>
      </w:r>
      <w:r w:rsidRPr="00EC50AF">
        <w:rPr>
          <w:color w:val="000000"/>
          <w:szCs w:val="18"/>
        </w:rPr>
        <w:t>s</w:t>
      </w:r>
      <w:r w:rsidRPr="00EC50AF">
        <w:rPr>
          <w:color w:val="000000"/>
          <w:szCs w:val="18"/>
        </w:rPr>
        <w:t>sentit de bonne heure […] » la n</w:t>
      </w:r>
      <w:r w:rsidRPr="00EC50AF">
        <w:rPr>
          <w:color w:val="000000"/>
          <w:szCs w:val="18"/>
        </w:rPr>
        <w:t>é</w:t>
      </w:r>
      <w:r w:rsidRPr="00EC50AF">
        <w:rPr>
          <w:color w:val="000000"/>
          <w:szCs w:val="18"/>
        </w:rPr>
        <w:t>cessité du secret, d’où l’obsession de faire disparaître les anciennes fosses co</w:t>
      </w:r>
      <w:r w:rsidRPr="00EC50AF">
        <w:rPr>
          <w:color w:val="000000"/>
          <w:szCs w:val="18"/>
        </w:rPr>
        <w:t>m</w:t>
      </w:r>
      <w:r w:rsidRPr="00EC50AF">
        <w:rPr>
          <w:color w:val="000000"/>
          <w:szCs w:val="18"/>
        </w:rPr>
        <w:t>munes, de ne pas en creuser de nouvelles, de chercher de no</w:t>
      </w:r>
      <w:r w:rsidRPr="00EC50AF">
        <w:rPr>
          <w:color w:val="000000"/>
          <w:szCs w:val="18"/>
        </w:rPr>
        <w:t>u</w:t>
      </w:r>
      <w:r w:rsidRPr="00EC50AF">
        <w:rPr>
          <w:color w:val="000000"/>
          <w:szCs w:val="18"/>
        </w:rPr>
        <w:t>velles « techniques », et la mise en place d’une propagande adéquate dont la mise en scène du camp « modèle » de Theresienstadt à dest</w:t>
      </w:r>
      <w:r w:rsidRPr="00EC50AF">
        <w:rPr>
          <w:color w:val="000000"/>
          <w:szCs w:val="18"/>
        </w:rPr>
        <w:t>i</w:t>
      </w:r>
      <w:r w:rsidRPr="00EC50AF">
        <w:rPr>
          <w:color w:val="000000"/>
          <w:szCs w:val="18"/>
        </w:rPr>
        <w:t xml:space="preserve">nation de la Croix rouge. Voir Bettina Stangneth, </w:t>
      </w:r>
      <w:r w:rsidRPr="00EC50AF">
        <w:rPr>
          <w:i/>
          <w:color w:val="000000"/>
          <w:szCs w:val="18"/>
        </w:rPr>
        <w:t>Eic</w:t>
      </w:r>
      <w:r w:rsidRPr="00EC50AF">
        <w:rPr>
          <w:i/>
          <w:color w:val="000000"/>
          <w:szCs w:val="18"/>
        </w:rPr>
        <w:t>h</w:t>
      </w:r>
      <w:r w:rsidRPr="00EC50AF">
        <w:rPr>
          <w:i/>
          <w:color w:val="000000"/>
          <w:szCs w:val="18"/>
        </w:rPr>
        <w:t>mann avant Jérusalem</w:t>
      </w:r>
      <w:r w:rsidRPr="00EC50AF">
        <w:rPr>
          <w:color w:val="000000"/>
          <w:szCs w:val="18"/>
        </w:rPr>
        <w:t>, Paris, Calmann-Lévy, 2016, p. 71-72 (LE livre, tant attendu en français, qui rend définitivement caduque « la banal</w:t>
      </w:r>
      <w:r w:rsidRPr="00EC50AF">
        <w:rPr>
          <w:color w:val="000000"/>
          <w:szCs w:val="18"/>
        </w:rPr>
        <w:t>i</w:t>
      </w:r>
      <w:r w:rsidRPr="00EC50AF">
        <w:rPr>
          <w:color w:val="000000"/>
          <w:szCs w:val="18"/>
        </w:rPr>
        <w:t xml:space="preserve">té du mal » </w:t>
      </w:r>
      <w:r w:rsidRPr="00EC50AF">
        <w:rPr>
          <w:i/>
          <w:color w:val="000000"/>
          <w:szCs w:val="18"/>
        </w:rPr>
        <w:t>appliquée à Eichmann</w:t>
      </w:r>
      <w:r w:rsidRPr="00EC50AF">
        <w:rPr>
          <w:color w:val="000000"/>
          <w:szCs w:val="18"/>
        </w:rPr>
        <w:t xml:space="preserve"> par Ha</w:t>
      </w:r>
      <w:r w:rsidRPr="00EC50AF">
        <w:rPr>
          <w:color w:val="000000"/>
          <w:szCs w:val="18"/>
        </w:rPr>
        <w:t>n</w:t>
      </w:r>
      <w:r w:rsidRPr="00EC50AF">
        <w:rPr>
          <w:color w:val="000000"/>
          <w:szCs w:val="18"/>
        </w:rPr>
        <w:t>nah Arendt).</w:t>
      </w:r>
    </w:p>
  </w:footnote>
  <w:footnote w:id="219">
    <w:p w14:paraId="25ADCAC8" w14:textId="77777777" w:rsidR="00B01930" w:rsidRDefault="00B01930">
      <w:pPr>
        <w:pStyle w:val="Notedebasdepage"/>
      </w:pPr>
      <w:r>
        <w:rPr>
          <w:rStyle w:val="Appelnotedebasdep"/>
        </w:rPr>
        <w:footnoteRef/>
      </w:r>
      <w:r>
        <w:t xml:space="preserve"> </w:t>
      </w:r>
      <w:r>
        <w:tab/>
      </w:r>
      <w:r w:rsidRPr="00EC50AF">
        <w:rPr>
          <w:color w:val="000000"/>
          <w:szCs w:val="18"/>
        </w:rPr>
        <w:t>Après la guerre, une enquête d’opinion américaine, dans la zone d’occupation américaine, pratiquée en août 1947, montre que 55 % des allemands interr</w:t>
      </w:r>
      <w:r w:rsidRPr="00EC50AF">
        <w:rPr>
          <w:color w:val="000000"/>
          <w:szCs w:val="18"/>
        </w:rPr>
        <w:t>o</w:t>
      </w:r>
      <w:r w:rsidRPr="00EC50AF">
        <w:rPr>
          <w:color w:val="000000"/>
          <w:szCs w:val="18"/>
        </w:rPr>
        <w:t>gés considéraient le nazisme comme une bonne idée mais mal appliquée, cité par A</w:t>
      </w:r>
      <w:r w:rsidRPr="00EC50AF">
        <w:rPr>
          <w:color w:val="000000"/>
          <w:szCs w:val="18"/>
        </w:rPr>
        <w:t>l</w:t>
      </w:r>
      <w:r w:rsidRPr="00EC50AF">
        <w:rPr>
          <w:color w:val="000000"/>
          <w:szCs w:val="18"/>
        </w:rPr>
        <w:t xml:space="preserve">fred Wahl, </w:t>
      </w:r>
      <w:r w:rsidRPr="00EC50AF">
        <w:rPr>
          <w:i/>
          <w:color w:val="000000"/>
          <w:szCs w:val="18"/>
        </w:rPr>
        <w:t>La seconde histoire du nazisme dans l’Allemagne fédérale depuis 1945</w:t>
      </w:r>
      <w:r w:rsidRPr="00EC50AF">
        <w:rPr>
          <w:color w:val="000000"/>
          <w:szCs w:val="18"/>
        </w:rPr>
        <w:t>, Paris, Armand Colin, 2003, p. 12 ; en 1945 d’autres e</w:t>
      </w:r>
      <w:r w:rsidRPr="00EC50AF">
        <w:rPr>
          <w:color w:val="000000"/>
          <w:szCs w:val="18"/>
        </w:rPr>
        <w:t>n</w:t>
      </w:r>
      <w:r w:rsidRPr="00EC50AF">
        <w:rPr>
          <w:color w:val="000000"/>
          <w:szCs w:val="18"/>
        </w:rPr>
        <w:t>quêtes ont montré que les allemands rejetaient toute responsabilité dans le déclench</w:t>
      </w:r>
      <w:r w:rsidRPr="00EC50AF">
        <w:rPr>
          <w:color w:val="000000"/>
          <w:szCs w:val="18"/>
        </w:rPr>
        <w:t>e</w:t>
      </w:r>
      <w:r w:rsidRPr="00EC50AF">
        <w:rPr>
          <w:color w:val="000000"/>
          <w:szCs w:val="18"/>
        </w:rPr>
        <w:t>ment de la guerre, et 70 % de spectateurs d’un film sur les camps de conce</w:t>
      </w:r>
      <w:r w:rsidRPr="00EC50AF">
        <w:rPr>
          <w:color w:val="000000"/>
          <w:szCs w:val="18"/>
        </w:rPr>
        <w:t>n</w:t>
      </w:r>
      <w:r w:rsidRPr="00EC50AF">
        <w:rPr>
          <w:color w:val="000000"/>
          <w:szCs w:val="18"/>
        </w:rPr>
        <w:t>tration refusaient toute respons</w:t>
      </w:r>
      <w:r w:rsidRPr="00EC50AF">
        <w:rPr>
          <w:color w:val="000000"/>
          <w:szCs w:val="18"/>
        </w:rPr>
        <w:t>a</w:t>
      </w:r>
      <w:r w:rsidRPr="00EC50AF">
        <w:rPr>
          <w:color w:val="000000"/>
          <w:szCs w:val="18"/>
        </w:rPr>
        <w:t xml:space="preserve">bilité, comme 70 % aussi désapprouvaient dès 1950 les procès liés à la dénazification, et en 1952 44 % voyaient le passé comme plus positif que le présent (Alfred Wahl, </w:t>
      </w:r>
      <w:r w:rsidRPr="00EC50AF">
        <w:rPr>
          <w:i/>
          <w:color w:val="000000"/>
          <w:szCs w:val="18"/>
        </w:rPr>
        <w:t>op. cit</w:t>
      </w:r>
      <w:r w:rsidRPr="00EC50AF">
        <w:rPr>
          <w:color w:val="000000"/>
          <w:szCs w:val="18"/>
        </w:rPr>
        <w:t>. p. 13,</w:t>
      </w:r>
      <w:r>
        <w:rPr>
          <w:color w:val="000000"/>
          <w:szCs w:val="18"/>
        </w:rPr>
        <w:t xml:space="preserve"> </w:t>
      </w:r>
      <w:r w:rsidRPr="00EC50AF">
        <w:rPr>
          <w:color w:val="000000"/>
          <w:szCs w:val="18"/>
        </w:rPr>
        <w:t>17,</w:t>
      </w:r>
      <w:r>
        <w:rPr>
          <w:color w:val="000000"/>
          <w:szCs w:val="18"/>
        </w:rPr>
        <w:t xml:space="preserve"> </w:t>
      </w:r>
      <w:r w:rsidRPr="00EC50AF">
        <w:rPr>
          <w:color w:val="000000"/>
          <w:szCs w:val="18"/>
        </w:rPr>
        <w:t>78,</w:t>
      </w:r>
      <w:r>
        <w:rPr>
          <w:color w:val="000000"/>
          <w:szCs w:val="18"/>
        </w:rPr>
        <w:t xml:space="preserve"> </w:t>
      </w:r>
      <w:r w:rsidRPr="00EC50AF">
        <w:rPr>
          <w:color w:val="000000"/>
          <w:szCs w:val="18"/>
        </w:rPr>
        <w:t>79). E</w:t>
      </w:r>
      <w:r w:rsidRPr="00EC50AF">
        <w:rPr>
          <w:color w:val="000000"/>
          <w:szCs w:val="18"/>
        </w:rPr>
        <w:t>n</w:t>
      </w:r>
      <w:r w:rsidRPr="00EC50AF">
        <w:rPr>
          <w:color w:val="000000"/>
          <w:szCs w:val="18"/>
        </w:rPr>
        <w:t>fin, à quelques rares exceptions, les nazis convai</w:t>
      </w:r>
      <w:r w:rsidRPr="00EC50AF">
        <w:rPr>
          <w:color w:val="000000"/>
          <w:szCs w:val="18"/>
        </w:rPr>
        <w:t>n</w:t>
      </w:r>
      <w:r w:rsidRPr="00EC50AF">
        <w:rPr>
          <w:color w:val="000000"/>
          <w:szCs w:val="18"/>
        </w:rPr>
        <w:t>cus n’ont jamais renié leur idéologie ni les actes commis. Werner Best, haut dignitaire nazi (juriste, ém</w:t>
      </w:r>
      <w:r w:rsidRPr="00EC50AF">
        <w:rPr>
          <w:color w:val="000000"/>
          <w:szCs w:val="18"/>
        </w:rPr>
        <w:t>i</w:t>
      </w:r>
      <w:r w:rsidRPr="00EC50AF">
        <w:rPr>
          <w:color w:val="000000"/>
          <w:szCs w:val="18"/>
        </w:rPr>
        <w:t>nence grise de la SS, c</w:t>
      </w:r>
      <w:r w:rsidRPr="00EC50AF">
        <w:rPr>
          <w:rFonts w:cs="Arial"/>
          <w:color w:val="000000"/>
          <w:szCs w:val="18"/>
        </w:rPr>
        <w:t>hef adjoint de la pol</w:t>
      </w:r>
      <w:r w:rsidRPr="00EC50AF">
        <w:rPr>
          <w:rFonts w:cs="Arial"/>
          <w:color w:val="000000"/>
          <w:szCs w:val="18"/>
        </w:rPr>
        <w:t>i</w:t>
      </w:r>
      <w:r w:rsidRPr="00EC50AF">
        <w:rPr>
          <w:rFonts w:cs="Arial"/>
          <w:color w:val="000000"/>
          <w:szCs w:val="18"/>
        </w:rPr>
        <w:t xml:space="preserve">ce secrète), </w:t>
      </w:r>
      <w:r w:rsidRPr="00EC50AF">
        <w:rPr>
          <w:color w:val="000000"/>
          <w:szCs w:val="18"/>
        </w:rPr>
        <w:t xml:space="preserve">dans son livre </w:t>
      </w:r>
      <w:r w:rsidRPr="00EC50AF">
        <w:rPr>
          <w:i/>
          <w:color w:val="000000"/>
          <w:szCs w:val="18"/>
        </w:rPr>
        <w:t>Portraits de nazis</w:t>
      </w:r>
      <w:r w:rsidRPr="00EC50AF">
        <w:rPr>
          <w:color w:val="000000"/>
          <w:szCs w:val="18"/>
        </w:rPr>
        <w:t>, Paris, Perrin 2015, même s’il e</w:t>
      </w:r>
      <w:r w:rsidRPr="00EC50AF">
        <w:rPr>
          <w:color w:val="000000"/>
          <w:szCs w:val="18"/>
        </w:rPr>
        <w:t>n</w:t>
      </w:r>
      <w:r w:rsidRPr="00EC50AF">
        <w:rPr>
          <w:color w:val="000000"/>
          <w:szCs w:val="18"/>
        </w:rPr>
        <w:t xml:space="preserve">tend se placer du point de vue de la conception </w:t>
      </w:r>
      <w:r w:rsidRPr="00EC50AF">
        <w:rPr>
          <w:i/>
          <w:color w:val="000000"/>
          <w:szCs w:val="18"/>
        </w:rPr>
        <w:t>völkish</w:t>
      </w:r>
      <w:r w:rsidRPr="00EC50AF">
        <w:rPr>
          <w:color w:val="000000"/>
          <w:szCs w:val="18"/>
        </w:rPr>
        <w:t xml:space="preserve"> du monde, ne </w:t>
      </w:r>
      <w:r w:rsidRPr="00EC50AF">
        <w:rPr>
          <w:rFonts w:cs="Arial"/>
          <w:color w:val="000000"/>
          <w:szCs w:val="18"/>
        </w:rPr>
        <w:t>remet pas fondamentalement en cause le n</w:t>
      </w:r>
      <w:r w:rsidRPr="00EC50AF">
        <w:rPr>
          <w:rFonts w:cs="Arial"/>
          <w:color w:val="000000"/>
          <w:szCs w:val="18"/>
        </w:rPr>
        <w:t>a</w:t>
      </w:r>
      <w:r w:rsidRPr="00EC50AF">
        <w:rPr>
          <w:rFonts w:cs="Arial"/>
          <w:color w:val="000000"/>
          <w:szCs w:val="18"/>
        </w:rPr>
        <w:t>zisme, l’échec étant, selon lui, dû à la faiblesse des ho</w:t>
      </w:r>
      <w:r w:rsidRPr="00EC50AF">
        <w:rPr>
          <w:rFonts w:cs="Arial"/>
          <w:color w:val="000000"/>
          <w:szCs w:val="18"/>
        </w:rPr>
        <w:t>m</w:t>
      </w:r>
      <w:r w:rsidRPr="00EC50AF">
        <w:rPr>
          <w:rFonts w:cs="Arial"/>
          <w:color w:val="000000"/>
          <w:szCs w:val="18"/>
        </w:rPr>
        <w:t xml:space="preserve">mes qu’il dépeint (voir aussi Ulrich Herbert, </w:t>
      </w:r>
      <w:r w:rsidRPr="00EC50AF">
        <w:rPr>
          <w:rFonts w:cs="Arial"/>
          <w:i/>
          <w:color w:val="000000"/>
          <w:szCs w:val="18"/>
        </w:rPr>
        <w:t>Werner Best, un nazi de l’ombre</w:t>
      </w:r>
      <w:r w:rsidRPr="00EC50AF">
        <w:rPr>
          <w:rFonts w:cs="Arial"/>
          <w:color w:val="000000"/>
          <w:szCs w:val="18"/>
        </w:rPr>
        <w:t xml:space="preserve">, Paris, Tallandier, 2010). </w:t>
      </w:r>
      <w:r w:rsidRPr="00EC50AF">
        <w:rPr>
          <w:color w:val="000000"/>
          <w:szCs w:val="18"/>
        </w:rPr>
        <w:t>Rappelons aussi que les États-Unis et les pays nord</w:t>
      </w:r>
      <w:r w:rsidRPr="00EC50AF">
        <w:rPr>
          <w:color w:val="000000"/>
          <w:szCs w:val="18"/>
        </w:rPr>
        <w:t>i</w:t>
      </w:r>
      <w:r w:rsidRPr="00EC50AF">
        <w:rPr>
          <w:color w:val="000000"/>
          <w:szCs w:val="18"/>
        </w:rPr>
        <w:t>ques ont pratiqués, avant et après-guerre, des politiques eugénistes fondées sur les théories biol</w:t>
      </w:r>
      <w:r w:rsidRPr="00EC50AF">
        <w:rPr>
          <w:color w:val="000000"/>
          <w:szCs w:val="18"/>
        </w:rPr>
        <w:t>o</w:t>
      </w:r>
      <w:r w:rsidRPr="00EC50AF">
        <w:rPr>
          <w:color w:val="000000"/>
          <w:szCs w:val="18"/>
        </w:rPr>
        <w:t>giques qui servirent de justif</w:t>
      </w:r>
      <w:r w:rsidRPr="00EC50AF">
        <w:rPr>
          <w:color w:val="000000"/>
          <w:szCs w:val="18"/>
        </w:rPr>
        <w:t>i</w:t>
      </w:r>
      <w:r w:rsidRPr="00EC50AF">
        <w:rPr>
          <w:color w:val="000000"/>
          <w:szCs w:val="18"/>
        </w:rPr>
        <w:t xml:space="preserve">cation au nazisme (qui y associa la thématique raciale poussée à son paroxysme). </w:t>
      </w:r>
    </w:p>
  </w:footnote>
  <w:footnote w:id="220">
    <w:p w14:paraId="174928CF" w14:textId="77777777" w:rsidR="00B01930" w:rsidRDefault="00B01930">
      <w:pPr>
        <w:pStyle w:val="Notedebasdepage"/>
      </w:pPr>
      <w:r>
        <w:rPr>
          <w:rStyle w:val="Appelnotedebasdep"/>
        </w:rPr>
        <w:footnoteRef/>
      </w:r>
      <w:r>
        <w:t xml:space="preserve"> </w:t>
      </w:r>
      <w:r>
        <w:tab/>
      </w:r>
      <w:r w:rsidRPr="00EC50AF">
        <w:rPr>
          <w:color w:val="000000"/>
          <w:szCs w:val="18"/>
        </w:rPr>
        <w:t xml:space="preserve">Cf. Bettina Stangneth, </w:t>
      </w:r>
      <w:r w:rsidRPr="00EC50AF">
        <w:rPr>
          <w:i/>
          <w:color w:val="000000"/>
          <w:szCs w:val="18"/>
        </w:rPr>
        <w:t>op.</w:t>
      </w:r>
      <w:r>
        <w:rPr>
          <w:i/>
          <w:color w:val="000000"/>
          <w:szCs w:val="18"/>
        </w:rPr>
        <w:t xml:space="preserve"> </w:t>
      </w:r>
      <w:r w:rsidRPr="00EC50AF">
        <w:rPr>
          <w:i/>
          <w:color w:val="000000"/>
          <w:szCs w:val="18"/>
        </w:rPr>
        <w:t>cit</w:t>
      </w:r>
      <w:r w:rsidRPr="00EC50AF">
        <w:rPr>
          <w:color w:val="000000"/>
          <w:szCs w:val="18"/>
        </w:rPr>
        <w:t>., p. 211-212.</w:t>
      </w:r>
    </w:p>
  </w:footnote>
  <w:footnote w:id="221">
    <w:p w14:paraId="6CAF51FB" w14:textId="77777777" w:rsidR="00B01930" w:rsidRDefault="00B01930">
      <w:pPr>
        <w:pStyle w:val="Notedebasdepage"/>
      </w:pPr>
      <w:r>
        <w:rPr>
          <w:rStyle w:val="Appelnotedebasdep"/>
        </w:rPr>
        <w:footnoteRef/>
      </w:r>
      <w:r>
        <w:t xml:space="preserve"> </w:t>
      </w:r>
      <w:r>
        <w:tab/>
      </w:r>
      <w:r w:rsidRPr="00EC50AF">
        <w:rPr>
          <w:i/>
          <w:color w:val="000000"/>
          <w:szCs w:val="18"/>
        </w:rPr>
        <w:t>Ibidem</w:t>
      </w:r>
      <w:r w:rsidRPr="00EC50AF">
        <w:rPr>
          <w:color w:val="000000"/>
          <w:szCs w:val="18"/>
        </w:rPr>
        <w:t>, p. 133</w:t>
      </w:r>
      <w:r>
        <w:rPr>
          <w:color w:val="000000"/>
          <w:szCs w:val="18"/>
        </w:rPr>
        <w:t>.</w:t>
      </w:r>
    </w:p>
  </w:footnote>
  <w:footnote w:id="222">
    <w:p w14:paraId="1CE900A6" w14:textId="77777777" w:rsidR="00B01930" w:rsidRDefault="00B01930">
      <w:pPr>
        <w:pStyle w:val="Notedebasdepage"/>
      </w:pPr>
      <w:r>
        <w:rPr>
          <w:rStyle w:val="Appelnotedebasdep"/>
        </w:rPr>
        <w:footnoteRef/>
      </w:r>
      <w:r>
        <w:t xml:space="preserve"> </w:t>
      </w:r>
      <w:r>
        <w:tab/>
      </w:r>
      <w:r w:rsidRPr="00EC50AF">
        <w:rPr>
          <w:i/>
          <w:color w:val="000000"/>
          <w:szCs w:val="18"/>
        </w:rPr>
        <w:t>Loc. cit.</w:t>
      </w:r>
    </w:p>
  </w:footnote>
  <w:footnote w:id="223">
    <w:p w14:paraId="31CA9A86" w14:textId="77777777" w:rsidR="00B01930" w:rsidRDefault="00B01930">
      <w:pPr>
        <w:pStyle w:val="Notedebasdepage"/>
      </w:pPr>
      <w:r>
        <w:rPr>
          <w:rStyle w:val="Appelnotedebasdep"/>
        </w:rPr>
        <w:footnoteRef/>
      </w:r>
      <w:r>
        <w:t xml:space="preserve"> </w:t>
      </w:r>
      <w:r>
        <w:tab/>
      </w:r>
      <w:r w:rsidRPr="00EC50AF">
        <w:rPr>
          <w:i/>
          <w:color w:val="000000"/>
          <w:szCs w:val="18"/>
        </w:rPr>
        <w:t>Loc. cit.</w:t>
      </w:r>
    </w:p>
  </w:footnote>
  <w:footnote w:id="224">
    <w:p w14:paraId="4496E5B0" w14:textId="77777777" w:rsidR="00B01930" w:rsidRDefault="00B01930">
      <w:pPr>
        <w:pStyle w:val="Notedebasdepage"/>
      </w:pPr>
      <w:r>
        <w:rPr>
          <w:rStyle w:val="Appelnotedebasdep"/>
        </w:rPr>
        <w:footnoteRef/>
      </w:r>
      <w:r>
        <w:t xml:space="preserve"> </w:t>
      </w:r>
      <w:r>
        <w:tab/>
      </w:r>
      <w:r w:rsidRPr="00EC50AF">
        <w:rPr>
          <w:color w:val="000000"/>
          <w:szCs w:val="18"/>
        </w:rPr>
        <w:t xml:space="preserve">Cf. entre autres, récemment, Johann Chapoutot, </w:t>
      </w:r>
      <w:r w:rsidRPr="00EC50AF">
        <w:rPr>
          <w:i/>
          <w:color w:val="000000"/>
          <w:szCs w:val="18"/>
        </w:rPr>
        <w:t>La Loi du sang, penser et agir en nazi</w:t>
      </w:r>
      <w:r w:rsidRPr="00EC50AF">
        <w:rPr>
          <w:color w:val="000000"/>
          <w:szCs w:val="18"/>
        </w:rPr>
        <w:t>, Paris, Gallimard, 2014.</w:t>
      </w:r>
    </w:p>
  </w:footnote>
  <w:footnote w:id="225">
    <w:p w14:paraId="6BF67710" w14:textId="77777777" w:rsidR="00B01930" w:rsidRDefault="00B01930">
      <w:pPr>
        <w:pStyle w:val="Notedebasdepage"/>
      </w:pPr>
      <w:r>
        <w:rPr>
          <w:rStyle w:val="Appelnotedebasdep"/>
        </w:rPr>
        <w:footnoteRef/>
      </w:r>
      <w:r>
        <w:t xml:space="preserve"> </w:t>
      </w:r>
      <w:r>
        <w:tab/>
      </w:r>
      <w:r w:rsidRPr="00EC50AF">
        <w:rPr>
          <w:color w:val="000000"/>
          <w:szCs w:val="18"/>
        </w:rPr>
        <w:t>Adolf Eichmann, « Entretiens Sassen », voir la transcription des enregistr</w:t>
      </w:r>
      <w:r w:rsidRPr="00EC50AF">
        <w:rPr>
          <w:color w:val="000000"/>
          <w:szCs w:val="18"/>
        </w:rPr>
        <w:t>e</w:t>
      </w:r>
      <w:r w:rsidRPr="00EC50AF">
        <w:rPr>
          <w:color w:val="000000"/>
          <w:szCs w:val="18"/>
        </w:rPr>
        <w:t xml:space="preserve">ments, le final, p. 438 à 442, </w:t>
      </w:r>
      <w:r w:rsidRPr="00EC50AF">
        <w:rPr>
          <w:i/>
          <w:color w:val="000000"/>
          <w:szCs w:val="18"/>
        </w:rPr>
        <w:t>in</w:t>
      </w:r>
      <w:r w:rsidRPr="00EC50AF">
        <w:rPr>
          <w:color w:val="000000"/>
          <w:szCs w:val="18"/>
        </w:rPr>
        <w:t xml:space="preserve"> Bettina Stangneth, </w:t>
      </w:r>
      <w:r w:rsidRPr="00EC50AF">
        <w:rPr>
          <w:i/>
          <w:color w:val="000000"/>
          <w:szCs w:val="18"/>
        </w:rPr>
        <w:t>Eic</w:t>
      </w:r>
      <w:r w:rsidRPr="00EC50AF">
        <w:rPr>
          <w:i/>
          <w:color w:val="000000"/>
          <w:szCs w:val="18"/>
        </w:rPr>
        <w:t>h</w:t>
      </w:r>
      <w:r w:rsidRPr="00EC50AF">
        <w:rPr>
          <w:i/>
          <w:color w:val="000000"/>
          <w:szCs w:val="18"/>
        </w:rPr>
        <w:t>mann…,</w:t>
      </w:r>
      <w:r w:rsidRPr="00EC50AF">
        <w:rPr>
          <w:color w:val="000000"/>
          <w:szCs w:val="18"/>
        </w:rPr>
        <w:t xml:space="preserve"> – rien que ce final réduit à néant la thèse d’Arendt sur la « banalité » d’Eichmann, due à son « absence de pensée ».</w:t>
      </w:r>
    </w:p>
  </w:footnote>
  <w:footnote w:id="226">
    <w:p w14:paraId="694290C1" w14:textId="77777777" w:rsidR="00B01930" w:rsidRDefault="00B01930">
      <w:pPr>
        <w:pStyle w:val="Notedebasdepage"/>
      </w:pPr>
      <w:r>
        <w:rPr>
          <w:rStyle w:val="Appelnotedebasdep"/>
        </w:rPr>
        <w:footnoteRef/>
      </w:r>
      <w:r>
        <w:t xml:space="preserve"> </w:t>
      </w:r>
      <w:r>
        <w:tab/>
      </w:r>
      <w:r w:rsidRPr="00EC50AF">
        <w:rPr>
          <w:color w:val="000000"/>
          <w:szCs w:val="18"/>
        </w:rPr>
        <w:t xml:space="preserve">Bettina Stangneth, </w:t>
      </w:r>
      <w:r w:rsidRPr="00EC50AF">
        <w:rPr>
          <w:i/>
          <w:color w:val="000000"/>
          <w:szCs w:val="18"/>
        </w:rPr>
        <w:t>Eichmann…,</w:t>
      </w:r>
      <w:r w:rsidRPr="00EC50AF">
        <w:rPr>
          <w:color w:val="000000"/>
          <w:szCs w:val="18"/>
        </w:rPr>
        <w:t xml:space="preserve"> p. 440.</w:t>
      </w:r>
    </w:p>
  </w:footnote>
  <w:footnote w:id="227">
    <w:p w14:paraId="39B82457" w14:textId="77777777" w:rsidR="00B01930" w:rsidRDefault="00B01930">
      <w:pPr>
        <w:pStyle w:val="Notedebasdepage"/>
      </w:pPr>
      <w:r>
        <w:rPr>
          <w:rStyle w:val="Appelnotedebasdep"/>
        </w:rPr>
        <w:footnoteRef/>
      </w:r>
      <w:r>
        <w:t xml:space="preserve"> </w:t>
      </w:r>
      <w:r>
        <w:tab/>
      </w:r>
      <w:r w:rsidRPr="00EC50AF">
        <w:rPr>
          <w:color w:val="000000"/>
          <w:szCs w:val="18"/>
        </w:rPr>
        <w:t xml:space="preserve">Raymond Aron, </w:t>
      </w:r>
      <w:r w:rsidRPr="00EC50AF">
        <w:rPr>
          <w:i/>
          <w:color w:val="000000"/>
          <w:szCs w:val="18"/>
        </w:rPr>
        <w:t>Existe-t-il un mystère nazi ?,</w:t>
      </w:r>
      <w:r w:rsidRPr="00EC50AF">
        <w:rPr>
          <w:color w:val="000000"/>
          <w:szCs w:val="18"/>
        </w:rPr>
        <w:t xml:space="preserve"> </w:t>
      </w:r>
      <w:r w:rsidRPr="00EC50AF">
        <w:rPr>
          <w:i/>
          <w:color w:val="000000"/>
          <w:szCs w:val="18"/>
        </w:rPr>
        <w:t xml:space="preserve">Une Histoire du </w:t>
      </w:r>
      <w:r w:rsidRPr="00EC50AF">
        <w:rPr>
          <w:color w:val="000000"/>
          <w:szCs w:val="18"/>
        </w:rPr>
        <w:t xml:space="preserve">…, </w:t>
      </w:r>
      <w:r w:rsidRPr="00EC50AF">
        <w:rPr>
          <w:i/>
          <w:color w:val="000000"/>
          <w:szCs w:val="18"/>
        </w:rPr>
        <w:t>op. cit.</w:t>
      </w:r>
      <w:r w:rsidRPr="00EC50AF">
        <w:rPr>
          <w:color w:val="000000"/>
          <w:szCs w:val="18"/>
        </w:rPr>
        <w:t>, p. 205.</w:t>
      </w:r>
    </w:p>
  </w:footnote>
  <w:footnote w:id="228">
    <w:p w14:paraId="6856EA7B" w14:textId="77777777" w:rsidR="00B01930" w:rsidRDefault="00B01930">
      <w:pPr>
        <w:pStyle w:val="Notedebasdepage"/>
      </w:pPr>
      <w:r>
        <w:rPr>
          <w:rStyle w:val="Appelnotedebasdep"/>
        </w:rPr>
        <w:footnoteRef/>
      </w:r>
      <w:r>
        <w:t xml:space="preserve"> </w:t>
      </w:r>
      <w:r>
        <w:tab/>
      </w:r>
      <w:r w:rsidRPr="00EC50AF">
        <w:rPr>
          <w:color w:val="000000"/>
          <w:szCs w:val="18"/>
        </w:rPr>
        <w:t xml:space="preserve">Bettina Stangneth, </w:t>
      </w:r>
      <w:r w:rsidRPr="00EC50AF">
        <w:rPr>
          <w:i/>
          <w:color w:val="000000"/>
          <w:szCs w:val="18"/>
        </w:rPr>
        <w:t>Eichmann…,</w:t>
      </w:r>
      <w:r w:rsidRPr="00EC50AF">
        <w:rPr>
          <w:color w:val="000000"/>
          <w:szCs w:val="18"/>
        </w:rPr>
        <w:t xml:space="preserve"> p. 216.</w:t>
      </w:r>
    </w:p>
  </w:footnote>
  <w:footnote w:id="229">
    <w:p w14:paraId="696E5875" w14:textId="77777777" w:rsidR="00B01930" w:rsidRDefault="00B01930">
      <w:pPr>
        <w:pStyle w:val="Notedebasdepage"/>
      </w:pPr>
      <w:r>
        <w:rPr>
          <w:rStyle w:val="Appelnotedebasdep"/>
        </w:rPr>
        <w:footnoteRef/>
      </w:r>
      <w:r>
        <w:tab/>
      </w:r>
      <w:r w:rsidRPr="00EC50AF">
        <w:rPr>
          <w:color w:val="000000"/>
          <w:szCs w:val="18"/>
        </w:rPr>
        <w:t>En effet, le marxisme est issu du libéralisme, il s’appuie sur la raison, la scie</w:t>
      </w:r>
      <w:r w:rsidRPr="00EC50AF">
        <w:rPr>
          <w:color w:val="000000"/>
          <w:szCs w:val="18"/>
        </w:rPr>
        <w:t>n</w:t>
      </w:r>
      <w:r w:rsidRPr="00EC50AF">
        <w:rPr>
          <w:color w:val="000000"/>
          <w:szCs w:val="18"/>
        </w:rPr>
        <w:t>ce, se veut égalitaire et même l’aboutissement de la démocratie et « le vrai humani</w:t>
      </w:r>
      <w:r w:rsidRPr="00EC50AF">
        <w:rPr>
          <w:color w:val="000000"/>
          <w:szCs w:val="18"/>
        </w:rPr>
        <w:t>s</w:t>
      </w:r>
      <w:r w:rsidRPr="00EC50AF">
        <w:rPr>
          <w:color w:val="000000"/>
          <w:szCs w:val="18"/>
        </w:rPr>
        <w:t>me », il vise l’universalité et la fusion des peuples, toutes choses qui sont susce</w:t>
      </w:r>
      <w:r w:rsidRPr="00EC50AF">
        <w:rPr>
          <w:color w:val="000000"/>
          <w:szCs w:val="18"/>
        </w:rPr>
        <w:t>p</w:t>
      </w:r>
      <w:r w:rsidRPr="00EC50AF">
        <w:rPr>
          <w:color w:val="000000"/>
          <w:szCs w:val="18"/>
        </w:rPr>
        <w:t>tibles d’être invoquées contre tel ou tel détenteur du pouvoir marxiste, au nom même du marxisme. En revanche, le nazisme se veut fo</w:t>
      </w:r>
      <w:r w:rsidRPr="00EC50AF">
        <w:rPr>
          <w:color w:val="000000"/>
          <w:szCs w:val="18"/>
        </w:rPr>
        <w:t>n</w:t>
      </w:r>
      <w:r w:rsidRPr="00EC50AF">
        <w:rPr>
          <w:color w:val="000000"/>
          <w:szCs w:val="18"/>
        </w:rPr>
        <w:t>damentalement antilibéral, antichrétien, antihumaniste, profondément inégal</w:t>
      </w:r>
      <w:r w:rsidRPr="00EC50AF">
        <w:rPr>
          <w:color w:val="000000"/>
          <w:szCs w:val="18"/>
        </w:rPr>
        <w:t>i</w:t>
      </w:r>
      <w:r w:rsidRPr="00EC50AF">
        <w:rPr>
          <w:color w:val="000000"/>
          <w:szCs w:val="18"/>
        </w:rPr>
        <w:t>taire du fait de la loi de la lutte des races au profit de la race aryenne, les A</w:t>
      </w:r>
      <w:r w:rsidRPr="00EC50AF">
        <w:rPr>
          <w:color w:val="000000"/>
          <w:szCs w:val="18"/>
        </w:rPr>
        <w:t>l</w:t>
      </w:r>
      <w:r w:rsidRPr="00EC50AF">
        <w:rPr>
          <w:color w:val="000000"/>
          <w:szCs w:val="18"/>
        </w:rPr>
        <w:t>lemands, qui seuls doivent dominer le monde, sans oublier un darwinisme s</w:t>
      </w:r>
      <w:r w:rsidRPr="00EC50AF">
        <w:rPr>
          <w:color w:val="000000"/>
          <w:szCs w:val="18"/>
        </w:rPr>
        <w:t>o</w:t>
      </w:r>
      <w:r w:rsidRPr="00EC50AF">
        <w:rPr>
          <w:color w:val="000000"/>
          <w:szCs w:val="18"/>
        </w:rPr>
        <w:t>cial qui vient renforcer l’idéal in</w:t>
      </w:r>
      <w:r w:rsidRPr="00EC50AF">
        <w:rPr>
          <w:color w:val="000000"/>
          <w:szCs w:val="18"/>
        </w:rPr>
        <w:t>é</w:t>
      </w:r>
      <w:r w:rsidRPr="00EC50AF">
        <w:rPr>
          <w:color w:val="000000"/>
          <w:szCs w:val="18"/>
        </w:rPr>
        <w:t>galitaire, enfin le culte de la force dont l’acmé est la guerre, qui sert à fortifier la race élue. Donc rien qui peut venir contester le détenteur de la vérité et lui reprocher de ne pas réaliser la proph</w:t>
      </w:r>
      <w:r w:rsidRPr="00EC50AF">
        <w:rPr>
          <w:color w:val="000000"/>
          <w:szCs w:val="18"/>
        </w:rPr>
        <w:t>é</w:t>
      </w:r>
      <w:r w:rsidRPr="00EC50AF">
        <w:rPr>
          <w:color w:val="000000"/>
          <w:szCs w:val="18"/>
        </w:rPr>
        <w:t>tie, dès lors que celui-ci accomplit à l’extrême cette loi de l’histoire, ce qui était le cas d’Hitler. Et lui mort, on ne peut faire plus, au plan doctrinal, que ce qu’il a écrit, ou dit (dans ses discours, ordres ou propos recueillis par ses pr</w:t>
      </w:r>
      <w:r w:rsidRPr="00EC50AF">
        <w:rPr>
          <w:color w:val="000000"/>
          <w:szCs w:val="18"/>
        </w:rPr>
        <w:t>o</w:t>
      </w:r>
      <w:r w:rsidRPr="00EC50AF">
        <w:rPr>
          <w:color w:val="000000"/>
          <w:szCs w:val="18"/>
        </w:rPr>
        <w:t>ches) ou, surtout, fait en parfaite concordance avec son br</w:t>
      </w:r>
      <w:r w:rsidRPr="00EC50AF">
        <w:rPr>
          <w:color w:val="000000"/>
          <w:szCs w:val="18"/>
        </w:rPr>
        <w:t>é</w:t>
      </w:r>
      <w:r w:rsidRPr="00EC50AF">
        <w:rPr>
          <w:color w:val="000000"/>
          <w:szCs w:val="18"/>
        </w:rPr>
        <w:t xml:space="preserve">viaire, </w:t>
      </w:r>
      <w:r w:rsidRPr="00EC50AF">
        <w:rPr>
          <w:i/>
          <w:color w:val="000000"/>
          <w:szCs w:val="18"/>
        </w:rPr>
        <w:t>Mein Kampf</w:t>
      </w:r>
      <w:r w:rsidRPr="00EC50AF">
        <w:rPr>
          <w:color w:val="000000"/>
          <w:szCs w:val="18"/>
        </w:rPr>
        <w:t xml:space="preserve">. Une totale révision du </w:t>
      </w:r>
      <w:r w:rsidRPr="00EC50AF">
        <w:rPr>
          <w:i/>
          <w:color w:val="000000"/>
          <w:szCs w:val="18"/>
        </w:rPr>
        <w:t>corpus</w:t>
      </w:r>
      <w:r w:rsidRPr="00EC50AF">
        <w:rPr>
          <w:color w:val="000000"/>
          <w:szCs w:val="18"/>
        </w:rPr>
        <w:t xml:space="preserve"> reviendrait </w:t>
      </w:r>
      <w:r w:rsidRPr="00EC50AF">
        <w:rPr>
          <w:i/>
          <w:color w:val="000000"/>
          <w:szCs w:val="18"/>
        </w:rPr>
        <w:t>ipso facto</w:t>
      </w:r>
      <w:r w:rsidRPr="00EC50AF">
        <w:rPr>
          <w:color w:val="000000"/>
          <w:szCs w:val="18"/>
        </w:rPr>
        <w:t xml:space="preserve"> à ruiner l’idéologie. </w:t>
      </w:r>
    </w:p>
    <w:p w14:paraId="4944704C" w14:textId="77777777" w:rsidR="00B01930" w:rsidRDefault="00B01930">
      <w:pPr>
        <w:pStyle w:val="Notedebasdepage"/>
      </w:pPr>
      <w:r>
        <w:tab/>
      </w:r>
      <w:r>
        <w:tab/>
      </w:r>
      <w:r w:rsidRPr="00EC50AF">
        <w:rPr>
          <w:color w:val="000000"/>
          <w:szCs w:val="18"/>
        </w:rPr>
        <w:t>Sauf à assimiler les différents mouvements dits « populistes » d’extrême droite à une forme édulcorée du nazisme, une métamorphose adaptée au mo</w:t>
      </w:r>
      <w:r w:rsidRPr="00EC50AF">
        <w:rPr>
          <w:color w:val="000000"/>
          <w:szCs w:val="18"/>
        </w:rPr>
        <w:t>n</w:t>
      </w:r>
      <w:r w:rsidRPr="00EC50AF">
        <w:rPr>
          <w:color w:val="000000"/>
          <w:szCs w:val="18"/>
        </w:rPr>
        <w:t>de actuel, et de ce fait, considérer qu’il s’agit d’une réactualisation de l’idéologie ? Difficile d’aller jusque-là, en l’état. Co</w:t>
      </w:r>
      <w:r w:rsidRPr="00EC50AF">
        <w:rPr>
          <w:color w:val="000000"/>
          <w:szCs w:val="18"/>
        </w:rPr>
        <w:t>n</w:t>
      </w:r>
      <w:r w:rsidRPr="00EC50AF">
        <w:rPr>
          <w:color w:val="000000"/>
          <w:szCs w:val="18"/>
        </w:rPr>
        <w:t>tamination, du fait de la porosité des thèmes et des liens, est plus exacte que d’y voir le phénomène h</w:t>
      </w:r>
      <w:r w:rsidRPr="00EC50AF">
        <w:rPr>
          <w:color w:val="000000"/>
          <w:szCs w:val="18"/>
        </w:rPr>
        <w:t>é</w:t>
      </w:r>
      <w:r w:rsidRPr="00EC50AF">
        <w:rPr>
          <w:color w:val="000000"/>
          <w:szCs w:val="18"/>
        </w:rPr>
        <w:t>rétique, mais rien ne dit que ces mouvements « populistes » – selon la conjoncture – ne seront pas le lieu d’éclosion d’un renouveau de l’idéologie nazie « revisitée » et autrement appelée… Avant-guerre, nombre de mouv</w:t>
      </w:r>
      <w:r w:rsidRPr="00EC50AF">
        <w:rPr>
          <w:color w:val="000000"/>
          <w:szCs w:val="18"/>
        </w:rPr>
        <w:t>e</w:t>
      </w:r>
      <w:r w:rsidRPr="00EC50AF">
        <w:rPr>
          <w:color w:val="000000"/>
          <w:szCs w:val="18"/>
        </w:rPr>
        <w:t>ments d’extrême droite ont fini par épouser les thèses nazies, c’est-à-dire, en simplifiant beaucoup, que l’idéologie nazie a phagocyté ces mouvements. Ce qui dans la conception martrienne est le plus logique, puisque, si les cond</w:t>
      </w:r>
      <w:r w:rsidRPr="00EC50AF">
        <w:rPr>
          <w:color w:val="000000"/>
          <w:szCs w:val="18"/>
        </w:rPr>
        <w:t>i</w:t>
      </w:r>
      <w:r w:rsidRPr="00EC50AF">
        <w:rPr>
          <w:color w:val="000000"/>
          <w:szCs w:val="18"/>
        </w:rPr>
        <w:t>tions sont réunies, c’est la pensée politique qui est la plus proche du modèle « manichéen inégalitaire » qui l’emporte, notamment du fait de sa radicalité (propice à conforter la cro</w:t>
      </w:r>
      <w:r w:rsidRPr="00EC50AF">
        <w:rPr>
          <w:color w:val="000000"/>
          <w:szCs w:val="18"/>
        </w:rPr>
        <w:t>y</w:t>
      </w:r>
      <w:r w:rsidRPr="00EC50AF">
        <w:rPr>
          <w:color w:val="000000"/>
          <w:szCs w:val="18"/>
        </w:rPr>
        <w:t xml:space="preserve">ance en la politique de « la table rase », condition de la Cité idéale de demain). </w:t>
      </w:r>
    </w:p>
  </w:footnote>
  <w:footnote w:id="230">
    <w:p w14:paraId="6194EDBF" w14:textId="77777777" w:rsidR="00B01930" w:rsidRDefault="00B01930">
      <w:pPr>
        <w:pStyle w:val="Notedebasdepage"/>
      </w:pPr>
      <w:r>
        <w:rPr>
          <w:rStyle w:val="Appelnotedebasdep"/>
        </w:rPr>
        <w:footnoteRef/>
      </w:r>
      <w:r>
        <w:t xml:space="preserve"> </w:t>
      </w:r>
      <w:r>
        <w:tab/>
      </w:r>
      <w:r w:rsidRPr="00EC50AF">
        <w:rPr>
          <w:i/>
          <w:color w:val="000000"/>
          <w:szCs w:val="18"/>
        </w:rPr>
        <w:t>In</w:t>
      </w:r>
      <w:r w:rsidRPr="00EC50AF">
        <w:rPr>
          <w:color w:val="000000"/>
          <w:szCs w:val="18"/>
        </w:rPr>
        <w:t xml:space="preserve"> Raymond Aron, </w:t>
      </w:r>
      <w:r w:rsidRPr="00EC50AF">
        <w:rPr>
          <w:i/>
          <w:color w:val="000000"/>
          <w:szCs w:val="18"/>
        </w:rPr>
        <w:t>Une Histoire du</w:t>
      </w:r>
      <w:r w:rsidRPr="00EC50AF">
        <w:rPr>
          <w:color w:val="000000"/>
          <w:szCs w:val="18"/>
        </w:rPr>
        <w:t xml:space="preserve">…, </w:t>
      </w:r>
      <w:r w:rsidRPr="00EC50AF">
        <w:rPr>
          <w:i/>
          <w:color w:val="000000"/>
          <w:szCs w:val="18"/>
        </w:rPr>
        <w:t>op. cit.</w:t>
      </w:r>
      <w:r w:rsidRPr="00EC50AF">
        <w:rPr>
          <w:color w:val="000000"/>
          <w:szCs w:val="18"/>
        </w:rPr>
        <w:t>, p. 205.</w:t>
      </w:r>
    </w:p>
  </w:footnote>
  <w:footnote w:id="231">
    <w:p w14:paraId="2971A5EF"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w:t>
      </w:r>
      <w:r w:rsidRPr="00EC50AF">
        <w:rPr>
          <w:i/>
          <w:color w:val="000000"/>
          <w:szCs w:val="18"/>
        </w:rPr>
        <w:t xml:space="preserve"> </w:t>
      </w:r>
      <w:r w:rsidRPr="00EC50AF">
        <w:rPr>
          <w:color w:val="000000"/>
          <w:szCs w:val="18"/>
        </w:rPr>
        <w:t>p. 692.</w:t>
      </w:r>
    </w:p>
  </w:footnote>
  <w:footnote w:id="232">
    <w:p w14:paraId="07F78ABC" w14:textId="77777777" w:rsidR="00B01930" w:rsidRDefault="00B01930">
      <w:pPr>
        <w:pStyle w:val="Notedebasdepage"/>
      </w:pPr>
      <w:r>
        <w:rPr>
          <w:rStyle w:val="Appelnotedebasdep"/>
        </w:rPr>
        <w:footnoteRef/>
      </w:r>
      <w:r>
        <w:t xml:space="preserve"> </w:t>
      </w:r>
      <w:r>
        <w:tab/>
      </w:r>
      <w:r w:rsidRPr="00EC50AF">
        <w:rPr>
          <w:color w:val="000000"/>
          <w:szCs w:val="18"/>
        </w:rPr>
        <w:t>Si « </w:t>
      </w:r>
      <w:r w:rsidRPr="00EC50AF">
        <w:rPr>
          <w:i/>
          <w:color w:val="000000"/>
          <w:szCs w:val="18"/>
        </w:rPr>
        <w:t>les rapports de puissance n’y concourent pas, alors la victoire change de camp ; l’Empire byzantin en est la preuve </w:t>
      </w:r>
      <w:r w:rsidRPr="00EC50AF">
        <w:rPr>
          <w:color w:val="000000"/>
          <w:szCs w:val="18"/>
        </w:rPr>
        <w:t xml:space="preserve">» ; </w:t>
      </w:r>
      <w:r w:rsidRPr="00EC50AF">
        <w:rPr>
          <w:i/>
          <w:color w:val="000000"/>
          <w:szCs w:val="18"/>
        </w:rPr>
        <w:t>Les Grilles…</w:t>
      </w:r>
      <w:r w:rsidRPr="00EC50AF">
        <w:rPr>
          <w:color w:val="000000"/>
          <w:szCs w:val="18"/>
        </w:rPr>
        <w:t>,</w:t>
      </w:r>
      <w:r w:rsidRPr="00EC50AF">
        <w:rPr>
          <w:i/>
          <w:color w:val="000000"/>
          <w:szCs w:val="18"/>
        </w:rPr>
        <w:t xml:space="preserve"> op. cit.</w:t>
      </w:r>
      <w:r w:rsidRPr="00EC50AF">
        <w:rPr>
          <w:color w:val="000000"/>
          <w:szCs w:val="18"/>
        </w:rPr>
        <w:t>, p. 692.</w:t>
      </w:r>
    </w:p>
  </w:footnote>
  <w:footnote w:id="233">
    <w:p w14:paraId="3E91F7A8" w14:textId="77777777" w:rsidR="00B01930" w:rsidRDefault="00B01930">
      <w:pPr>
        <w:pStyle w:val="Notedebasdepage"/>
      </w:pPr>
      <w:r>
        <w:rPr>
          <w:rStyle w:val="Appelnotedebasdep"/>
        </w:rPr>
        <w:footnoteRef/>
      </w:r>
      <w:r>
        <w:t xml:space="preserve"> </w:t>
      </w:r>
      <w:r>
        <w:tab/>
      </w:r>
      <w:r w:rsidRPr="00EC50AF">
        <w:rPr>
          <w:color w:val="000000"/>
          <w:szCs w:val="18"/>
        </w:rPr>
        <w:t>Cf.</w:t>
      </w:r>
      <w:r w:rsidRPr="00EC50AF">
        <w:rPr>
          <w:i/>
          <w:color w:val="000000"/>
          <w:szCs w:val="18"/>
        </w:rPr>
        <w:t xml:space="preserve"> supra </w:t>
      </w:r>
      <w:r w:rsidRPr="00EC50AF">
        <w:rPr>
          <w:color w:val="000000"/>
          <w:szCs w:val="18"/>
        </w:rPr>
        <w:t>note 2 </w:t>
      </w:r>
      <w:r w:rsidRPr="00EC50AF">
        <w:rPr>
          <w:i/>
          <w:color w:val="000000"/>
          <w:szCs w:val="18"/>
        </w:rPr>
        <w:t>:</w:t>
      </w:r>
      <w:r w:rsidRPr="00EC50AF">
        <w:rPr>
          <w:color w:val="000000"/>
          <w:szCs w:val="18"/>
        </w:rPr>
        <w:t>« Introduction critique… ».</w:t>
      </w:r>
    </w:p>
  </w:footnote>
  <w:footnote w:id="234">
    <w:p w14:paraId="00D6CC11" w14:textId="77777777" w:rsidR="00B01930" w:rsidRDefault="00B01930">
      <w:pPr>
        <w:pStyle w:val="Notedebasdepage"/>
      </w:pPr>
      <w:r>
        <w:rPr>
          <w:rStyle w:val="Appelnotedebasdep"/>
        </w:rPr>
        <w:footnoteRef/>
      </w:r>
      <w:r>
        <w:t xml:space="preserve"> </w:t>
      </w:r>
      <w:r>
        <w:tab/>
      </w:r>
      <w:r w:rsidRPr="00EC50AF">
        <w:rPr>
          <w:i/>
          <w:color w:val="000000"/>
          <w:szCs w:val="18"/>
        </w:rPr>
        <w:t xml:space="preserve">Les Grilles…., </w:t>
      </w:r>
      <w:r w:rsidRPr="00EC50AF">
        <w:rPr>
          <w:color w:val="000000"/>
          <w:szCs w:val="18"/>
        </w:rPr>
        <w:t>p. 693.</w:t>
      </w:r>
    </w:p>
  </w:footnote>
  <w:footnote w:id="235">
    <w:p w14:paraId="4B5F4818" w14:textId="77777777" w:rsidR="00B01930" w:rsidRDefault="00B01930">
      <w:pPr>
        <w:pStyle w:val="Notedebasdepage"/>
      </w:pPr>
      <w:r>
        <w:rPr>
          <w:rStyle w:val="Appelnotedebasdep"/>
        </w:rPr>
        <w:footnoteRef/>
      </w:r>
      <w:r>
        <w:t xml:space="preserve"> </w:t>
      </w:r>
      <w:r>
        <w:tab/>
      </w:r>
      <w:r w:rsidRPr="00EC50AF">
        <w:rPr>
          <w:i/>
          <w:color w:val="000000"/>
          <w:szCs w:val="18"/>
        </w:rPr>
        <w:t>La philosophie au moyen âge</w:t>
      </w:r>
      <w:r w:rsidRPr="00EC50AF">
        <w:rPr>
          <w:color w:val="000000"/>
          <w:szCs w:val="18"/>
        </w:rPr>
        <w:t>, Payot, t.1, réed. 1976, p. 333.</w:t>
      </w:r>
    </w:p>
  </w:footnote>
  <w:footnote w:id="236">
    <w:p w14:paraId="215DA919" w14:textId="77777777" w:rsidR="00B01930" w:rsidRDefault="00B01930">
      <w:pPr>
        <w:pStyle w:val="Notedebasdepage"/>
      </w:pPr>
      <w:r>
        <w:rPr>
          <w:rStyle w:val="Appelnotedebasdep"/>
        </w:rPr>
        <w:footnoteRef/>
      </w:r>
      <w:r>
        <w:t xml:space="preserve"> </w:t>
      </w:r>
      <w:r>
        <w:tab/>
      </w:r>
      <w:r w:rsidRPr="00EC50AF">
        <w:rPr>
          <w:color w:val="000000"/>
          <w:szCs w:val="18"/>
        </w:rPr>
        <w:t>Sur cette question des rapports entre code n° 1 et code n° 2 et Anti</w:t>
      </w:r>
      <w:r w:rsidRPr="00EC50AF">
        <w:rPr>
          <w:color w:val="000000"/>
          <w:szCs w:val="18"/>
        </w:rPr>
        <w:t>q</w:t>
      </w:r>
      <w:r w:rsidRPr="00EC50AF">
        <w:rPr>
          <w:color w:val="000000"/>
          <w:szCs w:val="18"/>
        </w:rPr>
        <w:t>uité, voir</w:t>
      </w:r>
      <w:r w:rsidRPr="00EC50AF">
        <w:rPr>
          <w:i/>
          <w:color w:val="000000"/>
          <w:szCs w:val="18"/>
        </w:rPr>
        <w:t xml:space="preserve"> supra </w:t>
      </w:r>
      <w:r w:rsidRPr="00EC50AF">
        <w:rPr>
          <w:color w:val="000000"/>
          <w:szCs w:val="18"/>
        </w:rPr>
        <w:t>note 2</w:t>
      </w:r>
      <w:r w:rsidRPr="00EC50AF">
        <w:rPr>
          <w:i/>
          <w:color w:val="000000"/>
          <w:szCs w:val="18"/>
        </w:rPr>
        <w:t> : « </w:t>
      </w:r>
      <w:r w:rsidRPr="00EC50AF">
        <w:rPr>
          <w:color w:val="000000"/>
          <w:szCs w:val="18"/>
        </w:rPr>
        <w:t>Introduction critique… »,</w:t>
      </w:r>
      <w:r w:rsidRPr="00EC50AF">
        <w:rPr>
          <w:i/>
          <w:color w:val="000000"/>
          <w:szCs w:val="18"/>
        </w:rPr>
        <w:t xml:space="preserve"> passim</w:t>
      </w:r>
      <w:r w:rsidRPr="00EC50AF">
        <w:rPr>
          <w:color w:val="000000"/>
          <w:szCs w:val="18"/>
        </w:rPr>
        <w:t>.</w:t>
      </w:r>
    </w:p>
  </w:footnote>
  <w:footnote w:id="237">
    <w:p w14:paraId="212CE400" w14:textId="77777777" w:rsidR="00B01930" w:rsidRDefault="00B01930">
      <w:pPr>
        <w:pStyle w:val="Notedebasdepage"/>
      </w:pPr>
      <w:r>
        <w:rPr>
          <w:rStyle w:val="Appelnotedebasdep"/>
        </w:rPr>
        <w:footnoteRef/>
      </w:r>
      <w:r>
        <w:t xml:space="preserve"> </w:t>
      </w:r>
      <w:r>
        <w:tab/>
      </w:r>
      <w:r w:rsidRPr="00EC50AF">
        <w:rPr>
          <w:color w:val="000000"/>
          <w:szCs w:val="18"/>
        </w:rPr>
        <w:t xml:space="preserve">Lewis Mumford, </w:t>
      </w:r>
      <w:r w:rsidRPr="00EC50AF">
        <w:rPr>
          <w:i/>
          <w:color w:val="000000"/>
          <w:szCs w:val="18"/>
        </w:rPr>
        <w:t>La cité à travers l’Histoire</w:t>
      </w:r>
      <w:r w:rsidRPr="00EC50AF">
        <w:rPr>
          <w:color w:val="000000"/>
          <w:szCs w:val="18"/>
        </w:rPr>
        <w:t>, Paris, Seuil, 1964.</w:t>
      </w:r>
    </w:p>
  </w:footnote>
  <w:footnote w:id="238">
    <w:p w14:paraId="52338527" w14:textId="77777777" w:rsidR="00B01930" w:rsidRDefault="00B01930">
      <w:pPr>
        <w:pStyle w:val="Notedebasdepage"/>
      </w:pPr>
      <w:r>
        <w:rPr>
          <w:rStyle w:val="Appelnotedebasdep"/>
        </w:rPr>
        <w:footnoteRef/>
      </w:r>
      <w:r>
        <w:t xml:space="preserve"> </w:t>
      </w:r>
      <w:r>
        <w:tab/>
      </w:r>
      <w:r w:rsidRPr="00EC50AF">
        <w:rPr>
          <w:i/>
          <w:color w:val="000000"/>
          <w:szCs w:val="18"/>
        </w:rPr>
        <w:t>Ibidem</w:t>
      </w:r>
      <w:r w:rsidRPr="00EC50AF">
        <w:rPr>
          <w:color w:val="000000"/>
          <w:szCs w:val="18"/>
        </w:rPr>
        <w:t>.</w:t>
      </w:r>
    </w:p>
  </w:footnote>
  <w:footnote w:id="239">
    <w:p w14:paraId="1D880901" w14:textId="77777777" w:rsidR="00B01930" w:rsidRDefault="00B01930">
      <w:pPr>
        <w:pStyle w:val="Notedebasdepage"/>
      </w:pPr>
      <w:r>
        <w:rPr>
          <w:rStyle w:val="Appelnotedebasdep"/>
        </w:rPr>
        <w:footnoteRef/>
      </w:r>
      <w:r>
        <w:t xml:space="preserve"> </w:t>
      </w:r>
      <w:r>
        <w:tab/>
      </w:r>
      <w:r w:rsidRPr="00EC50AF">
        <w:rPr>
          <w:color w:val="000000"/>
          <w:szCs w:val="18"/>
        </w:rPr>
        <w:t xml:space="preserve">Voir Jean Bayet, </w:t>
      </w:r>
      <w:r w:rsidRPr="00EC50AF">
        <w:rPr>
          <w:i/>
          <w:color w:val="000000"/>
          <w:szCs w:val="18"/>
        </w:rPr>
        <w:t>Histoire politique et philosophique de la religion romaine</w:t>
      </w:r>
      <w:r w:rsidRPr="00EC50AF">
        <w:rPr>
          <w:color w:val="000000"/>
          <w:szCs w:val="18"/>
        </w:rPr>
        <w:t>, Paris, Payot, 1957. </w:t>
      </w:r>
    </w:p>
  </w:footnote>
  <w:footnote w:id="240">
    <w:p w14:paraId="06CE2B0E" w14:textId="77777777" w:rsidR="00B01930" w:rsidRDefault="00B01930">
      <w:pPr>
        <w:pStyle w:val="Notedebasdepage"/>
      </w:pPr>
      <w:r>
        <w:rPr>
          <w:rStyle w:val="Appelnotedebasdep"/>
        </w:rPr>
        <w:footnoteRef/>
      </w:r>
      <w:r>
        <w:t xml:space="preserve"> </w:t>
      </w:r>
      <w:r>
        <w:tab/>
      </w:r>
      <w:r w:rsidRPr="00EC50AF">
        <w:rPr>
          <w:i/>
          <w:color w:val="000000"/>
          <w:szCs w:val="18"/>
        </w:rPr>
        <w:t>Ibidem.</w:t>
      </w:r>
    </w:p>
  </w:footnote>
  <w:footnote w:id="241">
    <w:p w14:paraId="2E567AB3"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w:t>
      </w:r>
      <w:r w:rsidRPr="00EC50AF">
        <w:rPr>
          <w:i/>
          <w:color w:val="000000"/>
          <w:szCs w:val="18"/>
        </w:rPr>
        <w:t xml:space="preserve"> </w:t>
      </w:r>
      <w:r w:rsidRPr="00EC50AF">
        <w:rPr>
          <w:color w:val="000000"/>
          <w:szCs w:val="18"/>
        </w:rPr>
        <w:t>p. 697.</w:t>
      </w:r>
    </w:p>
  </w:footnote>
  <w:footnote w:id="242">
    <w:p w14:paraId="46ADEADC" w14:textId="77777777" w:rsidR="00B01930" w:rsidRDefault="00B01930">
      <w:pPr>
        <w:pStyle w:val="Notedebasdepage"/>
      </w:pPr>
      <w:r>
        <w:rPr>
          <w:rStyle w:val="Appelnotedebasdep"/>
        </w:rPr>
        <w:footnoteRef/>
      </w:r>
      <w:r>
        <w:t xml:space="preserve"> </w:t>
      </w:r>
      <w:r>
        <w:tab/>
      </w:r>
      <w:r w:rsidRPr="00EC50AF">
        <w:rPr>
          <w:i/>
          <w:color w:val="000000"/>
          <w:szCs w:val="18"/>
        </w:rPr>
        <w:t>Ibidem</w:t>
      </w:r>
      <w:r w:rsidRPr="00EC50AF">
        <w:rPr>
          <w:color w:val="000000"/>
          <w:szCs w:val="18"/>
        </w:rPr>
        <w:t>, p. 697.</w:t>
      </w:r>
    </w:p>
  </w:footnote>
  <w:footnote w:id="243">
    <w:p w14:paraId="1917DEDA"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700.</w:t>
      </w:r>
    </w:p>
  </w:footnote>
  <w:footnote w:id="244">
    <w:p w14:paraId="43CD1E5F" w14:textId="77777777" w:rsidR="00B01930" w:rsidRDefault="00B01930">
      <w:pPr>
        <w:pStyle w:val="Notedebasdepage"/>
      </w:pPr>
      <w:r>
        <w:rPr>
          <w:rStyle w:val="Appelnotedebasdep"/>
        </w:rPr>
        <w:footnoteRef/>
      </w:r>
      <w:r>
        <w:t xml:space="preserve"> </w:t>
      </w:r>
      <w:r>
        <w:tab/>
      </w:r>
      <w:r w:rsidRPr="00EC50AF">
        <w:rPr>
          <w:color w:val="000000"/>
          <w:szCs w:val="18"/>
        </w:rPr>
        <w:t>Rappelons qu’il ne faut pas confondre la démocratie, modèle taxinomique et régime démo</w:t>
      </w:r>
      <w:r w:rsidRPr="00EC50AF">
        <w:rPr>
          <w:color w:val="000000"/>
          <w:szCs w:val="18"/>
        </w:rPr>
        <w:t>c</w:t>
      </w:r>
      <w:r w:rsidRPr="00EC50AF">
        <w:rPr>
          <w:color w:val="000000"/>
          <w:szCs w:val="18"/>
        </w:rPr>
        <w:t xml:space="preserve">ratique qui, sous diverses formes, prétendent incarner le mythe. Sur ce point, voir « Introduction critique… », </w:t>
      </w:r>
      <w:r w:rsidRPr="00EC50AF">
        <w:rPr>
          <w:i/>
          <w:color w:val="000000"/>
          <w:szCs w:val="18"/>
        </w:rPr>
        <w:t>supra</w:t>
      </w:r>
      <w:r w:rsidRPr="00EC50AF">
        <w:rPr>
          <w:color w:val="000000"/>
          <w:szCs w:val="18"/>
        </w:rPr>
        <w:t xml:space="preserve"> note 2.</w:t>
      </w:r>
    </w:p>
  </w:footnote>
  <w:footnote w:id="245">
    <w:p w14:paraId="2F12FFCC"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w:t>
      </w:r>
      <w:r w:rsidRPr="00EC50AF">
        <w:rPr>
          <w:i/>
          <w:color w:val="000000"/>
          <w:szCs w:val="18"/>
        </w:rPr>
        <w:t xml:space="preserve"> </w:t>
      </w:r>
      <w:r w:rsidRPr="00EC50AF">
        <w:rPr>
          <w:color w:val="000000"/>
          <w:szCs w:val="18"/>
        </w:rPr>
        <w:t>p. 729.</w:t>
      </w:r>
    </w:p>
  </w:footnote>
  <w:footnote w:id="246">
    <w:p w14:paraId="06EC146C"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w:t>
      </w:r>
      <w:r w:rsidRPr="00EC50AF">
        <w:rPr>
          <w:i/>
          <w:color w:val="000000"/>
          <w:szCs w:val="18"/>
        </w:rPr>
        <w:t xml:space="preserve"> Loc</w:t>
      </w:r>
      <w:r w:rsidRPr="00EC50AF">
        <w:rPr>
          <w:color w:val="000000"/>
          <w:szCs w:val="18"/>
        </w:rPr>
        <w:t>.</w:t>
      </w:r>
      <w:r>
        <w:rPr>
          <w:color w:val="000000"/>
          <w:szCs w:val="18"/>
        </w:rPr>
        <w:t xml:space="preserve"> </w:t>
      </w:r>
      <w:r w:rsidRPr="00EC50AF">
        <w:rPr>
          <w:i/>
          <w:color w:val="000000"/>
          <w:szCs w:val="18"/>
        </w:rPr>
        <w:t>cit.</w:t>
      </w:r>
    </w:p>
  </w:footnote>
  <w:footnote w:id="247">
    <w:p w14:paraId="29D82883" w14:textId="77777777" w:rsidR="00B01930" w:rsidRDefault="00B01930">
      <w:pPr>
        <w:pStyle w:val="Notedebasdepage"/>
      </w:pPr>
      <w:r>
        <w:rPr>
          <w:rStyle w:val="Appelnotedebasdep"/>
        </w:rPr>
        <w:footnoteRef/>
      </w:r>
      <w:r>
        <w:tab/>
      </w:r>
      <w:r w:rsidRPr="00EC50AF">
        <w:rPr>
          <w:i/>
          <w:color w:val="000000"/>
          <w:szCs w:val="18"/>
        </w:rPr>
        <w:t>Ibidem</w:t>
      </w:r>
      <w:r w:rsidRPr="00EC50AF">
        <w:rPr>
          <w:color w:val="000000"/>
          <w:szCs w:val="18"/>
        </w:rPr>
        <w:t>, p. 705.</w:t>
      </w:r>
    </w:p>
  </w:footnote>
  <w:footnote w:id="248">
    <w:p w14:paraId="6496E2AF" w14:textId="77777777" w:rsidR="00B01930" w:rsidRDefault="00B01930">
      <w:pPr>
        <w:pStyle w:val="Notedebasdepage"/>
      </w:pPr>
      <w:r>
        <w:rPr>
          <w:rStyle w:val="Appelnotedebasdep"/>
        </w:rPr>
        <w:footnoteRef/>
      </w:r>
      <w:r>
        <w:tab/>
      </w:r>
      <w:r w:rsidRPr="00EC50AF">
        <w:rPr>
          <w:i/>
          <w:color w:val="000000"/>
          <w:szCs w:val="18"/>
        </w:rPr>
        <w:t>Ibid</w:t>
      </w:r>
      <w:r w:rsidRPr="00EC50AF">
        <w:rPr>
          <w:color w:val="000000"/>
          <w:szCs w:val="18"/>
        </w:rPr>
        <w:t>., p. 712.</w:t>
      </w:r>
    </w:p>
  </w:footnote>
  <w:footnote w:id="249">
    <w:p w14:paraId="0B833D27" w14:textId="77777777" w:rsidR="00B01930" w:rsidRDefault="00B01930">
      <w:pPr>
        <w:pStyle w:val="Notedebasdepage"/>
      </w:pPr>
      <w:r>
        <w:rPr>
          <w:rStyle w:val="Appelnotedebasdep"/>
        </w:rPr>
        <w:footnoteRef/>
      </w:r>
      <w:r>
        <w:tab/>
      </w:r>
      <w:r w:rsidRPr="00EC50AF">
        <w:rPr>
          <w:i/>
          <w:color w:val="000000"/>
          <w:szCs w:val="18"/>
        </w:rPr>
        <w:t>Ibid</w:t>
      </w:r>
      <w:r w:rsidRPr="00EC50AF">
        <w:rPr>
          <w:color w:val="000000"/>
          <w:szCs w:val="18"/>
        </w:rPr>
        <w:t>., p. 727.</w:t>
      </w:r>
    </w:p>
  </w:footnote>
  <w:footnote w:id="250">
    <w:p w14:paraId="44CDB205" w14:textId="77777777" w:rsidR="00B01930" w:rsidRDefault="00B01930">
      <w:pPr>
        <w:pStyle w:val="Notedebasdepage"/>
      </w:pPr>
      <w:r>
        <w:rPr>
          <w:rStyle w:val="Appelnotedebasdep"/>
        </w:rPr>
        <w:footnoteRef/>
      </w:r>
      <w:r>
        <w:tab/>
      </w:r>
      <w:r w:rsidRPr="00EC50AF">
        <w:rPr>
          <w:i/>
          <w:color w:val="000000"/>
          <w:szCs w:val="18"/>
        </w:rPr>
        <w:t>Loc. cit.</w:t>
      </w:r>
    </w:p>
  </w:footnote>
  <w:footnote w:id="251">
    <w:p w14:paraId="22335424" w14:textId="77777777" w:rsidR="00B01930" w:rsidRDefault="00B01930">
      <w:pPr>
        <w:pStyle w:val="Notedebasdepage"/>
      </w:pPr>
      <w:r>
        <w:rPr>
          <w:rStyle w:val="Appelnotedebasdep"/>
        </w:rPr>
        <w:footnoteRef/>
      </w:r>
      <w:r>
        <w:t xml:space="preserve"> </w:t>
      </w:r>
      <w:r>
        <w:tab/>
      </w:r>
      <w:r w:rsidRPr="00EC50AF">
        <w:rPr>
          <w:i/>
          <w:color w:val="000000"/>
          <w:szCs w:val="18"/>
        </w:rPr>
        <w:t>Loc. cit.</w:t>
      </w:r>
    </w:p>
  </w:footnote>
  <w:footnote w:id="252">
    <w:p w14:paraId="262FB941"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w:t>
      </w:r>
      <w:r w:rsidRPr="00EC50AF">
        <w:rPr>
          <w:i/>
          <w:color w:val="000000"/>
          <w:szCs w:val="18"/>
        </w:rPr>
        <w:t xml:space="preserve"> </w:t>
      </w:r>
      <w:r w:rsidRPr="00EC50AF">
        <w:rPr>
          <w:color w:val="000000"/>
          <w:szCs w:val="18"/>
        </w:rPr>
        <w:t>p. 726.</w:t>
      </w:r>
    </w:p>
  </w:footnote>
  <w:footnote w:id="253">
    <w:p w14:paraId="0FE2B3BB" w14:textId="77777777" w:rsidR="00B01930" w:rsidRDefault="00B01930">
      <w:pPr>
        <w:pStyle w:val="Notedebasdepage"/>
      </w:pPr>
      <w:r>
        <w:rPr>
          <w:rStyle w:val="Appelnotedebasdep"/>
        </w:rPr>
        <w:footnoteRef/>
      </w:r>
      <w:r>
        <w:t xml:space="preserve"> </w:t>
      </w:r>
      <w:r>
        <w:tab/>
      </w:r>
      <w:r w:rsidRPr="00EC50AF">
        <w:rPr>
          <w:color w:val="000000"/>
          <w:szCs w:val="18"/>
        </w:rPr>
        <w:t>Les décisions suscitent alors une nouvelle demande de la base dont l’impulsion se transmet par l’intermédiaire de l’idéologie à la machine polit</w:t>
      </w:r>
      <w:r w:rsidRPr="00EC50AF">
        <w:rPr>
          <w:color w:val="000000"/>
          <w:szCs w:val="18"/>
        </w:rPr>
        <w:t>i</w:t>
      </w:r>
      <w:r w:rsidRPr="00EC50AF">
        <w:rPr>
          <w:color w:val="000000"/>
          <w:szCs w:val="18"/>
        </w:rPr>
        <w:t>que laquelle agit en fonction de cette information, ce qui suscite à nouveau une demande par r</w:t>
      </w:r>
      <w:r w:rsidRPr="00EC50AF">
        <w:rPr>
          <w:color w:val="000000"/>
          <w:szCs w:val="18"/>
        </w:rPr>
        <w:t>é</w:t>
      </w:r>
      <w:r w:rsidRPr="00EC50AF">
        <w:rPr>
          <w:color w:val="000000"/>
          <w:szCs w:val="18"/>
        </w:rPr>
        <w:t>troaction et ainsi de suite.</w:t>
      </w:r>
    </w:p>
  </w:footnote>
  <w:footnote w:id="254">
    <w:p w14:paraId="0715BA7E" w14:textId="77777777" w:rsidR="00B01930" w:rsidRDefault="00B01930">
      <w:pPr>
        <w:pStyle w:val="Notedebasdepage"/>
      </w:pPr>
      <w:r>
        <w:rPr>
          <w:rStyle w:val="Appelnotedebasdep"/>
        </w:rPr>
        <w:footnoteRef/>
      </w:r>
      <w:r>
        <w:t xml:space="preserve"> </w:t>
      </w:r>
      <w:r>
        <w:tab/>
      </w:r>
      <w:r w:rsidRPr="00EC50AF">
        <w:rPr>
          <w:i/>
          <w:color w:val="000000"/>
          <w:szCs w:val="18"/>
        </w:rPr>
        <w:t>Le Hasard et la nécessité</w:t>
      </w:r>
      <w:r w:rsidRPr="00EC50AF">
        <w:rPr>
          <w:color w:val="000000"/>
          <w:szCs w:val="18"/>
        </w:rPr>
        <w:t>, Paris, Seuil, 1970.</w:t>
      </w:r>
    </w:p>
  </w:footnote>
  <w:footnote w:id="255">
    <w:p w14:paraId="67A03808" w14:textId="77777777" w:rsidR="00B01930" w:rsidRDefault="00B01930">
      <w:pPr>
        <w:pStyle w:val="Notedebasdepage"/>
      </w:pPr>
      <w:r>
        <w:rPr>
          <w:rStyle w:val="Appelnotedebasdep"/>
        </w:rPr>
        <w:footnoteRef/>
      </w:r>
      <w:r>
        <w:t xml:space="preserve"> </w:t>
      </w:r>
      <w:r>
        <w:tab/>
      </w:r>
      <w:r w:rsidRPr="00EC50AF">
        <w:rPr>
          <w:color w:val="000000"/>
          <w:szCs w:val="18"/>
        </w:rPr>
        <w:t>Cf.</w:t>
      </w:r>
      <w:r w:rsidRPr="00EC50AF">
        <w:rPr>
          <w:i/>
          <w:color w:val="000000"/>
          <w:szCs w:val="18"/>
        </w:rPr>
        <w:t xml:space="preserve"> supra </w:t>
      </w:r>
      <w:r w:rsidRPr="00EC50AF">
        <w:rPr>
          <w:color w:val="000000"/>
          <w:szCs w:val="18"/>
        </w:rPr>
        <w:t>note 2 </w:t>
      </w:r>
      <w:r w:rsidRPr="00EC50AF">
        <w:rPr>
          <w:i/>
          <w:color w:val="000000"/>
          <w:szCs w:val="18"/>
        </w:rPr>
        <w:t>: «</w:t>
      </w:r>
      <w:r w:rsidRPr="00EC50AF">
        <w:rPr>
          <w:color w:val="000000"/>
          <w:szCs w:val="18"/>
        </w:rPr>
        <w:t> Introduction critique… ».</w:t>
      </w:r>
    </w:p>
  </w:footnote>
  <w:footnote w:id="256">
    <w:p w14:paraId="089276F5"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 p. 733.</w:t>
      </w:r>
    </w:p>
  </w:footnote>
  <w:footnote w:id="257">
    <w:p w14:paraId="75EA45A1" w14:textId="77777777" w:rsidR="00B01930" w:rsidRDefault="00B01930">
      <w:pPr>
        <w:pStyle w:val="Notedebasdepage"/>
      </w:pPr>
      <w:r>
        <w:rPr>
          <w:rStyle w:val="Appelnotedebasdep"/>
        </w:rPr>
        <w:footnoteRef/>
      </w:r>
      <w:r>
        <w:t xml:space="preserve"> </w:t>
      </w:r>
      <w:r>
        <w:tab/>
      </w:r>
      <w:r w:rsidRPr="00EC50AF">
        <w:rPr>
          <w:i/>
          <w:color w:val="000000"/>
          <w:szCs w:val="18"/>
        </w:rPr>
        <w:t>Ibidem.</w:t>
      </w:r>
    </w:p>
  </w:footnote>
  <w:footnote w:id="258">
    <w:p w14:paraId="377E2D45" w14:textId="77777777" w:rsidR="00B01930" w:rsidRDefault="00B01930">
      <w:pPr>
        <w:pStyle w:val="Notedebasdepage"/>
      </w:pPr>
      <w:r>
        <w:rPr>
          <w:rStyle w:val="Appelnotedebasdep"/>
        </w:rPr>
        <w:footnoteRef/>
      </w:r>
      <w:r>
        <w:t xml:space="preserve"> </w:t>
      </w:r>
      <w:r>
        <w:tab/>
      </w:r>
      <w:r w:rsidRPr="00EC50AF">
        <w:rPr>
          <w:color w:val="000000"/>
          <w:szCs w:val="18"/>
        </w:rPr>
        <w:t xml:space="preserve">Bettina Stangneth, </w:t>
      </w:r>
      <w:r w:rsidRPr="00EC50AF">
        <w:rPr>
          <w:i/>
          <w:color w:val="000000"/>
          <w:szCs w:val="18"/>
        </w:rPr>
        <w:t>Eichmann…,</w:t>
      </w:r>
      <w:r w:rsidRPr="00EC50AF">
        <w:rPr>
          <w:color w:val="000000"/>
          <w:szCs w:val="18"/>
        </w:rPr>
        <w:t xml:space="preserve"> p. 292.</w:t>
      </w:r>
    </w:p>
  </w:footnote>
  <w:footnote w:id="259">
    <w:p w14:paraId="7E9B8C99" w14:textId="77777777" w:rsidR="00B01930" w:rsidRDefault="00B01930">
      <w:pPr>
        <w:pStyle w:val="Notedebasdepage"/>
      </w:pPr>
      <w:r>
        <w:rPr>
          <w:rStyle w:val="Appelnotedebasdep"/>
        </w:rPr>
        <w:footnoteRef/>
      </w:r>
      <w:r>
        <w:t xml:space="preserve"> </w:t>
      </w:r>
      <w:r>
        <w:tab/>
      </w:r>
      <w:r w:rsidRPr="00EC50AF">
        <w:rPr>
          <w:i/>
          <w:color w:val="000000"/>
          <w:szCs w:val="18"/>
        </w:rPr>
        <w:t>Ibidem.</w:t>
      </w:r>
    </w:p>
  </w:footnote>
  <w:footnote w:id="260">
    <w:p w14:paraId="306DD64C"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xml:space="preserve"> p. 293. Voir aussi le livre précurseur (écrit dès 1946) de Max Wei</w:t>
      </w:r>
      <w:r w:rsidRPr="00EC50AF">
        <w:rPr>
          <w:color w:val="000000"/>
          <w:szCs w:val="18"/>
        </w:rPr>
        <w:t>n</w:t>
      </w:r>
      <w:r w:rsidRPr="00EC50AF">
        <w:rPr>
          <w:color w:val="000000"/>
          <w:szCs w:val="18"/>
        </w:rPr>
        <w:t xml:space="preserve">reich, </w:t>
      </w:r>
      <w:r w:rsidRPr="00EC50AF">
        <w:rPr>
          <w:i/>
          <w:color w:val="000000"/>
          <w:szCs w:val="18"/>
        </w:rPr>
        <w:t>Hitler et les professeurs</w:t>
      </w:r>
      <w:r w:rsidRPr="00EC50AF">
        <w:rPr>
          <w:color w:val="000000"/>
          <w:szCs w:val="18"/>
        </w:rPr>
        <w:t>, Paris, Les Belles Lettres, 2013.</w:t>
      </w:r>
    </w:p>
  </w:footnote>
  <w:footnote w:id="261">
    <w:p w14:paraId="00C3003F" w14:textId="77777777" w:rsidR="00B01930" w:rsidRDefault="00B01930">
      <w:pPr>
        <w:pStyle w:val="Notedebasdepage"/>
      </w:pPr>
      <w:r>
        <w:rPr>
          <w:rStyle w:val="Appelnotedebasdep"/>
        </w:rPr>
        <w:footnoteRef/>
      </w:r>
      <w:r>
        <w:t xml:space="preserve"> </w:t>
      </w:r>
      <w:r>
        <w:tab/>
      </w:r>
      <w:r w:rsidRPr="00EC50AF">
        <w:rPr>
          <w:color w:val="000000"/>
          <w:szCs w:val="18"/>
        </w:rPr>
        <w:t xml:space="preserve">Bettina Stangneth, </w:t>
      </w:r>
      <w:r w:rsidRPr="00EC50AF">
        <w:rPr>
          <w:i/>
          <w:color w:val="000000"/>
          <w:szCs w:val="18"/>
        </w:rPr>
        <w:t>Eichmann…</w:t>
      </w:r>
      <w:r w:rsidRPr="00EC50AF">
        <w:rPr>
          <w:color w:val="000000"/>
          <w:szCs w:val="18"/>
        </w:rPr>
        <w:t>, p. 398.</w:t>
      </w:r>
    </w:p>
  </w:footnote>
  <w:footnote w:id="262">
    <w:p w14:paraId="53ED342C" w14:textId="77777777" w:rsidR="00B01930" w:rsidRDefault="00B01930">
      <w:pPr>
        <w:pStyle w:val="Notedebasdepage"/>
      </w:pPr>
      <w:r>
        <w:rPr>
          <w:rStyle w:val="Appelnotedebasdep"/>
        </w:rPr>
        <w:footnoteRef/>
      </w:r>
      <w:r>
        <w:t xml:space="preserve"> </w:t>
      </w:r>
      <w:r>
        <w:tab/>
      </w:r>
      <w:r w:rsidRPr="00EC50AF">
        <w:rPr>
          <w:color w:val="000000"/>
          <w:szCs w:val="18"/>
        </w:rPr>
        <w:t>Lyssenko (1898-1976) simple technicien agricole, nommé à la tête de l’Académie Lénine des sciences agricoles en 1938, héros de l’Union soviét</w:t>
      </w:r>
      <w:r w:rsidRPr="00EC50AF">
        <w:rPr>
          <w:color w:val="000000"/>
          <w:szCs w:val="18"/>
        </w:rPr>
        <w:t>i</w:t>
      </w:r>
      <w:r w:rsidRPr="00EC50AF">
        <w:rPr>
          <w:color w:val="000000"/>
          <w:szCs w:val="18"/>
        </w:rPr>
        <w:t>que, il récusa comme « contre révolutio</w:t>
      </w:r>
      <w:r w:rsidRPr="00EC50AF">
        <w:rPr>
          <w:color w:val="000000"/>
          <w:szCs w:val="18"/>
        </w:rPr>
        <w:t>n</w:t>
      </w:r>
      <w:r w:rsidRPr="00EC50AF">
        <w:rPr>
          <w:color w:val="000000"/>
          <w:szCs w:val="18"/>
        </w:rPr>
        <w:t>naire » la théorie chromosomique de l’hérédité, la fit interdire, et assura le limogeage et la purge de tous les che</w:t>
      </w:r>
      <w:r w:rsidRPr="00EC50AF">
        <w:rPr>
          <w:color w:val="000000"/>
          <w:szCs w:val="18"/>
        </w:rPr>
        <w:t>r</w:t>
      </w:r>
      <w:r w:rsidRPr="00EC50AF">
        <w:rPr>
          <w:color w:val="000000"/>
          <w:szCs w:val="18"/>
        </w:rPr>
        <w:t>cheurs en se d</w:t>
      </w:r>
      <w:r w:rsidRPr="00EC50AF">
        <w:rPr>
          <w:color w:val="000000"/>
          <w:szCs w:val="18"/>
        </w:rPr>
        <w:t>o</w:t>
      </w:r>
      <w:r w:rsidRPr="00EC50AF">
        <w:rPr>
          <w:color w:val="000000"/>
          <w:szCs w:val="18"/>
        </w:rPr>
        <w:t>maine car « ennemis du peuple », il dominera toute la biologie en Union soviét</w:t>
      </w:r>
      <w:r w:rsidRPr="00EC50AF">
        <w:rPr>
          <w:color w:val="000000"/>
          <w:szCs w:val="18"/>
        </w:rPr>
        <w:t>i</w:t>
      </w:r>
      <w:r w:rsidRPr="00EC50AF">
        <w:rPr>
          <w:color w:val="000000"/>
          <w:szCs w:val="18"/>
        </w:rPr>
        <w:t>que jusqu’à son discrédit en 1960.</w:t>
      </w:r>
    </w:p>
  </w:footnote>
  <w:footnote w:id="263">
    <w:p w14:paraId="4DF75A2B" w14:textId="77777777" w:rsidR="00B01930" w:rsidRDefault="00B01930">
      <w:pPr>
        <w:pStyle w:val="Notedebasdepage"/>
      </w:pPr>
      <w:r>
        <w:rPr>
          <w:rStyle w:val="Appelnotedebasdep"/>
        </w:rPr>
        <w:footnoteRef/>
      </w:r>
      <w:r>
        <w:t xml:space="preserve"> </w:t>
      </w:r>
      <w:r>
        <w:tab/>
      </w:r>
      <w:r w:rsidRPr="00EC50AF">
        <w:rPr>
          <w:color w:val="000000"/>
          <w:szCs w:val="18"/>
        </w:rPr>
        <w:t xml:space="preserve">Louis Althusser (1918-1990), les textes fondamentaux sont : </w:t>
      </w:r>
      <w:r w:rsidRPr="00EC50AF">
        <w:rPr>
          <w:i/>
          <w:color w:val="000000"/>
          <w:szCs w:val="18"/>
        </w:rPr>
        <w:t>Pour Marx</w:t>
      </w:r>
      <w:r w:rsidRPr="00EC50AF">
        <w:rPr>
          <w:color w:val="000000"/>
          <w:szCs w:val="18"/>
        </w:rPr>
        <w:t>, P</w:t>
      </w:r>
      <w:r w:rsidRPr="00EC50AF">
        <w:rPr>
          <w:color w:val="000000"/>
          <w:szCs w:val="18"/>
        </w:rPr>
        <w:t>a</w:t>
      </w:r>
      <w:r w:rsidRPr="00EC50AF">
        <w:rPr>
          <w:color w:val="000000"/>
          <w:szCs w:val="18"/>
        </w:rPr>
        <w:t xml:space="preserve">ris, Maspero, 1965 ; </w:t>
      </w:r>
      <w:r w:rsidRPr="00EC50AF">
        <w:rPr>
          <w:i/>
          <w:color w:val="000000"/>
          <w:szCs w:val="18"/>
        </w:rPr>
        <w:t>Lire le Capital</w:t>
      </w:r>
      <w:r w:rsidRPr="00EC50AF">
        <w:rPr>
          <w:color w:val="000000"/>
          <w:szCs w:val="18"/>
        </w:rPr>
        <w:t>, 2 volumes, Paris, Ma</w:t>
      </w:r>
      <w:r w:rsidRPr="00EC50AF">
        <w:rPr>
          <w:color w:val="000000"/>
          <w:szCs w:val="18"/>
        </w:rPr>
        <w:t>s</w:t>
      </w:r>
      <w:r w:rsidRPr="00EC50AF">
        <w:rPr>
          <w:color w:val="000000"/>
          <w:szCs w:val="18"/>
        </w:rPr>
        <w:t xml:space="preserve">pero, 1965 ; </w:t>
      </w:r>
      <w:r w:rsidRPr="00EC50AF">
        <w:rPr>
          <w:i/>
          <w:color w:val="000000"/>
          <w:szCs w:val="18"/>
        </w:rPr>
        <w:t>Lénine et la philosophie</w:t>
      </w:r>
      <w:r w:rsidRPr="00EC50AF">
        <w:rPr>
          <w:color w:val="000000"/>
          <w:szCs w:val="18"/>
        </w:rPr>
        <w:t xml:space="preserve">, Paris, Maspero, 1969 ; </w:t>
      </w:r>
      <w:r w:rsidRPr="00EC50AF">
        <w:rPr>
          <w:i/>
          <w:color w:val="000000"/>
          <w:szCs w:val="18"/>
        </w:rPr>
        <w:t>Réponse à John Lewis</w:t>
      </w:r>
      <w:r w:rsidRPr="00EC50AF">
        <w:rPr>
          <w:color w:val="000000"/>
          <w:szCs w:val="18"/>
        </w:rPr>
        <w:t>, Paris, Masp</w:t>
      </w:r>
      <w:r w:rsidRPr="00EC50AF">
        <w:rPr>
          <w:color w:val="000000"/>
          <w:szCs w:val="18"/>
        </w:rPr>
        <w:t>e</w:t>
      </w:r>
      <w:r w:rsidRPr="00EC50AF">
        <w:rPr>
          <w:color w:val="000000"/>
          <w:szCs w:val="18"/>
        </w:rPr>
        <w:t>ro, 1973.</w:t>
      </w:r>
    </w:p>
  </w:footnote>
  <w:footnote w:id="264">
    <w:p w14:paraId="254B154A" w14:textId="77777777" w:rsidR="00B01930" w:rsidRDefault="00B01930">
      <w:pPr>
        <w:pStyle w:val="Notedebasdepage"/>
      </w:pPr>
      <w:r>
        <w:rPr>
          <w:rStyle w:val="Appelnotedebasdep"/>
        </w:rPr>
        <w:footnoteRef/>
      </w:r>
      <w:r>
        <w:t xml:space="preserve"> </w:t>
      </w:r>
      <w:r>
        <w:tab/>
      </w:r>
      <w:r w:rsidRPr="00EC50AF">
        <w:rPr>
          <w:color w:val="000000"/>
          <w:szCs w:val="18"/>
        </w:rPr>
        <w:t xml:space="preserve">Cf. Daniel Lagraula, </w:t>
      </w:r>
      <w:r w:rsidRPr="00EC50AF">
        <w:rPr>
          <w:i/>
          <w:color w:val="000000"/>
          <w:szCs w:val="18"/>
        </w:rPr>
        <w:t>Essai d’interprétation de la pensée marxiste contemp</w:t>
      </w:r>
      <w:r w:rsidRPr="00EC50AF">
        <w:rPr>
          <w:i/>
          <w:color w:val="000000"/>
          <w:szCs w:val="18"/>
        </w:rPr>
        <w:t>o</w:t>
      </w:r>
      <w:r w:rsidRPr="00EC50AF">
        <w:rPr>
          <w:i/>
          <w:color w:val="000000"/>
          <w:szCs w:val="18"/>
        </w:rPr>
        <w:t>raine, Louis Althusser</w:t>
      </w:r>
      <w:r w:rsidRPr="00EC50AF">
        <w:rPr>
          <w:color w:val="000000"/>
          <w:szCs w:val="18"/>
        </w:rPr>
        <w:t>, mémoire de DEA en science politique, Université de Bordeaux, 1974 ; voir en annexe du présent texte, un résumé de ce travail ai</w:t>
      </w:r>
      <w:r w:rsidRPr="00EC50AF">
        <w:rPr>
          <w:color w:val="000000"/>
          <w:szCs w:val="18"/>
        </w:rPr>
        <w:t>n</w:t>
      </w:r>
      <w:r w:rsidRPr="00EC50AF">
        <w:rPr>
          <w:color w:val="000000"/>
          <w:szCs w:val="18"/>
        </w:rPr>
        <w:t xml:space="preserve">si qu’un </w:t>
      </w:r>
      <w:r w:rsidRPr="00EC50AF">
        <w:rPr>
          <w:i/>
          <w:color w:val="000000"/>
          <w:szCs w:val="18"/>
        </w:rPr>
        <w:t>addendum</w:t>
      </w:r>
      <w:r w:rsidRPr="00EC50AF">
        <w:rPr>
          <w:color w:val="000000"/>
          <w:szCs w:val="18"/>
        </w:rPr>
        <w:t xml:space="preserve"> à ce travail écrit en 1994, et toujours d’actualité (voir le préambule de l’annexe) ; voir aussi d’autres auteurs marxistes comme : L</w:t>
      </w:r>
      <w:r w:rsidRPr="00EC50AF">
        <w:rPr>
          <w:color w:val="000000"/>
          <w:szCs w:val="18"/>
        </w:rPr>
        <w:t>u</w:t>
      </w:r>
      <w:r w:rsidRPr="00EC50AF">
        <w:rPr>
          <w:color w:val="000000"/>
          <w:szCs w:val="18"/>
        </w:rPr>
        <w:t xml:space="preserve">cien Sebag (1934-1965), </w:t>
      </w:r>
      <w:r w:rsidRPr="00EC50AF">
        <w:rPr>
          <w:i/>
          <w:color w:val="000000"/>
          <w:szCs w:val="18"/>
        </w:rPr>
        <w:t>Marxisme et structuralisme</w:t>
      </w:r>
      <w:r w:rsidRPr="00EC50AF">
        <w:rPr>
          <w:color w:val="000000"/>
          <w:szCs w:val="18"/>
        </w:rPr>
        <w:t>, Paris, Payot, 1969 ; N</w:t>
      </w:r>
      <w:r w:rsidRPr="00EC50AF">
        <w:rPr>
          <w:color w:val="000000"/>
          <w:szCs w:val="18"/>
        </w:rPr>
        <w:t>i</w:t>
      </w:r>
      <w:r w:rsidRPr="00EC50AF">
        <w:rPr>
          <w:color w:val="000000"/>
          <w:szCs w:val="18"/>
        </w:rPr>
        <w:t xml:space="preserve">cos Poulantzas (1936-1979), </w:t>
      </w:r>
      <w:r w:rsidRPr="00EC50AF">
        <w:rPr>
          <w:i/>
          <w:color w:val="000000"/>
          <w:szCs w:val="18"/>
        </w:rPr>
        <w:t>Pouvoir politique et</w:t>
      </w:r>
      <w:r w:rsidRPr="00EC50AF">
        <w:rPr>
          <w:color w:val="000000"/>
          <w:szCs w:val="18"/>
        </w:rPr>
        <w:t xml:space="preserve"> </w:t>
      </w:r>
      <w:r w:rsidRPr="00EC50AF">
        <w:rPr>
          <w:i/>
          <w:color w:val="000000"/>
          <w:szCs w:val="18"/>
        </w:rPr>
        <w:t>classes sociales de l’état c</w:t>
      </w:r>
      <w:r w:rsidRPr="00EC50AF">
        <w:rPr>
          <w:i/>
          <w:color w:val="000000"/>
          <w:szCs w:val="18"/>
        </w:rPr>
        <w:t>a</w:t>
      </w:r>
      <w:r w:rsidRPr="00EC50AF">
        <w:rPr>
          <w:i/>
          <w:color w:val="000000"/>
          <w:szCs w:val="18"/>
        </w:rPr>
        <w:t>pitaliste</w:t>
      </w:r>
      <w:r w:rsidRPr="00EC50AF">
        <w:rPr>
          <w:color w:val="000000"/>
          <w:szCs w:val="18"/>
        </w:rPr>
        <w:t xml:space="preserve">, Paris, Maspero, 1968 ; </w:t>
      </w:r>
      <w:r w:rsidRPr="00EC50AF">
        <w:rPr>
          <w:i/>
          <w:color w:val="000000"/>
          <w:szCs w:val="18"/>
        </w:rPr>
        <w:t>Les classes sociales dans le capitalisme a</w:t>
      </w:r>
      <w:r w:rsidRPr="00EC50AF">
        <w:rPr>
          <w:i/>
          <w:color w:val="000000"/>
          <w:szCs w:val="18"/>
        </w:rPr>
        <w:t>u</w:t>
      </w:r>
      <w:r w:rsidRPr="00EC50AF">
        <w:rPr>
          <w:i/>
          <w:color w:val="000000"/>
          <w:szCs w:val="18"/>
        </w:rPr>
        <w:t>jourd’hui</w:t>
      </w:r>
      <w:r w:rsidRPr="00EC50AF">
        <w:rPr>
          <w:color w:val="000000"/>
          <w:szCs w:val="18"/>
        </w:rPr>
        <w:t>, Paris, Seuil, 1974. Il faut noter un langage souvent abscons qui sert à masquer la finalité du travail (te</w:t>
      </w:r>
      <w:r w:rsidRPr="00EC50AF">
        <w:rPr>
          <w:color w:val="000000"/>
          <w:szCs w:val="18"/>
        </w:rPr>
        <w:t>n</w:t>
      </w:r>
      <w:r w:rsidRPr="00EC50AF">
        <w:rPr>
          <w:color w:val="000000"/>
          <w:szCs w:val="18"/>
        </w:rPr>
        <w:t xml:space="preserve">ter de maintenir le corpus marxiste en dépit de tout), et qui vise à donner, par cet artifice, une « scientificité » au discours (l’hermétisme étant gage de savoir). Voir aussi </w:t>
      </w:r>
      <w:hyperlink r:id="rId9" w:history="1">
        <w:r w:rsidRPr="00B11F27">
          <w:rPr>
            <w:rStyle w:val="Hyperlien"/>
            <w:szCs w:val="18"/>
          </w:rPr>
          <w:t xml:space="preserve">Nicole Laurin-Frenette, </w:t>
        </w:r>
        <w:r w:rsidRPr="00B11F27">
          <w:rPr>
            <w:rStyle w:val="Hyperlien"/>
            <w:i/>
            <w:szCs w:val="18"/>
          </w:rPr>
          <w:t>Cla</w:t>
        </w:r>
        <w:r w:rsidRPr="00B11F27">
          <w:rPr>
            <w:rStyle w:val="Hyperlien"/>
            <w:i/>
            <w:szCs w:val="18"/>
          </w:rPr>
          <w:t>s</w:t>
        </w:r>
        <w:r w:rsidRPr="00B11F27">
          <w:rPr>
            <w:rStyle w:val="Hyperlien"/>
            <w:i/>
            <w:szCs w:val="18"/>
          </w:rPr>
          <w:t>ses sociales et pouvoir, les théories</w:t>
        </w:r>
        <w:r w:rsidRPr="00B11F27">
          <w:rPr>
            <w:rStyle w:val="Hyperlien"/>
            <w:szCs w:val="18"/>
          </w:rPr>
          <w:t xml:space="preserve"> </w:t>
        </w:r>
        <w:r w:rsidRPr="00B11F27">
          <w:rPr>
            <w:rStyle w:val="Hyperlien"/>
            <w:i/>
            <w:szCs w:val="18"/>
          </w:rPr>
          <w:t>fonctionnalistes</w:t>
        </w:r>
      </w:hyperlink>
      <w:r w:rsidRPr="00EC50AF">
        <w:rPr>
          <w:color w:val="000000"/>
          <w:szCs w:val="18"/>
        </w:rPr>
        <w:t>, 1978, (l’auteur considère comme « bourgeoises » toutes ces théories, de Pareto à Aron, en passant par Weber, Wright Mills, Parsons etc.), en libre ac</w:t>
      </w:r>
      <w:r>
        <w:rPr>
          <w:color w:val="000000"/>
          <w:szCs w:val="18"/>
        </w:rPr>
        <w:t>cès dans Les C</w:t>
      </w:r>
      <w:r w:rsidRPr="00EC50AF">
        <w:rPr>
          <w:color w:val="000000"/>
          <w:szCs w:val="18"/>
        </w:rPr>
        <w:t>lassiques des sciences s</w:t>
      </w:r>
      <w:r w:rsidRPr="00EC50AF">
        <w:rPr>
          <w:color w:val="000000"/>
          <w:szCs w:val="18"/>
        </w:rPr>
        <w:t>o</w:t>
      </w:r>
      <w:r w:rsidRPr="00EC50AF">
        <w:rPr>
          <w:color w:val="000000"/>
          <w:szCs w:val="18"/>
        </w:rPr>
        <w:t>ciales</w:t>
      </w:r>
      <w:r>
        <w:rPr>
          <w:color w:val="000000"/>
          <w:szCs w:val="18"/>
        </w:rPr>
        <w:t>.</w:t>
      </w:r>
    </w:p>
  </w:footnote>
  <w:footnote w:id="265">
    <w:p w14:paraId="4C7C806A" w14:textId="77777777" w:rsidR="00B01930" w:rsidRDefault="00B01930">
      <w:pPr>
        <w:pStyle w:val="Notedebasdepage"/>
      </w:pPr>
      <w:r>
        <w:rPr>
          <w:rStyle w:val="Appelnotedebasdep"/>
        </w:rPr>
        <w:footnoteRef/>
      </w:r>
      <w:r>
        <w:t xml:space="preserve"> </w:t>
      </w:r>
      <w:r>
        <w:tab/>
      </w:r>
      <w:r w:rsidRPr="00EC50AF">
        <w:rPr>
          <w:color w:val="000000"/>
          <w:szCs w:val="18"/>
        </w:rPr>
        <w:t>Ainsi, le 18 avril 2016, Alain Badiou tenait une conférence à Normale Sup. Ulm « </w:t>
      </w:r>
      <w:r w:rsidRPr="00EC50AF">
        <w:rPr>
          <w:i/>
          <w:color w:val="000000"/>
          <w:szCs w:val="18"/>
        </w:rPr>
        <w:t>Qu’est-ce que j’entends par</w:t>
      </w:r>
      <w:r w:rsidRPr="00EC50AF">
        <w:rPr>
          <w:color w:val="000000"/>
          <w:szCs w:val="18"/>
        </w:rPr>
        <w:t xml:space="preserve"> </w:t>
      </w:r>
      <w:r w:rsidRPr="00EC50AF">
        <w:rPr>
          <w:i/>
          <w:color w:val="000000"/>
          <w:szCs w:val="18"/>
        </w:rPr>
        <w:t>marxisme ?</w:t>
      </w:r>
      <w:r w:rsidRPr="00EC50AF">
        <w:rPr>
          <w:color w:val="000000"/>
          <w:szCs w:val="18"/>
        </w:rPr>
        <w:t> » (Lors du séminaire : « </w:t>
      </w:r>
      <w:r w:rsidRPr="00EC50AF">
        <w:rPr>
          <w:i/>
          <w:color w:val="000000"/>
          <w:szCs w:val="18"/>
        </w:rPr>
        <w:t>Lectures de Marx </w:t>
      </w:r>
      <w:r w:rsidRPr="00EC50AF">
        <w:rPr>
          <w:color w:val="000000"/>
          <w:szCs w:val="18"/>
        </w:rPr>
        <w:t>» …) publiée aux Éd</w:t>
      </w:r>
      <w:r w:rsidRPr="00EC50AF">
        <w:rPr>
          <w:color w:val="000000"/>
          <w:szCs w:val="18"/>
        </w:rPr>
        <w:t>i</w:t>
      </w:r>
      <w:r w:rsidRPr="00EC50AF">
        <w:rPr>
          <w:color w:val="000000"/>
          <w:szCs w:val="18"/>
        </w:rPr>
        <w:t>tions sociales, 2016.</w:t>
      </w:r>
    </w:p>
  </w:footnote>
  <w:footnote w:id="266">
    <w:p w14:paraId="5F5735C0"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 p. 731.</w:t>
      </w:r>
    </w:p>
  </w:footnote>
  <w:footnote w:id="267">
    <w:p w14:paraId="2FB5FF63" w14:textId="77777777" w:rsidR="00B01930" w:rsidRDefault="00B01930">
      <w:pPr>
        <w:pStyle w:val="Notedebasdepage"/>
      </w:pPr>
      <w:r>
        <w:rPr>
          <w:rStyle w:val="Appelnotedebasdep"/>
        </w:rPr>
        <w:footnoteRef/>
      </w:r>
      <w:r>
        <w:t xml:space="preserve"> </w:t>
      </w:r>
      <w:r>
        <w:tab/>
      </w:r>
      <w:r w:rsidRPr="00EC50AF">
        <w:rPr>
          <w:color w:val="000000"/>
          <w:szCs w:val="18"/>
        </w:rPr>
        <w:t>Que Jean-Louis Martres appelle en intitulé d’un paragraphe de son livre : « contagion ». Mais comme il utilise aussi ce terme ultérieurement dans un a</w:t>
      </w:r>
      <w:r w:rsidRPr="00EC50AF">
        <w:rPr>
          <w:color w:val="000000"/>
          <w:szCs w:val="18"/>
        </w:rPr>
        <w:t>u</w:t>
      </w:r>
      <w:r w:rsidRPr="00EC50AF">
        <w:rPr>
          <w:color w:val="000000"/>
          <w:szCs w:val="18"/>
        </w:rPr>
        <w:t>tre sens, nous avons préféré le terme propagation, qu’il emploie d’ailleurs dans le corps du texte.</w:t>
      </w:r>
    </w:p>
  </w:footnote>
  <w:footnote w:id="268">
    <w:p w14:paraId="74133D5F" w14:textId="77777777" w:rsidR="00B01930" w:rsidRDefault="00B01930">
      <w:pPr>
        <w:pStyle w:val="Notedebasdepage"/>
      </w:pPr>
      <w:r>
        <w:rPr>
          <w:rStyle w:val="Appelnotedebasdep"/>
        </w:rPr>
        <w:footnoteRef/>
      </w:r>
      <w:r>
        <w:t xml:space="preserve"> </w:t>
      </w:r>
      <w:r>
        <w:tab/>
      </w:r>
      <w:r w:rsidRPr="00EC50AF">
        <w:rPr>
          <w:i/>
          <w:color w:val="000000"/>
          <w:szCs w:val="18"/>
        </w:rPr>
        <w:t>Les Grilles….</w:t>
      </w:r>
    </w:p>
  </w:footnote>
  <w:footnote w:id="269">
    <w:p w14:paraId="21265F7F" w14:textId="77777777" w:rsidR="00B01930" w:rsidRDefault="00B01930">
      <w:pPr>
        <w:pStyle w:val="Notedebasdepage"/>
      </w:pPr>
      <w:r>
        <w:rPr>
          <w:rStyle w:val="Appelnotedebasdep"/>
        </w:rPr>
        <w:footnoteRef/>
      </w:r>
      <w:r>
        <w:t xml:space="preserve"> </w:t>
      </w:r>
      <w:r>
        <w:tab/>
      </w:r>
      <w:r w:rsidRPr="00EC50AF">
        <w:rPr>
          <w:i/>
          <w:color w:val="000000"/>
          <w:szCs w:val="18"/>
        </w:rPr>
        <w:t>Ibidem</w:t>
      </w:r>
      <w:r w:rsidRPr="00EC50AF">
        <w:rPr>
          <w:color w:val="000000"/>
          <w:szCs w:val="18"/>
        </w:rPr>
        <w:t>, p. 732.</w:t>
      </w:r>
    </w:p>
  </w:footnote>
  <w:footnote w:id="270">
    <w:p w14:paraId="582A59E3" w14:textId="77777777" w:rsidR="00B01930" w:rsidRDefault="00B01930">
      <w:pPr>
        <w:pStyle w:val="Notedebasdepage"/>
      </w:pPr>
      <w:r>
        <w:rPr>
          <w:rStyle w:val="Appelnotedebasdep"/>
        </w:rPr>
        <w:footnoteRef/>
      </w:r>
      <w:r>
        <w:t xml:space="preserve"> </w:t>
      </w:r>
      <w:r>
        <w:tab/>
      </w:r>
      <w:r w:rsidRPr="00EC50AF">
        <w:rPr>
          <w:i/>
          <w:color w:val="000000"/>
          <w:szCs w:val="18"/>
        </w:rPr>
        <w:t>Ibid.</w:t>
      </w:r>
    </w:p>
  </w:footnote>
  <w:footnote w:id="271">
    <w:p w14:paraId="6BC72FA1"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732.</w:t>
      </w:r>
    </w:p>
  </w:footnote>
  <w:footnote w:id="272">
    <w:p w14:paraId="537B2F58"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w:t>
      </w:r>
    </w:p>
  </w:footnote>
  <w:footnote w:id="273">
    <w:p w14:paraId="37D4268D" w14:textId="77777777" w:rsidR="00B01930" w:rsidRDefault="00B01930">
      <w:pPr>
        <w:pStyle w:val="Notedebasdepage"/>
      </w:pPr>
      <w:r>
        <w:rPr>
          <w:rStyle w:val="Appelnotedebasdep"/>
        </w:rPr>
        <w:footnoteRef/>
      </w:r>
      <w:r>
        <w:t xml:space="preserve"> </w:t>
      </w:r>
      <w:r>
        <w:tab/>
      </w:r>
      <w:r w:rsidRPr="00EC50AF">
        <w:rPr>
          <w:i/>
          <w:color w:val="000000"/>
          <w:szCs w:val="18"/>
        </w:rPr>
        <w:t>Ibid.</w:t>
      </w:r>
    </w:p>
  </w:footnote>
  <w:footnote w:id="274">
    <w:p w14:paraId="60D7B20F"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xml:space="preserve"> p. 733.</w:t>
      </w:r>
    </w:p>
  </w:footnote>
  <w:footnote w:id="275">
    <w:p w14:paraId="4DD6C430"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734.</w:t>
      </w:r>
    </w:p>
  </w:footnote>
  <w:footnote w:id="276">
    <w:p w14:paraId="43313E01"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 p. 737. À de rares exceptions de « réussite », comme, pour la période contemp</w:t>
      </w:r>
      <w:r w:rsidRPr="00EC50AF">
        <w:rPr>
          <w:color w:val="000000"/>
          <w:szCs w:val="18"/>
        </w:rPr>
        <w:t>o</w:t>
      </w:r>
      <w:r w:rsidRPr="00EC50AF">
        <w:rPr>
          <w:color w:val="000000"/>
          <w:szCs w:val="18"/>
        </w:rPr>
        <w:t>raine, le très médiatisé Henry Kissinger, professeur en science politique (relations internationales et défense), conseiller pour la séc</w:t>
      </w:r>
      <w:r w:rsidRPr="00EC50AF">
        <w:rPr>
          <w:color w:val="000000"/>
          <w:szCs w:val="18"/>
        </w:rPr>
        <w:t>u</w:t>
      </w:r>
      <w:r w:rsidRPr="00EC50AF">
        <w:rPr>
          <w:color w:val="000000"/>
          <w:szCs w:val="18"/>
        </w:rPr>
        <w:t>rité nation</w:t>
      </w:r>
      <w:r w:rsidRPr="00EC50AF">
        <w:rPr>
          <w:color w:val="000000"/>
          <w:szCs w:val="18"/>
        </w:rPr>
        <w:t>a</w:t>
      </w:r>
      <w:r w:rsidRPr="00EC50AF">
        <w:rPr>
          <w:color w:val="000000"/>
          <w:szCs w:val="18"/>
        </w:rPr>
        <w:t>le (1969-1975) du président Nixon aux États-Unis, devenu ensuite secrétaire d’État (1973-1977) ; ou moins médiatisé, mais tout aussi connu, Zbigniew Brzezinski, politologue, conseiller à la sécurité nationale du prés</w:t>
      </w:r>
      <w:r w:rsidRPr="00EC50AF">
        <w:rPr>
          <w:color w:val="000000"/>
          <w:szCs w:val="18"/>
        </w:rPr>
        <w:t>i</w:t>
      </w:r>
      <w:r w:rsidRPr="00EC50AF">
        <w:rPr>
          <w:color w:val="000000"/>
          <w:szCs w:val="18"/>
        </w:rPr>
        <w:t xml:space="preserve">dent Jimmy Carter de 1977 à 1981 (voir par exemple, Justin Vaïsse, </w:t>
      </w:r>
      <w:r w:rsidRPr="00EC50AF">
        <w:rPr>
          <w:i/>
          <w:color w:val="000000"/>
          <w:szCs w:val="18"/>
        </w:rPr>
        <w:t>Zbigniew Brzezinski, stratège de l’empire</w:t>
      </w:r>
      <w:r w:rsidRPr="00EC50AF">
        <w:rPr>
          <w:color w:val="000000"/>
          <w:szCs w:val="18"/>
        </w:rPr>
        <w:t>, Paris, Odile Jacob, 2016).</w:t>
      </w:r>
    </w:p>
  </w:footnote>
  <w:footnote w:id="277">
    <w:p w14:paraId="53247AAA" w14:textId="77777777" w:rsidR="00B01930" w:rsidRDefault="00B01930">
      <w:pPr>
        <w:pStyle w:val="Notedebasdepage"/>
      </w:pPr>
      <w:r>
        <w:rPr>
          <w:rStyle w:val="Appelnotedebasdep"/>
        </w:rPr>
        <w:footnoteRef/>
      </w:r>
      <w:r>
        <w:t xml:space="preserve"> </w:t>
      </w:r>
      <w:r>
        <w:tab/>
      </w:r>
      <w:r w:rsidRPr="00EC50AF">
        <w:rPr>
          <w:color w:val="000000"/>
          <w:szCs w:val="18"/>
        </w:rPr>
        <w:t>Cf.</w:t>
      </w:r>
      <w:r w:rsidRPr="00EC50AF">
        <w:rPr>
          <w:i/>
          <w:color w:val="000000"/>
          <w:szCs w:val="18"/>
        </w:rPr>
        <w:t xml:space="preserve"> supra </w:t>
      </w:r>
      <w:r w:rsidRPr="00EC50AF">
        <w:rPr>
          <w:color w:val="000000"/>
          <w:szCs w:val="18"/>
        </w:rPr>
        <w:t>note 2 </w:t>
      </w:r>
      <w:r w:rsidRPr="00EC50AF">
        <w:rPr>
          <w:i/>
          <w:color w:val="000000"/>
          <w:szCs w:val="18"/>
        </w:rPr>
        <w:t>:</w:t>
      </w:r>
      <w:r w:rsidRPr="00EC50AF">
        <w:rPr>
          <w:color w:val="000000"/>
          <w:szCs w:val="18"/>
        </w:rPr>
        <w:t xml:space="preserve"> « Introduction critique…, ».</w:t>
      </w:r>
    </w:p>
  </w:footnote>
  <w:footnote w:id="278">
    <w:p w14:paraId="39829E7B"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 737.</w:t>
      </w:r>
    </w:p>
  </w:footnote>
  <w:footnote w:id="279">
    <w:p w14:paraId="63069C8A" w14:textId="77777777" w:rsidR="00B01930" w:rsidRDefault="00B01930">
      <w:pPr>
        <w:pStyle w:val="Notedebasdepage"/>
      </w:pPr>
      <w:r>
        <w:rPr>
          <w:rStyle w:val="Appelnotedebasdep"/>
        </w:rPr>
        <w:footnoteRef/>
      </w:r>
      <w:r>
        <w:t xml:space="preserve"> </w:t>
      </w:r>
      <w:r>
        <w:tab/>
      </w:r>
      <w:r w:rsidRPr="00EC50AF">
        <w:rPr>
          <w:color w:val="000000"/>
          <w:szCs w:val="18"/>
        </w:rPr>
        <w:t xml:space="preserve">Julien Freund (1921-1993). </w:t>
      </w:r>
      <w:r w:rsidRPr="00EC50AF">
        <w:rPr>
          <w:i/>
          <w:color w:val="000000"/>
          <w:szCs w:val="18"/>
        </w:rPr>
        <w:t>France Forum</w:t>
      </w:r>
      <w:r w:rsidRPr="00EC50AF">
        <w:rPr>
          <w:color w:val="000000"/>
          <w:szCs w:val="18"/>
        </w:rPr>
        <w:t>, n° 6.</w:t>
      </w:r>
    </w:p>
  </w:footnote>
  <w:footnote w:id="280">
    <w:p w14:paraId="0FB03B65" w14:textId="77777777" w:rsidR="00B01930" w:rsidRDefault="00B01930">
      <w:pPr>
        <w:pStyle w:val="Notedebasdepage"/>
      </w:pPr>
      <w:r>
        <w:rPr>
          <w:rStyle w:val="Appelnotedebasdep"/>
        </w:rPr>
        <w:footnoteRef/>
      </w:r>
      <w:r>
        <w:t xml:space="preserve"> </w:t>
      </w:r>
      <w:r>
        <w:tab/>
      </w:r>
      <w:r w:rsidRPr="00EC50AF">
        <w:rPr>
          <w:rFonts w:cs="Arial"/>
          <w:color w:val="000000"/>
          <w:szCs w:val="18"/>
        </w:rPr>
        <w:t>Contesté à la tête du régime après l’échec du « Grand Bond en avant » (1958-1961), qui a pr</w:t>
      </w:r>
      <w:r w:rsidRPr="00EC50AF">
        <w:rPr>
          <w:rFonts w:cs="Arial"/>
          <w:color w:val="000000"/>
          <w:szCs w:val="18"/>
        </w:rPr>
        <w:t>o</w:t>
      </w:r>
      <w:r w:rsidRPr="00EC50AF">
        <w:rPr>
          <w:rFonts w:cs="Arial"/>
          <w:color w:val="000000"/>
          <w:szCs w:val="18"/>
        </w:rPr>
        <w:t xml:space="preserve">voqué un véritable marasme économique en </w:t>
      </w:r>
      <w:hyperlink r:id="rId10" w:history="1">
        <w:r w:rsidRPr="00EC50AF">
          <w:rPr>
            <w:rFonts w:cs="Arial"/>
            <w:color w:val="000000"/>
            <w:szCs w:val="18"/>
          </w:rPr>
          <w:t>Chine</w:t>
        </w:r>
      </w:hyperlink>
      <w:r w:rsidRPr="00EC50AF">
        <w:rPr>
          <w:rFonts w:cs="Arial"/>
          <w:color w:val="000000"/>
          <w:szCs w:val="18"/>
        </w:rPr>
        <w:t xml:space="preserve"> et consommé la rupture des relations avec l’URSS (1960), lance, lors de l’été de 1966, une « grande révolution culturelle prolétar</w:t>
      </w:r>
      <w:r w:rsidRPr="00EC50AF">
        <w:rPr>
          <w:rFonts w:cs="Arial"/>
          <w:color w:val="000000"/>
          <w:szCs w:val="18"/>
        </w:rPr>
        <w:t>i</w:t>
      </w:r>
      <w:r w:rsidRPr="00EC50AF">
        <w:rPr>
          <w:rFonts w:cs="Arial"/>
          <w:color w:val="000000"/>
          <w:szCs w:val="18"/>
        </w:rPr>
        <w:t xml:space="preserve">enne » censée </w:t>
      </w:r>
      <w:r w:rsidRPr="00EC50AF">
        <w:rPr>
          <w:color w:val="000000"/>
          <w:szCs w:val="18"/>
        </w:rPr>
        <w:t>représenter une nouvelle étape de développement dans l’histoire du pays. La jeunesse e</w:t>
      </w:r>
      <w:r w:rsidRPr="00EC50AF">
        <w:rPr>
          <w:color w:val="000000"/>
          <w:szCs w:val="18"/>
        </w:rPr>
        <w:t>m</w:t>
      </w:r>
      <w:r w:rsidRPr="00EC50AF">
        <w:rPr>
          <w:color w:val="000000"/>
          <w:szCs w:val="18"/>
        </w:rPr>
        <w:t>brigadée au sein d’unités de « Gardes rouges » est vouée à réprimer les te</w:t>
      </w:r>
      <w:r w:rsidRPr="00EC50AF">
        <w:rPr>
          <w:color w:val="000000"/>
          <w:szCs w:val="18"/>
        </w:rPr>
        <w:t>n</w:t>
      </w:r>
      <w:r w:rsidRPr="00EC50AF">
        <w:rPr>
          <w:color w:val="000000"/>
          <w:szCs w:val="18"/>
        </w:rPr>
        <w:t>dances à l’embourgeoisement, à rééduquer les intellectuels « droitiers » qui sont déportés dans les ca</w:t>
      </w:r>
      <w:r w:rsidRPr="00EC50AF">
        <w:rPr>
          <w:color w:val="000000"/>
          <w:szCs w:val="18"/>
        </w:rPr>
        <w:t>m</w:t>
      </w:r>
      <w:r w:rsidRPr="00EC50AF">
        <w:rPr>
          <w:color w:val="000000"/>
          <w:szCs w:val="18"/>
        </w:rPr>
        <w:t>pagnes, enfin l’extermination de millions d’individus réfractaires au pouvoir du « Grand Tim</w:t>
      </w:r>
      <w:r w:rsidRPr="00EC50AF">
        <w:rPr>
          <w:color w:val="000000"/>
          <w:szCs w:val="18"/>
        </w:rPr>
        <w:t>o</w:t>
      </w:r>
      <w:r w:rsidRPr="00EC50AF">
        <w:rPr>
          <w:color w:val="000000"/>
          <w:szCs w:val="18"/>
        </w:rPr>
        <w:t xml:space="preserve">nier » et à son </w:t>
      </w:r>
      <w:hyperlink r:id="rId11" w:history="1">
        <w:r w:rsidRPr="00B11F27">
          <w:rPr>
            <w:rStyle w:val="Hyperlien"/>
            <w:i/>
            <w:iCs/>
            <w:szCs w:val="18"/>
          </w:rPr>
          <w:t>Petit Livre rouge</w:t>
        </w:r>
      </w:hyperlink>
      <w:r w:rsidRPr="00EC50AF">
        <w:rPr>
          <w:color w:val="000000"/>
          <w:szCs w:val="18"/>
        </w:rPr>
        <w:t>, sont autant d’éléments qui participent de la mystique d’un homme nouveau incarnant la pureté révolutionnaire. Plus prosaïquement, la Révol</w:t>
      </w:r>
      <w:r w:rsidRPr="00EC50AF">
        <w:rPr>
          <w:color w:val="000000"/>
          <w:szCs w:val="18"/>
        </w:rPr>
        <w:t>u</w:t>
      </w:r>
      <w:r w:rsidRPr="00EC50AF">
        <w:rPr>
          <w:color w:val="000000"/>
          <w:szCs w:val="18"/>
        </w:rPr>
        <w:t>tion culturelle est l’occasion pour Mao d’éliminer toute forme d’opposition, d’intensifier le culte autour de sa personne et de conforter un pouvoir perso</w:t>
      </w:r>
      <w:r w:rsidRPr="00EC50AF">
        <w:rPr>
          <w:color w:val="000000"/>
          <w:szCs w:val="18"/>
        </w:rPr>
        <w:t>n</w:t>
      </w:r>
      <w:r w:rsidRPr="00EC50AF">
        <w:rPr>
          <w:color w:val="000000"/>
          <w:szCs w:val="18"/>
        </w:rPr>
        <w:t xml:space="preserve">nel qu’il conserve jusqu’à sa mort en septembre 1976. Nombre d’intellectuels qui, aujourd’hui, célèbrent le « néolibéralisme » furent, alors, les thuriféraires de Mao et de sa « Révolution culturelle »”… Le sinologue Simon Leys (1935-2014) pourfendeur de ces « idolâtres maoïstes », dans son livre </w:t>
      </w:r>
      <w:r w:rsidRPr="00EC50AF">
        <w:rPr>
          <w:i/>
          <w:color w:val="000000"/>
          <w:szCs w:val="18"/>
        </w:rPr>
        <w:t>Les habits neufs du président Mao</w:t>
      </w:r>
      <w:r w:rsidRPr="00EC50AF">
        <w:rPr>
          <w:color w:val="000000"/>
          <w:szCs w:val="18"/>
        </w:rPr>
        <w:t>, Paris, Champ libre, 1971, fut qualifié par ces intelle</w:t>
      </w:r>
      <w:r w:rsidRPr="00EC50AF">
        <w:rPr>
          <w:color w:val="000000"/>
          <w:szCs w:val="18"/>
        </w:rPr>
        <w:t>c</w:t>
      </w:r>
      <w:r w:rsidRPr="00EC50AF">
        <w:rPr>
          <w:color w:val="000000"/>
          <w:szCs w:val="18"/>
        </w:rPr>
        <w:t>tuels, de « renégat » et de « traître ».</w:t>
      </w:r>
    </w:p>
  </w:footnote>
  <w:footnote w:id="281">
    <w:p w14:paraId="76E33C53" w14:textId="77777777" w:rsidR="00B01930" w:rsidRDefault="00B01930">
      <w:pPr>
        <w:pStyle w:val="Notedebasdepage"/>
      </w:pPr>
      <w:r>
        <w:rPr>
          <w:rStyle w:val="Appelnotedebasdep"/>
        </w:rPr>
        <w:footnoteRef/>
      </w:r>
      <w:r>
        <w:t xml:space="preserve"> </w:t>
      </w:r>
      <w:r>
        <w:tab/>
      </w:r>
      <w:r w:rsidRPr="00EC50AF">
        <w:rPr>
          <w:color w:val="000000"/>
          <w:szCs w:val="18"/>
        </w:rPr>
        <w:t>Chou en Laï (1898-1976), Premier ministre de la République populaire de Ch</w:t>
      </w:r>
      <w:r w:rsidRPr="00EC50AF">
        <w:rPr>
          <w:color w:val="000000"/>
          <w:szCs w:val="18"/>
        </w:rPr>
        <w:t>i</w:t>
      </w:r>
      <w:r w:rsidRPr="00EC50AF">
        <w:rPr>
          <w:color w:val="000000"/>
          <w:szCs w:val="18"/>
        </w:rPr>
        <w:t xml:space="preserve">ne en poste à partir d’octobre 1949 jusqu’à sa mort. </w:t>
      </w:r>
    </w:p>
  </w:footnote>
  <w:footnote w:id="282">
    <w:p w14:paraId="068E238F" w14:textId="77777777" w:rsidR="00B01930" w:rsidRDefault="00B01930">
      <w:pPr>
        <w:pStyle w:val="Notedebasdepage"/>
      </w:pPr>
      <w:r>
        <w:rPr>
          <w:rStyle w:val="Appelnotedebasdep"/>
        </w:rPr>
        <w:footnoteRef/>
      </w:r>
      <w:r>
        <w:t xml:space="preserve"> </w:t>
      </w:r>
      <w:r>
        <w:tab/>
      </w:r>
      <w:r w:rsidRPr="00EC50AF">
        <w:rPr>
          <w:color w:val="000000"/>
          <w:szCs w:val="18"/>
        </w:rPr>
        <w:t xml:space="preserve">Henry Kissinger, </w:t>
      </w:r>
      <w:r w:rsidRPr="00EC50AF">
        <w:rPr>
          <w:i/>
          <w:color w:val="000000"/>
          <w:szCs w:val="18"/>
        </w:rPr>
        <w:t>À la Maison Blanche, 1968-1973</w:t>
      </w:r>
      <w:r w:rsidRPr="00EC50AF">
        <w:rPr>
          <w:color w:val="000000"/>
          <w:szCs w:val="18"/>
        </w:rPr>
        <w:t xml:space="preserve">, t. 2, Paris, Fayard, 1979, p. 1118. Dazibao : </w:t>
      </w:r>
      <w:hyperlink r:id="rId12" w:history="1">
        <w:r w:rsidRPr="00EC50AF">
          <w:rPr>
            <w:color w:val="000000"/>
            <w:szCs w:val="18"/>
          </w:rPr>
          <w:t>affiche</w:t>
        </w:r>
      </w:hyperlink>
      <w:r w:rsidRPr="00EC50AF">
        <w:rPr>
          <w:color w:val="000000"/>
          <w:szCs w:val="18"/>
        </w:rPr>
        <w:t xml:space="preserve"> rédigée par un simple c</w:t>
      </w:r>
      <w:r w:rsidRPr="00EC50AF">
        <w:rPr>
          <w:color w:val="000000"/>
          <w:szCs w:val="18"/>
        </w:rPr>
        <w:t>i</w:t>
      </w:r>
      <w:r w:rsidRPr="00EC50AF">
        <w:rPr>
          <w:color w:val="000000"/>
          <w:szCs w:val="18"/>
        </w:rPr>
        <w:t xml:space="preserve">toyen, traitant d’un sujet </w:t>
      </w:r>
      <w:hyperlink r:id="rId13" w:history="1">
        <w:r w:rsidRPr="00EC50AF">
          <w:rPr>
            <w:color w:val="000000"/>
            <w:szCs w:val="18"/>
          </w:rPr>
          <w:t>politique</w:t>
        </w:r>
      </w:hyperlink>
      <w:r w:rsidRPr="00EC50AF">
        <w:rPr>
          <w:color w:val="000000"/>
          <w:szCs w:val="18"/>
        </w:rPr>
        <w:t xml:space="preserve"> ou </w:t>
      </w:r>
      <w:hyperlink r:id="rId14" w:history="1">
        <w:r w:rsidRPr="00EC50AF">
          <w:rPr>
            <w:color w:val="000000"/>
            <w:szCs w:val="18"/>
          </w:rPr>
          <w:t>moral</w:t>
        </w:r>
      </w:hyperlink>
      <w:r w:rsidRPr="00EC50AF">
        <w:rPr>
          <w:color w:val="000000"/>
          <w:szCs w:val="18"/>
        </w:rPr>
        <w:t xml:space="preserve">, et placardée pour être lue par le public, relancée par Mao avec la Révolution culturelle, être attaqué dans un dazibao était suffisant pour mettre fin à une carrière. </w:t>
      </w:r>
    </w:p>
  </w:footnote>
  <w:footnote w:id="283">
    <w:p w14:paraId="15F6CB8A" w14:textId="77777777" w:rsidR="00B01930" w:rsidRDefault="00B01930">
      <w:pPr>
        <w:pStyle w:val="Notedebasdepage"/>
      </w:pPr>
      <w:r>
        <w:rPr>
          <w:rStyle w:val="Appelnotedebasdep"/>
        </w:rPr>
        <w:footnoteRef/>
      </w:r>
      <w:r>
        <w:t xml:space="preserve"> </w:t>
      </w:r>
      <w:r>
        <w:tab/>
      </w:r>
      <w:r w:rsidRPr="00EC50AF">
        <w:rPr>
          <w:color w:val="000000"/>
          <w:szCs w:val="18"/>
        </w:rPr>
        <w:t>On sait depuis longtemps ce qu’il en est et comment la machine Kennedy, avec la plus que bienveillance des médias, a fabriqué le « mythe Kennedy ».</w:t>
      </w:r>
    </w:p>
  </w:footnote>
  <w:footnote w:id="284">
    <w:p w14:paraId="37EB3584" w14:textId="77777777" w:rsidR="00B01930" w:rsidRDefault="00B01930">
      <w:pPr>
        <w:pStyle w:val="Notedebasdepage"/>
      </w:pPr>
      <w:r>
        <w:rPr>
          <w:rStyle w:val="Appelnotedebasdep"/>
        </w:rPr>
        <w:footnoteRef/>
      </w:r>
      <w:r>
        <w:t xml:space="preserve"> </w:t>
      </w:r>
      <w:r>
        <w:tab/>
      </w:r>
      <w:r w:rsidRPr="00EC50AF">
        <w:t xml:space="preserve">Cf. </w:t>
      </w:r>
      <w:r w:rsidRPr="00EC50AF">
        <w:rPr>
          <w:color w:val="000000"/>
          <w:szCs w:val="18"/>
        </w:rPr>
        <w:t xml:space="preserve">David Halberstam, </w:t>
      </w:r>
      <w:r w:rsidRPr="00EC50AF">
        <w:rPr>
          <w:i/>
          <w:color w:val="000000"/>
          <w:szCs w:val="18"/>
        </w:rPr>
        <w:t>On les disait les meilleurs et les plus intell</w:t>
      </w:r>
      <w:r w:rsidRPr="00EC50AF">
        <w:rPr>
          <w:i/>
          <w:color w:val="000000"/>
          <w:szCs w:val="18"/>
        </w:rPr>
        <w:t>i</w:t>
      </w:r>
      <w:r w:rsidRPr="00EC50AF">
        <w:rPr>
          <w:i/>
          <w:color w:val="000000"/>
          <w:szCs w:val="18"/>
        </w:rPr>
        <w:t>gents</w:t>
      </w:r>
      <w:r w:rsidRPr="00EC50AF">
        <w:rPr>
          <w:color w:val="000000"/>
          <w:szCs w:val="18"/>
        </w:rPr>
        <w:t xml:space="preserve">, Paris, Laffont-Hachette, 1974. </w:t>
      </w:r>
    </w:p>
  </w:footnote>
  <w:footnote w:id="285">
    <w:p w14:paraId="5570CE43" w14:textId="77777777" w:rsidR="00B01930" w:rsidRDefault="00B01930">
      <w:pPr>
        <w:pStyle w:val="Notedebasdepage"/>
      </w:pPr>
      <w:r>
        <w:rPr>
          <w:rStyle w:val="Appelnotedebasdep"/>
        </w:rPr>
        <w:footnoteRef/>
      </w:r>
      <w:r>
        <w:t xml:space="preserve"> </w:t>
      </w:r>
      <w:r>
        <w:tab/>
      </w:r>
      <w:r w:rsidRPr="00EC50AF">
        <w:rPr>
          <w:color w:val="000000"/>
          <w:szCs w:val="18"/>
        </w:rPr>
        <w:t xml:space="preserve">Cette esquisse d’explication est telle que Jean-Louis Martres la présenta en cours dès 1973. Son hypothèse fut largement confirmée par la suite. On sait que les révélations faites par le </w:t>
      </w:r>
      <w:r w:rsidRPr="00EC50AF">
        <w:rPr>
          <w:i/>
          <w:color w:val="000000"/>
          <w:szCs w:val="18"/>
        </w:rPr>
        <w:t>Washington Post</w:t>
      </w:r>
      <w:r w:rsidRPr="00EC50AF">
        <w:rPr>
          <w:color w:val="000000"/>
          <w:szCs w:val="18"/>
        </w:rPr>
        <w:t xml:space="preserve"> venaient de la fameuse sou</w:t>
      </w:r>
      <w:r w:rsidRPr="00EC50AF">
        <w:rPr>
          <w:color w:val="000000"/>
          <w:szCs w:val="18"/>
        </w:rPr>
        <w:t>r</w:t>
      </w:r>
      <w:r w:rsidRPr="00EC50AF">
        <w:rPr>
          <w:color w:val="000000"/>
          <w:szCs w:val="18"/>
        </w:rPr>
        <w:t xml:space="preserve">ce dite « Gorge profonde », dont on saura (30 ans plus tard) que c’était Mark Felt, le numéro deux du… F.B.I., Bob Woodward, </w:t>
      </w:r>
      <w:r w:rsidRPr="00EC50AF">
        <w:rPr>
          <w:i/>
          <w:color w:val="000000"/>
          <w:szCs w:val="18"/>
        </w:rPr>
        <w:t>Gorge profonde, la vérit</w:t>
      </w:r>
      <w:r w:rsidRPr="00EC50AF">
        <w:rPr>
          <w:i/>
          <w:color w:val="000000"/>
          <w:szCs w:val="18"/>
        </w:rPr>
        <w:t>a</w:t>
      </w:r>
      <w:r w:rsidRPr="00EC50AF">
        <w:rPr>
          <w:i/>
          <w:color w:val="000000"/>
          <w:szCs w:val="18"/>
        </w:rPr>
        <w:t>ble hi</w:t>
      </w:r>
      <w:r w:rsidRPr="00EC50AF">
        <w:rPr>
          <w:i/>
          <w:color w:val="000000"/>
          <w:szCs w:val="18"/>
        </w:rPr>
        <w:t>s</w:t>
      </w:r>
      <w:r w:rsidRPr="00EC50AF">
        <w:rPr>
          <w:i/>
          <w:color w:val="000000"/>
          <w:szCs w:val="18"/>
        </w:rPr>
        <w:t>toire de l’homme du Watergate</w:t>
      </w:r>
      <w:r w:rsidRPr="00EC50AF">
        <w:rPr>
          <w:color w:val="000000"/>
          <w:szCs w:val="18"/>
        </w:rPr>
        <w:t xml:space="preserve">, Paris, Denoël-Folio, 2005. Sur Nixon, ainsi que sur le Watergate, voir : le remarquable ouvrage de Romain Huret, </w:t>
      </w:r>
      <w:r w:rsidRPr="00EC50AF">
        <w:rPr>
          <w:i/>
          <w:color w:val="000000"/>
          <w:szCs w:val="18"/>
        </w:rPr>
        <w:t>De l’Amérique ordinaire à l’</w:t>
      </w:r>
      <w:r>
        <w:rPr>
          <w:i/>
          <w:color w:val="000000"/>
          <w:szCs w:val="18"/>
        </w:rPr>
        <w:t>État</w:t>
      </w:r>
      <w:r w:rsidRPr="00EC50AF">
        <w:rPr>
          <w:i/>
          <w:color w:val="000000"/>
          <w:szCs w:val="18"/>
        </w:rPr>
        <w:t xml:space="preserve"> secret, le cas Nixon</w:t>
      </w:r>
      <w:r w:rsidRPr="00EC50AF">
        <w:rPr>
          <w:color w:val="000000"/>
          <w:szCs w:val="18"/>
        </w:rPr>
        <w:t>, Paris, Presses de Scie</w:t>
      </w:r>
      <w:r w:rsidRPr="00EC50AF">
        <w:rPr>
          <w:color w:val="000000"/>
          <w:szCs w:val="18"/>
        </w:rPr>
        <w:t>n</w:t>
      </w:r>
      <w:r w:rsidRPr="00EC50AF">
        <w:rPr>
          <w:color w:val="000000"/>
          <w:szCs w:val="18"/>
        </w:rPr>
        <w:t xml:space="preserve">ce po. 2009 – ainsi que la monumentale biographie d’Antoine Coppolani, </w:t>
      </w:r>
      <w:r w:rsidRPr="00EC50AF">
        <w:rPr>
          <w:i/>
          <w:color w:val="000000"/>
          <w:szCs w:val="18"/>
        </w:rPr>
        <w:t>R</w:t>
      </w:r>
      <w:r w:rsidRPr="00EC50AF">
        <w:rPr>
          <w:i/>
          <w:color w:val="000000"/>
          <w:szCs w:val="18"/>
        </w:rPr>
        <w:t>i</w:t>
      </w:r>
      <w:r w:rsidRPr="00EC50AF">
        <w:rPr>
          <w:i/>
          <w:color w:val="000000"/>
          <w:szCs w:val="18"/>
        </w:rPr>
        <w:t>chard Nixon</w:t>
      </w:r>
      <w:r w:rsidRPr="00EC50AF">
        <w:rPr>
          <w:color w:val="000000"/>
          <w:szCs w:val="18"/>
        </w:rPr>
        <w:t>, Paris, Paris, Fayard, 2023, 1170 pages ; Carl Bernstein et Bob Woodward [les deux journalistes du Washin</w:t>
      </w:r>
      <w:r w:rsidRPr="00EC50AF">
        <w:rPr>
          <w:color w:val="000000"/>
          <w:szCs w:val="18"/>
        </w:rPr>
        <w:t>g</w:t>
      </w:r>
      <w:r w:rsidRPr="00EC50AF">
        <w:rPr>
          <w:color w:val="000000"/>
          <w:szCs w:val="18"/>
        </w:rPr>
        <w:t xml:space="preserve">ton Post, qui ont enquêté et étaient les seuls interlocuteurs de « Gorge profonde »], </w:t>
      </w:r>
      <w:r w:rsidRPr="00EC50AF">
        <w:rPr>
          <w:i/>
          <w:color w:val="000000"/>
          <w:szCs w:val="18"/>
        </w:rPr>
        <w:t>Watergate : les fous du Président</w:t>
      </w:r>
      <w:r w:rsidRPr="00EC50AF">
        <w:rPr>
          <w:color w:val="000000"/>
          <w:szCs w:val="18"/>
        </w:rPr>
        <w:t xml:space="preserve">, Paris, Laffont, 1974 ; </w:t>
      </w:r>
      <w:r w:rsidRPr="00EC50AF">
        <w:rPr>
          <w:i/>
          <w:color w:val="000000"/>
          <w:szCs w:val="18"/>
        </w:rPr>
        <w:t>Les deniers jours de Nixon</w:t>
      </w:r>
      <w:r w:rsidRPr="00EC50AF">
        <w:rPr>
          <w:color w:val="000000"/>
          <w:szCs w:val="18"/>
        </w:rPr>
        <w:t xml:space="preserve">, Paris, Laffont, 1976 ; Claude Moisy, </w:t>
      </w:r>
      <w:r w:rsidRPr="00EC50AF">
        <w:rPr>
          <w:i/>
          <w:color w:val="000000"/>
          <w:szCs w:val="18"/>
        </w:rPr>
        <w:t>Nixon et le Waterg</w:t>
      </w:r>
      <w:r w:rsidRPr="00EC50AF">
        <w:rPr>
          <w:i/>
          <w:color w:val="000000"/>
          <w:szCs w:val="18"/>
        </w:rPr>
        <w:t>a</w:t>
      </w:r>
      <w:r w:rsidRPr="00EC50AF">
        <w:rPr>
          <w:i/>
          <w:color w:val="000000"/>
          <w:szCs w:val="18"/>
        </w:rPr>
        <w:t>te, la chute d’un président</w:t>
      </w:r>
      <w:r w:rsidRPr="00EC50AF">
        <w:rPr>
          <w:color w:val="000000"/>
          <w:szCs w:val="18"/>
        </w:rPr>
        <w:t xml:space="preserve">, Paris, Hachette, 1994 ; Richard Nixon, </w:t>
      </w:r>
      <w:r w:rsidRPr="00EC50AF">
        <w:rPr>
          <w:i/>
          <w:color w:val="000000"/>
          <w:szCs w:val="18"/>
        </w:rPr>
        <w:t>Mémoires,</w:t>
      </w:r>
      <w:r w:rsidRPr="00EC50AF">
        <w:rPr>
          <w:color w:val="000000"/>
          <w:szCs w:val="18"/>
        </w:rPr>
        <w:t xml:space="preserve"> Ed. Internationales Stanké, 1978 ; Catherine D</w:t>
      </w:r>
      <w:r w:rsidRPr="00EC50AF">
        <w:rPr>
          <w:color w:val="000000"/>
          <w:szCs w:val="18"/>
        </w:rPr>
        <w:t>u</w:t>
      </w:r>
      <w:r w:rsidRPr="00EC50AF">
        <w:rPr>
          <w:color w:val="000000"/>
          <w:szCs w:val="18"/>
        </w:rPr>
        <w:t xml:space="preserve">randin, </w:t>
      </w:r>
      <w:r w:rsidRPr="00EC50AF">
        <w:rPr>
          <w:i/>
          <w:color w:val="000000"/>
          <w:szCs w:val="18"/>
        </w:rPr>
        <w:t>Nixon, le président maudit</w:t>
      </w:r>
      <w:r w:rsidRPr="00EC50AF">
        <w:rPr>
          <w:color w:val="000000"/>
          <w:szCs w:val="18"/>
        </w:rPr>
        <w:t xml:space="preserve">, Paris, Grancher éd., 2001 ; Henry Kissinger, </w:t>
      </w:r>
      <w:r w:rsidRPr="00EC50AF">
        <w:rPr>
          <w:i/>
          <w:color w:val="000000"/>
          <w:szCs w:val="18"/>
        </w:rPr>
        <w:t>À la Maison Blanche</w:t>
      </w:r>
      <w:r w:rsidRPr="00EC50AF">
        <w:rPr>
          <w:color w:val="000000"/>
          <w:szCs w:val="18"/>
        </w:rPr>
        <w:t>, 1968-1973,</w:t>
      </w:r>
      <w:r>
        <w:rPr>
          <w:color w:val="000000"/>
          <w:szCs w:val="18"/>
        </w:rPr>
        <w:t xml:space="preserve"> t. 1 et 2, Paris, Fayard, 1979</w:t>
      </w:r>
      <w:r w:rsidRPr="00EC50AF">
        <w:rPr>
          <w:color w:val="000000"/>
          <w:szCs w:val="18"/>
        </w:rPr>
        <w:t xml:space="preserve"> ; </w:t>
      </w:r>
      <w:r w:rsidRPr="00EC50AF">
        <w:rPr>
          <w:i/>
          <w:color w:val="000000"/>
          <w:szCs w:val="18"/>
        </w:rPr>
        <w:t>Les années orageuses</w:t>
      </w:r>
      <w:r w:rsidRPr="00EC50AF">
        <w:rPr>
          <w:color w:val="000000"/>
          <w:szCs w:val="18"/>
        </w:rPr>
        <w:t>, t. 1, Paris, Fayard, 1982 ; l’Affaire et les images d’archives américaines et les extraits des auditions devant la co</w:t>
      </w:r>
      <w:r w:rsidRPr="00EC50AF">
        <w:rPr>
          <w:color w:val="000000"/>
          <w:szCs w:val="18"/>
        </w:rPr>
        <w:t>m</w:t>
      </w:r>
      <w:r w:rsidRPr="00EC50AF">
        <w:rPr>
          <w:color w:val="000000"/>
          <w:szCs w:val="18"/>
        </w:rPr>
        <w:t xml:space="preserve">mission d’enquête du Congrès, Watergate Story, 14 extraits de 55 minutes chacun, chaîne </w:t>
      </w:r>
      <w:r w:rsidRPr="00EC50AF">
        <w:rPr>
          <w:i/>
          <w:color w:val="000000"/>
          <w:szCs w:val="18"/>
        </w:rPr>
        <w:t>TV Histoire</w:t>
      </w:r>
      <w:r w:rsidRPr="00EC50AF">
        <w:rPr>
          <w:color w:val="000000"/>
          <w:szCs w:val="18"/>
        </w:rPr>
        <w:t>, 2003. Enfin sur les relations entre médias, pouvoir législ</w:t>
      </w:r>
      <w:r w:rsidRPr="00EC50AF">
        <w:rPr>
          <w:color w:val="000000"/>
          <w:szCs w:val="18"/>
        </w:rPr>
        <w:t>a</w:t>
      </w:r>
      <w:r w:rsidRPr="00EC50AF">
        <w:rPr>
          <w:color w:val="000000"/>
          <w:szCs w:val="18"/>
        </w:rPr>
        <w:t xml:space="preserve">tif et la présidence, et les manipulations voir : Karine Prémont,  </w:t>
      </w:r>
      <w:r w:rsidRPr="00EC50AF">
        <w:rPr>
          <w:i/>
          <w:color w:val="000000"/>
          <w:szCs w:val="18"/>
        </w:rPr>
        <w:t>« Les s</w:t>
      </w:r>
      <w:r w:rsidRPr="00EC50AF">
        <w:rPr>
          <w:i/>
          <w:color w:val="000000"/>
          <w:szCs w:val="18"/>
        </w:rPr>
        <w:t>e</w:t>
      </w:r>
      <w:r w:rsidRPr="00EC50AF">
        <w:rPr>
          <w:i/>
          <w:color w:val="000000"/>
          <w:szCs w:val="18"/>
        </w:rPr>
        <w:t>crets de la Maison Blanche, l’impact des fuites d’informations confide</w:t>
      </w:r>
      <w:r w:rsidRPr="00EC50AF">
        <w:rPr>
          <w:i/>
          <w:color w:val="000000"/>
          <w:szCs w:val="18"/>
        </w:rPr>
        <w:t>n</w:t>
      </w:r>
      <w:r w:rsidRPr="00EC50AF">
        <w:rPr>
          <w:i/>
          <w:color w:val="000000"/>
          <w:szCs w:val="18"/>
        </w:rPr>
        <w:t xml:space="preserve">tielles sur la politique étrangère des </w:t>
      </w:r>
      <w:r>
        <w:rPr>
          <w:i/>
          <w:color w:val="000000"/>
          <w:szCs w:val="18"/>
        </w:rPr>
        <w:t>État</w:t>
      </w:r>
      <w:r w:rsidRPr="00EC50AF">
        <w:rPr>
          <w:i/>
          <w:color w:val="000000"/>
          <w:szCs w:val="18"/>
        </w:rPr>
        <w:t>s-Unis</w:t>
      </w:r>
      <w:r w:rsidRPr="00EC50AF">
        <w:rPr>
          <w:color w:val="000000"/>
          <w:szCs w:val="18"/>
        </w:rPr>
        <w:t> », Presse de l’Université du Qu</w:t>
      </w:r>
      <w:r w:rsidRPr="00EC50AF">
        <w:rPr>
          <w:color w:val="000000"/>
          <w:szCs w:val="18"/>
        </w:rPr>
        <w:t>é</w:t>
      </w:r>
      <w:r w:rsidRPr="00EC50AF">
        <w:rPr>
          <w:color w:val="000000"/>
          <w:szCs w:val="18"/>
        </w:rPr>
        <w:t>bec, 2012. On peut déplorer que nombres d’ouvrages en langues anglaises forts intére</w:t>
      </w:r>
      <w:r w:rsidRPr="00EC50AF">
        <w:rPr>
          <w:color w:val="000000"/>
          <w:szCs w:val="18"/>
        </w:rPr>
        <w:t>s</w:t>
      </w:r>
      <w:r w:rsidRPr="00EC50AF">
        <w:rPr>
          <w:color w:val="000000"/>
          <w:szCs w:val="18"/>
        </w:rPr>
        <w:t xml:space="preserve">sants ont été publiés aux </w:t>
      </w:r>
      <w:r>
        <w:rPr>
          <w:color w:val="000000"/>
          <w:szCs w:val="18"/>
        </w:rPr>
        <w:t>État</w:t>
      </w:r>
      <w:r w:rsidRPr="00EC50AF">
        <w:rPr>
          <w:color w:val="000000"/>
          <w:szCs w:val="18"/>
        </w:rPr>
        <w:t xml:space="preserve">s-Unis tant sur les relations Nixon-Kissinger, que sur  le Watergate,  sans qu’éditeurs (ou chercheurs) croient bon de les traduire alors que nos universitaires sans servent copieusement…Exemple </w:t>
      </w:r>
      <w:r w:rsidRPr="00EC50AF">
        <w:rPr>
          <w:i/>
          <w:color w:val="000000"/>
          <w:szCs w:val="18"/>
        </w:rPr>
        <w:t>emblémat</w:t>
      </w:r>
      <w:r w:rsidRPr="00EC50AF">
        <w:rPr>
          <w:i/>
          <w:color w:val="000000"/>
          <w:szCs w:val="18"/>
        </w:rPr>
        <w:t>i</w:t>
      </w:r>
      <w:r w:rsidRPr="00EC50AF">
        <w:rPr>
          <w:i/>
          <w:color w:val="000000"/>
          <w:szCs w:val="18"/>
        </w:rPr>
        <w:t xml:space="preserve">que </w:t>
      </w:r>
      <w:r w:rsidRPr="00EC50AF">
        <w:rPr>
          <w:color w:val="000000"/>
          <w:szCs w:val="18"/>
        </w:rPr>
        <w:t>de cet état d’esprit hexagonal : on a préféré publier la biographie de Ki</w:t>
      </w:r>
      <w:r w:rsidRPr="00EC50AF">
        <w:rPr>
          <w:color w:val="000000"/>
          <w:szCs w:val="18"/>
        </w:rPr>
        <w:t>s</w:t>
      </w:r>
      <w:r w:rsidRPr="00EC50AF">
        <w:rPr>
          <w:color w:val="000000"/>
          <w:szCs w:val="18"/>
        </w:rPr>
        <w:t>singer du français C. Zorgbibe plutôt que le «  Kissinger » de Walter Isaacson, (ou le livre de Nial Fe</w:t>
      </w:r>
      <w:r w:rsidRPr="00EC50AF">
        <w:rPr>
          <w:color w:val="000000"/>
          <w:szCs w:val="18"/>
        </w:rPr>
        <w:t>r</w:t>
      </w:r>
      <w:r w:rsidRPr="00EC50AF">
        <w:rPr>
          <w:color w:val="000000"/>
          <w:szCs w:val="18"/>
        </w:rPr>
        <w:t>guson -2016)….</w:t>
      </w:r>
    </w:p>
  </w:footnote>
  <w:footnote w:id="286">
    <w:p w14:paraId="63A5BADA" w14:textId="77777777" w:rsidR="00B01930" w:rsidRDefault="00B01930">
      <w:pPr>
        <w:pStyle w:val="Notedebasdepage"/>
      </w:pPr>
      <w:r>
        <w:rPr>
          <w:rStyle w:val="Appelnotedebasdep"/>
        </w:rPr>
        <w:footnoteRef/>
      </w:r>
      <w:r>
        <w:t xml:space="preserve"> </w:t>
      </w:r>
      <w:r>
        <w:tab/>
      </w:r>
      <w:r w:rsidRPr="00EC50AF">
        <w:rPr>
          <w:color w:val="000000"/>
          <w:szCs w:val="18"/>
        </w:rPr>
        <w:t>Ce schéma est le fruit de nos réflexions et lectures sur le thème de l’idéologie mais au prisme de la lecture martrienne ; il n’a jamais été soumis à Jean-Louis Martres, lequel à la page 740 de son ouvrage présente toutefois une illustr</w:t>
      </w:r>
      <w:r w:rsidRPr="00EC50AF">
        <w:rPr>
          <w:color w:val="000000"/>
          <w:szCs w:val="18"/>
        </w:rPr>
        <w:t>a</w:t>
      </w:r>
      <w:r w:rsidRPr="00EC50AF">
        <w:rPr>
          <w:color w:val="000000"/>
          <w:szCs w:val="18"/>
        </w:rPr>
        <w:t>tion différente et simplifiée de son pr</w:t>
      </w:r>
      <w:r w:rsidRPr="00EC50AF">
        <w:rPr>
          <w:color w:val="000000"/>
          <w:szCs w:val="18"/>
        </w:rPr>
        <w:t>o</w:t>
      </w:r>
      <w:r w:rsidRPr="00EC50AF">
        <w:rPr>
          <w:color w:val="000000"/>
          <w:szCs w:val="18"/>
        </w:rPr>
        <w:t xml:space="preserve">pos. </w:t>
      </w:r>
    </w:p>
  </w:footnote>
  <w:footnote w:id="287">
    <w:p w14:paraId="67FE2737"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w:t>
      </w:r>
      <w:r w:rsidRPr="00EC50AF">
        <w:rPr>
          <w:i/>
          <w:color w:val="000000"/>
          <w:szCs w:val="18"/>
        </w:rPr>
        <w:t xml:space="preserve"> </w:t>
      </w:r>
      <w:r w:rsidRPr="00EC50AF">
        <w:rPr>
          <w:color w:val="000000"/>
          <w:szCs w:val="18"/>
        </w:rPr>
        <w:t>p. 798.</w:t>
      </w:r>
    </w:p>
  </w:footnote>
  <w:footnote w:id="288">
    <w:p w14:paraId="1C336A02" w14:textId="77777777" w:rsidR="00B01930" w:rsidRDefault="00B01930">
      <w:pPr>
        <w:pStyle w:val="Notedebasdepage"/>
      </w:pPr>
      <w:r>
        <w:rPr>
          <w:rStyle w:val="Appelnotedebasdep"/>
        </w:rPr>
        <w:footnoteRef/>
      </w:r>
      <w:r>
        <w:t xml:space="preserve"> </w:t>
      </w:r>
      <w:r>
        <w:tab/>
      </w:r>
      <w:r w:rsidRPr="00EC50AF">
        <w:rPr>
          <w:color w:val="000000"/>
          <w:szCs w:val="18"/>
        </w:rPr>
        <w:t>Notons toutefois que le Vatican mettra un terme de façon brutale (Pie</w:t>
      </w:r>
      <w:r>
        <w:rPr>
          <w:color w:val="000000"/>
          <w:szCs w:val="18"/>
        </w:rPr>
        <w:t> </w:t>
      </w:r>
      <w:r w:rsidRPr="00EC50AF">
        <w:rPr>
          <w:color w:val="000000"/>
          <w:szCs w:val="18"/>
        </w:rPr>
        <w:t>XII, 1954) à l’expérience des prêtres ouvriers qui connut sa plus forte poussée à la fin de la Seconde Guerre mondiale.</w:t>
      </w:r>
    </w:p>
  </w:footnote>
  <w:footnote w:id="289">
    <w:p w14:paraId="7B76A052" w14:textId="77777777" w:rsidR="00B01930" w:rsidRDefault="00B01930">
      <w:pPr>
        <w:pStyle w:val="Notedebasdepage"/>
      </w:pPr>
      <w:r>
        <w:rPr>
          <w:rStyle w:val="Appelnotedebasdep"/>
        </w:rPr>
        <w:footnoteRef/>
      </w:r>
      <w:r>
        <w:t xml:space="preserve"> </w:t>
      </w:r>
      <w:r>
        <w:tab/>
      </w:r>
      <w:r w:rsidRPr="00EC50AF">
        <w:rPr>
          <w:color w:val="000000"/>
          <w:szCs w:val="18"/>
        </w:rPr>
        <w:t>Comme l’écrit Jean-Jacques Chevallier : « [le néo-catholicisme de Lamennais, Montalembert, Ozanam] entendait capter au profit de l’Église les forces ne</w:t>
      </w:r>
      <w:r w:rsidRPr="00EC50AF">
        <w:rPr>
          <w:color w:val="000000"/>
          <w:szCs w:val="18"/>
        </w:rPr>
        <w:t>u</w:t>
      </w:r>
      <w:r w:rsidRPr="00EC50AF">
        <w:rPr>
          <w:color w:val="000000"/>
          <w:szCs w:val="18"/>
        </w:rPr>
        <w:t>ves issues de 1789, en me</w:t>
      </w:r>
      <w:r w:rsidRPr="00EC50AF">
        <w:rPr>
          <w:color w:val="000000"/>
          <w:szCs w:val="18"/>
        </w:rPr>
        <w:t>t</w:t>
      </w:r>
      <w:r w:rsidRPr="00EC50AF">
        <w:rPr>
          <w:color w:val="000000"/>
          <w:szCs w:val="18"/>
        </w:rPr>
        <w:t>tant l’accent sur la liberté de l’enseignement</w:t>
      </w:r>
      <w:r w:rsidRPr="00EC50AF">
        <w:rPr>
          <w:i/>
          <w:color w:val="000000"/>
          <w:szCs w:val="18"/>
        </w:rPr>
        <w:t xml:space="preserve"> </w:t>
      </w:r>
      <w:r w:rsidRPr="00EC50AF">
        <w:rPr>
          <w:color w:val="000000"/>
          <w:szCs w:val="18"/>
        </w:rPr>
        <w:t>(car seule cette liberté permettrait de reconstruire dans les jeunes âmes un vigo</w:t>
      </w:r>
      <w:r w:rsidRPr="00EC50AF">
        <w:rPr>
          <w:color w:val="000000"/>
          <w:szCs w:val="18"/>
        </w:rPr>
        <w:t>u</w:t>
      </w:r>
      <w:r w:rsidRPr="00EC50AF">
        <w:rPr>
          <w:color w:val="000000"/>
          <w:szCs w:val="18"/>
        </w:rPr>
        <w:t xml:space="preserve">reux édifice d’idées chrétiennes adaptées à l’époque). » </w:t>
      </w:r>
      <w:r w:rsidRPr="00EC50AF">
        <w:rPr>
          <w:i/>
          <w:color w:val="000000"/>
          <w:szCs w:val="18"/>
        </w:rPr>
        <w:t>Histoire des Instit</w:t>
      </w:r>
      <w:r w:rsidRPr="00EC50AF">
        <w:rPr>
          <w:i/>
          <w:color w:val="000000"/>
          <w:szCs w:val="18"/>
        </w:rPr>
        <w:t>u</w:t>
      </w:r>
      <w:r w:rsidRPr="00EC50AF">
        <w:rPr>
          <w:i/>
          <w:color w:val="000000"/>
          <w:szCs w:val="18"/>
        </w:rPr>
        <w:t>tions et des régimes politiques de La France, de</w:t>
      </w:r>
      <w:r w:rsidRPr="00EC50AF">
        <w:rPr>
          <w:color w:val="000000"/>
          <w:szCs w:val="18"/>
        </w:rPr>
        <w:t xml:space="preserve"> </w:t>
      </w:r>
      <w:r w:rsidRPr="00EC50AF">
        <w:rPr>
          <w:i/>
          <w:color w:val="000000"/>
          <w:szCs w:val="18"/>
        </w:rPr>
        <w:t>1789 à nos jours</w:t>
      </w:r>
      <w:r w:rsidRPr="00EC50AF">
        <w:rPr>
          <w:color w:val="000000"/>
          <w:szCs w:val="18"/>
        </w:rPr>
        <w:t>, Paris, Da</w:t>
      </w:r>
      <w:r w:rsidRPr="00EC50AF">
        <w:rPr>
          <w:color w:val="000000"/>
          <w:szCs w:val="18"/>
        </w:rPr>
        <w:t>l</w:t>
      </w:r>
      <w:r w:rsidRPr="00EC50AF">
        <w:rPr>
          <w:color w:val="000000"/>
          <w:szCs w:val="18"/>
        </w:rPr>
        <w:t>loz, 4</w:t>
      </w:r>
      <w:r w:rsidRPr="00EC50AF">
        <w:rPr>
          <w:color w:val="000000"/>
          <w:szCs w:val="18"/>
          <w:vertAlign w:val="superscript"/>
        </w:rPr>
        <w:t>e</w:t>
      </w:r>
      <w:r w:rsidRPr="00EC50AF">
        <w:rPr>
          <w:color w:val="000000"/>
          <w:szCs w:val="18"/>
        </w:rPr>
        <w:t xml:space="preserve"> éd., 1972, p. 201.</w:t>
      </w:r>
    </w:p>
  </w:footnote>
  <w:footnote w:id="290">
    <w:p w14:paraId="10F16294" w14:textId="77777777" w:rsidR="00B01930" w:rsidRDefault="00B01930">
      <w:pPr>
        <w:pStyle w:val="Notedebasdepage"/>
      </w:pPr>
      <w:r>
        <w:rPr>
          <w:rStyle w:val="Appelnotedebasdep"/>
        </w:rPr>
        <w:footnoteRef/>
      </w:r>
      <w:r>
        <w:t xml:space="preserve"> </w:t>
      </w:r>
      <w:r>
        <w:tab/>
      </w:r>
      <w:hyperlink r:id="rId15" w:history="1">
        <w:r w:rsidRPr="00662AE5">
          <w:rPr>
            <w:rStyle w:val="Hyperlien"/>
            <w:szCs w:val="18"/>
          </w:rPr>
          <w:t>http://www.saintbrieuc-treguier.catholique.fr/</w:t>
        </w:r>
      </w:hyperlink>
    </w:p>
  </w:footnote>
  <w:footnote w:id="291">
    <w:p w14:paraId="175F73C0" w14:textId="77777777" w:rsidR="00B01930" w:rsidRDefault="00B01930">
      <w:pPr>
        <w:pStyle w:val="Notedebasdepage"/>
      </w:pPr>
      <w:r>
        <w:rPr>
          <w:rStyle w:val="Appelnotedebasdep"/>
        </w:rPr>
        <w:footnoteRef/>
      </w:r>
      <w:r>
        <w:t xml:space="preserve"> </w:t>
      </w:r>
      <w:r>
        <w:tab/>
      </w:r>
      <w:r w:rsidRPr="00EC50AF">
        <w:rPr>
          <w:i/>
          <w:color w:val="000000"/>
          <w:szCs w:val="18"/>
        </w:rPr>
        <w:t>La Croix</w:t>
      </w:r>
      <w:r w:rsidRPr="00EC50AF">
        <w:rPr>
          <w:color w:val="000000"/>
          <w:szCs w:val="18"/>
        </w:rPr>
        <w:t>, 18 avril 2012, http://www.la-croix.com/Religion/Actualite/Les-lefebvristes.</w:t>
      </w:r>
    </w:p>
  </w:footnote>
  <w:footnote w:id="292">
    <w:p w14:paraId="43E85821" w14:textId="77777777" w:rsidR="00B01930" w:rsidRDefault="00B01930">
      <w:pPr>
        <w:pStyle w:val="Notedebasdepage"/>
      </w:pPr>
      <w:r>
        <w:rPr>
          <w:rStyle w:val="Appelnotedebasdep"/>
        </w:rPr>
        <w:footnoteRef/>
      </w:r>
      <w:r>
        <w:t xml:space="preserve"> </w:t>
      </w:r>
      <w:r>
        <w:tab/>
      </w:r>
      <w:r w:rsidRPr="00EC50AF">
        <w:rPr>
          <w:color w:val="000000"/>
          <w:szCs w:val="18"/>
        </w:rPr>
        <w:t xml:space="preserve">Jean-Christophe Rufin, </w:t>
      </w:r>
      <w:r w:rsidRPr="00EC50AF">
        <w:rPr>
          <w:i/>
          <w:color w:val="000000"/>
          <w:szCs w:val="18"/>
        </w:rPr>
        <w:t>L’Empire et les nouveaux barbares</w:t>
      </w:r>
      <w:r w:rsidRPr="00EC50AF">
        <w:rPr>
          <w:color w:val="000000"/>
          <w:szCs w:val="18"/>
        </w:rPr>
        <w:t>, Paris, J.C. Lattès, 1991, p. 92 et 109.</w:t>
      </w:r>
    </w:p>
  </w:footnote>
  <w:footnote w:id="293">
    <w:p w14:paraId="4389B97D"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 p. 798.</w:t>
      </w:r>
    </w:p>
  </w:footnote>
  <w:footnote w:id="294">
    <w:p w14:paraId="159DBF8A" w14:textId="77777777" w:rsidR="00B01930" w:rsidRDefault="00B01930">
      <w:pPr>
        <w:pStyle w:val="Notedebasdepage"/>
      </w:pPr>
      <w:r>
        <w:rPr>
          <w:rStyle w:val="Appelnotedebasdep"/>
        </w:rPr>
        <w:footnoteRef/>
      </w:r>
      <w:r>
        <w:t xml:space="preserve"> </w:t>
      </w:r>
      <w:r>
        <w:tab/>
      </w:r>
      <w:r w:rsidRPr="00EC50AF">
        <w:rPr>
          <w:color w:val="000000"/>
          <w:szCs w:val="18"/>
        </w:rPr>
        <w:t xml:space="preserve">Cf. </w:t>
      </w:r>
      <w:r w:rsidRPr="00EC50AF">
        <w:rPr>
          <w:i/>
          <w:color w:val="000000"/>
          <w:szCs w:val="18"/>
        </w:rPr>
        <w:t xml:space="preserve">supra </w:t>
      </w:r>
      <w:r w:rsidRPr="00EC50AF">
        <w:rPr>
          <w:color w:val="000000"/>
          <w:szCs w:val="18"/>
        </w:rPr>
        <w:t>note 2 : « Introduction critique… ».</w:t>
      </w:r>
    </w:p>
  </w:footnote>
  <w:footnote w:id="295">
    <w:p w14:paraId="5FC9BD6A" w14:textId="77777777" w:rsidR="00B01930" w:rsidRDefault="00B01930">
      <w:pPr>
        <w:pStyle w:val="Notedebasdepage"/>
      </w:pPr>
      <w:r>
        <w:rPr>
          <w:rStyle w:val="Appelnotedebasdep"/>
        </w:rPr>
        <w:footnoteRef/>
      </w:r>
      <w:r>
        <w:t xml:space="preserve"> </w:t>
      </w:r>
      <w:r>
        <w:tab/>
      </w:r>
      <w:r w:rsidRPr="00EC50AF">
        <w:rPr>
          <w:i/>
          <w:color w:val="000000"/>
          <w:szCs w:val="18"/>
        </w:rPr>
        <w:t>Ibidem</w:t>
      </w:r>
      <w:r w:rsidRPr="00EC50AF">
        <w:rPr>
          <w:color w:val="000000"/>
          <w:szCs w:val="18"/>
        </w:rPr>
        <w:t>.</w:t>
      </w:r>
    </w:p>
  </w:footnote>
  <w:footnote w:id="296">
    <w:p w14:paraId="597472C2"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w:t>
      </w:r>
      <w:r w:rsidRPr="00EC50AF">
        <w:rPr>
          <w:i/>
          <w:color w:val="000000"/>
          <w:szCs w:val="18"/>
        </w:rPr>
        <w:t xml:space="preserve"> </w:t>
      </w:r>
      <w:r w:rsidRPr="00EC50AF">
        <w:rPr>
          <w:color w:val="000000"/>
          <w:szCs w:val="18"/>
        </w:rPr>
        <w:t>p. 798.</w:t>
      </w:r>
    </w:p>
  </w:footnote>
  <w:footnote w:id="297">
    <w:p w14:paraId="636361DA" w14:textId="77777777" w:rsidR="00B01930" w:rsidRDefault="00B01930">
      <w:pPr>
        <w:pStyle w:val="Notedebasdepage"/>
      </w:pPr>
      <w:r>
        <w:rPr>
          <w:rStyle w:val="Appelnotedebasdep"/>
        </w:rPr>
        <w:footnoteRef/>
      </w:r>
      <w:r>
        <w:t xml:space="preserve"> </w:t>
      </w:r>
      <w:r>
        <w:tab/>
      </w:r>
      <w:r w:rsidRPr="00EC50AF">
        <w:rPr>
          <w:i/>
          <w:color w:val="000000"/>
          <w:szCs w:val="18"/>
        </w:rPr>
        <w:t>Les Grilles</w:t>
      </w:r>
      <w:r w:rsidRPr="00EC50AF">
        <w:rPr>
          <w:color w:val="000000"/>
          <w:szCs w:val="18"/>
        </w:rPr>
        <w:t>…, p. 809.</w:t>
      </w:r>
    </w:p>
  </w:footnote>
  <w:footnote w:id="298">
    <w:p w14:paraId="76ADDF2E" w14:textId="77777777" w:rsidR="00B01930" w:rsidRDefault="00B01930">
      <w:pPr>
        <w:pStyle w:val="Notedebasdepage"/>
      </w:pPr>
      <w:r>
        <w:rPr>
          <w:rStyle w:val="Appelnotedebasdep"/>
        </w:rPr>
        <w:footnoteRef/>
      </w:r>
      <w:r>
        <w:t xml:space="preserve"> </w:t>
      </w:r>
      <w:r>
        <w:tab/>
      </w:r>
      <w:r w:rsidRPr="00EC50AF">
        <w:rPr>
          <w:i/>
          <w:color w:val="000000"/>
          <w:szCs w:val="18"/>
        </w:rPr>
        <w:t>Ibidem</w:t>
      </w:r>
      <w:r w:rsidRPr="00EC50AF">
        <w:rPr>
          <w:color w:val="000000"/>
          <w:szCs w:val="18"/>
        </w:rPr>
        <w:t>, p. 603.</w:t>
      </w:r>
    </w:p>
  </w:footnote>
  <w:footnote w:id="299">
    <w:p w14:paraId="0757D2A3"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564.</w:t>
      </w:r>
    </w:p>
  </w:footnote>
  <w:footnote w:id="300">
    <w:p w14:paraId="4F38727C" w14:textId="77777777" w:rsidR="00B01930" w:rsidRDefault="00B01930">
      <w:pPr>
        <w:pStyle w:val="Notedebasdepage"/>
      </w:pPr>
      <w:r>
        <w:rPr>
          <w:rStyle w:val="Appelnotedebasdep"/>
        </w:rPr>
        <w:footnoteRef/>
      </w:r>
      <w:r>
        <w:t xml:space="preserve"> </w:t>
      </w:r>
      <w:r>
        <w:tab/>
      </w:r>
      <w:r w:rsidRPr="00EC50AF">
        <w:rPr>
          <w:i/>
          <w:color w:val="000000"/>
          <w:szCs w:val="18"/>
        </w:rPr>
        <w:t>Ibid.</w:t>
      </w:r>
    </w:p>
  </w:footnote>
  <w:footnote w:id="301">
    <w:p w14:paraId="438CCC86"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564.</w:t>
      </w:r>
    </w:p>
  </w:footnote>
  <w:footnote w:id="302">
    <w:p w14:paraId="0B8F037B" w14:textId="77777777" w:rsidR="00B01930" w:rsidRDefault="00B01930">
      <w:pPr>
        <w:pStyle w:val="Notedebasdepage"/>
      </w:pPr>
      <w:r>
        <w:rPr>
          <w:rStyle w:val="Appelnotedebasdep"/>
        </w:rPr>
        <w:footnoteRef/>
      </w:r>
      <w:r>
        <w:t xml:space="preserve"> </w:t>
      </w:r>
      <w:r>
        <w:tab/>
      </w:r>
      <w:r w:rsidRPr="00EC50AF">
        <w:rPr>
          <w:color w:val="000000"/>
          <w:szCs w:val="18"/>
        </w:rPr>
        <w:t>Au point même d’avoir donné lieu à la création en 2004 d’une « Fondation pour l’innovation politique » (Fondapol) qui se veut « Un think tank libéral, progressi</w:t>
      </w:r>
      <w:r w:rsidRPr="00EC50AF">
        <w:rPr>
          <w:color w:val="000000"/>
          <w:szCs w:val="18"/>
        </w:rPr>
        <w:t>s</w:t>
      </w:r>
      <w:r w:rsidRPr="00EC50AF">
        <w:rPr>
          <w:color w:val="000000"/>
          <w:szCs w:val="18"/>
        </w:rPr>
        <w:t>te et européen », et dont on cherche en quoi, lorsqu’on s</w:t>
      </w:r>
      <w:r w:rsidRPr="00EC50AF">
        <w:rPr>
          <w:bCs/>
          <w:color w:val="000000"/>
          <w:szCs w:val="18"/>
        </w:rPr>
        <w:t xml:space="preserve">e reporte à sa campagne électorale, </w:t>
      </w:r>
      <w:r w:rsidRPr="00EC50AF">
        <w:rPr>
          <w:color w:val="000000"/>
          <w:szCs w:val="18"/>
        </w:rPr>
        <w:t>le directeur général, M. Dominique Reynié, profe</w:t>
      </w:r>
      <w:r w:rsidRPr="00EC50AF">
        <w:rPr>
          <w:color w:val="000000"/>
          <w:szCs w:val="18"/>
        </w:rPr>
        <w:t>s</w:t>
      </w:r>
      <w:r w:rsidRPr="00EC50AF">
        <w:rPr>
          <w:color w:val="000000"/>
          <w:szCs w:val="18"/>
        </w:rPr>
        <w:t>seur à Scie</w:t>
      </w:r>
      <w:r w:rsidRPr="00EC50AF">
        <w:rPr>
          <w:color w:val="000000"/>
          <w:szCs w:val="18"/>
        </w:rPr>
        <w:t>n</w:t>
      </w:r>
      <w:r w:rsidRPr="00EC50AF">
        <w:rPr>
          <w:color w:val="000000"/>
          <w:szCs w:val="18"/>
        </w:rPr>
        <w:t>ces po. (Paris), habitué des émissions de télévision consacrées à l’actualité politique, aurait innové en termes de démarches, comportement p</w:t>
      </w:r>
      <w:r w:rsidRPr="00EC50AF">
        <w:rPr>
          <w:color w:val="000000"/>
          <w:szCs w:val="18"/>
        </w:rPr>
        <w:t>o</w:t>
      </w:r>
      <w:r w:rsidRPr="00EC50AF">
        <w:rPr>
          <w:color w:val="000000"/>
          <w:szCs w:val="18"/>
        </w:rPr>
        <w:t>litique et a</w:t>
      </w:r>
      <w:r w:rsidRPr="00EC50AF">
        <w:rPr>
          <w:color w:val="000000"/>
          <w:szCs w:val="18"/>
        </w:rPr>
        <w:t>c</w:t>
      </w:r>
      <w:r w:rsidRPr="00EC50AF">
        <w:rPr>
          <w:color w:val="000000"/>
          <w:szCs w:val="18"/>
        </w:rPr>
        <w:t xml:space="preserve">tions, lorsqu’il s’est présenté aux élections régionales de 2015 comme </w:t>
      </w:r>
      <w:r w:rsidRPr="00EC50AF">
        <w:rPr>
          <w:bCs/>
          <w:color w:val="000000"/>
          <w:szCs w:val="18"/>
        </w:rPr>
        <w:t>tête de liste Les Républ</w:t>
      </w:r>
      <w:r w:rsidRPr="00EC50AF">
        <w:rPr>
          <w:bCs/>
          <w:color w:val="000000"/>
          <w:szCs w:val="18"/>
        </w:rPr>
        <w:t>i</w:t>
      </w:r>
      <w:r w:rsidRPr="00EC50AF">
        <w:rPr>
          <w:bCs/>
          <w:color w:val="000000"/>
          <w:szCs w:val="18"/>
        </w:rPr>
        <w:t>cains-UDI en Midi-Pyrénées-Languedoc</w:t>
      </w:r>
      <w:r w:rsidRPr="00EC50AF">
        <w:rPr>
          <w:b/>
          <w:bCs/>
          <w:color w:val="000000"/>
          <w:szCs w:val="18"/>
        </w:rPr>
        <w:t>-</w:t>
      </w:r>
      <w:r w:rsidRPr="00EC50AF">
        <w:rPr>
          <w:bCs/>
          <w:color w:val="000000"/>
          <w:szCs w:val="18"/>
        </w:rPr>
        <w:t>Roussillon… (Notons que le Co</w:t>
      </w:r>
      <w:r w:rsidRPr="00EC50AF">
        <w:rPr>
          <w:bCs/>
          <w:color w:val="000000"/>
          <w:szCs w:val="18"/>
        </w:rPr>
        <w:t>n</w:t>
      </w:r>
      <w:r w:rsidRPr="00EC50AF">
        <w:rPr>
          <w:bCs/>
          <w:color w:val="000000"/>
          <w:szCs w:val="18"/>
        </w:rPr>
        <w:t>seil d’État a invalidé son élection le 27 mai 2016 aux motifs du non-respect des règles rel</w:t>
      </w:r>
      <w:r w:rsidRPr="00EC50AF">
        <w:rPr>
          <w:bCs/>
          <w:color w:val="000000"/>
          <w:szCs w:val="18"/>
        </w:rPr>
        <w:t>a</w:t>
      </w:r>
      <w:r w:rsidRPr="00EC50AF">
        <w:rPr>
          <w:bCs/>
          <w:color w:val="000000"/>
          <w:szCs w:val="18"/>
        </w:rPr>
        <w:t>tives à la domiciliation pour être éligible, donnant raison à ceux qui, même dans sa famille</w:t>
      </w:r>
      <w:r w:rsidRPr="00EC50AF">
        <w:rPr>
          <w:rFonts w:cs="Times"/>
          <w:bCs/>
          <w:color w:val="000000"/>
          <w:szCs w:val="18"/>
        </w:rPr>
        <w:t xml:space="preserve"> politique, d</w:t>
      </w:r>
      <w:r w:rsidRPr="00EC50AF">
        <w:rPr>
          <w:rFonts w:cs="Times"/>
          <w:bCs/>
          <w:color w:val="000000"/>
          <w:szCs w:val="18"/>
        </w:rPr>
        <w:t>é</w:t>
      </w:r>
      <w:r w:rsidRPr="00EC50AF">
        <w:rPr>
          <w:rFonts w:cs="Times"/>
          <w:bCs/>
          <w:color w:val="000000"/>
          <w:szCs w:val="18"/>
        </w:rPr>
        <w:t>nonçaient un « parachutage », c’est-à-dire une pratique on ne peut plus trad</w:t>
      </w:r>
      <w:r w:rsidRPr="00EC50AF">
        <w:rPr>
          <w:rFonts w:cs="Times"/>
          <w:bCs/>
          <w:color w:val="000000"/>
          <w:szCs w:val="18"/>
        </w:rPr>
        <w:t>i</w:t>
      </w:r>
      <w:r w:rsidRPr="00EC50AF">
        <w:rPr>
          <w:rFonts w:cs="Times"/>
          <w:bCs/>
          <w:color w:val="000000"/>
          <w:szCs w:val="18"/>
        </w:rPr>
        <w:t>tionnelle… Pour sa part, M. Reynié a parlé de « conjur</w:t>
      </w:r>
      <w:r w:rsidRPr="00EC50AF">
        <w:rPr>
          <w:rFonts w:cs="Times"/>
          <w:bCs/>
          <w:color w:val="000000"/>
          <w:szCs w:val="18"/>
        </w:rPr>
        <w:t>a</w:t>
      </w:r>
      <w:r w:rsidRPr="00EC50AF">
        <w:rPr>
          <w:rFonts w:cs="Times"/>
          <w:bCs/>
          <w:color w:val="000000"/>
          <w:szCs w:val="18"/>
        </w:rPr>
        <w:t xml:space="preserve">tion d’intrigants » – </w:t>
      </w:r>
      <w:r w:rsidRPr="00EC50AF">
        <w:rPr>
          <w:rFonts w:cs="Times"/>
          <w:bCs/>
          <w:i/>
          <w:color w:val="000000"/>
          <w:szCs w:val="18"/>
        </w:rPr>
        <w:t>La Dépêche</w:t>
      </w:r>
      <w:r w:rsidRPr="00EC50AF">
        <w:rPr>
          <w:rFonts w:cs="Times"/>
          <w:bCs/>
          <w:color w:val="000000"/>
          <w:szCs w:val="18"/>
        </w:rPr>
        <w:t>, 6 juin 2016 – grand classique également de la lutte politique).</w:t>
      </w:r>
    </w:p>
  </w:footnote>
  <w:footnote w:id="303">
    <w:p w14:paraId="08852E26" w14:textId="77777777" w:rsidR="00B01930" w:rsidRDefault="00B01930">
      <w:pPr>
        <w:pStyle w:val="Notedebasdepage"/>
      </w:pPr>
      <w:r>
        <w:rPr>
          <w:rStyle w:val="Appelnotedebasdep"/>
        </w:rPr>
        <w:footnoteRef/>
      </w:r>
      <w:r>
        <w:t xml:space="preserve"> </w:t>
      </w:r>
      <w:r>
        <w:tab/>
      </w:r>
      <w:r w:rsidRPr="00EC50AF">
        <w:rPr>
          <w:color w:val="000000"/>
          <w:szCs w:val="18"/>
        </w:rPr>
        <w:t xml:space="preserve">Julien Freund, </w:t>
      </w:r>
      <w:r w:rsidRPr="00EC50AF">
        <w:rPr>
          <w:i/>
          <w:color w:val="000000"/>
          <w:szCs w:val="18"/>
        </w:rPr>
        <w:t>Pareto</w:t>
      </w:r>
      <w:r w:rsidRPr="00EC50AF">
        <w:rPr>
          <w:color w:val="000000"/>
          <w:szCs w:val="18"/>
        </w:rPr>
        <w:t>, Paris, Seghers, 1974, p. 177.</w:t>
      </w:r>
    </w:p>
  </w:footnote>
  <w:footnote w:id="304">
    <w:p w14:paraId="78481E93" w14:textId="77777777" w:rsidR="00B01930" w:rsidRDefault="00B01930">
      <w:pPr>
        <w:pStyle w:val="Notedebasdepage"/>
      </w:pPr>
      <w:r>
        <w:rPr>
          <w:rStyle w:val="Appelnotedebasdep"/>
        </w:rPr>
        <w:footnoteRef/>
      </w:r>
      <w:r>
        <w:t xml:space="preserve"> </w:t>
      </w:r>
      <w:r>
        <w:tab/>
      </w:r>
      <w:r w:rsidRPr="00EC50AF">
        <w:rPr>
          <w:color w:val="000000"/>
          <w:szCs w:val="18"/>
        </w:rPr>
        <w:t xml:space="preserve">Ceci est une synthèse de notre mémoire, </w:t>
      </w:r>
      <w:r w:rsidRPr="00EC50AF">
        <w:rPr>
          <w:i/>
          <w:color w:val="000000"/>
          <w:szCs w:val="18"/>
        </w:rPr>
        <w:t>Essai d’interprétation de la pensée marxiste contemporaine, Louis Althusser</w:t>
      </w:r>
      <w:r w:rsidRPr="00EC50AF">
        <w:rPr>
          <w:color w:val="000000"/>
          <w:szCs w:val="18"/>
        </w:rPr>
        <w:t>, mémoire de DEA en science polit</w:t>
      </w:r>
      <w:r w:rsidRPr="00EC50AF">
        <w:rPr>
          <w:color w:val="000000"/>
          <w:szCs w:val="18"/>
        </w:rPr>
        <w:t>i</w:t>
      </w:r>
      <w:r w:rsidRPr="00EC50AF">
        <w:rPr>
          <w:color w:val="000000"/>
          <w:szCs w:val="18"/>
        </w:rPr>
        <w:t>que, Université de Bordeaux, 1974.</w:t>
      </w:r>
    </w:p>
  </w:footnote>
  <w:footnote w:id="305">
    <w:p w14:paraId="01C9E524" w14:textId="77777777" w:rsidR="00B01930" w:rsidRDefault="00B01930">
      <w:pPr>
        <w:pStyle w:val="Notedebasdepage"/>
      </w:pPr>
      <w:r>
        <w:rPr>
          <w:rStyle w:val="Appelnotedebasdep"/>
        </w:rPr>
        <w:footnoteRef/>
      </w:r>
      <w:r>
        <w:t xml:space="preserve"> </w:t>
      </w:r>
      <w:r>
        <w:tab/>
      </w:r>
      <w:r w:rsidRPr="00EC50AF">
        <w:rPr>
          <w:color w:val="000000"/>
          <w:szCs w:val="18"/>
        </w:rPr>
        <w:t xml:space="preserve">Qui étaient initialement </w:t>
      </w:r>
      <w:r w:rsidRPr="00EC50AF">
        <w:rPr>
          <w:rFonts w:cs="Verdana"/>
          <w:color w:val="000000"/>
          <w:szCs w:val="18"/>
        </w:rPr>
        <w:t>Alain Badiou, Étienne Balibar, Dominique L</w:t>
      </w:r>
      <w:r w:rsidRPr="00EC50AF">
        <w:rPr>
          <w:rFonts w:cs="Verdana"/>
          <w:color w:val="000000"/>
          <w:szCs w:val="18"/>
        </w:rPr>
        <w:t>e</w:t>
      </w:r>
      <w:r w:rsidRPr="00EC50AF">
        <w:rPr>
          <w:rFonts w:cs="Verdana"/>
          <w:color w:val="000000"/>
          <w:szCs w:val="18"/>
        </w:rPr>
        <w:t>court, Roger Establet, et Jacques Rancière, Pierre Macherey.</w:t>
      </w:r>
    </w:p>
  </w:footnote>
  <w:footnote w:id="306">
    <w:p w14:paraId="396853BF" w14:textId="77777777" w:rsidR="00B01930" w:rsidRDefault="00B01930">
      <w:pPr>
        <w:pStyle w:val="Notedebasdepage"/>
      </w:pPr>
      <w:r>
        <w:rPr>
          <w:rStyle w:val="Appelnotedebasdep"/>
        </w:rPr>
        <w:footnoteRef/>
      </w:r>
      <w:r>
        <w:t xml:space="preserve"> </w:t>
      </w:r>
      <w:r>
        <w:tab/>
      </w:r>
      <w:r w:rsidRPr="00EC50AF">
        <w:rPr>
          <w:i/>
          <w:color w:val="000000"/>
          <w:szCs w:val="18"/>
        </w:rPr>
        <w:t>Sur la philosophie</w:t>
      </w:r>
      <w:r w:rsidRPr="00EC50AF">
        <w:rPr>
          <w:color w:val="000000"/>
          <w:szCs w:val="18"/>
        </w:rPr>
        <w:t>, Paris, Gallimard, 1994.</w:t>
      </w:r>
    </w:p>
  </w:footnote>
  <w:footnote w:id="307">
    <w:p w14:paraId="72618CAB" w14:textId="77777777" w:rsidR="00B01930" w:rsidRDefault="00B01930">
      <w:pPr>
        <w:pStyle w:val="Notedebasdepage"/>
      </w:pPr>
      <w:r>
        <w:rPr>
          <w:rStyle w:val="Appelnotedebasdep"/>
        </w:rPr>
        <w:footnoteRef/>
      </w:r>
      <w:r>
        <w:t xml:space="preserve"> </w:t>
      </w:r>
      <w:r>
        <w:tab/>
      </w:r>
      <w:r w:rsidRPr="00EC50AF">
        <w:rPr>
          <w:color w:val="000000"/>
          <w:szCs w:val="18"/>
        </w:rPr>
        <w:t>Meurtre de sa femme Hélène Rytmann en 1980 ; il fut interné immédiatement en hôpital psychiatrique ; maniaco-dépressif depuis des décennies il fut reco</w:t>
      </w:r>
      <w:r w:rsidRPr="00EC50AF">
        <w:rPr>
          <w:color w:val="000000"/>
          <w:szCs w:val="18"/>
        </w:rPr>
        <w:t>n</w:t>
      </w:r>
      <w:r w:rsidRPr="00EC50AF">
        <w:rPr>
          <w:color w:val="000000"/>
          <w:szCs w:val="18"/>
        </w:rPr>
        <w:t>nu irresponsable, il n’y eut donc pas de procès et resta définitivement en hôp</w:t>
      </w:r>
      <w:r w:rsidRPr="00EC50AF">
        <w:rPr>
          <w:color w:val="000000"/>
          <w:szCs w:val="18"/>
        </w:rPr>
        <w:t>i</w:t>
      </w:r>
      <w:r w:rsidRPr="00EC50AF">
        <w:rPr>
          <w:color w:val="000000"/>
          <w:szCs w:val="18"/>
        </w:rPr>
        <w:t>tal. Il y mourut d’une crise cardiaque en 1990.</w:t>
      </w:r>
    </w:p>
  </w:footnote>
  <w:footnote w:id="308">
    <w:p w14:paraId="235E7B80" w14:textId="77777777" w:rsidR="00B01930" w:rsidRDefault="00B01930">
      <w:pPr>
        <w:pStyle w:val="Notedebasdepage"/>
      </w:pPr>
      <w:r>
        <w:rPr>
          <w:rStyle w:val="Appelnotedebasdep"/>
        </w:rPr>
        <w:footnoteRef/>
      </w:r>
      <w:r>
        <w:t xml:space="preserve"> </w:t>
      </w:r>
      <w:r>
        <w:tab/>
      </w:r>
      <w:r w:rsidRPr="00EC50AF">
        <w:rPr>
          <w:color w:val="000000"/>
          <w:szCs w:val="18"/>
        </w:rPr>
        <w:t xml:space="preserve">Catherine Clément, « Althusser, philosophe du dehors », </w:t>
      </w:r>
      <w:r w:rsidRPr="00EC50AF">
        <w:rPr>
          <w:i/>
          <w:color w:val="000000"/>
          <w:szCs w:val="18"/>
        </w:rPr>
        <w:t>Magazine litt</w:t>
      </w:r>
      <w:r w:rsidRPr="00EC50AF">
        <w:rPr>
          <w:i/>
          <w:color w:val="000000"/>
          <w:szCs w:val="18"/>
        </w:rPr>
        <w:t>é</w:t>
      </w:r>
      <w:r w:rsidRPr="00EC50AF">
        <w:rPr>
          <w:i/>
          <w:color w:val="000000"/>
          <w:szCs w:val="18"/>
        </w:rPr>
        <w:t>raire</w:t>
      </w:r>
      <w:r w:rsidRPr="00EC50AF">
        <w:rPr>
          <w:color w:val="000000"/>
          <w:szCs w:val="18"/>
        </w:rPr>
        <w:t>, juillet-août 94, n° 323, p. 96-97.</w:t>
      </w:r>
    </w:p>
  </w:footnote>
  <w:footnote w:id="309">
    <w:p w14:paraId="7AB4AF3E"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w:t>
      </w:r>
    </w:p>
  </w:footnote>
  <w:footnote w:id="310">
    <w:p w14:paraId="00B3E440" w14:textId="77777777" w:rsidR="00B01930" w:rsidRDefault="00B01930">
      <w:pPr>
        <w:pStyle w:val="Notedebasdepage"/>
      </w:pPr>
      <w:r>
        <w:rPr>
          <w:rStyle w:val="Appelnotedebasdep"/>
        </w:rPr>
        <w:footnoteRef/>
      </w:r>
      <w:r>
        <w:t xml:space="preserve"> </w:t>
      </w:r>
      <w:r>
        <w:tab/>
      </w:r>
      <w:r w:rsidRPr="00EC50AF">
        <w:rPr>
          <w:i/>
          <w:color w:val="000000"/>
          <w:szCs w:val="18"/>
        </w:rPr>
        <w:t>L’avenir dure longtemps</w:t>
      </w:r>
      <w:r w:rsidRPr="00EC50AF">
        <w:rPr>
          <w:color w:val="000000"/>
          <w:szCs w:val="18"/>
        </w:rPr>
        <w:t xml:space="preserve">, suivi de : </w:t>
      </w:r>
      <w:r w:rsidRPr="00EC50AF">
        <w:rPr>
          <w:i/>
          <w:color w:val="000000"/>
          <w:szCs w:val="18"/>
        </w:rPr>
        <w:t>Les faits</w:t>
      </w:r>
      <w:r w:rsidRPr="00EC50AF">
        <w:rPr>
          <w:color w:val="000000"/>
          <w:szCs w:val="18"/>
        </w:rPr>
        <w:t>, Paris, Stock-IMEC, 1992.</w:t>
      </w:r>
    </w:p>
  </w:footnote>
  <w:footnote w:id="311">
    <w:p w14:paraId="10480F25" w14:textId="77777777" w:rsidR="00B01930" w:rsidRDefault="00B01930">
      <w:pPr>
        <w:pStyle w:val="Notedebasdepage"/>
      </w:pPr>
      <w:r>
        <w:rPr>
          <w:rStyle w:val="Appelnotedebasdep"/>
        </w:rPr>
        <w:footnoteRef/>
      </w:r>
      <w:r>
        <w:t xml:space="preserve"> </w:t>
      </w:r>
      <w:r>
        <w:tab/>
      </w:r>
      <w:r w:rsidRPr="00EC50AF">
        <w:rPr>
          <w:color w:val="000000"/>
          <w:szCs w:val="18"/>
        </w:rPr>
        <w:t xml:space="preserve">Yann Moulier-Boutang, </w:t>
      </w:r>
      <w:r w:rsidRPr="00EC50AF">
        <w:rPr>
          <w:i/>
          <w:color w:val="000000"/>
          <w:szCs w:val="18"/>
        </w:rPr>
        <w:t>Louis Althusser (1918-1956</w:t>
      </w:r>
      <w:r w:rsidRPr="00EC50AF">
        <w:rPr>
          <w:color w:val="000000"/>
          <w:szCs w:val="18"/>
        </w:rPr>
        <w:t>) Tome1, Paris, Gra</w:t>
      </w:r>
      <w:r w:rsidRPr="00EC50AF">
        <w:rPr>
          <w:color w:val="000000"/>
          <w:szCs w:val="18"/>
        </w:rPr>
        <w:t>s</w:t>
      </w:r>
      <w:r w:rsidRPr="00EC50AF">
        <w:rPr>
          <w:color w:val="000000"/>
          <w:szCs w:val="18"/>
        </w:rPr>
        <w:t>set, 1992.</w:t>
      </w:r>
    </w:p>
  </w:footnote>
  <w:footnote w:id="312">
    <w:p w14:paraId="3779B225" w14:textId="77777777" w:rsidR="00B01930" w:rsidRDefault="00B01930">
      <w:pPr>
        <w:pStyle w:val="Notedebasdepage"/>
      </w:pPr>
      <w:r>
        <w:rPr>
          <w:rStyle w:val="Appelnotedebasdep"/>
        </w:rPr>
        <w:footnoteRef/>
      </w:r>
      <w:r>
        <w:t xml:space="preserve"> </w:t>
      </w:r>
      <w:r>
        <w:tab/>
      </w:r>
      <w:r w:rsidRPr="00EC50AF">
        <w:rPr>
          <w:color w:val="000000"/>
          <w:szCs w:val="18"/>
        </w:rPr>
        <w:t xml:space="preserve">Didier Eribon, « La folie d’Althusser », </w:t>
      </w:r>
      <w:r w:rsidRPr="00EC50AF">
        <w:rPr>
          <w:i/>
          <w:color w:val="000000"/>
          <w:szCs w:val="18"/>
        </w:rPr>
        <w:t>Le Nouvel Observateur</w:t>
      </w:r>
      <w:r w:rsidRPr="00EC50AF">
        <w:rPr>
          <w:color w:val="000000"/>
          <w:szCs w:val="18"/>
        </w:rPr>
        <w:t>, 23/29 avril 1992.</w:t>
      </w:r>
    </w:p>
  </w:footnote>
  <w:footnote w:id="313">
    <w:p w14:paraId="52B40128" w14:textId="77777777" w:rsidR="00B01930" w:rsidRDefault="00B01930">
      <w:pPr>
        <w:pStyle w:val="Notedebasdepage"/>
      </w:pPr>
      <w:r>
        <w:rPr>
          <w:rStyle w:val="Appelnotedebasdep"/>
        </w:rPr>
        <w:footnoteRef/>
      </w:r>
      <w:r>
        <w:t xml:space="preserve"> </w:t>
      </w:r>
      <w:r>
        <w:tab/>
      </w:r>
      <w:r w:rsidRPr="00EC50AF">
        <w:rPr>
          <w:color w:val="000000"/>
          <w:szCs w:val="18"/>
        </w:rPr>
        <w:t>Sous les auspices de l’Institut Mémoires de l’Edition Contemporaine (IMEC).</w:t>
      </w:r>
    </w:p>
  </w:footnote>
  <w:footnote w:id="314">
    <w:p w14:paraId="5E9D373E" w14:textId="77777777" w:rsidR="00B01930" w:rsidRDefault="00B01930">
      <w:pPr>
        <w:pStyle w:val="Notedebasdepage"/>
      </w:pPr>
      <w:r>
        <w:rPr>
          <w:rStyle w:val="Appelnotedebasdep"/>
        </w:rPr>
        <w:footnoteRef/>
      </w:r>
      <w:r>
        <w:t xml:space="preserve"> </w:t>
      </w:r>
      <w:r>
        <w:tab/>
      </w:r>
      <w:r w:rsidRPr="00EC50AF">
        <w:rPr>
          <w:color w:val="000000"/>
          <w:szCs w:val="18"/>
        </w:rPr>
        <w:t>Les morts d’Althusser, M. Contat/le fou et le philosophe, Roger-Pol Droit/Un héritage intelle</w:t>
      </w:r>
      <w:r w:rsidRPr="00EC50AF">
        <w:rPr>
          <w:color w:val="000000"/>
          <w:szCs w:val="18"/>
        </w:rPr>
        <w:t>c</w:t>
      </w:r>
      <w:r w:rsidRPr="00EC50AF">
        <w:rPr>
          <w:color w:val="000000"/>
          <w:szCs w:val="18"/>
        </w:rPr>
        <w:t xml:space="preserve">tuel, entretien avec F. Bodaert », </w:t>
      </w:r>
      <w:r w:rsidRPr="00EC50AF">
        <w:rPr>
          <w:i/>
          <w:color w:val="000000"/>
          <w:szCs w:val="18"/>
        </w:rPr>
        <w:t>Le Monde</w:t>
      </w:r>
      <w:r w:rsidRPr="00EC50AF">
        <w:rPr>
          <w:color w:val="000000"/>
          <w:szCs w:val="18"/>
        </w:rPr>
        <w:t>, 24 avril 1992 ; « Louis Althusser, portrait d’un co</w:t>
      </w:r>
      <w:r w:rsidRPr="00EC50AF">
        <w:rPr>
          <w:color w:val="000000"/>
          <w:szCs w:val="18"/>
        </w:rPr>
        <w:t>m</w:t>
      </w:r>
      <w:r w:rsidRPr="00EC50AF">
        <w:rPr>
          <w:color w:val="000000"/>
          <w:szCs w:val="18"/>
        </w:rPr>
        <w:t>muniste de l’ombre »</w:t>
      </w:r>
      <w:r w:rsidRPr="00EC50AF">
        <w:rPr>
          <w:i/>
          <w:color w:val="000000"/>
          <w:szCs w:val="18"/>
        </w:rPr>
        <w:t>, L’événement du Jeudi</w:t>
      </w:r>
      <w:r w:rsidRPr="00EC50AF">
        <w:rPr>
          <w:color w:val="000000"/>
          <w:szCs w:val="18"/>
        </w:rPr>
        <w:t>, 23/29 avril 1992 ; « Une vie brisée par lui-même, L. Laveggi / Althu</w:t>
      </w:r>
      <w:r w:rsidRPr="00EC50AF">
        <w:rPr>
          <w:color w:val="000000"/>
          <w:szCs w:val="18"/>
        </w:rPr>
        <w:t>s</w:t>
      </w:r>
      <w:r w:rsidRPr="00EC50AF">
        <w:rPr>
          <w:color w:val="000000"/>
          <w:szCs w:val="18"/>
        </w:rPr>
        <w:t xml:space="preserve">ser tel que je l’ai connu », J. Guitton, </w:t>
      </w:r>
      <w:r w:rsidRPr="00EC50AF">
        <w:rPr>
          <w:i/>
          <w:color w:val="000000"/>
          <w:szCs w:val="18"/>
        </w:rPr>
        <w:t>Le Figaro Littéraire</w:t>
      </w:r>
      <w:r w:rsidRPr="00EC50AF">
        <w:rPr>
          <w:color w:val="000000"/>
          <w:szCs w:val="18"/>
        </w:rPr>
        <w:t xml:space="preserve">, 27 avril 1992 ; R. Magiorri, « L’enfer d’Althusser », </w:t>
      </w:r>
      <w:r w:rsidRPr="00EC50AF">
        <w:rPr>
          <w:i/>
          <w:color w:val="000000"/>
          <w:szCs w:val="18"/>
        </w:rPr>
        <w:t>Libération</w:t>
      </w:r>
      <w:r w:rsidRPr="00EC50AF">
        <w:rPr>
          <w:color w:val="000000"/>
          <w:szCs w:val="18"/>
        </w:rPr>
        <w:t>, 27 avril 1992 ; « Althusser, ne plus se raconter d’histoires, A. Sapir / Un livre de souffrance, J. P. Léonard</w:t>
      </w:r>
      <w:r w:rsidRPr="00EC50AF">
        <w:rPr>
          <w:color w:val="000000"/>
          <w:szCs w:val="18"/>
        </w:rPr>
        <w:t>i</w:t>
      </w:r>
      <w:r w:rsidRPr="00EC50AF">
        <w:rPr>
          <w:color w:val="000000"/>
          <w:szCs w:val="18"/>
        </w:rPr>
        <w:t xml:space="preserve">ni » – </w:t>
      </w:r>
      <w:r w:rsidRPr="00EC50AF">
        <w:rPr>
          <w:i/>
          <w:color w:val="000000"/>
          <w:szCs w:val="18"/>
        </w:rPr>
        <w:t>L’Humanité</w:t>
      </w:r>
      <w:r w:rsidRPr="00EC50AF">
        <w:rPr>
          <w:color w:val="000000"/>
          <w:szCs w:val="18"/>
        </w:rPr>
        <w:t xml:space="preserve">, 28 avril 1992 ; « La folie d’Althusser », </w:t>
      </w:r>
      <w:r w:rsidRPr="00EC50AF">
        <w:rPr>
          <w:i/>
          <w:color w:val="000000"/>
          <w:szCs w:val="18"/>
        </w:rPr>
        <w:t>op. cit.</w:t>
      </w:r>
      <w:r w:rsidRPr="00EC50AF">
        <w:rPr>
          <w:color w:val="000000"/>
          <w:szCs w:val="18"/>
        </w:rPr>
        <w:t xml:space="preserve"> ; « Louis Althusser », </w:t>
      </w:r>
      <w:r w:rsidRPr="00EC50AF">
        <w:rPr>
          <w:i/>
          <w:color w:val="000000"/>
          <w:szCs w:val="18"/>
        </w:rPr>
        <w:t>Le Mag</w:t>
      </w:r>
      <w:r w:rsidRPr="00EC50AF">
        <w:rPr>
          <w:i/>
          <w:color w:val="000000"/>
          <w:szCs w:val="18"/>
        </w:rPr>
        <w:t>a</w:t>
      </w:r>
      <w:r w:rsidRPr="00EC50AF">
        <w:rPr>
          <w:i/>
          <w:color w:val="000000"/>
          <w:szCs w:val="18"/>
        </w:rPr>
        <w:t>zine Littéraire</w:t>
      </w:r>
      <w:r w:rsidRPr="00EC50AF">
        <w:rPr>
          <w:color w:val="000000"/>
          <w:szCs w:val="18"/>
        </w:rPr>
        <w:t>, 304, novembre 1992 ; FR3 télévision, magazine océaniques, 1</w:t>
      </w:r>
      <w:r w:rsidRPr="00EC50AF">
        <w:rPr>
          <w:color w:val="000000"/>
          <w:szCs w:val="18"/>
          <w:vertAlign w:val="superscript"/>
        </w:rPr>
        <w:t>er</w:t>
      </w:r>
      <w:r w:rsidRPr="00EC50AF">
        <w:rPr>
          <w:color w:val="000000"/>
          <w:szCs w:val="18"/>
        </w:rPr>
        <w:t xml:space="preserve"> et 5 juin 1992, deux émi</w:t>
      </w:r>
      <w:r w:rsidRPr="00EC50AF">
        <w:rPr>
          <w:color w:val="000000"/>
          <w:szCs w:val="18"/>
        </w:rPr>
        <w:t>s</w:t>
      </w:r>
      <w:r w:rsidRPr="00EC50AF">
        <w:rPr>
          <w:color w:val="000000"/>
          <w:szCs w:val="18"/>
        </w:rPr>
        <w:t>sions d’une heure.</w:t>
      </w:r>
    </w:p>
  </w:footnote>
  <w:footnote w:id="315">
    <w:p w14:paraId="505D2BF3" w14:textId="77777777" w:rsidR="00B01930" w:rsidRDefault="00B01930">
      <w:pPr>
        <w:pStyle w:val="Notedebasdepage"/>
      </w:pPr>
      <w:r>
        <w:rPr>
          <w:rStyle w:val="Appelnotedebasdep"/>
        </w:rPr>
        <w:footnoteRef/>
      </w:r>
      <w:r>
        <w:t xml:space="preserve"> </w:t>
      </w:r>
      <w:r>
        <w:tab/>
      </w:r>
      <w:r w:rsidRPr="00EC50AF">
        <w:rPr>
          <w:i/>
          <w:color w:val="000000"/>
          <w:szCs w:val="18"/>
        </w:rPr>
        <w:t>Lire le Capital</w:t>
      </w:r>
      <w:r w:rsidRPr="00EC50AF">
        <w:rPr>
          <w:color w:val="000000"/>
          <w:szCs w:val="18"/>
        </w:rPr>
        <w:t>, 1ere édition 1965, Paris, Maspero ; une édition revue et corr</w:t>
      </w:r>
      <w:r w:rsidRPr="00EC50AF">
        <w:rPr>
          <w:color w:val="000000"/>
          <w:szCs w:val="18"/>
        </w:rPr>
        <w:t>i</w:t>
      </w:r>
      <w:r w:rsidRPr="00EC50AF">
        <w:rPr>
          <w:color w:val="000000"/>
          <w:szCs w:val="18"/>
        </w:rPr>
        <w:t>gée fut publiée par l’éditeur Maspero en trois volumes en 1971.</w:t>
      </w:r>
    </w:p>
  </w:footnote>
  <w:footnote w:id="316">
    <w:p w14:paraId="216BEEBC" w14:textId="77777777" w:rsidR="00B01930" w:rsidRDefault="00B01930">
      <w:pPr>
        <w:pStyle w:val="Notedebasdepage"/>
      </w:pPr>
      <w:r>
        <w:rPr>
          <w:rStyle w:val="Appelnotedebasdep"/>
        </w:rPr>
        <w:footnoteRef/>
      </w:r>
      <w:r>
        <w:t xml:space="preserve"> </w:t>
      </w:r>
      <w:r>
        <w:tab/>
      </w:r>
      <w:r w:rsidRPr="00EC50AF">
        <w:rPr>
          <w:color w:val="000000"/>
          <w:szCs w:val="18"/>
        </w:rPr>
        <w:t xml:space="preserve">Raymond Aron, </w:t>
      </w:r>
      <w:r w:rsidRPr="00EC50AF">
        <w:rPr>
          <w:i/>
          <w:color w:val="000000"/>
          <w:szCs w:val="18"/>
        </w:rPr>
        <w:t>Marxismes imaginaires</w:t>
      </w:r>
      <w:r w:rsidRPr="00EC50AF">
        <w:rPr>
          <w:color w:val="000000"/>
          <w:szCs w:val="18"/>
        </w:rPr>
        <w:t>, Paris, Gallimard, éd.1970.</w:t>
      </w:r>
    </w:p>
  </w:footnote>
  <w:footnote w:id="317">
    <w:p w14:paraId="44B25386" w14:textId="77777777" w:rsidR="00B01930" w:rsidRDefault="00B01930">
      <w:pPr>
        <w:pStyle w:val="Notedebasdepage"/>
      </w:pPr>
      <w:r>
        <w:rPr>
          <w:rStyle w:val="Appelnotedebasdep"/>
        </w:rPr>
        <w:footnoteRef/>
      </w:r>
      <w:r>
        <w:t xml:space="preserve"> </w:t>
      </w:r>
      <w:r>
        <w:tab/>
      </w:r>
      <w:r w:rsidRPr="00EC50AF">
        <w:rPr>
          <w:i/>
          <w:color w:val="000000"/>
          <w:szCs w:val="18"/>
        </w:rPr>
        <w:t>Marxismes...,</w:t>
      </w:r>
      <w:r w:rsidRPr="00EC50AF">
        <w:rPr>
          <w:color w:val="000000"/>
          <w:szCs w:val="18"/>
        </w:rPr>
        <w:t xml:space="preserve"> </w:t>
      </w:r>
      <w:r w:rsidRPr="00EC50AF">
        <w:rPr>
          <w:i/>
          <w:color w:val="000000"/>
          <w:szCs w:val="18"/>
        </w:rPr>
        <w:t>op. cit.</w:t>
      </w:r>
      <w:r w:rsidRPr="00EC50AF">
        <w:rPr>
          <w:color w:val="000000"/>
          <w:szCs w:val="18"/>
        </w:rPr>
        <w:t>, p. 354.</w:t>
      </w:r>
    </w:p>
  </w:footnote>
  <w:footnote w:id="318">
    <w:p w14:paraId="083B227C" w14:textId="77777777" w:rsidR="00B01930" w:rsidRDefault="00B01930">
      <w:pPr>
        <w:pStyle w:val="Notedebasdepage"/>
      </w:pPr>
      <w:r>
        <w:rPr>
          <w:rStyle w:val="Appelnotedebasdep"/>
        </w:rPr>
        <w:footnoteRef/>
      </w:r>
      <w:r>
        <w:t xml:space="preserve"> </w:t>
      </w:r>
      <w:r>
        <w:tab/>
        <w:t xml:space="preserve">À </w:t>
      </w:r>
      <w:r w:rsidRPr="00EC50AF">
        <w:rPr>
          <w:color w:val="000000"/>
          <w:szCs w:val="18"/>
        </w:rPr>
        <w:t xml:space="preserve">l’exception de Luc Ferry, « Le naufrage d’Althusser », </w:t>
      </w:r>
      <w:r w:rsidRPr="00EC50AF">
        <w:rPr>
          <w:i/>
          <w:color w:val="000000"/>
          <w:szCs w:val="18"/>
        </w:rPr>
        <w:t>l’Express</w:t>
      </w:r>
      <w:r w:rsidRPr="00EC50AF">
        <w:rPr>
          <w:color w:val="000000"/>
          <w:szCs w:val="18"/>
        </w:rPr>
        <w:t>, 7 mai 1992, et d’autre part de l’article radicalement hostile de A. Leclerc, « Ces v</w:t>
      </w:r>
      <w:r w:rsidRPr="00EC50AF">
        <w:rPr>
          <w:color w:val="000000"/>
          <w:szCs w:val="18"/>
        </w:rPr>
        <w:t>é</w:t>
      </w:r>
      <w:r w:rsidRPr="00EC50AF">
        <w:rPr>
          <w:color w:val="000000"/>
          <w:szCs w:val="18"/>
        </w:rPr>
        <w:t>rités e</w:t>
      </w:r>
      <w:r w:rsidRPr="00EC50AF">
        <w:rPr>
          <w:color w:val="000000"/>
          <w:szCs w:val="18"/>
        </w:rPr>
        <w:t>n</w:t>
      </w:r>
      <w:r w:rsidRPr="00EC50AF">
        <w:rPr>
          <w:color w:val="000000"/>
          <w:szCs w:val="18"/>
        </w:rPr>
        <w:t xml:space="preserve">fouies dans les mains d’Hélène », </w:t>
      </w:r>
      <w:r w:rsidRPr="00EC50AF">
        <w:rPr>
          <w:i/>
          <w:color w:val="000000"/>
          <w:szCs w:val="18"/>
        </w:rPr>
        <w:t>Le Magazine Littéraire</w:t>
      </w:r>
      <w:r w:rsidRPr="00EC50AF">
        <w:rPr>
          <w:color w:val="000000"/>
          <w:szCs w:val="18"/>
        </w:rPr>
        <w:t>, novembre 1992.</w:t>
      </w:r>
    </w:p>
  </w:footnote>
  <w:footnote w:id="319">
    <w:p w14:paraId="5FA6AA9D" w14:textId="77777777" w:rsidR="00B01930" w:rsidRDefault="00B01930">
      <w:pPr>
        <w:pStyle w:val="Notedebasdepage"/>
      </w:pPr>
      <w:r>
        <w:rPr>
          <w:rStyle w:val="Appelnotedebasdep"/>
        </w:rPr>
        <w:footnoteRef/>
      </w:r>
      <w:r>
        <w:t xml:space="preserve"> </w:t>
      </w:r>
      <w:r>
        <w:tab/>
      </w:r>
      <w:r w:rsidRPr="00EC50AF">
        <w:rPr>
          <w:color w:val="000000"/>
          <w:szCs w:val="18"/>
        </w:rPr>
        <w:t xml:space="preserve">Selon la formule de Raymond Aron, </w:t>
      </w:r>
      <w:r w:rsidRPr="00EC50AF">
        <w:rPr>
          <w:i/>
          <w:color w:val="000000"/>
          <w:szCs w:val="18"/>
        </w:rPr>
        <w:t>Marxismes.</w:t>
      </w:r>
      <w:r w:rsidRPr="00EC50AF">
        <w:rPr>
          <w:color w:val="000000"/>
          <w:szCs w:val="18"/>
        </w:rPr>
        <w:t xml:space="preserve">.., </w:t>
      </w:r>
      <w:r w:rsidRPr="00EC50AF">
        <w:rPr>
          <w:i/>
          <w:color w:val="000000"/>
          <w:szCs w:val="18"/>
        </w:rPr>
        <w:t>op. cit.</w:t>
      </w:r>
    </w:p>
  </w:footnote>
  <w:footnote w:id="320">
    <w:p w14:paraId="17EC3263" w14:textId="77777777" w:rsidR="00B01930" w:rsidRDefault="00B01930">
      <w:pPr>
        <w:pStyle w:val="Notedebasdepage"/>
      </w:pPr>
      <w:r>
        <w:rPr>
          <w:rStyle w:val="Appelnotedebasdep"/>
        </w:rPr>
        <w:footnoteRef/>
      </w:r>
      <w:r>
        <w:t xml:space="preserve"> </w:t>
      </w:r>
      <w:r>
        <w:tab/>
      </w:r>
      <w:r w:rsidRPr="00EC50AF">
        <w:rPr>
          <w:color w:val="000000"/>
          <w:szCs w:val="18"/>
        </w:rPr>
        <w:t xml:space="preserve">A. Green, Analyse d’une vie tourmentée, </w:t>
      </w:r>
      <w:r w:rsidRPr="00EC50AF">
        <w:rPr>
          <w:i/>
          <w:color w:val="000000"/>
          <w:szCs w:val="18"/>
        </w:rPr>
        <w:t>Magazine Littéraire</w:t>
      </w:r>
      <w:r w:rsidRPr="00EC50AF">
        <w:rPr>
          <w:color w:val="000000"/>
          <w:szCs w:val="18"/>
        </w:rPr>
        <w:t xml:space="preserve">, </w:t>
      </w:r>
      <w:r w:rsidRPr="00EC50AF">
        <w:rPr>
          <w:i/>
          <w:color w:val="000000"/>
          <w:szCs w:val="18"/>
        </w:rPr>
        <w:t>op. cit.</w:t>
      </w:r>
    </w:p>
  </w:footnote>
  <w:footnote w:id="321">
    <w:p w14:paraId="5B55C246" w14:textId="77777777" w:rsidR="00B01930" w:rsidRDefault="00B01930">
      <w:pPr>
        <w:pStyle w:val="Notedebasdepage"/>
      </w:pPr>
      <w:r>
        <w:rPr>
          <w:rStyle w:val="Appelnotedebasdep"/>
        </w:rPr>
        <w:footnoteRef/>
      </w:r>
      <w:r>
        <w:t xml:space="preserve"> </w:t>
      </w:r>
      <w:r>
        <w:tab/>
      </w:r>
      <w:r w:rsidRPr="00EC50AF">
        <w:rPr>
          <w:color w:val="000000"/>
          <w:szCs w:val="18"/>
        </w:rPr>
        <w:t>Pour paraphraser Althusser lui-même.</w:t>
      </w:r>
    </w:p>
  </w:footnote>
  <w:footnote w:id="322">
    <w:p w14:paraId="040AEE1F" w14:textId="77777777" w:rsidR="00B01930" w:rsidRDefault="00B01930">
      <w:pPr>
        <w:pStyle w:val="Notedebasdepage"/>
      </w:pPr>
      <w:r>
        <w:rPr>
          <w:rStyle w:val="Appelnotedebasdep"/>
        </w:rPr>
        <w:footnoteRef/>
      </w:r>
      <w:r>
        <w:t xml:space="preserve"> </w:t>
      </w:r>
      <w:r>
        <w:tab/>
      </w:r>
      <w:r w:rsidRPr="00EC50AF">
        <w:rPr>
          <w:color w:val="000000"/>
          <w:szCs w:val="18"/>
        </w:rPr>
        <w:t>Année du meurtre de sa femme.</w:t>
      </w:r>
    </w:p>
  </w:footnote>
  <w:footnote w:id="323">
    <w:p w14:paraId="325DC3F3" w14:textId="77777777" w:rsidR="00B01930" w:rsidRDefault="00B01930">
      <w:pPr>
        <w:pStyle w:val="Notedebasdepage"/>
      </w:pPr>
      <w:r>
        <w:rPr>
          <w:rStyle w:val="Appelnotedebasdep"/>
        </w:rPr>
        <w:footnoteRef/>
      </w:r>
      <w:r>
        <w:t xml:space="preserve"> </w:t>
      </w:r>
      <w:r>
        <w:tab/>
      </w:r>
      <w:r w:rsidRPr="00EC50AF">
        <w:rPr>
          <w:color w:val="000000"/>
          <w:szCs w:val="18"/>
        </w:rPr>
        <w:t>Après Merleau-Ponty, Sartre, etc.</w:t>
      </w:r>
    </w:p>
  </w:footnote>
  <w:footnote w:id="324">
    <w:p w14:paraId="52330CF4" w14:textId="77777777" w:rsidR="00B01930" w:rsidRDefault="00B01930">
      <w:pPr>
        <w:pStyle w:val="Notedebasdepage"/>
      </w:pPr>
      <w:r>
        <w:rPr>
          <w:rStyle w:val="Appelnotedebasdep"/>
        </w:rPr>
        <w:footnoteRef/>
      </w:r>
      <w:r>
        <w:t xml:space="preserve"> </w:t>
      </w:r>
      <w:r>
        <w:tab/>
      </w:r>
      <w:r w:rsidRPr="00EC50AF">
        <w:t>Cf. Jean</w:t>
      </w:r>
      <w:r w:rsidRPr="00EC50AF">
        <w:rPr>
          <w:color w:val="000000"/>
          <w:szCs w:val="18"/>
        </w:rPr>
        <w:t xml:space="preserve">-Paul Dollé, « Le grand jeu du monde, mai 1958-mai 1968 », </w:t>
      </w:r>
      <w:r w:rsidRPr="00EC50AF">
        <w:rPr>
          <w:i/>
          <w:color w:val="000000"/>
          <w:szCs w:val="18"/>
        </w:rPr>
        <w:t>Le Mag</w:t>
      </w:r>
      <w:r w:rsidRPr="00EC50AF">
        <w:rPr>
          <w:i/>
          <w:color w:val="000000"/>
          <w:szCs w:val="18"/>
        </w:rPr>
        <w:t>a</w:t>
      </w:r>
      <w:r w:rsidRPr="00EC50AF">
        <w:rPr>
          <w:i/>
          <w:color w:val="000000"/>
          <w:szCs w:val="18"/>
        </w:rPr>
        <w:t>zine Littéraire</w:t>
      </w:r>
      <w:r w:rsidRPr="00EC50AF">
        <w:rPr>
          <w:color w:val="000000"/>
          <w:szCs w:val="18"/>
        </w:rPr>
        <w:t>, 304, novembre 1992.</w:t>
      </w:r>
    </w:p>
  </w:footnote>
  <w:footnote w:id="325">
    <w:p w14:paraId="0B84D804" w14:textId="77777777" w:rsidR="00B01930" w:rsidRDefault="00B01930">
      <w:pPr>
        <w:pStyle w:val="Notedebasdepage"/>
      </w:pPr>
      <w:r>
        <w:rPr>
          <w:rStyle w:val="Appelnotedebasdep"/>
        </w:rPr>
        <w:footnoteRef/>
      </w:r>
      <w:r>
        <w:t xml:space="preserve"> </w:t>
      </w:r>
      <w:r>
        <w:tab/>
      </w:r>
      <w:r w:rsidRPr="00EC50AF">
        <w:rPr>
          <w:color w:val="000000"/>
          <w:szCs w:val="18"/>
        </w:rPr>
        <w:t>Cf. notre texte de 1974.</w:t>
      </w:r>
    </w:p>
  </w:footnote>
  <w:footnote w:id="326">
    <w:p w14:paraId="025FD019" w14:textId="77777777" w:rsidR="00B01930" w:rsidRDefault="00B01930">
      <w:pPr>
        <w:pStyle w:val="Notedebasdepage"/>
      </w:pPr>
      <w:r>
        <w:rPr>
          <w:rStyle w:val="Appelnotedebasdep"/>
        </w:rPr>
        <w:footnoteRef/>
      </w:r>
      <w:r>
        <w:t xml:space="preserve"> </w:t>
      </w:r>
      <w:r>
        <w:tab/>
      </w:r>
      <w:r w:rsidRPr="00EC50AF">
        <w:rPr>
          <w:i/>
          <w:color w:val="000000"/>
          <w:szCs w:val="18"/>
        </w:rPr>
        <w:t>Ibidem.</w:t>
      </w:r>
    </w:p>
  </w:footnote>
  <w:footnote w:id="327">
    <w:p w14:paraId="30BEFCDD" w14:textId="77777777" w:rsidR="00B01930" w:rsidRDefault="00B01930">
      <w:pPr>
        <w:pStyle w:val="Notedebasdepage"/>
      </w:pPr>
      <w:r>
        <w:rPr>
          <w:rStyle w:val="Appelnotedebasdep"/>
        </w:rPr>
        <w:footnoteRef/>
      </w:r>
      <w:r>
        <w:t xml:space="preserve"> </w:t>
      </w:r>
      <w:r>
        <w:tab/>
      </w:r>
      <w:r w:rsidRPr="00EC50AF">
        <w:rPr>
          <w:color w:val="000000"/>
          <w:szCs w:val="18"/>
        </w:rPr>
        <w:t xml:space="preserve">« Philosophie et marxisme, entretiens avec F. Navarro (1984-1987) », </w:t>
      </w:r>
      <w:r w:rsidRPr="00EC50AF">
        <w:rPr>
          <w:i/>
          <w:color w:val="000000"/>
          <w:szCs w:val="18"/>
        </w:rPr>
        <w:t>in Sur la philosophie</w:t>
      </w:r>
      <w:r w:rsidRPr="00EC50AF">
        <w:rPr>
          <w:color w:val="000000"/>
          <w:szCs w:val="18"/>
        </w:rPr>
        <w:t>, Paris, Gallimard, 1994, p. 37.</w:t>
      </w:r>
    </w:p>
  </w:footnote>
  <w:footnote w:id="328">
    <w:p w14:paraId="29F78374" w14:textId="77777777" w:rsidR="00B01930" w:rsidRDefault="00B01930">
      <w:pPr>
        <w:pStyle w:val="Notedebasdepage"/>
      </w:pPr>
      <w:r>
        <w:rPr>
          <w:rStyle w:val="Appelnotedebasdep"/>
        </w:rPr>
        <w:footnoteRef/>
      </w:r>
      <w:r>
        <w:t xml:space="preserve"> </w:t>
      </w:r>
      <w:r>
        <w:tab/>
      </w:r>
      <w:r w:rsidRPr="00EC50AF">
        <w:rPr>
          <w:i/>
          <w:color w:val="000000"/>
          <w:szCs w:val="18"/>
        </w:rPr>
        <w:t>L’avenir dure longtemps</w:t>
      </w:r>
      <w:r w:rsidRPr="00EC50AF">
        <w:rPr>
          <w:color w:val="000000"/>
          <w:szCs w:val="18"/>
        </w:rPr>
        <w:t xml:space="preserve">, </w:t>
      </w:r>
      <w:r w:rsidRPr="00EC50AF">
        <w:rPr>
          <w:i/>
          <w:color w:val="000000"/>
          <w:szCs w:val="18"/>
        </w:rPr>
        <w:t>op. cit.</w:t>
      </w:r>
      <w:r w:rsidRPr="00EC50AF">
        <w:rPr>
          <w:color w:val="000000"/>
          <w:szCs w:val="18"/>
        </w:rPr>
        <w:t>, p. 214</w:t>
      </w:r>
      <w:r>
        <w:rPr>
          <w:color w:val="000000"/>
          <w:szCs w:val="18"/>
        </w:rPr>
        <w:t>.</w:t>
      </w:r>
    </w:p>
  </w:footnote>
  <w:footnote w:id="329">
    <w:p w14:paraId="177AC977" w14:textId="77777777" w:rsidR="00B01930" w:rsidRDefault="00B01930">
      <w:pPr>
        <w:pStyle w:val="Notedebasdepage"/>
      </w:pPr>
      <w:r>
        <w:rPr>
          <w:rStyle w:val="Appelnotedebasdep"/>
        </w:rPr>
        <w:footnoteRef/>
      </w:r>
      <w:r>
        <w:t xml:space="preserve"> </w:t>
      </w:r>
      <w:r>
        <w:tab/>
      </w:r>
      <w:r w:rsidRPr="00EC50AF">
        <w:rPr>
          <w:i/>
          <w:color w:val="000000"/>
          <w:szCs w:val="18"/>
        </w:rPr>
        <w:t>Loc. cit</w:t>
      </w:r>
      <w:r w:rsidRPr="00EC50AF">
        <w:rPr>
          <w:color w:val="000000"/>
          <w:szCs w:val="18"/>
        </w:rPr>
        <w:t>.</w:t>
      </w:r>
    </w:p>
    <w:p w14:paraId="5C8FA947" w14:textId="77777777" w:rsidR="00B01930" w:rsidRDefault="00B01930">
      <w:pPr>
        <w:pStyle w:val="Notedebasdepage"/>
      </w:pPr>
      <w:r>
        <w:tab/>
      </w:r>
      <w:r>
        <w:tab/>
      </w:r>
      <w:r w:rsidRPr="00EC50AF">
        <w:rPr>
          <w:color w:val="000000"/>
          <w:szCs w:val="18"/>
        </w:rPr>
        <w:t>On peut se demander si Althusser n’a pas eu (à son corps défendant) un rôle quasiment « thérapeutique » en permettant aux intellectuels marxistes non communistes, ou en rupture, de se désengager tout en gardant le sens dans l</w:t>
      </w:r>
      <w:r w:rsidRPr="00EC50AF">
        <w:rPr>
          <w:color w:val="000000"/>
          <w:szCs w:val="18"/>
        </w:rPr>
        <w:t>e</w:t>
      </w:r>
      <w:r w:rsidRPr="00EC50AF">
        <w:rPr>
          <w:color w:val="000000"/>
          <w:szCs w:val="18"/>
        </w:rPr>
        <w:t>quel ils vivaient, par une double approche : le retour à la science, le retour à la pureté pol</w:t>
      </w:r>
      <w:r w:rsidRPr="00EC50AF">
        <w:rPr>
          <w:color w:val="000000"/>
          <w:szCs w:val="18"/>
        </w:rPr>
        <w:t>i</w:t>
      </w:r>
      <w:r w:rsidRPr="00EC50AF">
        <w:rPr>
          <w:color w:val="000000"/>
          <w:szCs w:val="18"/>
        </w:rPr>
        <w:t>tique donc un rôle d’intellectuel engagé régénéré (les althussériens furent volo</w:t>
      </w:r>
      <w:r w:rsidRPr="00EC50AF">
        <w:rPr>
          <w:color w:val="000000"/>
          <w:szCs w:val="18"/>
        </w:rPr>
        <w:t>n</w:t>
      </w:r>
      <w:r w:rsidRPr="00EC50AF">
        <w:rPr>
          <w:color w:val="000000"/>
          <w:szCs w:val="18"/>
        </w:rPr>
        <w:t>tiers maoïstes) mais sans passage à la violence qui caractérisa, par exe</w:t>
      </w:r>
      <w:r w:rsidRPr="00EC50AF">
        <w:rPr>
          <w:color w:val="000000"/>
          <w:szCs w:val="18"/>
        </w:rPr>
        <w:t>m</w:t>
      </w:r>
      <w:r w:rsidRPr="00EC50AF">
        <w:rPr>
          <w:color w:val="000000"/>
          <w:szCs w:val="18"/>
        </w:rPr>
        <w:t>ple, l’Italie (d’aucuns s’accordent sur ce rôle important d’une certaine culture ration</w:t>
      </w:r>
      <w:r w:rsidRPr="00EC50AF">
        <w:rPr>
          <w:color w:val="000000"/>
          <w:szCs w:val="18"/>
        </w:rPr>
        <w:t>a</w:t>
      </w:r>
      <w:r w:rsidRPr="00EC50AF">
        <w:rPr>
          <w:color w:val="000000"/>
          <w:szCs w:val="18"/>
        </w:rPr>
        <w:t>lisante et conceptualisante française qui aurait évité la dérive terroriste des jeunes intellectuels d’extrême gauche, dans la mesure où elle r</w:t>
      </w:r>
      <w:r w:rsidRPr="00EC50AF">
        <w:rPr>
          <w:color w:val="000000"/>
          <w:szCs w:val="18"/>
        </w:rPr>
        <w:t>e</w:t>
      </w:r>
      <w:r w:rsidRPr="00EC50AF">
        <w:rPr>
          <w:color w:val="000000"/>
          <w:szCs w:val="18"/>
        </w:rPr>
        <w:t>pose – en dépit du refus althussérien – sur un huma</w:t>
      </w:r>
      <w:r w:rsidRPr="00EC50AF">
        <w:rPr>
          <w:color w:val="000000"/>
          <w:szCs w:val="18"/>
        </w:rPr>
        <w:t>n</w:t>
      </w:r>
      <w:r w:rsidRPr="00EC50AF">
        <w:rPr>
          <w:color w:val="000000"/>
          <w:szCs w:val="18"/>
        </w:rPr>
        <w:t>isme remontant « aux Lumières »). Par ailleurs, il a fait découvrir le marxisme à de jeunes apprentis philosophes. Mais, dans le même mouvement, il leur a, malgré lui (malgré eux ?), ouvert la voie aux savoirs autres qui pouvaient les éloigner du marxi</w:t>
      </w:r>
      <w:r w:rsidRPr="00EC50AF">
        <w:rPr>
          <w:color w:val="000000"/>
          <w:szCs w:val="18"/>
        </w:rPr>
        <w:t>s</w:t>
      </w:r>
      <w:r w:rsidRPr="00EC50AF">
        <w:rPr>
          <w:color w:val="000000"/>
          <w:szCs w:val="18"/>
        </w:rPr>
        <w:t>me….</w:t>
      </w:r>
    </w:p>
  </w:footnote>
  <w:footnote w:id="330">
    <w:p w14:paraId="0E5DFAD6" w14:textId="77777777" w:rsidR="00B01930" w:rsidRDefault="00B01930">
      <w:pPr>
        <w:pStyle w:val="Notedebasdepage"/>
      </w:pPr>
      <w:r>
        <w:rPr>
          <w:rStyle w:val="Appelnotedebasdep"/>
        </w:rPr>
        <w:footnoteRef/>
      </w:r>
      <w:r>
        <w:t xml:space="preserve"> </w:t>
      </w:r>
      <w:r>
        <w:tab/>
      </w:r>
      <w:r w:rsidRPr="00EC50AF">
        <w:rPr>
          <w:i/>
          <w:color w:val="000000"/>
          <w:szCs w:val="18"/>
        </w:rPr>
        <w:t>Philosophie, op. cit.</w:t>
      </w:r>
      <w:r w:rsidRPr="00EC50AF">
        <w:rPr>
          <w:color w:val="000000"/>
          <w:szCs w:val="18"/>
        </w:rPr>
        <w:t>, p. 23.</w:t>
      </w:r>
    </w:p>
  </w:footnote>
  <w:footnote w:id="331">
    <w:p w14:paraId="466CA8C0" w14:textId="77777777" w:rsidR="00B01930" w:rsidRDefault="00B01930">
      <w:pPr>
        <w:pStyle w:val="Notedebasdepage"/>
      </w:pPr>
      <w:r>
        <w:rPr>
          <w:rStyle w:val="Appelnotedebasdep"/>
        </w:rPr>
        <w:footnoteRef/>
      </w:r>
      <w:r>
        <w:t xml:space="preserve"> </w:t>
      </w:r>
      <w:r>
        <w:tab/>
      </w:r>
      <w:r w:rsidRPr="00EC50AF">
        <w:rPr>
          <w:i/>
          <w:color w:val="000000"/>
          <w:szCs w:val="18"/>
        </w:rPr>
        <w:t>Ibidem</w:t>
      </w:r>
      <w:r w:rsidRPr="00EC50AF">
        <w:rPr>
          <w:color w:val="000000"/>
          <w:szCs w:val="18"/>
        </w:rPr>
        <w:t>, p. 36</w:t>
      </w:r>
      <w:r>
        <w:rPr>
          <w:color w:val="000000"/>
          <w:szCs w:val="18"/>
        </w:rPr>
        <w:t>.</w:t>
      </w:r>
    </w:p>
  </w:footnote>
  <w:footnote w:id="332">
    <w:p w14:paraId="5192B2C1" w14:textId="77777777" w:rsidR="00B01930" w:rsidRDefault="00B01930">
      <w:pPr>
        <w:pStyle w:val="Notedebasdepage"/>
      </w:pPr>
      <w:r>
        <w:rPr>
          <w:rStyle w:val="Appelnotedebasdep"/>
        </w:rPr>
        <w:footnoteRef/>
      </w:r>
      <w:r>
        <w:t xml:space="preserve"> </w:t>
      </w:r>
      <w:r>
        <w:tab/>
      </w:r>
      <w:r w:rsidRPr="00EC50AF">
        <w:rPr>
          <w:i/>
          <w:color w:val="000000"/>
          <w:szCs w:val="18"/>
        </w:rPr>
        <w:t>Philosophie et marxisme</w:t>
      </w:r>
      <w:r w:rsidRPr="00EC50AF">
        <w:rPr>
          <w:color w:val="000000"/>
          <w:szCs w:val="18"/>
        </w:rPr>
        <w:t xml:space="preserve">, entretiens avec F. Navarro, </w:t>
      </w:r>
      <w:r w:rsidRPr="00EC50AF">
        <w:rPr>
          <w:i/>
          <w:color w:val="000000"/>
          <w:szCs w:val="18"/>
        </w:rPr>
        <w:t>op. cit.</w:t>
      </w:r>
      <w:r w:rsidRPr="00EC50AF">
        <w:rPr>
          <w:color w:val="000000"/>
          <w:szCs w:val="18"/>
        </w:rPr>
        <w:t>, p. 23.</w:t>
      </w:r>
    </w:p>
  </w:footnote>
  <w:footnote w:id="333">
    <w:p w14:paraId="03E06A43" w14:textId="77777777" w:rsidR="00B01930" w:rsidRDefault="00B01930">
      <w:pPr>
        <w:pStyle w:val="Notedebasdepage"/>
      </w:pPr>
      <w:r>
        <w:rPr>
          <w:rStyle w:val="Appelnotedebasdep"/>
        </w:rPr>
        <w:footnoteRef/>
      </w:r>
      <w:r>
        <w:t xml:space="preserve"> </w:t>
      </w:r>
      <w:r>
        <w:tab/>
      </w:r>
      <w:r w:rsidRPr="00EC50AF">
        <w:rPr>
          <w:color w:val="000000"/>
          <w:szCs w:val="18"/>
        </w:rPr>
        <w:t xml:space="preserve">P. Veyne, Avant-propos à </w:t>
      </w:r>
      <w:r w:rsidRPr="00EC50AF">
        <w:rPr>
          <w:i/>
          <w:color w:val="000000"/>
          <w:szCs w:val="18"/>
        </w:rPr>
        <w:t>Sénèque (entretiens, lettres à Lucilius)</w:t>
      </w:r>
      <w:r w:rsidRPr="00EC50AF">
        <w:rPr>
          <w:color w:val="000000"/>
          <w:szCs w:val="18"/>
        </w:rPr>
        <w:t>, Paris, La</w:t>
      </w:r>
      <w:r w:rsidRPr="00EC50AF">
        <w:rPr>
          <w:color w:val="000000"/>
          <w:szCs w:val="18"/>
        </w:rPr>
        <w:t>f</w:t>
      </w:r>
      <w:r w:rsidRPr="00EC50AF">
        <w:rPr>
          <w:color w:val="000000"/>
          <w:szCs w:val="18"/>
        </w:rPr>
        <w:t>font, 1993, p. XLVIII.</w:t>
      </w:r>
    </w:p>
  </w:footnote>
  <w:footnote w:id="334">
    <w:p w14:paraId="53593F24" w14:textId="77777777" w:rsidR="00B01930" w:rsidRDefault="00B01930">
      <w:pPr>
        <w:pStyle w:val="Notedebasdepage"/>
      </w:pPr>
      <w:r>
        <w:rPr>
          <w:rStyle w:val="Appelnotedebasdep"/>
        </w:rPr>
        <w:footnoteRef/>
      </w:r>
      <w:r>
        <w:t xml:space="preserve"> </w:t>
      </w:r>
      <w:r>
        <w:tab/>
      </w:r>
      <w:r w:rsidRPr="00EC50AF">
        <w:rPr>
          <w:color w:val="000000"/>
          <w:szCs w:val="18"/>
        </w:rPr>
        <w:t xml:space="preserve">Etienne Balibar, </w:t>
      </w:r>
      <w:r w:rsidRPr="00EC50AF">
        <w:rPr>
          <w:i/>
          <w:color w:val="000000"/>
          <w:szCs w:val="18"/>
        </w:rPr>
        <w:t>Ecrits pour Althusser</w:t>
      </w:r>
      <w:r w:rsidRPr="00EC50AF">
        <w:rPr>
          <w:color w:val="000000"/>
          <w:szCs w:val="18"/>
        </w:rPr>
        <w:t>, Paris, La Découverte, 1991, p. 117.</w:t>
      </w:r>
    </w:p>
  </w:footnote>
  <w:footnote w:id="335">
    <w:p w14:paraId="21D827C4" w14:textId="77777777" w:rsidR="00B01930" w:rsidRDefault="00B01930">
      <w:pPr>
        <w:pStyle w:val="Notedebasdepage"/>
      </w:pPr>
      <w:r>
        <w:rPr>
          <w:rStyle w:val="Appelnotedebasdep"/>
        </w:rPr>
        <w:footnoteRef/>
      </w:r>
      <w:r>
        <w:t xml:space="preserve"> </w:t>
      </w:r>
      <w:r>
        <w:tab/>
      </w:r>
      <w:r w:rsidRPr="00EC50AF">
        <w:rPr>
          <w:color w:val="000000"/>
          <w:szCs w:val="18"/>
        </w:rPr>
        <w:t>Mais qu’est-ce que cela veut dire ? (C’est nous qui posons la que</w:t>
      </w:r>
      <w:r w:rsidRPr="00EC50AF">
        <w:rPr>
          <w:color w:val="000000"/>
          <w:szCs w:val="18"/>
        </w:rPr>
        <w:t>s</w:t>
      </w:r>
      <w:r w:rsidRPr="00EC50AF">
        <w:rPr>
          <w:color w:val="000000"/>
          <w:szCs w:val="18"/>
        </w:rPr>
        <w:t>tion).</w:t>
      </w:r>
    </w:p>
  </w:footnote>
  <w:footnote w:id="336">
    <w:p w14:paraId="7C7A3BF4" w14:textId="77777777" w:rsidR="00B01930" w:rsidRDefault="00B01930">
      <w:pPr>
        <w:pStyle w:val="Notedebasdepage"/>
      </w:pPr>
      <w:r>
        <w:rPr>
          <w:rStyle w:val="Appelnotedebasdep"/>
        </w:rPr>
        <w:footnoteRef/>
      </w:r>
      <w:r>
        <w:t xml:space="preserve"> </w:t>
      </w:r>
      <w:r>
        <w:tab/>
      </w:r>
      <w:r w:rsidRPr="00EC50AF">
        <w:rPr>
          <w:color w:val="000000"/>
          <w:szCs w:val="18"/>
        </w:rPr>
        <w:t xml:space="preserve">Etienne Balibar, </w:t>
      </w:r>
      <w:r w:rsidRPr="00EC50AF">
        <w:rPr>
          <w:i/>
          <w:color w:val="000000"/>
          <w:szCs w:val="18"/>
        </w:rPr>
        <w:t>op. cit.</w:t>
      </w:r>
      <w:r w:rsidRPr="00EC50AF">
        <w:rPr>
          <w:color w:val="000000"/>
          <w:szCs w:val="18"/>
        </w:rPr>
        <w:t>, p. 117.</w:t>
      </w:r>
    </w:p>
  </w:footnote>
  <w:footnote w:id="337">
    <w:p w14:paraId="785AF0DB" w14:textId="77777777" w:rsidR="00B01930" w:rsidRDefault="00B01930">
      <w:pPr>
        <w:pStyle w:val="Notedebasdepage"/>
      </w:pPr>
      <w:r>
        <w:rPr>
          <w:rStyle w:val="Appelnotedebasdep"/>
        </w:rPr>
        <w:footnoteRef/>
      </w:r>
      <w:r>
        <w:t xml:space="preserve"> </w:t>
      </w:r>
      <w:r>
        <w:tab/>
      </w:r>
      <w:r w:rsidRPr="00EC50AF">
        <w:rPr>
          <w:i/>
          <w:color w:val="000000"/>
          <w:szCs w:val="18"/>
        </w:rPr>
        <w:t>Ibidem.,</w:t>
      </w:r>
      <w:r w:rsidRPr="00EC50AF">
        <w:rPr>
          <w:color w:val="000000"/>
          <w:szCs w:val="18"/>
        </w:rPr>
        <w:t xml:space="preserve"> p. 117.</w:t>
      </w:r>
    </w:p>
  </w:footnote>
  <w:footnote w:id="338">
    <w:p w14:paraId="53D6ED14"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97 – mais avec ce qui vient d’être écrit ci-dessus : qu’est-ce qu’un point de vue co</w:t>
      </w:r>
      <w:r w:rsidRPr="00EC50AF">
        <w:rPr>
          <w:color w:val="000000"/>
          <w:szCs w:val="18"/>
        </w:rPr>
        <w:t>m</w:t>
      </w:r>
      <w:r w:rsidRPr="00EC50AF">
        <w:rPr>
          <w:color w:val="000000"/>
          <w:szCs w:val="18"/>
        </w:rPr>
        <w:t>muniste ?</w:t>
      </w:r>
    </w:p>
  </w:footnote>
  <w:footnote w:id="339">
    <w:p w14:paraId="77520B47"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xml:space="preserve"> p. 99.</w:t>
      </w:r>
    </w:p>
  </w:footnote>
  <w:footnote w:id="340">
    <w:p w14:paraId="21879C07"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71.</w:t>
      </w:r>
    </w:p>
  </w:footnote>
  <w:footnote w:id="341">
    <w:p w14:paraId="6A798E7C" w14:textId="77777777" w:rsidR="00B01930" w:rsidRDefault="00B01930">
      <w:pPr>
        <w:pStyle w:val="Notedebasdepage"/>
      </w:pPr>
      <w:r>
        <w:rPr>
          <w:rStyle w:val="Appelnotedebasdep"/>
        </w:rPr>
        <w:footnoteRef/>
      </w:r>
      <w:r>
        <w:t xml:space="preserve"> </w:t>
      </w:r>
      <w:r>
        <w:tab/>
      </w:r>
      <w:r>
        <w:rPr>
          <w:color w:val="000000"/>
          <w:szCs w:val="18"/>
        </w:rPr>
        <w:t>É</w:t>
      </w:r>
      <w:r w:rsidRPr="00EC50AF">
        <w:rPr>
          <w:color w:val="000000"/>
          <w:szCs w:val="18"/>
        </w:rPr>
        <w:t>tienne Balibar en 1988 déclarait lors d’un colloque organisé par The Hum</w:t>
      </w:r>
      <w:r w:rsidRPr="00EC50AF">
        <w:rPr>
          <w:color w:val="000000"/>
          <w:szCs w:val="18"/>
        </w:rPr>
        <w:t>a</w:t>
      </w:r>
      <w:r w:rsidRPr="00EC50AF">
        <w:rPr>
          <w:color w:val="000000"/>
          <w:szCs w:val="18"/>
        </w:rPr>
        <w:t>nities Institut, State University of New York at Stony Book, U.S.A. : « un co</w:t>
      </w:r>
      <w:r w:rsidRPr="00EC50AF">
        <w:rPr>
          <w:color w:val="000000"/>
          <w:szCs w:val="18"/>
        </w:rPr>
        <w:t>l</w:t>
      </w:r>
      <w:r w:rsidRPr="00EC50AF">
        <w:rPr>
          <w:color w:val="000000"/>
          <w:szCs w:val="18"/>
        </w:rPr>
        <w:t>loque universitaire comme celui-ci serait aujourd’hui inconcevable en France […] alors qu’en Allemagne Fédérale[…] a été mis en chantier une édition de ses œuvres […] et qu’en Italie il fait toujours l’objet de discussions dans des cercles de mil</w:t>
      </w:r>
      <w:r w:rsidRPr="00EC50AF">
        <w:rPr>
          <w:color w:val="000000"/>
          <w:szCs w:val="18"/>
        </w:rPr>
        <w:t>i</w:t>
      </w:r>
      <w:r w:rsidRPr="00EC50AF">
        <w:rPr>
          <w:color w:val="000000"/>
          <w:szCs w:val="18"/>
        </w:rPr>
        <w:t>tants et d’intellectuels de gauche » mais « dans son propre pays le nom de cet homme et la signification de ses écrits font aujourd’hui l’objet d’un complet r</w:t>
      </w:r>
      <w:r w:rsidRPr="00EC50AF">
        <w:rPr>
          <w:color w:val="000000"/>
          <w:szCs w:val="18"/>
        </w:rPr>
        <w:t>e</w:t>
      </w:r>
      <w:r w:rsidRPr="00EC50AF">
        <w:rPr>
          <w:color w:val="000000"/>
          <w:szCs w:val="18"/>
        </w:rPr>
        <w:t xml:space="preserve">foulement », </w:t>
      </w:r>
      <w:r w:rsidRPr="00EC50AF">
        <w:rPr>
          <w:i/>
          <w:color w:val="000000"/>
          <w:szCs w:val="18"/>
        </w:rPr>
        <w:t>in</w:t>
      </w:r>
      <w:r w:rsidRPr="00EC50AF">
        <w:rPr>
          <w:color w:val="000000"/>
          <w:szCs w:val="18"/>
        </w:rPr>
        <w:t xml:space="preserve"> </w:t>
      </w:r>
      <w:r w:rsidRPr="00EC50AF">
        <w:rPr>
          <w:i/>
          <w:color w:val="000000"/>
          <w:szCs w:val="18"/>
        </w:rPr>
        <w:t>Écrits pour.., op. cit.</w:t>
      </w:r>
      <w:r w:rsidRPr="00EC50AF">
        <w:rPr>
          <w:color w:val="000000"/>
          <w:szCs w:val="18"/>
        </w:rPr>
        <w:t>, p. 91-92</w:t>
      </w:r>
      <w:r>
        <w:rPr>
          <w:color w:val="000000"/>
          <w:szCs w:val="18"/>
        </w:rPr>
        <w:t>.</w:t>
      </w:r>
    </w:p>
  </w:footnote>
  <w:footnote w:id="342">
    <w:p w14:paraId="545C11FF" w14:textId="77777777" w:rsidR="00B01930" w:rsidRDefault="00B01930">
      <w:pPr>
        <w:pStyle w:val="Notedebasdepage"/>
      </w:pPr>
      <w:r>
        <w:rPr>
          <w:rStyle w:val="Appelnotedebasdep"/>
        </w:rPr>
        <w:footnoteRef/>
      </w:r>
      <w:r>
        <w:t xml:space="preserve"> </w:t>
      </w:r>
      <w:r>
        <w:tab/>
      </w:r>
      <w:r w:rsidRPr="00EC50AF">
        <w:rPr>
          <w:color w:val="000000"/>
          <w:szCs w:val="18"/>
        </w:rPr>
        <w:t>Présentation de couverture d’</w:t>
      </w:r>
      <w:r>
        <w:rPr>
          <w:i/>
          <w:color w:val="000000"/>
          <w:szCs w:val="18"/>
        </w:rPr>
        <w:t>É</w:t>
      </w:r>
      <w:r w:rsidRPr="00EC50AF">
        <w:rPr>
          <w:i/>
          <w:color w:val="000000"/>
          <w:szCs w:val="18"/>
        </w:rPr>
        <w:t>crits pour Althusser, op. cit.</w:t>
      </w:r>
    </w:p>
  </w:footnote>
  <w:footnote w:id="343">
    <w:p w14:paraId="6B2B5381" w14:textId="77777777" w:rsidR="00B01930" w:rsidRDefault="00B01930">
      <w:pPr>
        <w:pStyle w:val="Notedebasdepage"/>
      </w:pPr>
      <w:r>
        <w:rPr>
          <w:rStyle w:val="Appelnotedebasdep"/>
        </w:rPr>
        <w:footnoteRef/>
      </w:r>
      <w:r>
        <w:t xml:space="preserve"> </w:t>
      </w:r>
      <w:r>
        <w:tab/>
      </w:r>
      <w:r w:rsidRPr="00EC50AF">
        <w:rPr>
          <w:color w:val="000000"/>
          <w:szCs w:val="18"/>
        </w:rPr>
        <w:t xml:space="preserve">Luc Ferry, </w:t>
      </w:r>
      <w:r w:rsidRPr="00EC50AF">
        <w:rPr>
          <w:i/>
          <w:color w:val="000000"/>
          <w:szCs w:val="18"/>
        </w:rPr>
        <w:t>op. cit.</w:t>
      </w:r>
    </w:p>
  </w:footnote>
  <w:footnote w:id="344">
    <w:p w14:paraId="782F5CF8" w14:textId="77777777" w:rsidR="00B01930" w:rsidRDefault="00B01930">
      <w:pPr>
        <w:pStyle w:val="Notedebasdepage"/>
      </w:pPr>
      <w:r>
        <w:rPr>
          <w:rStyle w:val="Appelnotedebasdep"/>
        </w:rPr>
        <w:footnoteRef/>
      </w:r>
      <w:r>
        <w:t xml:space="preserve"> </w:t>
      </w:r>
      <w:r>
        <w:tab/>
      </w:r>
      <w:r w:rsidRPr="00EC50AF">
        <w:rPr>
          <w:color w:val="000000"/>
          <w:szCs w:val="18"/>
        </w:rPr>
        <w:t xml:space="preserve">A. Leclerc, </w:t>
      </w:r>
      <w:r w:rsidRPr="00EC50AF">
        <w:rPr>
          <w:i/>
          <w:color w:val="000000"/>
          <w:szCs w:val="18"/>
        </w:rPr>
        <w:t>op. cit.</w:t>
      </w:r>
    </w:p>
  </w:footnote>
  <w:footnote w:id="345">
    <w:p w14:paraId="4C0E7F84" w14:textId="77777777" w:rsidR="00B01930" w:rsidRDefault="00B01930">
      <w:pPr>
        <w:pStyle w:val="Notedebasdepage"/>
      </w:pPr>
      <w:r>
        <w:rPr>
          <w:rStyle w:val="Appelnotedebasdep"/>
        </w:rPr>
        <w:footnoteRef/>
      </w:r>
      <w:r>
        <w:t xml:space="preserve"> </w:t>
      </w:r>
      <w:r>
        <w:tab/>
      </w:r>
      <w:r w:rsidRPr="00EC50AF">
        <w:rPr>
          <w:color w:val="000000"/>
          <w:szCs w:val="18"/>
        </w:rPr>
        <w:t xml:space="preserve">D. Eribon, </w:t>
      </w:r>
      <w:r w:rsidRPr="00EC50AF">
        <w:rPr>
          <w:i/>
          <w:color w:val="000000"/>
          <w:szCs w:val="18"/>
        </w:rPr>
        <w:t>op. cit.</w:t>
      </w:r>
    </w:p>
  </w:footnote>
  <w:footnote w:id="346">
    <w:p w14:paraId="633EDAAB" w14:textId="77777777" w:rsidR="00B01930" w:rsidRDefault="00B01930">
      <w:pPr>
        <w:pStyle w:val="Notedebasdepage"/>
      </w:pPr>
      <w:r>
        <w:rPr>
          <w:rStyle w:val="Appelnotedebasdep"/>
        </w:rPr>
        <w:footnoteRef/>
      </w:r>
      <w:r>
        <w:t xml:space="preserve"> </w:t>
      </w:r>
      <w:r>
        <w:tab/>
      </w:r>
      <w:r w:rsidRPr="00EC50AF">
        <w:rPr>
          <w:i/>
          <w:color w:val="000000"/>
          <w:szCs w:val="18"/>
        </w:rPr>
        <w:t>Sur la philosophie, op. cit.</w:t>
      </w:r>
      <w:r w:rsidRPr="00EC50AF">
        <w:rPr>
          <w:color w:val="000000"/>
          <w:szCs w:val="18"/>
        </w:rPr>
        <w:t>, p. 23.</w:t>
      </w:r>
    </w:p>
  </w:footnote>
  <w:footnote w:id="347">
    <w:p w14:paraId="7D57CBA7" w14:textId="77777777" w:rsidR="00B01930" w:rsidRDefault="00B01930">
      <w:pPr>
        <w:pStyle w:val="Notedebasdepage"/>
      </w:pPr>
      <w:r>
        <w:rPr>
          <w:rStyle w:val="Appelnotedebasdep"/>
        </w:rPr>
        <w:footnoteRef/>
      </w:r>
      <w:r>
        <w:t xml:space="preserve"> </w:t>
      </w:r>
      <w:r>
        <w:tab/>
      </w:r>
      <w:r w:rsidRPr="00EC50AF">
        <w:rPr>
          <w:i/>
          <w:color w:val="000000"/>
          <w:szCs w:val="18"/>
        </w:rPr>
        <w:t>Ibidem</w:t>
      </w:r>
      <w:r w:rsidRPr="00EC50AF">
        <w:rPr>
          <w:color w:val="000000"/>
          <w:szCs w:val="18"/>
        </w:rPr>
        <w:t>, p. 36</w:t>
      </w:r>
    </w:p>
  </w:footnote>
  <w:footnote w:id="348">
    <w:p w14:paraId="2C2CB756"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xml:space="preserve"> p. 35.</w:t>
      </w:r>
    </w:p>
  </w:footnote>
  <w:footnote w:id="349">
    <w:p w14:paraId="4A8226D9" w14:textId="77777777" w:rsidR="00B01930" w:rsidRDefault="00B01930">
      <w:pPr>
        <w:pStyle w:val="Notedebasdepage"/>
      </w:pPr>
      <w:r>
        <w:rPr>
          <w:rStyle w:val="Appelnotedebasdep"/>
        </w:rPr>
        <w:footnoteRef/>
      </w:r>
      <w:r>
        <w:t xml:space="preserve"> </w:t>
      </w:r>
      <w:r>
        <w:tab/>
      </w:r>
      <w:r w:rsidRPr="00EC50AF">
        <w:rPr>
          <w:color w:val="000000"/>
          <w:szCs w:val="18"/>
        </w:rPr>
        <w:t xml:space="preserve">C. Clément, </w:t>
      </w:r>
      <w:r w:rsidRPr="00EC50AF">
        <w:rPr>
          <w:i/>
          <w:color w:val="000000"/>
          <w:szCs w:val="18"/>
        </w:rPr>
        <w:t>op. cit.</w:t>
      </w:r>
      <w:r w:rsidRPr="00EC50AF">
        <w:rPr>
          <w:color w:val="000000"/>
          <w:szCs w:val="18"/>
        </w:rPr>
        <w:t>, qui curieusement juge indispensable la publication des œ</w:t>
      </w:r>
      <w:r w:rsidRPr="00EC50AF">
        <w:rPr>
          <w:color w:val="000000"/>
          <w:szCs w:val="18"/>
        </w:rPr>
        <w:t>u</w:t>
      </w:r>
      <w:r w:rsidRPr="00EC50AF">
        <w:rPr>
          <w:color w:val="000000"/>
          <w:szCs w:val="18"/>
        </w:rPr>
        <w:t>vres.</w:t>
      </w:r>
    </w:p>
  </w:footnote>
  <w:footnote w:id="350">
    <w:p w14:paraId="7E192D0B" w14:textId="77777777" w:rsidR="00B01930" w:rsidRDefault="00B01930">
      <w:pPr>
        <w:pStyle w:val="Notedebasdepage"/>
      </w:pPr>
      <w:r>
        <w:rPr>
          <w:rStyle w:val="Appelnotedebasdep"/>
        </w:rPr>
        <w:footnoteRef/>
      </w:r>
      <w:r>
        <w:t xml:space="preserve"> </w:t>
      </w:r>
      <w:r>
        <w:tab/>
      </w:r>
      <w:r w:rsidRPr="00EC50AF">
        <w:rPr>
          <w:i/>
          <w:color w:val="000000"/>
          <w:szCs w:val="18"/>
        </w:rPr>
        <w:t>L’Avenir…, op. cit.</w:t>
      </w:r>
      <w:r w:rsidRPr="00EC50AF">
        <w:rPr>
          <w:color w:val="000000"/>
          <w:szCs w:val="18"/>
        </w:rPr>
        <w:t>, p. 217.</w:t>
      </w:r>
    </w:p>
  </w:footnote>
  <w:footnote w:id="351">
    <w:p w14:paraId="26E1F383"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xml:space="preserve"> p. 218.</w:t>
      </w:r>
    </w:p>
    <w:p w14:paraId="4547AD73" w14:textId="77777777" w:rsidR="00B01930" w:rsidRDefault="00B01930">
      <w:pPr>
        <w:pStyle w:val="Notedebasdepage"/>
      </w:pPr>
      <w:r>
        <w:tab/>
      </w:r>
      <w:r w:rsidRPr="00EC50AF">
        <w:rPr>
          <w:color w:val="000000"/>
          <w:szCs w:val="18"/>
        </w:rPr>
        <w:t>« Est-ce vraiment la fraîcheur d’esprit qu’on nous vante ? », se d</w:t>
      </w:r>
      <w:r w:rsidRPr="00EC50AF">
        <w:rPr>
          <w:color w:val="000000"/>
          <w:szCs w:val="18"/>
        </w:rPr>
        <w:t>e</w:t>
      </w:r>
      <w:r w:rsidRPr="00EC50AF">
        <w:rPr>
          <w:color w:val="000000"/>
          <w:szCs w:val="18"/>
        </w:rPr>
        <w:t xml:space="preserve">mande Luc Ferry, </w:t>
      </w:r>
      <w:r w:rsidRPr="00EC50AF">
        <w:rPr>
          <w:i/>
          <w:color w:val="000000"/>
          <w:szCs w:val="18"/>
        </w:rPr>
        <w:t>op. cit.</w:t>
      </w:r>
    </w:p>
  </w:footnote>
  <w:footnote w:id="352">
    <w:p w14:paraId="69D5EBD7" w14:textId="77777777" w:rsidR="00B01930" w:rsidRDefault="00B01930">
      <w:pPr>
        <w:pStyle w:val="Notedebasdepage"/>
      </w:pPr>
      <w:r>
        <w:rPr>
          <w:rStyle w:val="Appelnotedebasdep"/>
        </w:rPr>
        <w:footnoteRef/>
      </w:r>
      <w:r>
        <w:t xml:space="preserve"> </w:t>
      </w:r>
      <w:r>
        <w:tab/>
      </w:r>
      <w:r w:rsidRPr="00EC50AF">
        <w:rPr>
          <w:color w:val="000000"/>
          <w:szCs w:val="18"/>
        </w:rPr>
        <w:t xml:space="preserve">L. Ferry, </w:t>
      </w:r>
      <w:r w:rsidRPr="00EC50AF">
        <w:rPr>
          <w:i/>
          <w:color w:val="000000"/>
          <w:szCs w:val="18"/>
        </w:rPr>
        <w:t>op. cit.</w:t>
      </w:r>
      <w:r w:rsidRPr="00EC50AF">
        <w:rPr>
          <w:color w:val="000000"/>
          <w:szCs w:val="18"/>
        </w:rPr>
        <w:t>, (en fait il n’aurait pas repris sa carte après 1980 – date de son internement psychiatrique, après le meurtre de sa femme, dont il ne sortit plus) – mais cette abstention n’invalide pas le constat de L. Ferry.</w:t>
      </w:r>
    </w:p>
  </w:footnote>
  <w:footnote w:id="353">
    <w:p w14:paraId="4EC599DB" w14:textId="77777777" w:rsidR="00B01930" w:rsidRDefault="00B01930">
      <w:pPr>
        <w:pStyle w:val="Notedebasdepage"/>
      </w:pPr>
      <w:r>
        <w:rPr>
          <w:rStyle w:val="Appelnotedebasdep"/>
        </w:rPr>
        <w:footnoteRef/>
      </w:r>
      <w:r>
        <w:t xml:space="preserve"> </w:t>
      </w:r>
      <w:r>
        <w:tab/>
      </w:r>
      <w:r w:rsidRPr="00EC50AF">
        <w:rPr>
          <w:color w:val="000000"/>
          <w:szCs w:val="18"/>
        </w:rPr>
        <w:t>Jusqu’à son internement, Cf.</w:t>
      </w:r>
      <w:r w:rsidRPr="00EC50AF">
        <w:rPr>
          <w:i/>
          <w:color w:val="000000"/>
          <w:szCs w:val="18"/>
        </w:rPr>
        <w:t xml:space="preserve"> supra</w:t>
      </w:r>
      <w:r w:rsidRPr="00EC50AF">
        <w:rPr>
          <w:color w:val="000000"/>
          <w:szCs w:val="18"/>
        </w:rPr>
        <w:t xml:space="preserve"> note </w:t>
      </w:r>
      <w:r w:rsidRPr="00EC50AF">
        <w:rPr>
          <w:color w:val="000000"/>
        </w:rPr>
        <w:t>307.</w:t>
      </w:r>
    </w:p>
  </w:footnote>
  <w:footnote w:id="354">
    <w:p w14:paraId="0DAC3EFA" w14:textId="77777777" w:rsidR="00B01930" w:rsidRDefault="00B01930">
      <w:pPr>
        <w:pStyle w:val="Notedebasdepage"/>
      </w:pPr>
      <w:r>
        <w:rPr>
          <w:rStyle w:val="Appelnotedebasdep"/>
        </w:rPr>
        <w:footnoteRef/>
      </w:r>
      <w:r>
        <w:t xml:space="preserve"> </w:t>
      </w:r>
      <w:r>
        <w:tab/>
      </w:r>
    </w:p>
  </w:footnote>
  <w:footnote w:id="355">
    <w:p w14:paraId="23F8BD30" w14:textId="77777777" w:rsidR="00B01930" w:rsidRPr="00EC50AF" w:rsidRDefault="00B01930" w:rsidP="00B01930">
      <w:pPr>
        <w:pStyle w:val="Notesdebasdepage"/>
        <w:spacing w:after="0"/>
        <w:rPr>
          <w:rFonts w:ascii="Times New Roman" w:hAnsi="Times New Roman"/>
          <w:sz w:val="24"/>
          <w:szCs w:val="18"/>
          <w:lang w:val="fr-CA"/>
        </w:rPr>
      </w:pPr>
      <w:r w:rsidRPr="00EC50AF">
        <w:rPr>
          <w:rFonts w:ascii="Times New Roman" w:hAnsi="Times New Roman"/>
          <w:sz w:val="24"/>
          <w:szCs w:val="18"/>
          <w:vertAlign w:val="superscript"/>
          <w:lang w:val="fr-CA"/>
        </w:rPr>
        <w:footnoteRef/>
      </w:r>
      <w:r w:rsidRPr="00EC50AF">
        <w:rPr>
          <w:rFonts w:ascii="Times New Roman" w:hAnsi="Times New Roman"/>
          <w:sz w:val="24"/>
          <w:szCs w:val="18"/>
          <w:lang w:val="fr-CA"/>
        </w:rPr>
        <w:t> « On me tolérait sans doute par calcul et à cause de l’audience que mes interve</w:t>
      </w:r>
      <w:r w:rsidRPr="00EC50AF">
        <w:rPr>
          <w:rFonts w:ascii="Times New Roman" w:hAnsi="Times New Roman"/>
          <w:sz w:val="24"/>
          <w:szCs w:val="18"/>
          <w:lang w:val="fr-CA"/>
        </w:rPr>
        <w:t>n</w:t>
      </w:r>
      <w:r w:rsidRPr="00EC50AF">
        <w:rPr>
          <w:rFonts w:ascii="Times New Roman" w:hAnsi="Times New Roman"/>
          <w:sz w:val="24"/>
          <w:szCs w:val="18"/>
          <w:lang w:val="fr-CA"/>
        </w:rPr>
        <w:t xml:space="preserve">tions m’avait value », Louis Althusser, </w:t>
      </w:r>
      <w:r w:rsidRPr="00EC50AF">
        <w:rPr>
          <w:rFonts w:ascii="Times New Roman" w:hAnsi="Times New Roman"/>
          <w:i/>
          <w:sz w:val="24"/>
          <w:szCs w:val="18"/>
          <w:lang w:val="fr-CA"/>
        </w:rPr>
        <w:t>L’Avenir…, op. cit.</w:t>
      </w:r>
      <w:r w:rsidRPr="00EC50AF">
        <w:rPr>
          <w:rFonts w:ascii="Times New Roman" w:hAnsi="Times New Roman"/>
          <w:sz w:val="24"/>
          <w:szCs w:val="18"/>
          <w:lang w:val="fr-CA"/>
        </w:rPr>
        <w:t>, p. 215.</w:t>
      </w:r>
    </w:p>
  </w:footnote>
  <w:footnote w:id="356">
    <w:p w14:paraId="187E8F0A" w14:textId="77777777" w:rsidR="00B01930" w:rsidRDefault="00B01930">
      <w:pPr>
        <w:pStyle w:val="Notedebasdepage"/>
      </w:pPr>
      <w:r>
        <w:rPr>
          <w:rStyle w:val="Appelnotedebasdep"/>
        </w:rPr>
        <w:footnoteRef/>
      </w:r>
      <w:r>
        <w:t xml:space="preserve"> </w:t>
      </w:r>
      <w:r>
        <w:tab/>
      </w:r>
      <w:r w:rsidRPr="00EC50AF">
        <w:rPr>
          <w:i/>
          <w:color w:val="000000"/>
          <w:szCs w:val="18"/>
        </w:rPr>
        <w:t>Ibidem</w:t>
      </w:r>
      <w:r w:rsidRPr="00EC50AF">
        <w:rPr>
          <w:color w:val="000000"/>
          <w:szCs w:val="18"/>
        </w:rPr>
        <w:t>, p. 215.</w:t>
      </w:r>
    </w:p>
  </w:footnote>
  <w:footnote w:id="357">
    <w:p w14:paraId="4A4239BD" w14:textId="77777777" w:rsidR="00B01930" w:rsidRDefault="00B01930">
      <w:pPr>
        <w:pStyle w:val="Notedebasdepage"/>
      </w:pPr>
      <w:r>
        <w:rPr>
          <w:rStyle w:val="Appelnotedebasdep"/>
        </w:rPr>
        <w:footnoteRef/>
      </w:r>
      <w:r>
        <w:t xml:space="preserve"> </w:t>
      </w:r>
      <w:r>
        <w:tab/>
      </w:r>
      <w:r w:rsidRPr="00EC50AF">
        <w:rPr>
          <w:i/>
          <w:color w:val="000000"/>
          <w:szCs w:val="18"/>
        </w:rPr>
        <w:t>Ibid.</w:t>
      </w:r>
      <w:r w:rsidRPr="00EC50AF">
        <w:rPr>
          <w:color w:val="000000"/>
          <w:szCs w:val="18"/>
        </w:rPr>
        <w:t>, p. 220 et suiv.</w:t>
      </w:r>
    </w:p>
  </w:footnote>
  <w:footnote w:id="358">
    <w:p w14:paraId="69ADEFF5" w14:textId="77777777" w:rsidR="00B01930" w:rsidRDefault="00B01930">
      <w:pPr>
        <w:pStyle w:val="Notedebasdepage"/>
      </w:pPr>
      <w:r>
        <w:rPr>
          <w:rStyle w:val="Appelnotedebasdep"/>
        </w:rPr>
        <w:footnoteRef/>
      </w:r>
      <w:r>
        <w:t xml:space="preserve"> </w:t>
      </w:r>
      <w:r>
        <w:tab/>
      </w:r>
      <w:r w:rsidRPr="00EC50AF">
        <w:rPr>
          <w:color w:val="000000"/>
          <w:szCs w:val="18"/>
        </w:rPr>
        <w:t xml:space="preserve">« Je ne me suis jamais mis en position sauf peut-être vers 1978 et encore !, de courir vraiment le risque d’en être exclu [du PCF] », Louis Althusser, </w:t>
      </w:r>
      <w:r w:rsidRPr="00EC50AF">
        <w:rPr>
          <w:i/>
          <w:color w:val="000000"/>
          <w:szCs w:val="18"/>
        </w:rPr>
        <w:t>L’Avenir…, op. cit.</w:t>
      </w:r>
      <w:r w:rsidRPr="00EC50AF">
        <w:rPr>
          <w:color w:val="000000"/>
          <w:szCs w:val="18"/>
        </w:rPr>
        <w:t>, p. 191.</w:t>
      </w:r>
    </w:p>
  </w:footnote>
  <w:footnote w:id="359">
    <w:p w14:paraId="50DB8436" w14:textId="77777777" w:rsidR="00B01930" w:rsidRDefault="00B01930">
      <w:pPr>
        <w:pStyle w:val="Notedebasdepage"/>
      </w:pPr>
      <w:r>
        <w:rPr>
          <w:rStyle w:val="Appelnotedebasdep"/>
        </w:rPr>
        <w:footnoteRef/>
      </w:r>
      <w:r>
        <w:t xml:space="preserve"> </w:t>
      </w:r>
      <w:r>
        <w:tab/>
      </w:r>
      <w:r w:rsidRPr="00EC50AF">
        <w:rPr>
          <w:color w:val="000000"/>
          <w:szCs w:val="18"/>
        </w:rPr>
        <w:t xml:space="preserve">M. Contat, </w:t>
      </w:r>
      <w:r w:rsidRPr="00EC50AF">
        <w:rPr>
          <w:i/>
          <w:color w:val="000000"/>
          <w:szCs w:val="18"/>
        </w:rPr>
        <w:t>Le Monde</w:t>
      </w:r>
      <w:r w:rsidRPr="00EC50AF">
        <w:rPr>
          <w:color w:val="000000"/>
          <w:szCs w:val="18"/>
        </w:rPr>
        <w:t xml:space="preserve">, </w:t>
      </w:r>
      <w:r w:rsidRPr="00EC50AF">
        <w:rPr>
          <w:i/>
          <w:color w:val="000000"/>
          <w:szCs w:val="18"/>
        </w:rPr>
        <w:t>op. cit.</w:t>
      </w:r>
    </w:p>
  </w:footnote>
  <w:footnote w:id="360">
    <w:p w14:paraId="106BEF46" w14:textId="77777777" w:rsidR="00B01930" w:rsidRDefault="00B01930">
      <w:pPr>
        <w:pStyle w:val="Notedebasdepage"/>
      </w:pPr>
      <w:r>
        <w:rPr>
          <w:rStyle w:val="Appelnotedebasdep"/>
        </w:rPr>
        <w:footnoteRef/>
      </w:r>
      <w:r>
        <w:t xml:space="preserve"> </w:t>
      </w:r>
      <w:r>
        <w:tab/>
      </w:r>
      <w:r w:rsidRPr="00EC50AF">
        <w:rPr>
          <w:color w:val="000000"/>
          <w:szCs w:val="18"/>
        </w:rPr>
        <w:t xml:space="preserve">Le présent texte était clos lorsque le </w:t>
      </w:r>
      <w:r w:rsidRPr="00EC50AF">
        <w:rPr>
          <w:i/>
          <w:color w:val="000000"/>
          <w:szCs w:val="18"/>
        </w:rPr>
        <w:t>Magazine Littéraire</w:t>
      </w:r>
      <w:r w:rsidRPr="00EC50AF">
        <w:rPr>
          <w:color w:val="000000"/>
          <w:szCs w:val="18"/>
        </w:rPr>
        <w:t xml:space="preserve"> (septe</w:t>
      </w:r>
      <w:r w:rsidRPr="00EC50AF">
        <w:rPr>
          <w:color w:val="000000"/>
          <w:szCs w:val="18"/>
        </w:rPr>
        <w:t>m</w:t>
      </w:r>
      <w:r w:rsidRPr="00EC50AF">
        <w:rPr>
          <w:color w:val="000000"/>
          <w:szCs w:val="18"/>
        </w:rPr>
        <w:t>bre 1994) a publié un numéro consacré à « Marx après le marxisme » qui confirme cette affirmation. Que ce soit au travers de l’individu Karl Marx ou Marx théoricien révolutionnaire etc. Au point que même l’historien Fra</w:t>
      </w:r>
      <w:r w:rsidRPr="00EC50AF">
        <w:rPr>
          <w:color w:val="000000"/>
          <w:szCs w:val="18"/>
        </w:rPr>
        <w:t>n</w:t>
      </w:r>
      <w:r w:rsidRPr="00EC50AF">
        <w:rPr>
          <w:color w:val="000000"/>
          <w:szCs w:val="18"/>
        </w:rPr>
        <w:t xml:space="preserve">çois Furet qui estime qu’on peut lire </w:t>
      </w:r>
      <w:r w:rsidRPr="00EC50AF">
        <w:rPr>
          <w:i/>
          <w:color w:val="000000"/>
          <w:szCs w:val="18"/>
        </w:rPr>
        <w:t>Le Capital</w:t>
      </w:r>
      <w:r w:rsidRPr="00EC50AF">
        <w:rPr>
          <w:color w:val="000000"/>
          <w:szCs w:val="18"/>
        </w:rPr>
        <w:t xml:space="preserve"> comme un livre d’histoire anglaise, ne paraît pas avoir lu les lignes consacrées aux mensonges de Marx, par Paul Johnston in : </w:t>
      </w:r>
      <w:r w:rsidRPr="00EC50AF">
        <w:rPr>
          <w:i/>
          <w:color w:val="000000"/>
          <w:szCs w:val="18"/>
        </w:rPr>
        <w:t>Le grand me</w:t>
      </w:r>
      <w:r w:rsidRPr="00EC50AF">
        <w:rPr>
          <w:i/>
          <w:color w:val="000000"/>
          <w:szCs w:val="18"/>
        </w:rPr>
        <w:t>n</w:t>
      </w:r>
      <w:r w:rsidRPr="00EC50AF">
        <w:rPr>
          <w:i/>
          <w:color w:val="000000"/>
          <w:szCs w:val="18"/>
        </w:rPr>
        <w:t>songe des intellectuels</w:t>
      </w:r>
      <w:r w:rsidRPr="00EC50AF">
        <w:rPr>
          <w:color w:val="000000"/>
          <w:szCs w:val="18"/>
        </w:rPr>
        <w:t>, Paris, Laffont, 1993, p. 71 et suiv.</w:t>
      </w:r>
    </w:p>
  </w:footnote>
  <w:footnote w:id="361">
    <w:p w14:paraId="17C71A3D" w14:textId="77777777" w:rsidR="00B01930" w:rsidRDefault="00B01930">
      <w:pPr>
        <w:pStyle w:val="Notedebasdepage"/>
      </w:pPr>
      <w:r>
        <w:rPr>
          <w:rStyle w:val="Appelnotedebasdep"/>
        </w:rPr>
        <w:footnoteRef/>
      </w:r>
      <w:r>
        <w:t xml:space="preserve"> </w:t>
      </w:r>
      <w:r>
        <w:tab/>
      </w:r>
      <w:r w:rsidRPr="00EC50AF">
        <w:rPr>
          <w:color w:val="000000"/>
          <w:szCs w:val="18"/>
        </w:rPr>
        <w:t xml:space="preserve">Sauf Luc Ferry et A. Leclerc, </w:t>
      </w:r>
      <w:r w:rsidRPr="00EC50AF">
        <w:rPr>
          <w:i/>
          <w:color w:val="000000"/>
          <w:szCs w:val="18"/>
        </w:rPr>
        <w:t>op. cit.</w:t>
      </w:r>
    </w:p>
  </w:footnote>
  <w:footnote w:id="362">
    <w:p w14:paraId="4C46466A" w14:textId="77777777" w:rsidR="00B01930" w:rsidRDefault="00B01930">
      <w:pPr>
        <w:pStyle w:val="Notedebasdepage"/>
      </w:pPr>
      <w:r>
        <w:rPr>
          <w:rStyle w:val="Appelnotedebasdep"/>
        </w:rPr>
        <w:footnoteRef/>
      </w:r>
      <w:r>
        <w:t xml:space="preserve"> </w:t>
      </w:r>
      <w:r>
        <w:tab/>
      </w:r>
      <w:r w:rsidRPr="00EC50AF">
        <w:rPr>
          <w:color w:val="000000"/>
          <w:szCs w:val="18"/>
        </w:rPr>
        <w:t xml:space="preserve">Cf. ce que dit A. Leclerc, pour d’autres raisons, </w:t>
      </w:r>
      <w:r w:rsidRPr="00EC50AF">
        <w:rPr>
          <w:i/>
          <w:color w:val="000000"/>
          <w:szCs w:val="18"/>
        </w:rPr>
        <w:t>Le Magazine Li</w:t>
      </w:r>
      <w:r w:rsidRPr="00EC50AF">
        <w:rPr>
          <w:i/>
          <w:color w:val="000000"/>
          <w:szCs w:val="18"/>
        </w:rPr>
        <w:t>t</w:t>
      </w:r>
      <w:r w:rsidRPr="00EC50AF">
        <w:rPr>
          <w:i/>
          <w:color w:val="000000"/>
          <w:szCs w:val="18"/>
        </w:rPr>
        <w:t>téraire</w:t>
      </w:r>
      <w:r w:rsidRPr="00EC50AF">
        <w:rPr>
          <w:color w:val="000000"/>
          <w:szCs w:val="18"/>
        </w:rPr>
        <w:t>,</w:t>
      </w:r>
      <w:r w:rsidRPr="00EC50AF">
        <w:rPr>
          <w:i/>
          <w:color w:val="000000"/>
          <w:szCs w:val="18"/>
        </w:rPr>
        <w:t xml:space="preserve"> op. cit.</w:t>
      </w:r>
      <w:r w:rsidRPr="00EC50AF">
        <w:rPr>
          <w:color w:val="000000"/>
          <w:szCs w:val="18"/>
        </w:rPr>
        <w:t>, « La seule chose susceptible “d’intéresser” les le</w:t>
      </w:r>
      <w:r w:rsidRPr="00EC50AF">
        <w:rPr>
          <w:color w:val="000000"/>
          <w:szCs w:val="18"/>
        </w:rPr>
        <w:t>c</w:t>
      </w:r>
      <w:r w:rsidRPr="00EC50AF">
        <w:rPr>
          <w:color w:val="000000"/>
          <w:szCs w:val="18"/>
        </w:rPr>
        <w:t>teurs à Althusser tout le monde le sait, lui, les éditeurs, les critiques, c’est le fait brut, saisissant, terr</w:t>
      </w:r>
      <w:r w:rsidRPr="00EC50AF">
        <w:rPr>
          <w:color w:val="000000"/>
          <w:szCs w:val="18"/>
        </w:rPr>
        <w:t>i</w:t>
      </w:r>
      <w:r w:rsidRPr="00EC50AF">
        <w:rPr>
          <w:color w:val="000000"/>
          <w:szCs w:val="18"/>
        </w:rPr>
        <w:t>ble : le phil</w:t>
      </w:r>
      <w:r w:rsidRPr="00EC50AF">
        <w:rPr>
          <w:color w:val="000000"/>
          <w:szCs w:val="18"/>
        </w:rPr>
        <w:t>o</w:t>
      </w:r>
      <w:r w:rsidRPr="00EC50AF">
        <w:rPr>
          <w:color w:val="000000"/>
          <w:szCs w:val="18"/>
        </w:rPr>
        <w:t>sophe marxiste Louis Althusser, dans un accès de démence, a étranglé sa fe</w:t>
      </w:r>
      <w:r w:rsidRPr="00EC50AF">
        <w:rPr>
          <w:color w:val="000000"/>
          <w:szCs w:val="18"/>
        </w:rPr>
        <w:t>m</w:t>
      </w:r>
      <w:r w:rsidRPr="00EC50AF">
        <w:rPr>
          <w:color w:val="000000"/>
          <w:szCs w:val="18"/>
        </w:rPr>
        <w:t>me ».</w:t>
      </w:r>
    </w:p>
  </w:footnote>
  <w:footnote w:id="363">
    <w:p w14:paraId="3F082973" w14:textId="77777777" w:rsidR="00B01930" w:rsidRDefault="00B01930">
      <w:pPr>
        <w:pStyle w:val="Notedebasdepage"/>
      </w:pPr>
      <w:r>
        <w:rPr>
          <w:rStyle w:val="Appelnotedebasdep"/>
        </w:rPr>
        <w:footnoteRef/>
      </w:r>
      <w:r>
        <w:t xml:space="preserve"> </w:t>
      </w:r>
      <w:r>
        <w:tab/>
      </w:r>
      <w:r w:rsidRPr="00EC50AF">
        <w:rPr>
          <w:color w:val="000000"/>
          <w:szCs w:val="18"/>
        </w:rPr>
        <w:t xml:space="preserve">Didier Eribon, </w:t>
      </w:r>
      <w:r w:rsidRPr="00EC50AF">
        <w:rPr>
          <w:i/>
          <w:color w:val="000000"/>
          <w:szCs w:val="18"/>
        </w:rPr>
        <w:t>Le Nouvel Observateur</w:t>
      </w:r>
      <w:r w:rsidRPr="00EC50AF">
        <w:rPr>
          <w:color w:val="000000"/>
          <w:szCs w:val="18"/>
        </w:rPr>
        <w:t xml:space="preserve">, </w:t>
      </w:r>
      <w:r w:rsidRPr="00EC50AF">
        <w:rPr>
          <w:i/>
          <w:color w:val="000000"/>
          <w:szCs w:val="18"/>
        </w:rPr>
        <w:t>op. cit.</w:t>
      </w:r>
    </w:p>
  </w:footnote>
  <w:footnote w:id="364">
    <w:p w14:paraId="372AEB8F" w14:textId="77777777" w:rsidR="00B01930" w:rsidRDefault="00B01930">
      <w:pPr>
        <w:pStyle w:val="Notedebasdepage"/>
      </w:pPr>
      <w:r>
        <w:rPr>
          <w:rStyle w:val="Appelnotedebasdep"/>
        </w:rPr>
        <w:footnoteRef/>
      </w:r>
      <w:r>
        <w:t xml:space="preserve"> </w:t>
      </w:r>
      <w:r>
        <w:tab/>
      </w:r>
      <w:r w:rsidRPr="00EC50AF">
        <w:rPr>
          <w:color w:val="000000"/>
          <w:szCs w:val="18"/>
        </w:rPr>
        <w:t xml:space="preserve">J.P. Leonardini, </w:t>
      </w:r>
      <w:r w:rsidRPr="00EC50AF">
        <w:rPr>
          <w:i/>
          <w:color w:val="000000"/>
          <w:szCs w:val="18"/>
        </w:rPr>
        <w:t>L’Humanité</w:t>
      </w:r>
      <w:r w:rsidRPr="00EC50AF">
        <w:rPr>
          <w:color w:val="000000"/>
          <w:szCs w:val="18"/>
        </w:rPr>
        <w:t xml:space="preserve">, </w:t>
      </w:r>
      <w:r w:rsidRPr="00EC50AF">
        <w:rPr>
          <w:i/>
          <w:color w:val="000000"/>
          <w:szCs w:val="18"/>
        </w:rPr>
        <w:t>op. cit.</w:t>
      </w:r>
    </w:p>
  </w:footnote>
  <w:footnote w:id="365">
    <w:p w14:paraId="049B8B12" w14:textId="77777777" w:rsidR="00B01930" w:rsidRDefault="00B01930">
      <w:pPr>
        <w:pStyle w:val="Notedebasdepage"/>
      </w:pPr>
      <w:r>
        <w:rPr>
          <w:rStyle w:val="Appelnotedebasdep"/>
        </w:rPr>
        <w:footnoteRef/>
      </w:r>
      <w:r>
        <w:t xml:space="preserve"> </w:t>
      </w:r>
      <w:r>
        <w:tab/>
      </w:r>
      <w:r w:rsidRPr="00EC50AF">
        <w:rPr>
          <w:color w:val="000000"/>
          <w:szCs w:val="18"/>
        </w:rPr>
        <w:t xml:space="preserve">R. Maggiori, </w:t>
      </w:r>
      <w:r w:rsidRPr="00EC50AF">
        <w:rPr>
          <w:i/>
          <w:color w:val="000000"/>
          <w:szCs w:val="18"/>
        </w:rPr>
        <w:t>Libération</w:t>
      </w:r>
      <w:r w:rsidRPr="00EC50AF">
        <w:rPr>
          <w:color w:val="000000"/>
          <w:szCs w:val="18"/>
        </w:rPr>
        <w:t xml:space="preserve">, </w:t>
      </w:r>
      <w:r w:rsidRPr="00EC50AF">
        <w:rPr>
          <w:i/>
          <w:color w:val="000000"/>
          <w:szCs w:val="18"/>
        </w:rPr>
        <w:t>op. cit.</w:t>
      </w:r>
    </w:p>
  </w:footnote>
  <w:footnote w:id="366">
    <w:p w14:paraId="5E32D4E7" w14:textId="77777777" w:rsidR="00B01930" w:rsidRDefault="00B01930">
      <w:pPr>
        <w:pStyle w:val="Notedebasdepage"/>
      </w:pPr>
      <w:r>
        <w:rPr>
          <w:rStyle w:val="Appelnotedebasdep"/>
        </w:rPr>
        <w:footnoteRef/>
      </w:r>
      <w:r>
        <w:t xml:space="preserve"> </w:t>
      </w:r>
      <w:r>
        <w:tab/>
      </w:r>
      <w:r w:rsidRPr="00EC50AF">
        <w:rPr>
          <w:i/>
          <w:color w:val="000000"/>
          <w:szCs w:val="18"/>
        </w:rPr>
        <w:t>Ibidem</w:t>
      </w:r>
      <w:bookmarkStart w:id="158" w:name="_GoBack"/>
      <w:bookmarkEnd w:id="158"/>
      <w:r w:rsidRPr="00EC50AF">
        <w:rPr>
          <w:color w:val="000000"/>
          <w:szCs w:val="18"/>
        </w:rPr>
        <w:t>.</w:t>
      </w:r>
    </w:p>
  </w:footnote>
  <w:footnote w:id="367">
    <w:p w14:paraId="5F1E97EE" w14:textId="77777777" w:rsidR="00B01930" w:rsidRDefault="00B01930">
      <w:pPr>
        <w:pStyle w:val="Notedebasdepage"/>
      </w:pPr>
      <w:r>
        <w:rPr>
          <w:rStyle w:val="Appelnotedebasdep"/>
        </w:rPr>
        <w:footnoteRef/>
      </w:r>
      <w:r>
        <w:t xml:space="preserve"> </w:t>
      </w:r>
      <w:r>
        <w:tab/>
      </w:r>
      <w:r w:rsidRPr="00EC50AF">
        <w:rPr>
          <w:color w:val="000000"/>
          <w:szCs w:val="18"/>
        </w:rPr>
        <w:t>Suprême ironie pour un philosophe niant le Sujet et l’Humanisme bou</w:t>
      </w:r>
      <w:r w:rsidRPr="00EC50AF">
        <w:rPr>
          <w:color w:val="000000"/>
          <w:szCs w:val="18"/>
        </w:rPr>
        <w:t>r</w:t>
      </w:r>
      <w:r w:rsidRPr="00EC50AF">
        <w:rPr>
          <w:color w:val="000000"/>
          <w:szCs w:val="18"/>
        </w:rPr>
        <w:t>geois.</w:t>
      </w:r>
    </w:p>
  </w:footnote>
  <w:footnote w:id="368">
    <w:p w14:paraId="33B76286" w14:textId="77777777" w:rsidR="00B01930" w:rsidRDefault="00B01930">
      <w:pPr>
        <w:pStyle w:val="Notedebasdepage"/>
      </w:pPr>
      <w:r>
        <w:rPr>
          <w:rStyle w:val="Appelnotedebasdep"/>
        </w:rPr>
        <w:footnoteRef/>
      </w:r>
      <w:r>
        <w:t xml:space="preserve"> </w:t>
      </w:r>
      <w:r>
        <w:tab/>
      </w:r>
      <w:r w:rsidRPr="00EC50AF">
        <w:rPr>
          <w:color w:val="000000"/>
          <w:szCs w:val="18"/>
        </w:rPr>
        <w:t xml:space="preserve">Cf. Raymond Aron, </w:t>
      </w:r>
      <w:r w:rsidRPr="00EC50AF">
        <w:rPr>
          <w:i/>
          <w:color w:val="000000"/>
          <w:szCs w:val="18"/>
        </w:rPr>
        <w:t>Marxismes</w:t>
      </w:r>
      <w:r w:rsidRPr="00EC50AF">
        <w:rPr>
          <w:color w:val="000000"/>
          <w:szCs w:val="18"/>
        </w:rPr>
        <w:t xml:space="preserve"> .., </w:t>
      </w:r>
      <w:r w:rsidRPr="00EC50AF">
        <w:rPr>
          <w:i/>
          <w:color w:val="000000"/>
          <w:szCs w:val="18"/>
        </w:rPr>
        <w:t>op. cit.</w:t>
      </w:r>
      <w:r w:rsidRPr="00EC50AF">
        <w:rPr>
          <w:color w:val="000000"/>
          <w:szCs w:val="18"/>
        </w:rPr>
        <w:t>, et Althusser lui-même qui décl</w:t>
      </w:r>
      <w:r w:rsidRPr="00EC50AF">
        <w:rPr>
          <w:color w:val="000000"/>
          <w:szCs w:val="18"/>
        </w:rPr>
        <w:t>a</w:t>
      </w:r>
      <w:r w:rsidRPr="00EC50AF">
        <w:rPr>
          <w:color w:val="000000"/>
          <w:szCs w:val="18"/>
        </w:rPr>
        <w:t xml:space="preserve">re : « ne connaissant presque rien à l’Histoire de la philosophie et presque rien à Marx […] Hegel un peu », </w:t>
      </w:r>
      <w:r w:rsidRPr="00EC50AF">
        <w:rPr>
          <w:i/>
          <w:color w:val="000000"/>
          <w:szCs w:val="18"/>
        </w:rPr>
        <w:t>L’Avenir…,</w:t>
      </w:r>
      <w:r w:rsidRPr="00EC50AF">
        <w:rPr>
          <w:color w:val="000000"/>
          <w:szCs w:val="18"/>
        </w:rPr>
        <w:t xml:space="preserve"> </w:t>
      </w:r>
      <w:r w:rsidRPr="00EC50AF">
        <w:rPr>
          <w:i/>
          <w:color w:val="000000"/>
          <w:szCs w:val="18"/>
        </w:rPr>
        <w:t>op. cit.</w:t>
      </w:r>
    </w:p>
  </w:footnote>
  <w:footnote w:id="369">
    <w:p w14:paraId="1D4B7916" w14:textId="77777777" w:rsidR="00B01930" w:rsidRDefault="00B01930">
      <w:pPr>
        <w:pStyle w:val="Notedebasdepage"/>
      </w:pPr>
      <w:r>
        <w:rPr>
          <w:rStyle w:val="Appelnotedebasdep"/>
        </w:rPr>
        <w:footnoteRef/>
      </w:r>
      <w:r>
        <w:t xml:space="preserve"> </w:t>
      </w:r>
      <w:r>
        <w:tab/>
      </w:r>
      <w:r w:rsidRPr="00EC50AF">
        <w:rPr>
          <w:color w:val="000000"/>
          <w:szCs w:val="18"/>
        </w:rPr>
        <w:t>Au cours d’une émission de télévision de FR3, Cf.</w:t>
      </w:r>
      <w:r w:rsidRPr="00EC50AF">
        <w:rPr>
          <w:i/>
          <w:color w:val="000000"/>
          <w:szCs w:val="18"/>
        </w:rPr>
        <w:t xml:space="preserve"> supra</w:t>
      </w:r>
      <w:r w:rsidRPr="00EC50AF">
        <w:rPr>
          <w:color w:val="000000"/>
          <w:szCs w:val="18"/>
        </w:rPr>
        <w:t xml:space="preserve"> </w:t>
      </w:r>
      <w:r w:rsidRPr="00EC50AF">
        <w:rPr>
          <w:color w:val="000000"/>
        </w:rPr>
        <w:t>note 158.</w:t>
      </w:r>
    </w:p>
  </w:footnote>
  <w:footnote w:id="370">
    <w:p w14:paraId="737102A0" w14:textId="77777777" w:rsidR="00B01930" w:rsidRDefault="00B01930">
      <w:pPr>
        <w:pStyle w:val="Notedebasdepage"/>
      </w:pPr>
      <w:r>
        <w:rPr>
          <w:rStyle w:val="Appelnotedebasdep"/>
        </w:rPr>
        <w:footnoteRef/>
      </w:r>
      <w:r>
        <w:t xml:space="preserve"> </w:t>
      </w:r>
      <w:r>
        <w:tab/>
      </w:r>
      <w:r w:rsidRPr="00EC50AF">
        <w:rPr>
          <w:i/>
          <w:color w:val="000000"/>
          <w:szCs w:val="18"/>
        </w:rPr>
        <w:t>Supra</w:t>
      </w:r>
      <w:r w:rsidRPr="00EC50AF">
        <w:rPr>
          <w:color w:val="000000"/>
          <w:szCs w:val="18"/>
        </w:rPr>
        <w:t xml:space="preserve"> et notre texte de 1974.</w:t>
      </w:r>
    </w:p>
  </w:footnote>
  <w:footnote w:id="371">
    <w:p w14:paraId="517EB8D3" w14:textId="77777777" w:rsidR="00B01930" w:rsidRDefault="00B01930">
      <w:pPr>
        <w:pStyle w:val="Notedebasdepage"/>
      </w:pPr>
      <w:r>
        <w:rPr>
          <w:rStyle w:val="Appelnotedebasdep"/>
        </w:rPr>
        <w:footnoteRef/>
      </w:r>
      <w:r>
        <w:t xml:space="preserve"> </w:t>
      </w:r>
      <w:r>
        <w:tab/>
      </w:r>
      <w:r w:rsidRPr="00EC50AF">
        <w:rPr>
          <w:i/>
          <w:color w:val="000000"/>
          <w:szCs w:val="18"/>
        </w:rPr>
        <w:t>Supra</w:t>
      </w:r>
      <w:r w:rsidRPr="00EC50AF">
        <w:rPr>
          <w:color w:val="000000"/>
          <w:szCs w:val="18"/>
        </w:rPr>
        <w:t>, « Le changement des idées politiques dans la pensée matr</w:t>
      </w:r>
      <w:r w:rsidRPr="00EC50AF">
        <w:rPr>
          <w:color w:val="000000"/>
          <w:szCs w:val="18"/>
        </w:rPr>
        <w:t>i</w:t>
      </w:r>
      <w:r w:rsidRPr="00EC50AF">
        <w:rPr>
          <w:color w:val="000000"/>
          <w:szCs w:val="18"/>
        </w:rPr>
        <w:t>enne », et notre texte de 1974.</w:t>
      </w:r>
    </w:p>
  </w:footnote>
  <w:footnote w:id="372">
    <w:p w14:paraId="05854482" w14:textId="77777777" w:rsidR="00B01930" w:rsidRDefault="00B01930">
      <w:pPr>
        <w:pStyle w:val="Notedebasdepage"/>
      </w:pPr>
      <w:r>
        <w:rPr>
          <w:rStyle w:val="Appelnotedebasdep"/>
        </w:rPr>
        <w:footnoteRef/>
      </w:r>
      <w:r>
        <w:t xml:space="preserve"> </w:t>
      </w:r>
      <w:r>
        <w:tab/>
      </w:r>
      <w:r w:rsidRPr="00EC50AF">
        <w:rPr>
          <w:color w:val="000000"/>
          <w:szCs w:val="18"/>
        </w:rPr>
        <w:t xml:space="preserve">À l’exception notable de la remarquable et subtile biographie de Raymond Aron par Nicolas Baveretz, Paris, Flammarion, 1993. </w:t>
      </w:r>
      <w:r w:rsidRPr="00EC50AF">
        <w:rPr>
          <w:color w:val="000000"/>
        </w:rPr>
        <w:t>[Nb de</w:t>
      </w:r>
      <w:r w:rsidRPr="00EC50AF">
        <w:rPr>
          <w:color w:val="000000"/>
          <w:szCs w:val="18"/>
        </w:rPr>
        <w:t xml:space="preserve"> 2016 : en 2003 pour les trente ans de la mort de Raymond Aron il y eut ici et là diverses p</w:t>
      </w:r>
      <w:r w:rsidRPr="00EC50AF">
        <w:rPr>
          <w:color w:val="000000"/>
          <w:szCs w:val="18"/>
        </w:rPr>
        <w:t>u</w:t>
      </w:r>
      <w:r w:rsidRPr="00EC50AF">
        <w:rPr>
          <w:color w:val="000000"/>
          <w:szCs w:val="18"/>
        </w:rPr>
        <w:t xml:space="preserve">blications, dont notamment un numéro spécial de la revue </w:t>
      </w:r>
      <w:r w:rsidRPr="00EC50AF">
        <w:rPr>
          <w:i/>
          <w:color w:val="000000"/>
          <w:szCs w:val="18"/>
        </w:rPr>
        <w:t>Contrepoint</w:t>
      </w:r>
      <w:r w:rsidRPr="00EC50AF">
        <w:rPr>
          <w:color w:val="000000"/>
          <w:szCs w:val="18"/>
        </w:rPr>
        <w:t xml:space="preserve"> : « Aron 30 ans d</w:t>
      </w:r>
      <w:r w:rsidRPr="00EC50AF">
        <w:rPr>
          <w:color w:val="000000"/>
          <w:szCs w:val="18"/>
        </w:rPr>
        <w:t>é</w:t>
      </w:r>
      <w:r w:rsidRPr="00EC50AF">
        <w:rPr>
          <w:color w:val="000000"/>
          <w:szCs w:val="18"/>
        </w:rPr>
        <w:t>jà ».]</w:t>
      </w:r>
    </w:p>
  </w:footnote>
  <w:footnote w:id="373">
    <w:p w14:paraId="64A1D823" w14:textId="77777777" w:rsidR="00B01930" w:rsidRDefault="00B01930">
      <w:pPr>
        <w:pStyle w:val="Notedebasdepage"/>
      </w:pPr>
      <w:r>
        <w:rPr>
          <w:rStyle w:val="Appelnotedebasdep"/>
        </w:rPr>
        <w:footnoteRef/>
      </w:r>
      <w:r>
        <w:t xml:space="preserve"> </w:t>
      </w:r>
      <w:r>
        <w:tab/>
      </w:r>
      <w:r w:rsidRPr="00EC50AF">
        <w:rPr>
          <w:color w:val="000000"/>
          <w:szCs w:val="18"/>
        </w:rPr>
        <w:t xml:space="preserve">Nicolas Baveretz, </w:t>
      </w:r>
      <w:r w:rsidRPr="00EC50AF">
        <w:rPr>
          <w:i/>
          <w:color w:val="000000"/>
          <w:szCs w:val="18"/>
        </w:rPr>
        <w:t>op. cit.</w:t>
      </w:r>
      <w:r w:rsidRPr="00EC50AF">
        <w:rPr>
          <w:color w:val="000000"/>
          <w:szCs w:val="18"/>
        </w:rPr>
        <w:t xml:space="preserve">, p. 470-471. Rappelons que Raymond Aron écrit, à propos de </w:t>
      </w:r>
      <w:r w:rsidRPr="00EC50AF">
        <w:rPr>
          <w:i/>
          <w:color w:val="000000"/>
          <w:szCs w:val="18"/>
        </w:rPr>
        <w:t>L’idéologie française</w:t>
      </w:r>
      <w:r w:rsidRPr="00EC50AF">
        <w:rPr>
          <w:color w:val="000000"/>
          <w:szCs w:val="18"/>
        </w:rPr>
        <w:t xml:space="preserve"> de Bernard-Henry Lévy, dans </w:t>
      </w:r>
      <w:r w:rsidRPr="00EC50AF">
        <w:rPr>
          <w:i/>
          <w:color w:val="000000"/>
          <w:szCs w:val="18"/>
        </w:rPr>
        <w:t>L’Express</w:t>
      </w:r>
      <w:r w:rsidRPr="00EC50AF">
        <w:rPr>
          <w:color w:val="000000"/>
          <w:szCs w:val="18"/>
        </w:rPr>
        <w:t>, 7-13 février 1981, sous le titre « </w:t>
      </w:r>
      <w:r w:rsidRPr="00EC50AF">
        <w:rPr>
          <w:i/>
          <w:color w:val="000000"/>
          <w:szCs w:val="18"/>
        </w:rPr>
        <w:t>Provocation</w:t>
      </w:r>
      <w:r w:rsidRPr="00EC50AF">
        <w:rPr>
          <w:color w:val="000000"/>
          <w:szCs w:val="18"/>
        </w:rPr>
        <w:t> » un article dont on peut retenir les mots suivants : « Le livre de Bernard-Henri Lévy présente quelques-uns des défauts qui m’horripilent : la bourso</w:t>
      </w:r>
      <w:r w:rsidRPr="00EC50AF">
        <w:rPr>
          <w:color w:val="000000"/>
          <w:szCs w:val="18"/>
        </w:rPr>
        <w:t>u</w:t>
      </w:r>
      <w:r w:rsidRPr="00EC50AF">
        <w:rPr>
          <w:color w:val="000000"/>
          <w:szCs w:val="18"/>
        </w:rPr>
        <w:t>flure de style, la prétention à trancher des mérites et démérites des vivants et des morts, […] les citations détachées de leur contexte et interprétées arbitrairement. Pis encore, le doute subsiste à la fin de la lecture : la violence du ton, maintenue d’un bout à l’autre du pa</w:t>
      </w:r>
      <w:r w:rsidRPr="00EC50AF">
        <w:rPr>
          <w:color w:val="000000"/>
          <w:szCs w:val="18"/>
        </w:rPr>
        <w:t>m</w:t>
      </w:r>
      <w:r w:rsidRPr="00EC50AF">
        <w:rPr>
          <w:color w:val="000000"/>
          <w:szCs w:val="18"/>
        </w:rPr>
        <w:t>phlet, révèle-t-elle une i</w:t>
      </w:r>
      <w:r w:rsidRPr="00EC50AF">
        <w:rPr>
          <w:color w:val="000000"/>
          <w:szCs w:val="18"/>
        </w:rPr>
        <w:t>n</w:t>
      </w:r>
      <w:r w:rsidRPr="00EC50AF">
        <w:rPr>
          <w:color w:val="000000"/>
          <w:szCs w:val="18"/>
        </w:rPr>
        <w:t>dignation authentique ou le goût du scandale et de la diffusion de masse ? », et « il viole toutes les règles de l’interprétation honn</w:t>
      </w:r>
      <w:r w:rsidRPr="00EC50AF">
        <w:rPr>
          <w:color w:val="000000"/>
          <w:szCs w:val="18"/>
        </w:rPr>
        <w:t>ê</w:t>
      </w:r>
      <w:r w:rsidRPr="00EC50AF">
        <w:rPr>
          <w:color w:val="000000"/>
          <w:szCs w:val="18"/>
        </w:rPr>
        <w:t xml:space="preserve">te et de la méthode historique » ; Voir </w:t>
      </w:r>
      <w:r w:rsidRPr="00EC50AF">
        <w:rPr>
          <w:i/>
          <w:color w:val="000000"/>
          <w:szCs w:val="18"/>
        </w:rPr>
        <w:t>Essais sur la</w:t>
      </w:r>
      <w:r w:rsidRPr="00EC50AF">
        <w:rPr>
          <w:color w:val="000000"/>
          <w:szCs w:val="18"/>
        </w:rPr>
        <w:t xml:space="preserve"> </w:t>
      </w:r>
      <w:r w:rsidRPr="00EC50AF">
        <w:rPr>
          <w:i/>
          <w:color w:val="000000"/>
          <w:szCs w:val="18"/>
        </w:rPr>
        <w:t>condition juive contemp</w:t>
      </w:r>
      <w:r w:rsidRPr="00EC50AF">
        <w:rPr>
          <w:i/>
          <w:color w:val="000000"/>
          <w:szCs w:val="18"/>
        </w:rPr>
        <w:t>o</w:t>
      </w:r>
      <w:r w:rsidRPr="00EC50AF">
        <w:rPr>
          <w:i/>
          <w:color w:val="000000"/>
          <w:szCs w:val="18"/>
        </w:rPr>
        <w:t>raine</w:t>
      </w:r>
      <w:r w:rsidRPr="00EC50AF">
        <w:rPr>
          <w:color w:val="000000"/>
          <w:szCs w:val="18"/>
        </w:rPr>
        <w:t>, Paris, Texto, textes réunis et a</w:t>
      </w:r>
      <w:r w:rsidRPr="00EC50AF">
        <w:rPr>
          <w:color w:val="000000"/>
          <w:szCs w:val="18"/>
        </w:rPr>
        <w:t>n</w:t>
      </w:r>
      <w:r w:rsidRPr="00EC50AF">
        <w:rPr>
          <w:color w:val="000000"/>
          <w:szCs w:val="18"/>
        </w:rPr>
        <w:t>notés par Perrine Simon-Nahum, éd. 2007, p. 377 et suiv. ; à propos d’un autre livre du même auteur (</w:t>
      </w:r>
      <w:r w:rsidRPr="00EC50AF">
        <w:rPr>
          <w:i/>
          <w:color w:val="000000"/>
          <w:szCs w:val="18"/>
        </w:rPr>
        <w:t>Le</w:t>
      </w:r>
      <w:r w:rsidRPr="00EC50AF">
        <w:rPr>
          <w:color w:val="000000"/>
          <w:szCs w:val="18"/>
        </w:rPr>
        <w:t xml:space="preserve"> </w:t>
      </w:r>
      <w:r w:rsidRPr="00EC50AF">
        <w:rPr>
          <w:i/>
          <w:color w:val="000000"/>
          <w:szCs w:val="18"/>
        </w:rPr>
        <w:t>Testament de Dieu</w:t>
      </w:r>
      <w:r w:rsidRPr="00EC50AF">
        <w:rPr>
          <w:color w:val="000000"/>
          <w:szCs w:val="18"/>
        </w:rPr>
        <w:t xml:space="preserve"> -1979) Aron écrit : « la prétention démesurée du titre, du livre tout e</w:t>
      </w:r>
      <w:r w:rsidRPr="00EC50AF">
        <w:rPr>
          <w:color w:val="000000"/>
          <w:szCs w:val="18"/>
        </w:rPr>
        <w:t>n</w:t>
      </w:r>
      <w:r w:rsidRPr="00EC50AF">
        <w:rPr>
          <w:color w:val="000000"/>
          <w:szCs w:val="18"/>
        </w:rPr>
        <w:t>tier, les jugements catégoriques sur Jérusalem et Athènes, fondés sur une ér</w:t>
      </w:r>
      <w:r w:rsidRPr="00EC50AF">
        <w:rPr>
          <w:color w:val="000000"/>
          <w:szCs w:val="18"/>
        </w:rPr>
        <w:t>u</w:t>
      </w:r>
      <w:r w:rsidRPr="00EC50AF">
        <w:rPr>
          <w:color w:val="000000"/>
          <w:szCs w:val="18"/>
        </w:rPr>
        <w:t xml:space="preserve">dition de pacotille », Raymond Aron, </w:t>
      </w:r>
      <w:r w:rsidRPr="00EC50AF">
        <w:rPr>
          <w:i/>
          <w:color w:val="000000"/>
          <w:szCs w:val="18"/>
        </w:rPr>
        <w:t>Mémoires</w:t>
      </w:r>
      <w:r w:rsidRPr="00EC50AF">
        <w:rPr>
          <w:color w:val="000000"/>
          <w:szCs w:val="18"/>
        </w:rPr>
        <w:t xml:space="preserve">, Paris, Julliard, 1983, p. 705 et suiv. Ajoutons, à propos de </w:t>
      </w:r>
      <w:r w:rsidRPr="00EC50AF">
        <w:rPr>
          <w:i/>
          <w:color w:val="000000"/>
          <w:szCs w:val="18"/>
        </w:rPr>
        <w:t>L’Idéologie française</w:t>
      </w:r>
      <w:r w:rsidRPr="00EC50AF">
        <w:rPr>
          <w:color w:val="000000"/>
          <w:szCs w:val="18"/>
        </w:rPr>
        <w:t>, des extraits de comme</w:t>
      </w:r>
      <w:r w:rsidRPr="00EC50AF">
        <w:rPr>
          <w:color w:val="000000"/>
          <w:szCs w:val="18"/>
        </w:rPr>
        <w:t>n</w:t>
      </w:r>
      <w:r w:rsidRPr="00EC50AF">
        <w:rPr>
          <w:color w:val="000000"/>
          <w:szCs w:val="18"/>
        </w:rPr>
        <w:t xml:space="preserve">taires, comme Pierre Nora : « [BHL] dit n’importe quoi », </w:t>
      </w:r>
      <w:r w:rsidRPr="00EC50AF">
        <w:rPr>
          <w:i/>
          <w:color w:val="000000"/>
          <w:szCs w:val="18"/>
        </w:rPr>
        <w:t>Le Débat</w:t>
      </w:r>
      <w:r w:rsidRPr="00EC50AF">
        <w:rPr>
          <w:color w:val="000000"/>
          <w:szCs w:val="18"/>
        </w:rPr>
        <w:t>, juin 1981 ; ou René Rémond : « […] m</w:t>
      </w:r>
      <w:r w:rsidRPr="00EC50AF">
        <w:rPr>
          <w:color w:val="000000"/>
          <w:szCs w:val="18"/>
        </w:rPr>
        <w:t>é</w:t>
      </w:r>
      <w:r w:rsidRPr="00EC50AF">
        <w:rPr>
          <w:color w:val="000000"/>
          <w:szCs w:val="18"/>
        </w:rPr>
        <w:t xml:space="preserve">lange d’idées justes qui ne sont pas neuves et d’idées neuves qui ne sont pas justes », </w:t>
      </w:r>
      <w:r w:rsidRPr="00EC50AF">
        <w:rPr>
          <w:i/>
          <w:color w:val="000000"/>
          <w:szCs w:val="18"/>
        </w:rPr>
        <w:t>Le Point</w:t>
      </w:r>
      <w:r w:rsidRPr="00EC50AF">
        <w:rPr>
          <w:color w:val="000000"/>
          <w:szCs w:val="18"/>
        </w:rPr>
        <w:t>, 26 janvier 1981 ; et M</w:t>
      </w:r>
      <w:r w:rsidRPr="00EC50AF">
        <w:rPr>
          <w:color w:val="000000"/>
          <w:szCs w:val="18"/>
        </w:rPr>
        <w:t>i</w:t>
      </w:r>
      <w:r w:rsidRPr="00EC50AF">
        <w:rPr>
          <w:color w:val="000000"/>
          <w:szCs w:val="18"/>
        </w:rPr>
        <w:t xml:space="preserve">chel Winock montre dans </w:t>
      </w:r>
      <w:r w:rsidRPr="00EC50AF">
        <w:rPr>
          <w:i/>
          <w:color w:val="000000"/>
          <w:szCs w:val="18"/>
        </w:rPr>
        <w:t>Témoignage Chrétien</w:t>
      </w:r>
      <w:r w:rsidRPr="00EC50AF">
        <w:rPr>
          <w:color w:val="000000"/>
          <w:szCs w:val="18"/>
        </w:rPr>
        <w:t xml:space="preserve"> du 26 janvier 1981, que « BHL » se moque de l’Histoire.</w:t>
      </w:r>
    </w:p>
  </w:footnote>
  <w:footnote w:id="374">
    <w:p w14:paraId="2FED974C" w14:textId="77777777" w:rsidR="00B01930" w:rsidRDefault="00B01930" w:rsidP="00B01930">
      <w:pPr>
        <w:pStyle w:val="Notedebasdepage"/>
      </w:pPr>
      <w:r>
        <w:rPr>
          <w:rStyle w:val="Appelnotedebasdep"/>
        </w:rPr>
        <w:footnoteRef/>
      </w:r>
      <w:r>
        <w:t xml:space="preserve"> </w:t>
      </w:r>
      <w:r>
        <w:tab/>
      </w:r>
      <w:r w:rsidRPr="0004576F">
        <w:t xml:space="preserve">Cf. notamment de Jacqueline de Romilly, </w:t>
      </w:r>
      <w:r w:rsidRPr="0004576F">
        <w:rPr>
          <w:i/>
        </w:rPr>
        <w:t>La Loi dans la pensée grecque, des origines à Aristote</w:t>
      </w:r>
      <w:r w:rsidRPr="0004576F">
        <w:t>, Paris, Be</w:t>
      </w:r>
      <w:r w:rsidRPr="0004576F">
        <w:t>l</w:t>
      </w:r>
      <w:r w:rsidRPr="0004576F">
        <w:t xml:space="preserve">les Lettres, 1971 et </w:t>
      </w:r>
      <w:r w:rsidRPr="0004576F">
        <w:rPr>
          <w:i/>
        </w:rPr>
        <w:t>Les Grands Sophistes dans l’Athènes de Périclès</w:t>
      </w:r>
      <w:r w:rsidRPr="0004576F">
        <w:t xml:space="preserve">, Paris, de Fallois, 1988. Cf. aussi de Gilbert Romeyer-d’Herbet, son « Que-sais-Je ? », </w:t>
      </w:r>
      <w:r w:rsidRPr="0004576F">
        <w:rPr>
          <w:i/>
        </w:rPr>
        <w:t>Les S</w:t>
      </w:r>
      <w:r w:rsidRPr="0004576F">
        <w:rPr>
          <w:i/>
        </w:rPr>
        <w:t>o</w:t>
      </w:r>
      <w:r w:rsidRPr="0004576F">
        <w:rPr>
          <w:i/>
        </w:rPr>
        <w:t>phistes</w:t>
      </w:r>
      <w:r w:rsidRPr="0004576F">
        <w:t>.</w:t>
      </w:r>
    </w:p>
  </w:footnote>
  <w:footnote w:id="375">
    <w:p w14:paraId="48D21D9E" w14:textId="77777777" w:rsidR="00B01930" w:rsidRDefault="00B01930" w:rsidP="00B01930">
      <w:pPr>
        <w:pStyle w:val="Notedebasdepage"/>
      </w:pPr>
      <w:r>
        <w:rPr>
          <w:rStyle w:val="Appelnotedebasdep"/>
        </w:rPr>
        <w:footnoteRef/>
      </w:r>
      <w:r>
        <w:t xml:space="preserve"> </w:t>
      </w:r>
      <w:r>
        <w:tab/>
      </w:r>
      <w:r w:rsidRPr="0004576F">
        <w:t>Ceci dit en filigrane de l’œuvre de Marcel Granet, de l’École durkheimienne, ou de celle de François Julien, parmi d’autres, trop exclusivistes et relativistes peut-être face aux enseignements plus universalistes et compar</w:t>
      </w:r>
      <w:r w:rsidRPr="0004576F">
        <w:t>a</w:t>
      </w:r>
      <w:r w:rsidRPr="0004576F">
        <w:t xml:space="preserve">tistes de l’école sinologique et anthropologique de Cambridge. Cf. de Marcel Granet, </w:t>
      </w:r>
      <w:hyperlink r:id="rId16" w:history="1">
        <w:r w:rsidRPr="00FA5D3E">
          <w:rPr>
            <w:rStyle w:val="Hyperlien"/>
            <w:i/>
          </w:rPr>
          <w:t>La Pensée chinoise</w:t>
        </w:r>
        <w:r w:rsidRPr="00FA5D3E">
          <w:rPr>
            <w:rStyle w:val="Hyperlien"/>
          </w:rPr>
          <w:t> </w:t>
        </w:r>
      </w:hyperlink>
      <w:r w:rsidRPr="0004576F">
        <w:t xml:space="preserve">; </w:t>
      </w:r>
      <w:hyperlink r:id="rId17" w:history="1">
        <w:r w:rsidRPr="00FA5D3E">
          <w:rPr>
            <w:rStyle w:val="Hyperlien"/>
            <w:i/>
          </w:rPr>
          <w:t>La Civilisation chinoise</w:t>
        </w:r>
      </w:hyperlink>
      <w:r w:rsidRPr="0004576F">
        <w:t>, ainsi que l’œuvre multiforme des « passeurs » que sont aussi, notamment Étiemble, Fra</w:t>
      </w:r>
      <w:r w:rsidRPr="0004576F">
        <w:t>n</w:t>
      </w:r>
      <w:r w:rsidRPr="0004576F">
        <w:t xml:space="preserve">çois Julien, Joseph Needham, Geofrey Lloyd, Jack Goody, parmi d’autres. Cf. aussi la préface de Jean-Louis Martres, à l’ouvrage de son étudiant, Xu Zen Zhu, </w:t>
      </w:r>
      <w:hyperlink r:id="rId18" w:history="1">
        <w:r w:rsidRPr="00FA5D3E">
          <w:rPr>
            <w:rStyle w:val="Hyperlien"/>
            <w:i/>
          </w:rPr>
          <w:t>L’Art de la pol</w:t>
        </w:r>
        <w:r w:rsidRPr="00FA5D3E">
          <w:rPr>
            <w:rStyle w:val="Hyperlien"/>
            <w:i/>
          </w:rPr>
          <w:t>i</w:t>
        </w:r>
        <w:r w:rsidRPr="00FA5D3E">
          <w:rPr>
            <w:rStyle w:val="Hyperlien"/>
            <w:i/>
          </w:rPr>
          <w:t>tique chez les légistes chinois</w:t>
        </w:r>
      </w:hyperlink>
      <w:r w:rsidRPr="0004576F">
        <w:t>, Paris, Écon</w:t>
      </w:r>
      <w:r w:rsidRPr="0004576F">
        <w:t>o</w:t>
      </w:r>
      <w:r w:rsidRPr="0004576F">
        <w:t>mica, 1995.</w:t>
      </w:r>
    </w:p>
  </w:footnote>
  <w:footnote w:id="376">
    <w:p w14:paraId="3FC71C87" w14:textId="77777777" w:rsidR="00B01930" w:rsidRPr="0004576F" w:rsidRDefault="00B01930" w:rsidP="00B01930">
      <w:r w:rsidRPr="0004576F">
        <w:rPr>
          <w:rFonts w:eastAsia="Calibri"/>
          <w:sz w:val="24"/>
        </w:rPr>
        <w:footnoteRef/>
      </w:r>
      <w:r w:rsidRPr="0004576F">
        <w:t xml:space="preserve"> </w:t>
      </w:r>
    </w:p>
  </w:footnote>
  <w:footnote w:id="377">
    <w:p w14:paraId="549E309F" w14:textId="77777777" w:rsidR="00B01930" w:rsidRDefault="00B01930" w:rsidP="00B01930">
      <w:pPr>
        <w:pStyle w:val="Notedebasdepage"/>
      </w:pPr>
      <w:r>
        <w:rPr>
          <w:rStyle w:val="Appelnotedebasdep"/>
        </w:rPr>
        <w:footnoteRef/>
      </w:r>
      <w:r>
        <w:t xml:space="preserve"> </w:t>
      </w:r>
      <w:r>
        <w:tab/>
      </w:r>
      <w:r w:rsidRPr="0004576F">
        <w:t xml:space="preserve">Cf. Michel Bergès, </w:t>
      </w:r>
      <w:hyperlink r:id="rId19" w:history="1">
        <w:r w:rsidRPr="00FA5D3E">
          <w:rPr>
            <w:rStyle w:val="Hyperlien"/>
            <w:i/>
          </w:rPr>
          <w:t>Machiavel, Un penseur masqué ?</w:t>
        </w:r>
      </w:hyperlink>
      <w:r w:rsidRPr="0004576F">
        <w:t>, Paris, Bruxelles, Éd</w:t>
      </w:r>
      <w:r w:rsidRPr="0004576F">
        <w:t>i</w:t>
      </w:r>
      <w:r w:rsidRPr="0004576F">
        <w:t>tions Co</w:t>
      </w:r>
      <w:r w:rsidRPr="0004576F">
        <w:t>m</w:t>
      </w:r>
      <w:r w:rsidRPr="0004576F">
        <w:t>plexe, 2000.</w:t>
      </w:r>
    </w:p>
  </w:footnote>
  <w:footnote w:id="378">
    <w:p w14:paraId="53BC2BD6" w14:textId="77777777" w:rsidR="00B01930" w:rsidRDefault="00B01930" w:rsidP="00B01930">
      <w:pPr>
        <w:pStyle w:val="Notedebasdepage"/>
      </w:pPr>
      <w:r>
        <w:rPr>
          <w:rStyle w:val="Appelnotedebasdep"/>
        </w:rPr>
        <w:footnoteRef/>
      </w:r>
      <w:r>
        <w:t xml:space="preserve"> </w:t>
      </w:r>
      <w:r>
        <w:tab/>
      </w:r>
      <w:r w:rsidRPr="0004576F">
        <w:t xml:space="preserve">Cf. Lambros Couloubaritsis, </w:t>
      </w:r>
      <w:r w:rsidRPr="0004576F">
        <w:rPr>
          <w:i/>
        </w:rPr>
        <w:t>Histoire de la philosophie ancienne et médiévale. Figures illustres</w:t>
      </w:r>
      <w:r w:rsidRPr="0004576F">
        <w:t>, Paris, Gra</w:t>
      </w:r>
      <w:r w:rsidRPr="0004576F">
        <w:t>s</w:t>
      </w:r>
      <w:r w:rsidRPr="0004576F">
        <w:t xml:space="preserve">set, 1998, notamment les p. 15-27. Sans parler de Delatte, cité plus loin, nous devons beaucoup ici aux travaux lumineux de Jean-François Mattéi : article de la </w:t>
      </w:r>
      <w:r w:rsidRPr="0004576F">
        <w:rPr>
          <w:i/>
        </w:rPr>
        <w:t>Revue Philosophie grecque</w:t>
      </w:r>
      <w:r w:rsidRPr="0004576F">
        <w:t xml:space="preserve">, « Philosophie du nombre nuptial chez Platon », juillet-septembre 2002, p. 281-303, dans son ouvrage </w:t>
      </w:r>
      <w:r w:rsidRPr="0004576F">
        <w:rPr>
          <w:i/>
        </w:rPr>
        <w:t>Phythagore et les Phythagoriciens</w:t>
      </w:r>
      <w:r w:rsidRPr="0004576F">
        <w:t>, Paris, PUF, Que-Sais-je ?, 2001 – 3</w:t>
      </w:r>
      <w:r w:rsidRPr="0004576F">
        <w:rPr>
          <w:vertAlign w:val="superscript"/>
        </w:rPr>
        <w:t>ème</w:t>
      </w:r>
      <w:r w:rsidRPr="0004576F">
        <w:t xml:space="preserve"> édition, en ajoutant évidemment le colloque de Nice, qu’il a brillamment organ</w:t>
      </w:r>
      <w:r w:rsidRPr="0004576F">
        <w:t>i</w:t>
      </w:r>
      <w:r w:rsidRPr="0004576F">
        <w:t xml:space="preserve">sé, </w:t>
      </w:r>
      <w:r w:rsidRPr="0004576F">
        <w:rPr>
          <w:i/>
        </w:rPr>
        <w:t>La Naissance de la Raison en Grèce</w:t>
      </w:r>
      <w:r w:rsidRPr="0004576F">
        <w:t xml:space="preserve">, Paris, </w:t>
      </w:r>
      <w:r w:rsidRPr="0004576F">
        <w:rPr>
          <w:smallCaps/>
        </w:rPr>
        <w:t>Puf,</w:t>
      </w:r>
      <w:r w:rsidRPr="0004576F">
        <w:t xml:space="preserve"> col. « Quadrige », 1990, </w:t>
      </w:r>
      <w:r w:rsidRPr="0004576F">
        <w:rPr>
          <w:i/>
        </w:rPr>
        <w:t>La Crise du sens</w:t>
      </w:r>
      <w:r w:rsidRPr="0004576F">
        <w:t xml:space="preserve">, Paris Éditions Cécile Defaut, 2006 ; </w:t>
      </w:r>
      <w:r w:rsidRPr="0004576F">
        <w:rPr>
          <w:rFonts w:cs="Helvetica"/>
          <w:i/>
          <w:iCs/>
          <w:szCs w:val="26"/>
        </w:rPr>
        <w:t>La Pui</w:t>
      </w:r>
      <w:r w:rsidRPr="0004576F">
        <w:rPr>
          <w:rFonts w:cs="Helvetica"/>
          <w:i/>
          <w:iCs/>
          <w:szCs w:val="26"/>
        </w:rPr>
        <w:t>s</w:t>
      </w:r>
      <w:r w:rsidRPr="0004576F">
        <w:rPr>
          <w:rFonts w:cs="Helvetica"/>
          <w:i/>
          <w:iCs/>
          <w:szCs w:val="26"/>
        </w:rPr>
        <w:t>sance du simulacre. Dans les pas de Platon</w:t>
      </w:r>
      <w:r w:rsidRPr="0004576F">
        <w:rPr>
          <w:rFonts w:cs="Helvetica"/>
          <w:szCs w:val="26"/>
        </w:rPr>
        <w:t>, Paris, François Bourin, 2013</w:t>
      </w:r>
      <w:r w:rsidRPr="0004576F">
        <w:t>.</w:t>
      </w:r>
    </w:p>
    <w:p w14:paraId="74EA960B" w14:textId="77777777" w:rsidR="00B01930" w:rsidRDefault="00B01930" w:rsidP="00B01930">
      <w:pPr>
        <w:pStyle w:val="Notedebasdepage"/>
      </w:pPr>
      <w:r>
        <w:tab/>
      </w:r>
      <w:r>
        <w:tab/>
      </w:r>
      <w:r w:rsidRPr="0004576F">
        <w:t xml:space="preserve">Autres livres de référence, ceux, évidemment, de Matika C. Ghyka, </w:t>
      </w:r>
      <w:r w:rsidRPr="0004576F">
        <w:rPr>
          <w:i/>
        </w:rPr>
        <w:t>Le Nombre d’or</w:t>
      </w:r>
      <w:r w:rsidRPr="0004576F">
        <w:t xml:space="preserve">, Paris Gallimard, 1959, de Jamie James, </w:t>
      </w:r>
      <w:r w:rsidRPr="0004576F">
        <w:rPr>
          <w:i/>
        </w:rPr>
        <w:t>La  Musique des sph</w:t>
      </w:r>
      <w:r w:rsidRPr="0004576F">
        <w:rPr>
          <w:i/>
        </w:rPr>
        <w:t>è</w:t>
      </w:r>
      <w:r w:rsidRPr="0004576F">
        <w:rPr>
          <w:i/>
        </w:rPr>
        <w:t>res</w:t>
      </w:r>
      <w:r w:rsidRPr="0004576F">
        <w:t>, Paris, Éditions du R</w:t>
      </w:r>
      <w:r w:rsidRPr="0004576F">
        <w:t>o</w:t>
      </w:r>
      <w:r w:rsidRPr="0004576F">
        <w:t xml:space="preserve">cher, 1997, et, de Jean-Luc Perillié </w:t>
      </w:r>
      <w:r w:rsidRPr="0004576F">
        <w:rPr>
          <w:i/>
        </w:rPr>
        <w:t>et alii</w:t>
      </w:r>
      <w:r w:rsidRPr="0004576F">
        <w:t xml:space="preserve">, </w:t>
      </w:r>
      <w:r w:rsidRPr="0004576F">
        <w:rPr>
          <w:i/>
        </w:rPr>
        <w:t>Platon et les Pythagoriciens. Hiérarchie des savoirs et des pratiques. Musique – Scie</w:t>
      </w:r>
      <w:r w:rsidRPr="0004576F">
        <w:rPr>
          <w:i/>
        </w:rPr>
        <w:t>n</w:t>
      </w:r>
      <w:r w:rsidRPr="0004576F">
        <w:rPr>
          <w:i/>
        </w:rPr>
        <w:t>ce – Politique</w:t>
      </w:r>
      <w:r w:rsidRPr="0004576F">
        <w:t xml:space="preserve">, </w:t>
      </w:r>
      <w:r w:rsidRPr="0004576F">
        <w:rPr>
          <w:i/>
        </w:rPr>
        <w:t>Cahiers de philosophie ancie</w:t>
      </w:r>
      <w:r w:rsidRPr="0004576F">
        <w:rPr>
          <w:i/>
        </w:rPr>
        <w:t>n</w:t>
      </w:r>
      <w:r w:rsidRPr="0004576F">
        <w:rPr>
          <w:i/>
        </w:rPr>
        <w:t>ne</w:t>
      </w:r>
      <w:r w:rsidRPr="0004576F">
        <w:t xml:space="preserve"> n° 20, Éditions Ousia, 2008. On lira encore avec profit, entre autres ouvrages, Ernest Britt, </w:t>
      </w:r>
      <w:r w:rsidRPr="0004576F">
        <w:rPr>
          <w:i/>
        </w:rPr>
        <w:t>La Lyre d’Appolon</w:t>
      </w:r>
      <w:r w:rsidRPr="0004576F">
        <w:t xml:space="preserve">, Paris, Éditions Véga, 1931 ; Valentin Érigène, </w:t>
      </w:r>
      <w:r w:rsidRPr="0004576F">
        <w:rPr>
          <w:i/>
        </w:rPr>
        <w:t>Mystères et po</w:t>
      </w:r>
      <w:r w:rsidRPr="0004576F">
        <w:rPr>
          <w:i/>
        </w:rPr>
        <w:t>u</w:t>
      </w:r>
      <w:r w:rsidRPr="0004576F">
        <w:rPr>
          <w:i/>
        </w:rPr>
        <w:t>voirs des sons au temps des pharaons. À la recherche d’une science perdue</w:t>
      </w:r>
      <w:r w:rsidRPr="0004576F">
        <w:t xml:space="preserve">, Paris, Éditions Guy Trédaniel, 1990 ; Joscelyn Godwin, </w:t>
      </w:r>
      <w:r w:rsidRPr="0004576F">
        <w:rPr>
          <w:i/>
        </w:rPr>
        <w:t>Les Harmonies du ciel et de la terre. La dimension spirituelle de la musique</w:t>
      </w:r>
      <w:r w:rsidRPr="0004576F">
        <w:t xml:space="preserve">, Paris, Dervy, « Bibliothèque de l’hermétisme », 1997 et, du même auteur, </w:t>
      </w:r>
      <w:r w:rsidRPr="0004576F">
        <w:rPr>
          <w:i/>
        </w:rPr>
        <w:t>The Harmony of Spheres : The Pythagorean Tradition in Music</w:t>
      </w:r>
      <w:r w:rsidRPr="0004576F">
        <w:t>, Rochester, Éditeur Inner Tr</w:t>
      </w:r>
      <w:r w:rsidRPr="0004576F">
        <w:t>a</w:t>
      </w:r>
      <w:r w:rsidRPr="0004576F">
        <w:t xml:space="preserve">dition, 1992 ; Jacques Viret, </w:t>
      </w:r>
      <w:r w:rsidRPr="0004576F">
        <w:rPr>
          <w:i/>
        </w:rPr>
        <w:t>Le Chant grégorien, musique de la parole sacrée</w:t>
      </w:r>
      <w:r w:rsidRPr="0004576F">
        <w:t xml:space="preserve">, Lausane, l’Âge d’homme, 1986. Sur le courant créé par Pythagore dans son ensemble, cf. Carl Huffmann, « Pythagorisme », in Jacques Brunschwig, Geoffrey Lloyd (dir.), </w:t>
      </w:r>
      <w:r w:rsidRPr="0004576F">
        <w:rPr>
          <w:i/>
        </w:rPr>
        <w:t>Le Savoir grec. Dictionnaire critique</w:t>
      </w:r>
      <w:r w:rsidRPr="0004576F">
        <w:t>, Paris, Flamm</w:t>
      </w:r>
      <w:r w:rsidRPr="0004576F">
        <w:t>a</w:t>
      </w:r>
      <w:r w:rsidRPr="0004576F">
        <w:t>rion, 1996, p. 982-1000.</w:t>
      </w:r>
    </w:p>
    <w:p w14:paraId="668B1403" w14:textId="77777777" w:rsidR="00B01930" w:rsidRDefault="00B01930" w:rsidP="00B01930">
      <w:pPr>
        <w:pStyle w:val="Notedebasdepage"/>
      </w:pPr>
      <w:r>
        <w:tab/>
      </w:r>
      <w:r>
        <w:tab/>
      </w:r>
      <w:r w:rsidRPr="0004576F">
        <w:t xml:space="preserve">Sur </w:t>
      </w:r>
      <w:r w:rsidRPr="0004576F">
        <w:rPr>
          <w:i/>
        </w:rPr>
        <w:t>Internet</w:t>
      </w:r>
      <w:r w:rsidRPr="0004576F">
        <w:t>, il est indispensable de consulter l’article brillant du musicien Max M</w:t>
      </w:r>
      <w:r w:rsidRPr="0004576F">
        <w:t>é</w:t>
      </w:r>
      <w:r w:rsidRPr="0004576F">
        <w:t>reaux, « </w:t>
      </w:r>
      <w:hyperlink r:id="rId20" w:history="1">
        <w:r w:rsidRPr="00FA5D3E">
          <w:rPr>
            <w:rStyle w:val="Hyperlien"/>
          </w:rPr>
          <w:t>Symbolique des systèmes musicaux </w:t>
        </w:r>
      </w:hyperlink>
      <w:r>
        <w:t>»</w:t>
      </w:r>
      <w:r w:rsidRPr="0004576F">
        <w:t>. Nous pouvons lire aussi, d’un collègue r</w:t>
      </w:r>
      <w:r w:rsidRPr="0004576F">
        <w:t>é</w:t>
      </w:r>
      <w:r w:rsidRPr="0004576F">
        <w:t>cemment disparu, rencontré à Bordeaux en 1996, Shmuhel Noah Eisenstadt, de l’Université hébraïque de Jérusalem, son ouvr</w:t>
      </w:r>
      <w:r w:rsidRPr="0004576F">
        <w:t>a</w:t>
      </w:r>
      <w:r w:rsidRPr="0004576F">
        <w:t xml:space="preserve">ge illuminateur, hérité de la pensée de Max Weber et de Martin Buber, </w:t>
      </w:r>
      <w:r w:rsidRPr="0004576F">
        <w:rPr>
          <w:i/>
        </w:rPr>
        <w:t>Les Antinomies de la modernité. Les composantes jacobines de la modernité et du fondementalisme</w:t>
      </w:r>
      <w:r w:rsidRPr="0004576F">
        <w:t>, Paris, l’Arche 1997.</w:t>
      </w:r>
    </w:p>
  </w:footnote>
  <w:footnote w:id="379">
    <w:p w14:paraId="008BA636" w14:textId="77777777" w:rsidR="00B01930" w:rsidRDefault="00B01930">
      <w:pPr>
        <w:pStyle w:val="Notedebasdepage"/>
      </w:pPr>
      <w:r>
        <w:rPr>
          <w:rStyle w:val="Appelnotedebasdep"/>
        </w:rPr>
        <w:footnoteRef/>
      </w:r>
      <w:r>
        <w:t xml:space="preserve"> </w:t>
      </w:r>
      <w:r>
        <w:tab/>
      </w:r>
      <w:r w:rsidRPr="0004576F">
        <w:t xml:space="preserve">Paris, Éditions du </w:t>
      </w:r>
      <w:r w:rsidRPr="0004576F">
        <w:rPr>
          <w:smallCaps/>
        </w:rPr>
        <w:t>Cerf,</w:t>
      </w:r>
      <w:r w:rsidRPr="0004576F">
        <w:t xml:space="preserve"> novembre 2008. Voici l’extrait de ce discours de </w:t>
      </w:r>
      <w:r>
        <w:t>B</w:t>
      </w:r>
      <w:r>
        <w:t>e</w:t>
      </w:r>
      <w:r>
        <w:t>noît XVI</w:t>
      </w:r>
      <w:r w:rsidRPr="0004576F">
        <w:t xml:space="preserve"> auquel nous pensons là, concernant l’apport monastique chrétien à la culture européenne :</w:t>
      </w:r>
    </w:p>
    <w:p w14:paraId="08742768" w14:textId="77777777" w:rsidR="00B01930" w:rsidRDefault="00B01930">
      <w:pPr>
        <w:pStyle w:val="Notedebasdepage"/>
      </w:pPr>
      <w:r>
        <w:tab/>
      </w:r>
      <w:r>
        <w:tab/>
      </w:r>
      <w:r w:rsidRPr="0004576F">
        <w:t>« </w:t>
      </w:r>
      <w:r w:rsidRPr="0004576F">
        <w:rPr>
          <w:i/>
        </w:rPr>
        <w:t>Se trouve ici exprimée la conscience de</w:t>
      </w:r>
      <w:r w:rsidRPr="0004576F">
        <w:t xml:space="preserve"> </w:t>
      </w:r>
      <w:r w:rsidRPr="0004576F">
        <w:rPr>
          <w:i/>
        </w:rPr>
        <w:t>chanter, dans la prière comm</w:t>
      </w:r>
      <w:r w:rsidRPr="0004576F">
        <w:rPr>
          <w:i/>
        </w:rPr>
        <w:t>u</w:t>
      </w:r>
      <w:r w:rsidRPr="0004576F">
        <w:rPr>
          <w:i/>
        </w:rPr>
        <w:t>nautaire, en présence de toute la cour céleste, et donc d’être soumis à la m</w:t>
      </w:r>
      <w:r w:rsidRPr="0004576F">
        <w:rPr>
          <w:i/>
        </w:rPr>
        <w:t>e</w:t>
      </w:r>
      <w:r w:rsidRPr="0004576F">
        <w:rPr>
          <w:i/>
        </w:rPr>
        <w:t>sure suprême : prier et chanter pour s’unir à la musique des esprits s</w:t>
      </w:r>
      <w:r w:rsidRPr="0004576F">
        <w:rPr>
          <w:i/>
        </w:rPr>
        <w:t>u</w:t>
      </w:r>
      <w:r w:rsidRPr="0004576F">
        <w:rPr>
          <w:i/>
        </w:rPr>
        <w:t xml:space="preserve">blimes qui étaient considérés comme les auteurs de l’harmonie du </w:t>
      </w:r>
      <w:r w:rsidRPr="0004576F">
        <w:t>Cosmos</w:t>
      </w:r>
      <w:r w:rsidRPr="0004576F">
        <w:rPr>
          <w:i/>
        </w:rPr>
        <w:t xml:space="preserve">, de la Musique des Sphères </w:t>
      </w:r>
      <w:r w:rsidRPr="0004576F">
        <w:t>[sic].</w:t>
      </w:r>
      <w:r w:rsidRPr="0004576F">
        <w:rPr>
          <w:i/>
        </w:rPr>
        <w:t xml:space="preserve"> Les moines, par leurs prières et leurs chants, do</w:t>
      </w:r>
      <w:r w:rsidRPr="0004576F">
        <w:rPr>
          <w:i/>
        </w:rPr>
        <w:t>i</w:t>
      </w:r>
      <w:r w:rsidRPr="0004576F">
        <w:rPr>
          <w:i/>
        </w:rPr>
        <w:t>vent correspondre à la grandeur de la Parole qui leur est confiée, à son imp</w:t>
      </w:r>
      <w:r w:rsidRPr="0004576F">
        <w:rPr>
          <w:i/>
        </w:rPr>
        <w:t>é</w:t>
      </w:r>
      <w:r w:rsidRPr="0004576F">
        <w:rPr>
          <w:i/>
        </w:rPr>
        <w:t>ratif de réelle beauté. De cette exigence capitale de pa</w:t>
      </w:r>
      <w:r w:rsidRPr="0004576F">
        <w:rPr>
          <w:i/>
        </w:rPr>
        <w:t>r</w:t>
      </w:r>
      <w:r w:rsidRPr="0004576F">
        <w:rPr>
          <w:i/>
        </w:rPr>
        <w:t>ler avec Dieu et de Le chanter avec les mots qu’Il a Lui-même donnés est née la grande musique o</w:t>
      </w:r>
      <w:r w:rsidRPr="0004576F">
        <w:rPr>
          <w:i/>
        </w:rPr>
        <w:t>c</w:t>
      </w:r>
      <w:r w:rsidRPr="0004576F">
        <w:rPr>
          <w:i/>
        </w:rPr>
        <w:t>cidentale. Ce n’était pas là l’œuvre d’une “créat</w:t>
      </w:r>
      <w:r w:rsidRPr="0004576F">
        <w:rPr>
          <w:i/>
        </w:rPr>
        <w:t>i</w:t>
      </w:r>
      <w:r w:rsidRPr="0004576F">
        <w:rPr>
          <w:i/>
        </w:rPr>
        <w:t>vité” personnelle où l’individu, prenant comme critère essentiel la repr</w:t>
      </w:r>
      <w:r w:rsidRPr="0004576F">
        <w:rPr>
          <w:i/>
        </w:rPr>
        <w:t>é</w:t>
      </w:r>
      <w:r w:rsidRPr="0004576F">
        <w:rPr>
          <w:i/>
        </w:rPr>
        <w:t>sentation de son propre moi, s’érige un monument à lui-même. Il s’agissait plutôt de reconnaître a</w:t>
      </w:r>
      <w:r w:rsidRPr="0004576F">
        <w:rPr>
          <w:i/>
        </w:rPr>
        <w:t>t</w:t>
      </w:r>
      <w:r w:rsidRPr="0004576F">
        <w:rPr>
          <w:i/>
        </w:rPr>
        <w:t>tentivement avec les “oreilles du cœur” les lois constitutives de l’harmonie musicale de la cré</w:t>
      </w:r>
      <w:r w:rsidRPr="0004576F">
        <w:rPr>
          <w:i/>
        </w:rPr>
        <w:t>a</w:t>
      </w:r>
      <w:r w:rsidRPr="0004576F">
        <w:rPr>
          <w:i/>
        </w:rPr>
        <w:t>tion, les formes essentielles de la musique émise par le Créateur dans le monde et en l’homme, et d’inventer une musique digne de Dieu qui soit, en même temps, authentiquement digne de l’homme et qui pr</w:t>
      </w:r>
      <w:r w:rsidRPr="0004576F">
        <w:rPr>
          <w:i/>
        </w:rPr>
        <w:t>o</w:t>
      </w:r>
      <w:r w:rsidRPr="0004576F">
        <w:rPr>
          <w:i/>
        </w:rPr>
        <w:t>clame hautement cette d</w:t>
      </w:r>
      <w:r w:rsidRPr="0004576F">
        <w:rPr>
          <w:i/>
        </w:rPr>
        <w:t>i</w:t>
      </w:r>
      <w:r w:rsidRPr="0004576F">
        <w:rPr>
          <w:i/>
        </w:rPr>
        <w:t>gnité</w:t>
      </w:r>
      <w:r w:rsidRPr="0004576F">
        <w:t>. »</w:t>
      </w:r>
    </w:p>
  </w:footnote>
  <w:footnote w:id="380">
    <w:p w14:paraId="6B1886B0" w14:textId="77777777" w:rsidR="00B01930" w:rsidRDefault="00B01930">
      <w:pPr>
        <w:pStyle w:val="Notedebasdepage"/>
      </w:pPr>
      <w:r>
        <w:rPr>
          <w:rStyle w:val="Appelnotedebasdep"/>
        </w:rPr>
        <w:footnoteRef/>
      </w:r>
      <w:r>
        <w:t xml:space="preserve"> </w:t>
      </w:r>
      <w:r>
        <w:tab/>
      </w:r>
      <w:r w:rsidRPr="0004576F">
        <w:t xml:space="preserve">Cf. Paul Jorion, </w:t>
      </w:r>
      <w:r w:rsidRPr="0004576F">
        <w:rPr>
          <w:i/>
        </w:rPr>
        <w:t>Comment la vérité et la réalité furent inventées</w:t>
      </w:r>
      <w:r w:rsidRPr="0004576F">
        <w:t>, Paris, Gall</w:t>
      </w:r>
      <w:r w:rsidRPr="0004576F">
        <w:t>i</w:t>
      </w:r>
      <w:r w:rsidRPr="0004576F">
        <w:t>mard, col. « Bibliothèque des Sciences humaines », 2009, notamment les p. 227-245 et 269-370.</w:t>
      </w:r>
    </w:p>
  </w:footnote>
  <w:footnote w:id="381">
    <w:p w14:paraId="26F40556" w14:textId="77777777" w:rsidR="00B01930" w:rsidRDefault="00B01930">
      <w:pPr>
        <w:pStyle w:val="Notedebasdepage"/>
      </w:pPr>
      <w:r>
        <w:rPr>
          <w:rStyle w:val="Appelnotedebasdep"/>
        </w:rPr>
        <w:footnoteRef/>
      </w:r>
      <w:r>
        <w:t xml:space="preserve"> </w:t>
      </w:r>
      <w:r>
        <w:tab/>
      </w:r>
      <w:r w:rsidRPr="0004576F">
        <w:t xml:space="preserve">Cf. à ce sujet, l’ouvrage spectral de Martin Bernal, </w:t>
      </w:r>
      <w:r w:rsidRPr="0004576F">
        <w:rPr>
          <w:i/>
        </w:rPr>
        <w:t>Black Athena. Les racines afro-asiatiques de la civilis</w:t>
      </w:r>
      <w:r w:rsidRPr="0004576F">
        <w:rPr>
          <w:i/>
        </w:rPr>
        <w:t>a</w:t>
      </w:r>
      <w:r w:rsidRPr="0004576F">
        <w:rPr>
          <w:i/>
        </w:rPr>
        <w:t>tion classique</w:t>
      </w:r>
      <w:r w:rsidRPr="0004576F">
        <w:t xml:space="preserve">, 2 Tomes. Paris, </w:t>
      </w:r>
      <w:r w:rsidRPr="0004576F">
        <w:rPr>
          <w:smallCaps/>
        </w:rPr>
        <w:t>Puf</w:t>
      </w:r>
      <w:r w:rsidRPr="0004576F">
        <w:t>, 1996.</w:t>
      </w:r>
    </w:p>
  </w:footnote>
  <w:footnote w:id="382">
    <w:p w14:paraId="7A7D8BFB" w14:textId="77777777" w:rsidR="00B01930" w:rsidRDefault="00B01930">
      <w:pPr>
        <w:pStyle w:val="Notedebasdepage"/>
      </w:pPr>
      <w:r>
        <w:rPr>
          <w:rStyle w:val="Appelnotedebasdep"/>
        </w:rPr>
        <w:footnoteRef/>
      </w:r>
      <w:r>
        <w:t xml:space="preserve"> </w:t>
      </w:r>
      <w:r>
        <w:tab/>
      </w:r>
      <w:r w:rsidRPr="0004576F">
        <w:t>Un bon condensé des traces de l’existence de Pythagore de S</w:t>
      </w:r>
      <w:r w:rsidRPr="0004576F">
        <w:t>a</w:t>
      </w:r>
      <w:r w:rsidRPr="0004576F">
        <w:t xml:space="preserve">mos se trouve dans l’article qui lui est consacré dans la si remarquable Encyclopédie </w:t>
      </w:r>
      <w:r w:rsidRPr="0004576F">
        <w:rPr>
          <w:i/>
        </w:rPr>
        <w:t>Wik</w:t>
      </w:r>
      <w:r w:rsidRPr="0004576F">
        <w:rPr>
          <w:i/>
        </w:rPr>
        <w:t>i</w:t>
      </w:r>
      <w:r w:rsidRPr="0004576F">
        <w:rPr>
          <w:i/>
        </w:rPr>
        <w:t>pedia</w:t>
      </w:r>
      <w:r w:rsidRPr="0004576F">
        <w:t xml:space="preserve">. Selon les </w:t>
      </w:r>
      <w:r w:rsidRPr="0004576F">
        <w:rPr>
          <w:i/>
        </w:rPr>
        <w:t>Vies</w:t>
      </w:r>
      <w:r w:rsidRPr="0004576F">
        <w:t xml:space="preserve"> le concernant, rédigées par des écrivains comme Porph</w:t>
      </w:r>
      <w:r w:rsidRPr="0004576F">
        <w:t>y</w:t>
      </w:r>
      <w:r w:rsidRPr="0004576F">
        <w:t xml:space="preserve">re, Jamblique, Diogène Laërce…, Pythagore (580-497 </w:t>
      </w:r>
      <w:r w:rsidRPr="0004576F">
        <w:rPr>
          <w:i/>
        </w:rPr>
        <w:t>a. c</w:t>
      </w:r>
      <w:r w:rsidRPr="0004576F">
        <w:t>.), réfugié en Italie du Sud à Crotone vers 512, a</w:t>
      </w:r>
      <w:r w:rsidRPr="0004576F">
        <w:t>u</w:t>
      </w:r>
      <w:r w:rsidRPr="0004576F">
        <w:t>rait quitté une des lointaines colonies grecques de l’Asie mineure, l’île de Samos, pour fuir le tyran P</w:t>
      </w:r>
      <w:r w:rsidRPr="0004576F">
        <w:t>o</w:t>
      </w:r>
      <w:r w:rsidRPr="0004576F">
        <w:t>lycrate qu’il combattit. Certains prétendent qu’il serait né à Tyr, vers 570, d’un père graveur de pie</w:t>
      </w:r>
      <w:r w:rsidRPr="0004576F">
        <w:t>r</w:t>
      </w:r>
      <w:r w:rsidRPr="0004576F">
        <w:t>res précieuses, Mnésarchos, grand voyageur lui-même. Avant de gagner Cr</w:t>
      </w:r>
      <w:r w:rsidRPr="0004576F">
        <w:t>o</w:t>
      </w:r>
      <w:r w:rsidRPr="0004576F">
        <w:t>tone, selon les légendes qui accompagnent les relations sur sa vie, il aurait beaucoup vagabondé dans le monde méditerranéen d’alors, marqué par la c</w:t>
      </w:r>
      <w:r w:rsidRPr="0004576F">
        <w:t>o</w:t>
      </w:r>
      <w:r w:rsidRPr="0004576F">
        <w:t>lonisation, la construction de mondes nouveaux que celle-ci permettait, ainsi que par la circulation des « philosophes », des « sages », ingénieurs, guéri</w:t>
      </w:r>
      <w:r w:rsidRPr="0004576F">
        <w:t>s</w:t>
      </w:r>
      <w:r w:rsidRPr="0004576F">
        <w:t>seurs, artisans, réformateurs, diplom</w:t>
      </w:r>
      <w:r w:rsidRPr="0004576F">
        <w:t>a</w:t>
      </w:r>
      <w:r w:rsidRPr="0004576F">
        <w:t>tes, stratèges… et de leurs doctrines. Ses biographes ultérieurs, qui recueillirent les témoignages de certains de ses di</w:t>
      </w:r>
      <w:r w:rsidRPr="0004576F">
        <w:t>s</w:t>
      </w:r>
      <w:r w:rsidRPr="0004576F">
        <w:t>ciples, soutiennent qu’il fut dans sa jeunesse un des premiers à avoir été initié aux myst</w:t>
      </w:r>
      <w:r w:rsidRPr="0004576F">
        <w:t>è</w:t>
      </w:r>
      <w:r w:rsidRPr="0004576F">
        <w:t>res des prêtres égyptiens. Il aurait étudié la géométrie en Égypte, les nombres et les proportions en Phénicie, l’astronomie et le secret des mages en Cha</w:t>
      </w:r>
      <w:r w:rsidRPr="0004576F">
        <w:t>l</w:t>
      </w:r>
      <w:r w:rsidRPr="0004576F">
        <w:t xml:space="preserve">dée, la </w:t>
      </w:r>
      <w:r w:rsidRPr="0004576F">
        <w:rPr>
          <w:i/>
        </w:rPr>
        <w:t>théoria</w:t>
      </w:r>
      <w:r w:rsidRPr="0004576F">
        <w:t xml:space="preserve"> auprès de Zoroastre, dont il aurait été lui-même un temps le disciple. Itin</w:t>
      </w:r>
      <w:r w:rsidRPr="0004576F">
        <w:t>é</w:t>
      </w:r>
      <w:r w:rsidRPr="0004576F">
        <w:t>raire initiatique qui alimenta maints ésotérismes postérieurs… Certains n’ont-ils pas m</w:t>
      </w:r>
      <w:r w:rsidRPr="0004576F">
        <w:t>ê</w:t>
      </w:r>
      <w:r w:rsidRPr="0004576F">
        <w:t>me prétendu qu’il aurait « séjourné aux enfers » ? S’il a cultivé la mythologie généalog</w:t>
      </w:r>
      <w:r w:rsidRPr="0004576F">
        <w:t>i</w:t>
      </w:r>
      <w:r w:rsidRPr="0004576F">
        <w:t>que et la poésie homérique, il a aussi participé à l’émergence d’une Raison thé</w:t>
      </w:r>
      <w:r w:rsidRPr="0004576F">
        <w:t>o</w:t>
      </w:r>
      <w:r w:rsidRPr="0004576F">
        <w:t>rique grecque inédite, dans la suite des penseurs de Milet. Ainsi aurait-il suivi les cours de Ph</w:t>
      </w:r>
      <w:r w:rsidRPr="0004576F">
        <w:t>é</w:t>
      </w:r>
      <w:r w:rsidRPr="0004576F">
        <w:t>récyde de Syros (son oncle maternel, qui l’initia !), d’Anaximandre de Milet (maître ég</w:t>
      </w:r>
      <w:r w:rsidRPr="0004576F">
        <w:t>a</w:t>
      </w:r>
      <w:r w:rsidRPr="0004576F">
        <w:t>lement d’Anaximène) et d’Hermodamos. Jamblique indique qu’il aurait i</w:t>
      </w:r>
      <w:r w:rsidRPr="0004576F">
        <w:t>n</w:t>
      </w:r>
      <w:r w:rsidRPr="0004576F">
        <w:t xml:space="preserve">fluencé dans le pourtour méditerranéen cent trente-cinq philosophes (dont dix-sept femmes !), sans oublier Platon (428-347 </w:t>
      </w:r>
      <w:r w:rsidRPr="0004576F">
        <w:rPr>
          <w:i/>
        </w:rPr>
        <w:t>a. c.</w:t>
      </w:r>
      <w:r w:rsidRPr="0004576F">
        <w:t>), qui r</w:t>
      </w:r>
      <w:r w:rsidRPr="0004576F">
        <w:t>é</w:t>
      </w:r>
      <w:r w:rsidRPr="0004576F">
        <w:t xml:space="preserve">cupéra à son profit sa doctrine en la reconstruisant (cf. à ce sujet l’ouvrage de référence précité de Lambros Couloubaritsis, </w:t>
      </w:r>
      <w:r w:rsidRPr="0004576F">
        <w:rPr>
          <w:i/>
        </w:rPr>
        <w:t>Histoire de la philosophie ancienne et m</w:t>
      </w:r>
      <w:r w:rsidRPr="0004576F">
        <w:rPr>
          <w:i/>
        </w:rPr>
        <w:t>é</w:t>
      </w:r>
      <w:r w:rsidRPr="0004576F">
        <w:rPr>
          <w:i/>
        </w:rPr>
        <w:t>diévale. Figures illustres</w:t>
      </w:r>
      <w:r w:rsidRPr="0004576F">
        <w:t>, p. 9-27, p. 168-177, ainsi que le colloque récent, sous la d</w:t>
      </w:r>
      <w:r w:rsidRPr="0004576F">
        <w:t>i</w:t>
      </w:r>
      <w:r w:rsidRPr="0004576F">
        <w:t xml:space="preserve">rection de Jean-Luc Périllé, </w:t>
      </w:r>
      <w:r w:rsidRPr="0004576F">
        <w:rPr>
          <w:i/>
        </w:rPr>
        <w:t>Platon et les Pythagoriciens. Hiérarchie des s</w:t>
      </w:r>
      <w:r w:rsidRPr="0004576F">
        <w:rPr>
          <w:i/>
        </w:rPr>
        <w:t>a</w:t>
      </w:r>
      <w:r w:rsidRPr="0004576F">
        <w:rPr>
          <w:i/>
        </w:rPr>
        <w:t xml:space="preserve">voirs et des pratiques. Musique, Science, Politique, </w:t>
      </w:r>
      <w:r w:rsidRPr="0004576F">
        <w:t xml:space="preserve">Bruxelles, Éditions Ousia, 2008, </w:t>
      </w:r>
      <w:r w:rsidRPr="0004576F">
        <w:rPr>
          <w:i/>
        </w:rPr>
        <w:t>Cahiers de philosophie ancienne</w:t>
      </w:r>
      <w:r w:rsidRPr="0004576F">
        <w:t xml:space="preserve"> n° 20).</w:t>
      </w:r>
    </w:p>
    <w:p w14:paraId="3D7010EC" w14:textId="77777777" w:rsidR="00B01930" w:rsidRDefault="00B01930">
      <w:pPr>
        <w:pStyle w:val="Notedebasdepage"/>
      </w:pPr>
      <w:r>
        <w:tab/>
      </w:r>
      <w:r>
        <w:tab/>
      </w:r>
      <w:r w:rsidRPr="0004576F">
        <w:t>D’âge mûr, il est devenu le prophète d’une doctrine très syncrétique m</w:t>
      </w:r>
      <w:r w:rsidRPr="0004576F">
        <w:t>ê</w:t>
      </w:r>
      <w:r w:rsidRPr="0004576F">
        <w:t>lant des savoirs lointains. Il parle d’un autre monde préparé par la vie terre</w:t>
      </w:r>
      <w:r w:rsidRPr="0004576F">
        <w:t>s</w:t>
      </w:r>
      <w:r w:rsidRPr="0004576F">
        <w:t>tre, de punitions, d’enfer, de régénération, de métempsychose (c’est-à-dire de réi</w:t>
      </w:r>
      <w:r w:rsidRPr="0004576F">
        <w:t>n</w:t>
      </w:r>
      <w:r w:rsidRPr="0004576F">
        <w:t>carnation des âmes après la mort dans un corps humain ou animal), mais aussi d’ascèse, de diétét</w:t>
      </w:r>
      <w:r w:rsidRPr="0004576F">
        <w:t>i</w:t>
      </w:r>
      <w:r w:rsidRPr="0004576F">
        <w:t>que, de dieux, d’initiation, de contemplation… Ses idées pédagogiques et intellectuelles sont éclectiques. Sa pensée quitte la po</w:t>
      </w:r>
      <w:r w:rsidRPr="0004576F">
        <w:t>é</w:t>
      </w:r>
      <w:r w:rsidRPr="0004576F">
        <w:t>sie des premières thé</w:t>
      </w:r>
      <w:r w:rsidRPr="0004576F">
        <w:t>o</w:t>
      </w:r>
      <w:r w:rsidRPr="0004576F">
        <w:t>ries cosmologiques milésiennes (celles de Thalès, Anaximène, Anaximandre…). Elle mêle toutes les matières, la science des nombres, la géométrie, la musique… Ce chef de confrérie, mystique et go</w:t>
      </w:r>
      <w:r w:rsidRPr="0004576F">
        <w:t>u</w:t>
      </w:r>
      <w:r w:rsidRPr="0004576F">
        <w:t>rou, semble être l’inventeur, ou du moins le divulgateur, d’une raison nouvelle reliant toutes les parties de l’univers, l’humanité, la société, la politique, la n</w:t>
      </w:r>
      <w:r w:rsidRPr="0004576F">
        <w:t>a</w:t>
      </w:r>
      <w:r w:rsidRPr="0004576F">
        <w:t>ture, la divinité…. Certains [Cicéron] affi</w:t>
      </w:r>
      <w:r w:rsidRPr="0004576F">
        <w:t>r</w:t>
      </w:r>
      <w:r w:rsidRPr="0004576F">
        <w:t xml:space="preserve">ment que c’est lui qui a inventé le mot </w:t>
      </w:r>
      <w:r w:rsidRPr="0004576F">
        <w:rPr>
          <w:i/>
        </w:rPr>
        <w:t>philo-sophos</w:t>
      </w:r>
      <w:r w:rsidRPr="0004576F">
        <w:t xml:space="preserve"> (l’amoureux de la sagesse)… Fondateur de la science polit</w:t>
      </w:r>
      <w:r w:rsidRPr="0004576F">
        <w:t>i</w:t>
      </w:r>
      <w:r w:rsidRPr="0004576F">
        <w:t>que tout entière, à qui il va donner pour la première fois des assises transce</w:t>
      </w:r>
      <w:r w:rsidRPr="0004576F">
        <w:t>n</w:t>
      </w:r>
      <w:r w:rsidRPr="0004576F">
        <w:t>dantes, il est le prototype du « roi-philosophe » dont la figure a hanté la pe</w:t>
      </w:r>
      <w:r w:rsidRPr="0004576F">
        <w:t>n</w:t>
      </w:r>
      <w:r w:rsidRPr="0004576F">
        <w:t>sée politique occidentale, développée par Platon. Il prône la sagesse, définit des r</w:t>
      </w:r>
      <w:r w:rsidRPr="0004576F">
        <w:t>è</w:t>
      </w:r>
      <w:r w:rsidRPr="0004576F">
        <w:t>gles de vie pour la communauté de ses disciples qu’il initie par grade à son savoir multidimensionnel et en partie secret, conseille la Const</w:t>
      </w:r>
      <w:r w:rsidRPr="0004576F">
        <w:t>i</w:t>
      </w:r>
      <w:r w:rsidRPr="0004576F">
        <w:t>tution de Cités de la « Grande Grèce » (l’Italie du Sud). Il veut changer l’homme par une éducation appropriée et propose une réforme politique fondée sur le re</w:t>
      </w:r>
      <w:r w:rsidRPr="0004576F">
        <w:t>s</w:t>
      </w:r>
      <w:r w:rsidRPr="0004576F">
        <w:t>pect de la Loi et l’établissement d’une Con</w:t>
      </w:r>
      <w:r w:rsidRPr="0004576F">
        <w:t>s</w:t>
      </w:r>
      <w:r w:rsidRPr="0004576F">
        <w:t>titution « harmonique ». Il a de nombreux fidèles qui tentent d’appliquer ses règles. Sa réputation gagne l’ensemble du monde m</w:t>
      </w:r>
      <w:r w:rsidRPr="0004576F">
        <w:t>é</w:t>
      </w:r>
      <w:r w:rsidRPr="0004576F">
        <w:t xml:space="preserve">diterranéen d’alors. </w:t>
      </w:r>
      <w:r w:rsidRPr="0004576F">
        <w:rPr>
          <w:i/>
        </w:rPr>
        <w:t>Mais nous n’avons de lui aucun écrit direct et o</w:t>
      </w:r>
      <w:r w:rsidRPr="0004576F">
        <w:rPr>
          <w:i/>
        </w:rPr>
        <w:t>f</w:t>
      </w:r>
      <w:r w:rsidRPr="0004576F">
        <w:rPr>
          <w:i/>
        </w:rPr>
        <w:t>ficiel</w:t>
      </w:r>
      <w:r w:rsidRPr="0004576F">
        <w:t>. Sa vie et sa pensée sont protégées par le mystère… Nous l’avons donc recomposé ici partiellement de façon synthétique – fragile et « fantaisiste » diront les p</w:t>
      </w:r>
      <w:r w:rsidRPr="0004576F">
        <w:t>u</w:t>
      </w:r>
      <w:r w:rsidRPr="0004576F">
        <w:t>ristes et les spécialistes –, à partir de ce que ses biographes et ses disc</w:t>
      </w:r>
      <w:r w:rsidRPr="0004576F">
        <w:t>i</w:t>
      </w:r>
      <w:r w:rsidRPr="0004576F">
        <w:t>ples, Platon en tête, ont rapporté à travers une tradition orale ou la connaissance d’écrits multiples, pe</w:t>
      </w:r>
      <w:r w:rsidRPr="0004576F">
        <w:t>n</w:t>
      </w:r>
      <w:r w:rsidRPr="0004576F">
        <w:t>dant plus de sept cents ans. Le pythagorisme, véritable Bible de la r</w:t>
      </w:r>
      <w:r w:rsidRPr="0004576F">
        <w:t>e</w:t>
      </w:r>
      <w:r w:rsidRPr="0004576F">
        <w:t>ligion d’une partie du néopythagorisme comme du néoplatonisme, est devenu, au croisement de plusieurs civil</w:t>
      </w:r>
      <w:r w:rsidRPr="0004576F">
        <w:t>i</w:t>
      </w:r>
      <w:r w:rsidRPr="0004576F">
        <w:t xml:space="preserve">sations, une « École » de pensée universelle et s’est même transformé en religion à Rome (cf. à ce propos le beau livre de Jérôme Carcopino, </w:t>
      </w:r>
      <w:r w:rsidRPr="0004576F">
        <w:rPr>
          <w:i/>
        </w:rPr>
        <w:t>Études romaines. La Basilique Pyth</w:t>
      </w:r>
      <w:r w:rsidRPr="0004576F">
        <w:rPr>
          <w:i/>
        </w:rPr>
        <w:t>a</w:t>
      </w:r>
      <w:r w:rsidRPr="0004576F">
        <w:rPr>
          <w:i/>
        </w:rPr>
        <w:t>goricienne de la Porte majeure</w:t>
      </w:r>
      <w:r w:rsidRPr="0004576F">
        <w:t>, Paris, L’Artisan du Livre, 1927), au tou</w:t>
      </w:r>
      <w:r w:rsidRPr="0004576F">
        <w:t>r</w:t>
      </w:r>
      <w:r w:rsidRPr="0004576F">
        <w:t>nant de l’ère chrétienne. Cela, avant d’alimenter une tradition de plus longue durée encore, à travers ses répétiteurs et ses commentateurs ult</w:t>
      </w:r>
      <w:r w:rsidRPr="0004576F">
        <w:t>é</w:t>
      </w:r>
      <w:r w:rsidRPr="0004576F">
        <w:t>rieurs, ésotéristes et chrétiens compris, notamment jusqu’à la Révolution fra</w:t>
      </w:r>
      <w:r w:rsidRPr="0004576F">
        <w:t>n</w:t>
      </w:r>
      <w:r w:rsidRPr="0004576F">
        <w:t>çaise. Nous sommes bien parmi les fondements de la pensée politique orient</w:t>
      </w:r>
      <w:r w:rsidRPr="0004576F">
        <w:t>a</w:t>
      </w:r>
      <w:r w:rsidRPr="0004576F">
        <w:t xml:space="preserve">lo-occidentale, avant même les </w:t>
      </w:r>
      <w:r w:rsidRPr="0004576F">
        <w:rPr>
          <w:i/>
        </w:rPr>
        <w:t>hist</w:t>
      </w:r>
      <w:r w:rsidRPr="0004576F">
        <w:rPr>
          <w:i/>
        </w:rPr>
        <w:t>o</w:t>
      </w:r>
      <w:r w:rsidRPr="0004576F">
        <w:rPr>
          <w:i/>
        </w:rPr>
        <w:t>riae</w:t>
      </w:r>
      <w:r w:rsidRPr="0004576F">
        <w:t xml:space="preserve"> d’Hérodote…</w:t>
      </w:r>
    </w:p>
  </w:footnote>
  <w:footnote w:id="383">
    <w:p w14:paraId="0F460794" w14:textId="77777777" w:rsidR="00B01930" w:rsidRDefault="00B01930">
      <w:pPr>
        <w:pStyle w:val="Notedebasdepage"/>
      </w:pPr>
      <w:r>
        <w:rPr>
          <w:rStyle w:val="Appelnotedebasdep"/>
        </w:rPr>
        <w:footnoteRef/>
      </w:r>
      <w:r>
        <w:t xml:space="preserve"> </w:t>
      </w:r>
      <w:r>
        <w:tab/>
      </w:r>
      <w:r w:rsidRPr="0004576F">
        <w:t xml:space="preserve">Sur la reconstitution de la doctrine politique pythagoricienne, l’ouvrage de référence est celui d’André Delatte, </w:t>
      </w:r>
      <w:r w:rsidRPr="0004576F">
        <w:rPr>
          <w:i/>
        </w:rPr>
        <w:t>Essai sur la politique pythagoricienne</w:t>
      </w:r>
      <w:r w:rsidRPr="0004576F">
        <w:t>, Université de Liège, doct</w:t>
      </w:r>
      <w:r w:rsidRPr="0004576F">
        <w:t>o</w:t>
      </w:r>
      <w:r w:rsidRPr="0004576F">
        <w:t xml:space="preserve">rat en philologie classique, 1921. L’auteur montre notamment que Jamblique a conservé dans sa </w:t>
      </w:r>
      <w:r w:rsidRPr="0004576F">
        <w:rPr>
          <w:i/>
        </w:rPr>
        <w:t>Vie de Pythagore</w:t>
      </w:r>
      <w:r w:rsidRPr="0004576F">
        <w:t>, quatre di</w:t>
      </w:r>
      <w:r w:rsidRPr="0004576F">
        <w:t>s</w:t>
      </w:r>
      <w:r w:rsidRPr="0004576F">
        <w:t xml:space="preserve">cours prononcés par ce dernier lors de son arrivée à Crotone. L’un aux jeunes gens, l’un au Sénat, l’un aux enfants, l’un aux dames. Par l’intermédiaire d’Apollonius, ces textes viennent des </w:t>
      </w:r>
      <w:r w:rsidRPr="0004576F">
        <w:rPr>
          <w:i/>
        </w:rPr>
        <w:t>Histoires</w:t>
      </w:r>
      <w:r w:rsidRPr="0004576F">
        <w:t xml:space="preserve"> de Timée. En fait, il se</w:t>
      </w:r>
      <w:r w:rsidRPr="0004576F">
        <w:t>m</w:t>
      </w:r>
      <w:r w:rsidRPr="0004576F">
        <w:t>ble que ce soit une repr</w:t>
      </w:r>
      <w:r w:rsidRPr="0004576F">
        <w:t>i</w:t>
      </w:r>
      <w:r w:rsidRPr="0004576F">
        <w:t>se par des Pythagoriciens du IV</w:t>
      </w:r>
      <w:r w:rsidRPr="0004576F">
        <w:rPr>
          <w:vertAlign w:val="superscript"/>
        </w:rPr>
        <w:t>e</w:t>
      </w:r>
      <w:r w:rsidRPr="0004576F">
        <w:t xml:space="preserve"> ou V</w:t>
      </w:r>
      <w:r w:rsidRPr="0004576F">
        <w:rPr>
          <w:vertAlign w:val="superscript"/>
        </w:rPr>
        <w:t>e</w:t>
      </w:r>
      <w:r w:rsidRPr="0004576F">
        <w:t xml:space="preserve"> siècle, des idées du Maître. L’intérêt du discours au Sénat est de révéler une doctrine non « infiltrée » ou déformée par les idées platoniciennes ou stoïciennes ultérie</w:t>
      </w:r>
      <w:r w:rsidRPr="0004576F">
        <w:t>u</w:t>
      </w:r>
      <w:r w:rsidRPr="0004576F">
        <w:t>res, fréquentes dans les textes néo-pythagoriciens.</w:t>
      </w:r>
    </w:p>
  </w:footnote>
  <w:footnote w:id="384">
    <w:p w14:paraId="0C9D6414" w14:textId="77777777" w:rsidR="00B01930" w:rsidRDefault="00B01930">
      <w:pPr>
        <w:pStyle w:val="Notedebasdepage"/>
      </w:pPr>
      <w:r>
        <w:rPr>
          <w:rStyle w:val="Appelnotedebasdep"/>
        </w:rPr>
        <w:footnoteRef/>
      </w:r>
      <w:r>
        <w:t xml:space="preserve"> </w:t>
      </w:r>
      <w:r>
        <w:tab/>
      </w:r>
      <w:r w:rsidRPr="0004576F">
        <w:t xml:space="preserve">Platon, qui se souviendra de la leçon, écrit dans </w:t>
      </w:r>
      <w:r w:rsidRPr="0004576F">
        <w:rPr>
          <w:i/>
        </w:rPr>
        <w:t>Les Lois</w:t>
      </w:r>
      <w:r w:rsidRPr="0004576F">
        <w:t xml:space="preserve"> (V, 740) :</w:t>
      </w:r>
    </w:p>
    <w:p w14:paraId="0D15064C" w14:textId="77777777" w:rsidR="00B01930" w:rsidRDefault="00B01930">
      <w:pPr>
        <w:pStyle w:val="Notedebasdepage"/>
      </w:pPr>
      <w:r>
        <w:tab/>
      </w:r>
      <w:r>
        <w:tab/>
      </w:r>
      <w:r w:rsidRPr="0004576F">
        <w:t>« </w:t>
      </w:r>
      <w:r w:rsidRPr="0004576F">
        <w:rPr>
          <w:i/>
        </w:rPr>
        <w:t>Que l’on commence donc par faire la répartition de la terre et des rés</w:t>
      </w:r>
      <w:r w:rsidRPr="0004576F">
        <w:rPr>
          <w:i/>
        </w:rPr>
        <w:t>i</w:t>
      </w:r>
      <w:r w:rsidRPr="0004576F">
        <w:rPr>
          <w:i/>
        </w:rPr>
        <w:t xml:space="preserve">dences. </w:t>
      </w:r>
      <w:r w:rsidRPr="0004576F">
        <w:t xml:space="preserve">[…] </w:t>
      </w:r>
      <w:r w:rsidRPr="0004576F">
        <w:rPr>
          <w:i/>
        </w:rPr>
        <w:t>Instituons une autorité, la plus haute et la plus respectable ; que celle-ci, après avoir examiné comment il faut s’y prendre selon qu’il y a excès ou insuffisance d’enfants, fournisse un moyen de faire en sorte, le plus poss</w:t>
      </w:r>
      <w:r w:rsidRPr="0004576F">
        <w:rPr>
          <w:i/>
        </w:rPr>
        <w:t>i</w:t>
      </w:r>
      <w:r w:rsidRPr="0004576F">
        <w:rPr>
          <w:i/>
        </w:rPr>
        <w:t>ble, que toujours il y ait seulement 5040 résidences familiales… </w:t>
      </w:r>
      <w:r w:rsidRPr="0004576F">
        <w:t>». Platon, P</w:t>
      </w:r>
      <w:r w:rsidRPr="0004576F">
        <w:t>a</w:t>
      </w:r>
      <w:r w:rsidRPr="0004576F">
        <w:t xml:space="preserve">ris, Gallimard, Édition La Pléiade, </w:t>
      </w:r>
      <w:r w:rsidRPr="0004576F">
        <w:rPr>
          <w:i/>
        </w:rPr>
        <w:t>Œuvres complètes</w:t>
      </w:r>
      <w:r w:rsidRPr="0004576F">
        <w:t>, Tome 2, p. 798.</w:t>
      </w:r>
    </w:p>
  </w:footnote>
  <w:footnote w:id="385">
    <w:p w14:paraId="7A9F3978" w14:textId="77777777" w:rsidR="00B01930" w:rsidRDefault="00B01930">
      <w:pPr>
        <w:pStyle w:val="Notedebasdepage"/>
      </w:pPr>
      <w:r>
        <w:rPr>
          <w:rStyle w:val="Appelnotedebasdep"/>
        </w:rPr>
        <w:footnoteRef/>
      </w:r>
      <w:r>
        <w:t xml:space="preserve"> </w:t>
      </w:r>
      <w:r>
        <w:tab/>
        <w:t>Charles IX</w:t>
      </w:r>
      <w:r w:rsidRPr="0004576F">
        <w:t xml:space="preserve"> était né le 27 juin 1550, fils d’</w:t>
      </w:r>
      <w:r>
        <w:t>Henri I</w:t>
      </w:r>
      <w:r w:rsidRPr="0004576F">
        <w:t xml:space="preserve">I et de Catherine de Médicis. Il succéda à son frère </w:t>
      </w:r>
      <w:r>
        <w:t>François I</w:t>
      </w:r>
      <w:r w:rsidRPr="0004576F">
        <w:t>I le 5 décembre 1560 et mourut le 30 mai 1574.</w:t>
      </w:r>
    </w:p>
  </w:footnote>
  <w:footnote w:id="386">
    <w:p w14:paraId="496CA2B6" w14:textId="77777777" w:rsidR="00B01930" w:rsidRDefault="00B01930">
      <w:pPr>
        <w:pStyle w:val="Notedebasdepage"/>
      </w:pPr>
      <w:r>
        <w:rPr>
          <w:rStyle w:val="Appelnotedebasdep"/>
        </w:rPr>
        <w:footnoteRef/>
      </w:r>
      <w:r>
        <w:t xml:space="preserve"> </w:t>
      </w:r>
      <w:r>
        <w:tab/>
      </w:r>
      <w:r w:rsidRPr="0004576F">
        <w:rPr>
          <w:smallCaps/>
          <w:szCs w:val="18"/>
        </w:rPr>
        <w:t xml:space="preserve">Bnf </w:t>
      </w:r>
      <w:r w:rsidRPr="0004576F">
        <w:rPr>
          <w:szCs w:val="18"/>
        </w:rPr>
        <w:t xml:space="preserve">Dupuy, 86, f ° 205-206 v °, </w:t>
      </w:r>
      <w:r>
        <w:rPr>
          <w:szCs w:val="18"/>
        </w:rPr>
        <w:t>Charles IX</w:t>
      </w:r>
      <w:r w:rsidRPr="0004576F">
        <w:rPr>
          <w:szCs w:val="18"/>
        </w:rPr>
        <w:t xml:space="preserve"> à M de Schomberg, ambassadeur auprès des princes protestants d’Allemagne, du 13-9-1572, contreseing de Brulart.</w:t>
      </w:r>
    </w:p>
  </w:footnote>
  <w:footnote w:id="387">
    <w:p w14:paraId="67AAEC2B" w14:textId="77777777" w:rsidR="00B01930" w:rsidRDefault="00B01930">
      <w:pPr>
        <w:pStyle w:val="Notedebasdepage"/>
      </w:pPr>
      <w:r>
        <w:rPr>
          <w:rStyle w:val="Appelnotedebasdep"/>
        </w:rPr>
        <w:footnoteRef/>
      </w:r>
      <w:r>
        <w:t xml:space="preserve"> </w:t>
      </w:r>
      <w:r>
        <w:tab/>
        <w:t>Charles IX</w:t>
      </w:r>
      <w:r w:rsidRPr="0004576F">
        <w:t xml:space="preserve"> à M. de la Mothe Fénelon, Paris, 22-9-1572, contreseing de Pinart, dans </w:t>
      </w:r>
      <w:r w:rsidRPr="0004576F">
        <w:rPr>
          <w:i/>
        </w:rPr>
        <w:t>Correspondance diplomatique de Bertrand de Salignac de la Mothe F</w:t>
      </w:r>
      <w:r w:rsidRPr="0004576F">
        <w:rPr>
          <w:i/>
        </w:rPr>
        <w:t>é</w:t>
      </w:r>
      <w:r w:rsidRPr="0004576F">
        <w:rPr>
          <w:i/>
        </w:rPr>
        <w:t>nelon, ambassadeur de France en Angleterre de 1568 à 1575</w:t>
      </w:r>
      <w:r w:rsidRPr="0004576F">
        <w:t>, éd. Charles Purton Cooper, Paris et Londres, 1840, 7 vol., t. VII,  p. 355-367.</w:t>
      </w:r>
    </w:p>
  </w:footnote>
  <w:footnote w:id="388">
    <w:p w14:paraId="23331579" w14:textId="77777777" w:rsidR="00B01930" w:rsidRDefault="00B01930">
      <w:pPr>
        <w:pStyle w:val="Notedebasdepage"/>
      </w:pPr>
      <w:r>
        <w:rPr>
          <w:rStyle w:val="Appelnotedebasdep"/>
        </w:rPr>
        <w:footnoteRef/>
      </w:r>
      <w:r>
        <w:t xml:space="preserve"> </w:t>
      </w:r>
      <w:r>
        <w:tab/>
      </w:r>
      <w:r>
        <w:rPr>
          <w:szCs w:val="18"/>
        </w:rPr>
        <w:t>Charles IX</w:t>
      </w:r>
      <w:r w:rsidRPr="0004576F">
        <w:rPr>
          <w:szCs w:val="18"/>
        </w:rPr>
        <w:t xml:space="preserve"> à M. de la Mothe Fénelon, Paris, 4-10-1572, contreseing de Br</w:t>
      </w:r>
      <w:r w:rsidRPr="0004576F">
        <w:rPr>
          <w:szCs w:val="18"/>
        </w:rPr>
        <w:t>u</w:t>
      </w:r>
      <w:r w:rsidRPr="0004576F">
        <w:rPr>
          <w:szCs w:val="18"/>
        </w:rPr>
        <w:t xml:space="preserve">lart, dans </w:t>
      </w:r>
      <w:r w:rsidRPr="0004576F">
        <w:rPr>
          <w:i/>
          <w:szCs w:val="18"/>
        </w:rPr>
        <w:t>ibid</w:t>
      </w:r>
      <w:r w:rsidRPr="0004576F">
        <w:rPr>
          <w:szCs w:val="18"/>
        </w:rPr>
        <w:t>., p. 367-372.</w:t>
      </w:r>
    </w:p>
  </w:footnote>
  <w:footnote w:id="389">
    <w:p w14:paraId="79CB935A" w14:textId="77777777" w:rsidR="00B01930" w:rsidRDefault="00B01930">
      <w:pPr>
        <w:pStyle w:val="Notedebasdepage"/>
      </w:pPr>
      <w:r>
        <w:rPr>
          <w:rStyle w:val="Appelnotedebasdep"/>
        </w:rPr>
        <w:footnoteRef/>
      </w:r>
      <w:r>
        <w:t xml:space="preserve"> </w:t>
      </w:r>
      <w:r>
        <w:tab/>
      </w:r>
      <w:r>
        <w:rPr>
          <w:szCs w:val="18"/>
        </w:rPr>
        <w:t>Charles IX</w:t>
      </w:r>
      <w:r w:rsidRPr="0004576F">
        <w:rPr>
          <w:szCs w:val="18"/>
        </w:rPr>
        <w:t xml:space="preserve"> à M. de la Mothe Fénelon, du 3 novembre 1572, Paris, contr</w:t>
      </w:r>
      <w:r w:rsidRPr="0004576F">
        <w:rPr>
          <w:szCs w:val="18"/>
        </w:rPr>
        <w:t>e</w:t>
      </w:r>
      <w:r w:rsidRPr="0004576F">
        <w:rPr>
          <w:szCs w:val="18"/>
        </w:rPr>
        <w:t xml:space="preserve">seing de Pinart, dans </w:t>
      </w:r>
      <w:r w:rsidRPr="0004576F">
        <w:rPr>
          <w:i/>
          <w:szCs w:val="18"/>
        </w:rPr>
        <w:t>ibid</w:t>
      </w:r>
      <w:r w:rsidRPr="0004576F">
        <w:rPr>
          <w:szCs w:val="18"/>
        </w:rPr>
        <w:t>., p. 379-388.</w:t>
      </w:r>
    </w:p>
  </w:footnote>
  <w:footnote w:id="390">
    <w:p w14:paraId="11E0E014" w14:textId="77777777" w:rsidR="00B01930" w:rsidRDefault="00B01930">
      <w:pPr>
        <w:pStyle w:val="Notedebasdepage"/>
      </w:pPr>
      <w:r>
        <w:rPr>
          <w:rStyle w:val="Appelnotedebasdep"/>
        </w:rPr>
        <w:footnoteRef/>
      </w:r>
      <w:r>
        <w:t xml:space="preserve"> </w:t>
      </w:r>
      <w:r>
        <w:tab/>
      </w:r>
      <w:r w:rsidRPr="0004576F">
        <w:rPr>
          <w:szCs w:val="18"/>
        </w:rPr>
        <w:t xml:space="preserve">Claude de Seyssel, </w:t>
      </w:r>
      <w:r w:rsidRPr="0004576F">
        <w:rPr>
          <w:i/>
          <w:szCs w:val="18"/>
        </w:rPr>
        <w:t>La Monarchie de France</w:t>
      </w:r>
      <w:r w:rsidRPr="0004576F">
        <w:rPr>
          <w:szCs w:val="18"/>
        </w:rPr>
        <w:t>, textes établis et présentés par Jacques Po</w:t>
      </w:r>
      <w:r w:rsidRPr="0004576F">
        <w:rPr>
          <w:szCs w:val="18"/>
        </w:rPr>
        <w:t>u</w:t>
      </w:r>
      <w:r w:rsidRPr="0004576F">
        <w:rPr>
          <w:szCs w:val="18"/>
        </w:rPr>
        <w:t xml:space="preserve">jol, Paris, 1961, p. 103. Claude de Seyssel (vers 1450-1520), fut conseiller et maître des requêtes du roi </w:t>
      </w:r>
      <w:r>
        <w:rPr>
          <w:szCs w:val="18"/>
        </w:rPr>
        <w:t>Louis X</w:t>
      </w:r>
      <w:r w:rsidRPr="0004576F">
        <w:rPr>
          <w:szCs w:val="18"/>
        </w:rPr>
        <w:t>II, évêque de Marseille, et a</w:t>
      </w:r>
      <w:r w:rsidRPr="0004576F">
        <w:rPr>
          <w:szCs w:val="18"/>
        </w:rPr>
        <w:t>r</w:t>
      </w:r>
      <w:r w:rsidRPr="0004576F">
        <w:rPr>
          <w:szCs w:val="18"/>
        </w:rPr>
        <w:t>chevêque de Turin.</w:t>
      </w:r>
    </w:p>
  </w:footnote>
  <w:footnote w:id="391">
    <w:p w14:paraId="7B0126D2" w14:textId="77777777" w:rsidR="00B01930" w:rsidRDefault="00B01930">
      <w:pPr>
        <w:pStyle w:val="Notedebasdepage"/>
      </w:pPr>
      <w:r>
        <w:rPr>
          <w:rStyle w:val="Appelnotedebasdep"/>
        </w:rPr>
        <w:footnoteRef/>
      </w:r>
      <w:r>
        <w:t xml:space="preserve"> </w:t>
      </w:r>
      <w:r>
        <w:tab/>
      </w:r>
      <w:r w:rsidRPr="0004576F">
        <w:rPr>
          <w:i/>
          <w:szCs w:val="18"/>
        </w:rPr>
        <w:t>Ibidem</w:t>
      </w:r>
      <w:r w:rsidRPr="0004576F">
        <w:rPr>
          <w:szCs w:val="18"/>
        </w:rPr>
        <w:t>, p. 112-120.</w:t>
      </w:r>
    </w:p>
  </w:footnote>
  <w:footnote w:id="392">
    <w:p w14:paraId="763B3208" w14:textId="77777777" w:rsidR="00B01930" w:rsidRDefault="00B01930">
      <w:pPr>
        <w:pStyle w:val="Notedebasdepage"/>
      </w:pPr>
      <w:r>
        <w:rPr>
          <w:rStyle w:val="Appelnotedebasdep"/>
        </w:rPr>
        <w:footnoteRef/>
      </w:r>
      <w:r>
        <w:t xml:space="preserve"> </w:t>
      </w:r>
      <w:r>
        <w:tab/>
      </w:r>
      <w:r w:rsidRPr="0004576F">
        <w:rPr>
          <w:szCs w:val="18"/>
        </w:rPr>
        <w:t xml:space="preserve">Brantôme, </w:t>
      </w:r>
      <w:r w:rsidRPr="0004576F">
        <w:rPr>
          <w:i/>
          <w:szCs w:val="18"/>
        </w:rPr>
        <w:t>Œuvres complètes</w:t>
      </w:r>
      <w:r w:rsidRPr="0004576F">
        <w:rPr>
          <w:szCs w:val="18"/>
        </w:rPr>
        <w:t>, éd. Lalanne, Paris, 1864-1882, 11 vol., t. V, p. 284.</w:t>
      </w:r>
    </w:p>
  </w:footnote>
  <w:footnote w:id="393">
    <w:p w14:paraId="57FB64E6" w14:textId="77777777" w:rsidR="00B01930" w:rsidRDefault="00B01930">
      <w:pPr>
        <w:pStyle w:val="Notedebasdepage"/>
      </w:pPr>
      <w:r>
        <w:rPr>
          <w:rStyle w:val="Appelnotedebasdep"/>
        </w:rPr>
        <w:footnoteRef/>
      </w:r>
      <w:r>
        <w:t xml:space="preserve"> </w:t>
      </w:r>
      <w:r>
        <w:tab/>
      </w:r>
      <w:r w:rsidRPr="0004576F">
        <w:rPr>
          <w:szCs w:val="18"/>
        </w:rPr>
        <w:t xml:space="preserve">Cité dans René Sturel, </w:t>
      </w:r>
      <w:r w:rsidRPr="0004576F">
        <w:rPr>
          <w:i/>
          <w:szCs w:val="18"/>
        </w:rPr>
        <w:t>Jacques Amyot, traducteur des Vies parallèles de Pl</w:t>
      </w:r>
      <w:r w:rsidRPr="0004576F">
        <w:rPr>
          <w:i/>
          <w:szCs w:val="18"/>
        </w:rPr>
        <w:t>u</w:t>
      </w:r>
      <w:r w:rsidRPr="0004576F">
        <w:rPr>
          <w:i/>
          <w:szCs w:val="18"/>
        </w:rPr>
        <w:t>tarque</w:t>
      </w:r>
      <w:r w:rsidRPr="0004576F">
        <w:rPr>
          <w:szCs w:val="18"/>
        </w:rPr>
        <w:t>, B</w:t>
      </w:r>
      <w:r w:rsidRPr="0004576F">
        <w:rPr>
          <w:szCs w:val="18"/>
        </w:rPr>
        <w:t>i</w:t>
      </w:r>
      <w:r w:rsidRPr="0004576F">
        <w:rPr>
          <w:szCs w:val="18"/>
        </w:rPr>
        <w:t xml:space="preserve">bliothèque littéraire de la Renaissance dirigée par Pierre de Nolhac et L. Dorez, t. VIII, in-12, Paris, Champion, 1909, </w:t>
      </w:r>
      <w:r w:rsidRPr="0004576F">
        <w:rPr>
          <w:rFonts w:cs="Narkisim"/>
          <w:w w:val="120"/>
          <w:szCs w:val="18"/>
        </w:rPr>
        <w:t>p. 87-88</w:t>
      </w:r>
      <w:r w:rsidRPr="0004576F">
        <w:rPr>
          <w:w w:val="120"/>
          <w:szCs w:val="18"/>
        </w:rPr>
        <w:t xml:space="preserve">. </w:t>
      </w:r>
      <w:r w:rsidRPr="0004576F">
        <w:rPr>
          <w:szCs w:val="18"/>
        </w:rPr>
        <w:t xml:space="preserve">Bien avant d’être le précepteur de </w:t>
      </w:r>
      <w:r>
        <w:rPr>
          <w:szCs w:val="18"/>
        </w:rPr>
        <w:t>Charles IX</w:t>
      </w:r>
      <w:r w:rsidRPr="0004576F">
        <w:rPr>
          <w:szCs w:val="18"/>
        </w:rPr>
        <w:t xml:space="preserve">, Amyot commença en effet, ses traductions des œuvres des auteurs grecs de l’Antiquité, notamment les </w:t>
      </w:r>
      <w:r w:rsidRPr="0004576F">
        <w:rPr>
          <w:i/>
          <w:iCs/>
          <w:szCs w:val="18"/>
        </w:rPr>
        <w:t>Vies des hommes illustres de Plutarque</w:t>
      </w:r>
      <w:r w:rsidRPr="0004576F">
        <w:rPr>
          <w:szCs w:val="18"/>
        </w:rPr>
        <w:t xml:space="preserve"> qui lui assurèrent une solide rép</w:t>
      </w:r>
      <w:r w:rsidRPr="0004576F">
        <w:rPr>
          <w:szCs w:val="18"/>
        </w:rPr>
        <w:t>u</w:t>
      </w:r>
      <w:r w:rsidRPr="0004576F">
        <w:rPr>
          <w:szCs w:val="18"/>
        </w:rPr>
        <w:t xml:space="preserve">tation d’helléniste. </w:t>
      </w:r>
      <w:r>
        <w:rPr>
          <w:szCs w:val="18"/>
        </w:rPr>
        <w:t>François I</w:t>
      </w:r>
      <w:r w:rsidRPr="0004576F">
        <w:rPr>
          <w:szCs w:val="18"/>
          <w:vertAlign w:val="superscript"/>
        </w:rPr>
        <w:t>er</w:t>
      </w:r>
      <w:r w:rsidRPr="0004576F">
        <w:rPr>
          <w:szCs w:val="18"/>
        </w:rPr>
        <w:t xml:space="preserve"> qui s’en était fait lire quelques-unes fut séduit, et pour le mettre à l’abri du besoin, lui accorda en 1546 le bénéfice de l’abbaye de Bell</w:t>
      </w:r>
      <w:r w:rsidRPr="0004576F">
        <w:rPr>
          <w:szCs w:val="18"/>
        </w:rPr>
        <w:t>o</w:t>
      </w:r>
      <w:r w:rsidRPr="0004576F">
        <w:rPr>
          <w:szCs w:val="18"/>
        </w:rPr>
        <w:t>zane.</w:t>
      </w:r>
    </w:p>
  </w:footnote>
  <w:footnote w:id="394">
    <w:p w14:paraId="625ABF78" w14:textId="77777777" w:rsidR="00B01930" w:rsidRDefault="00B01930">
      <w:pPr>
        <w:pStyle w:val="Notedebasdepage"/>
      </w:pPr>
      <w:r>
        <w:rPr>
          <w:rStyle w:val="Appelnotedebasdep"/>
        </w:rPr>
        <w:footnoteRef/>
      </w:r>
      <w:r>
        <w:t xml:space="preserve"> </w:t>
      </w:r>
      <w:r>
        <w:tab/>
      </w:r>
      <w:r w:rsidRPr="0004576F">
        <w:rPr>
          <w:szCs w:val="18"/>
        </w:rPr>
        <w:t xml:space="preserve">Parue chez Vascosan (8 vol. petit in-8). La première édition de la traduction des </w:t>
      </w:r>
      <w:r w:rsidRPr="0004576F">
        <w:rPr>
          <w:i/>
          <w:szCs w:val="18"/>
        </w:rPr>
        <w:t>Vies</w:t>
      </w:r>
      <w:r w:rsidRPr="0004576F">
        <w:rPr>
          <w:szCs w:val="18"/>
        </w:rPr>
        <w:t xml:space="preserve"> fut publiée à Paris par le célèbre imprimeur Michel de Vascosan (2 vol. </w:t>
      </w:r>
      <w:r w:rsidRPr="0004576F">
        <w:rPr>
          <w:i/>
          <w:szCs w:val="18"/>
        </w:rPr>
        <w:t>in-fol</w:t>
      </w:r>
      <w:r w:rsidRPr="0004576F">
        <w:rPr>
          <w:szCs w:val="18"/>
        </w:rPr>
        <w:t xml:space="preserve">.), avec une Épître dédicatoire à </w:t>
      </w:r>
      <w:r>
        <w:rPr>
          <w:szCs w:val="18"/>
        </w:rPr>
        <w:t>Henri I</w:t>
      </w:r>
      <w:r w:rsidRPr="0004576F">
        <w:rPr>
          <w:szCs w:val="18"/>
        </w:rPr>
        <w:t>I, datée de Fontain</w:t>
      </w:r>
      <w:r w:rsidRPr="0004576F">
        <w:rPr>
          <w:szCs w:val="18"/>
        </w:rPr>
        <w:t>e</w:t>
      </w:r>
      <w:r w:rsidRPr="0004576F">
        <w:rPr>
          <w:szCs w:val="18"/>
        </w:rPr>
        <w:t>bleau et du mois de février 1559.</w:t>
      </w:r>
    </w:p>
  </w:footnote>
  <w:footnote w:id="395">
    <w:p w14:paraId="4E70385B" w14:textId="77777777" w:rsidR="00B01930" w:rsidRDefault="00B01930">
      <w:pPr>
        <w:pStyle w:val="Notedebasdepage"/>
      </w:pPr>
      <w:r>
        <w:rPr>
          <w:rStyle w:val="Appelnotedebasdep"/>
        </w:rPr>
        <w:footnoteRef/>
      </w:r>
      <w:r>
        <w:t xml:space="preserve"> </w:t>
      </w:r>
      <w:r>
        <w:tab/>
      </w:r>
      <w:r w:rsidRPr="0004576F">
        <w:rPr>
          <w:szCs w:val="18"/>
        </w:rPr>
        <w:t xml:space="preserve">Cité dans Auguste de Blignières, </w:t>
      </w:r>
      <w:r w:rsidRPr="0004576F">
        <w:rPr>
          <w:i/>
          <w:szCs w:val="18"/>
        </w:rPr>
        <w:t>Essai sur Amyot et les traducteurs français au XVI</w:t>
      </w:r>
      <w:r w:rsidRPr="0004576F">
        <w:rPr>
          <w:i/>
          <w:szCs w:val="18"/>
          <w:vertAlign w:val="superscript"/>
        </w:rPr>
        <w:t>e</w:t>
      </w:r>
      <w:r w:rsidRPr="0004576F">
        <w:rPr>
          <w:i/>
          <w:szCs w:val="18"/>
        </w:rPr>
        <w:t xml:space="preserve"> si</w:t>
      </w:r>
      <w:r w:rsidRPr="0004576F">
        <w:rPr>
          <w:i/>
          <w:szCs w:val="18"/>
        </w:rPr>
        <w:t>è</w:t>
      </w:r>
      <w:r w:rsidRPr="0004576F">
        <w:rPr>
          <w:i/>
          <w:szCs w:val="18"/>
        </w:rPr>
        <w:t>cle</w:t>
      </w:r>
      <w:r w:rsidRPr="0004576F">
        <w:rPr>
          <w:szCs w:val="18"/>
        </w:rPr>
        <w:t>, Paris, 1851, p. 85, note 1.</w:t>
      </w:r>
    </w:p>
  </w:footnote>
  <w:footnote w:id="396">
    <w:p w14:paraId="422EEC20" w14:textId="77777777" w:rsidR="00B01930" w:rsidRDefault="00B01930">
      <w:pPr>
        <w:pStyle w:val="Notedebasdepage"/>
      </w:pPr>
      <w:r>
        <w:rPr>
          <w:rStyle w:val="Appelnotedebasdep"/>
        </w:rPr>
        <w:footnoteRef/>
      </w:r>
      <w:r>
        <w:t xml:space="preserve"> </w:t>
      </w:r>
      <w:r>
        <w:tab/>
      </w:r>
      <w:r w:rsidRPr="0004576F">
        <w:rPr>
          <w:szCs w:val="18"/>
        </w:rPr>
        <w:t xml:space="preserve">« Histoire de </w:t>
      </w:r>
      <w:r>
        <w:rPr>
          <w:szCs w:val="18"/>
        </w:rPr>
        <w:t>Charles IX</w:t>
      </w:r>
      <w:r w:rsidRPr="0004576F">
        <w:rPr>
          <w:szCs w:val="18"/>
        </w:rPr>
        <w:t xml:space="preserve">, par Papyre Masson », dans </w:t>
      </w:r>
      <w:r w:rsidRPr="0004576F">
        <w:rPr>
          <w:i/>
          <w:szCs w:val="18"/>
        </w:rPr>
        <w:t>Archives curieuses de l’histoire de France</w:t>
      </w:r>
      <w:r w:rsidRPr="0004576F">
        <w:rPr>
          <w:szCs w:val="18"/>
        </w:rPr>
        <w:t>, publiées par L. Cimber et F. Da</w:t>
      </w:r>
      <w:r w:rsidRPr="0004576F">
        <w:rPr>
          <w:szCs w:val="18"/>
        </w:rPr>
        <w:t>n</w:t>
      </w:r>
      <w:r w:rsidRPr="0004576F">
        <w:rPr>
          <w:szCs w:val="18"/>
        </w:rPr>
        <w:t>jou, t. VIII, p. 333-351, pour la citation, p. 343.</w:t>
      </w:r>
    </w:p>
  </w:footnote>
  <w:footnote w:id="397">
    <w:p w14:paraId="1D256523" w14:textId="77777777" w:rsidR="00B01930" w:rsidRDefault="00B01930">
      <w:pPr>
        <w:pStyle w:val="Notedebasdepage"/>
      </w:pPr>
      <w:r>
        <w:rPr>
          <w:rStyle w:val="Appelnotedebasdep"/>
        </w:rPr>
        <w:footnoteRef/>
      </w:r>
      <w:r>
        <w:t xml:space="preserve"> </w:t>
      </w:r>
      <w:r>
        <w:tab/>
      </w:r>
      <w:r w:rsidRPr="0004576F">
        <w:rPr>
          <w:szCs w:val="18"/>
        </w:rPr>
        <w:t>« </w:t>
      </w:r>
      <w:r w:rsidRPr="0004576F">
        <w:rPr>
          <w:i/>
          <w:szCs w:val="18"/>
        </w:rPr>
        <w:t>Finito di parlare sino a questo passo, Sua Maestà mi replicò con la maggi</w:t>
      </w:r>
      <w:r w:rsidRPr="0004576F">
        <w:rPr>
          <w:i/>
          <w:szCs w:val="18"/>
        </w:rPr>
        <w:t>o</w:t>
      </w:r>
      <w:r w:rsidRPr="0004576F">
        <w:rPr>
          <w:i/>
          <w:szCs w:val="18"/>
        </w:rPr>
        <w:t>re amorev</w:t>
      </w:r>
      <w:r w:rsidRPr="0004576F">
        <w:rPr>
          <w:i/>
          <w:szCs w:val="18"/>
        </w:rPr>
        <w:t>o</w:t>
      </w:r>
      <w:r w:rsidRPr="0004576F">
        <w:rPr>
          <w:i/>
          <w:szCs w:val="18"/>
        </w:rPr>
        <w:t>lezza del mondo : « Mi so molto male di non saper parlare così bene italiano, ch’io vi possa esprimere il concetto mio. » E, replicandoli io che seguitassi di parlar francese, che l’intenderei </w:t>
      </w:r>
      <w:r w:rsidRPr="0004576F">
        <w:rPr>
          <w:szCs w:val="18"/>
        </w:rPr>
        <w:t>». (Le secrétaire André A</w:t>
      </w:r>
      <w:r w:rsidRPr="0004576F">
        <w:rPr>
          <w:szCs w:val="18"/>
        </w:rPr>
        <w:t>l</w:t>
      </w:r>
      <w:r w:rsidRPr="0004576F">
        <w:rPr>
          <w:szCs w:val="18"/>
        </w:rPr>
        <w:t xml:space="preserve">bertini au grand duc de Toscane, le 9 juillet 1571, dans A. Desjardins, </w:t>
      </w:r>
      <w:r w:rsidRPr="0004576F">
        <w:rPr>
          <w:i/>
          <w:iCs/>
          <w:szCs w:val="18"/>
        </w:rPr>
        <w:t>Nég</w:t>
      </w:r>
      <w:r w:rsidRPr="0004576F">
        <w:rPr>
          <w:i/>
          <w:iCs/>
          <w:szCs w:val="18"/>
        </w:rPr>
        <w:t>o</w:t>
      </w:r>
      <w:r w:rsidRPr="0004576F">
        <w:rPr>
          <w:i/>
          <w:iCs/>
          <w:szCs w:val="18"/>
        </w:rPr>
        <w:t>ci</w:t>
      </w:r>
      <w:r w:rsidRPr="0004576F">
        <w:rPr>
          <w:i/>
          <w:iCs/>
          <w:szCs w:val="18"/>
        </w:rPr>
        <w:t>a</w:t>
      </w:r>
      <w:r w:rsidRPr="0004576F">
        <w:rPr>
          <w:i/>
          <w:iCs/>
          <w:szCs w:val="18"/>
        </w:rPr>
        <w:t xml:space="preserve">tions diplomatiques de la France avec la Toscane, </w:t>
      </w:r>
      <w:r w:rsidRPr="0004576F">
        <w:rPr>
          <w:iCs/>
          <w:szCs w:val="18"/>
        </w:rPr>
        <w:t xml:space="preserve"> Paris, 1859-1886, 6 vol., </w:t>
      </w:r>
      <w:r w:rsidRPr="0004576F">
        <w:rPr>
          <w:szCs w:val="18"/>
        </w:rPr>
        <w:t>t. III, p. 683.</w:t>
      </w:r>
    </w:p>
  </w:footnote>
  <w:footnote w:id="398">
    <w:p w14:paraId="3EA5BD91" w14:textId="77777777" w:rsidR="00B01930" w:rsidRDefault="00B01930">
      <w:pPr>
        <w:pStyle w:val="Notedebasdepage"/>
      </w:pPr>
      <w:r>
        <w:rPr>
          <w:rStyle w:val="Appelnotedebasdep"/>
        </w:rPr>
        <w:footnoteRef/>
      </w:r>
      <w:r>
        <w:t xml:space="preserve"> </w:t>
      </w:r>
      <w:r>
        <w:tab/>
      </w:r>
      <w:r w:rsidRPr="0004576F">
        <w:rPr>
          <w:szCs w:val="18"/>
        </w:rPr>
        <w:t xml:space="preserve">Cité dans Blignières, </w:t>
      </w:r>
      <w:r w:rsidRPr="0004576F">
        <w:rPr>
          <w:i/>
          <w:szCs w:val="18"/>
        </w:rPr>
        <w:t>Essai sur Amyot</w:t>
      </w:r>
      <w:r w:rsidRPr="0004576F">
        <w:rPr>
          <w:szCs w:val="18"/>
        </w:rPr>
        <w:t xml:space="preserve">…, </w:t>
      </w:r>
      <w:r w:rsidRPr="0004576F">
        <w:rPr>
          <w:i/>
          <w:szCs w:val="18"/>
        </w:rPr>
        <w:t>op. cit</w:t>
      </w:r>
      <w:r w:rsidRPr="0004576F">
        <w:rPr>
          <w:szCs w:val="18"/>
        </w:rPr>
        <w:t>., p. 284, note 1.</w:t>
      </w:r>
    </w:p>
  </w:footnote>
  <w:footnote w:id="399">
    <w:p w14:paraId="776632F2" w14:textId="77777777" w:rsidR="00B01930" w:rsidRDefault="00B01930">
      <w:pPr>
        <w:pStyle w:val="Notedebasdepage"/>
      </w:pPr>
      <w:r>
        <w:rPr>
          <w:rStyle w:val="Appelnotedebasdep"/>
        </w:rPr>
        <w:footnoteRef/>
      </w:r>
      <w:r>
        <w:t xml:space="preserve"> </w:t>
      </w:r>
      <w:r>
        <w:tab/>
      </w:r>
      <w:r w:rsidRPr="0004576F">
        <w:rPr>
          <w:i/>
          <w:szCs w:val="18"/>
        </w:rPr>
        <w:t>Les Mémoires et recherches de Jean du Tillet, greffier de la Cour de Parl</w:t>
      </w:r>
      <w:r w:rsidRPr="0004576F">
        <w:rPr>
          <w:i/>
          <w:szCs w:val="18"/>
        </w:rPr>
        <w:t>e</w:t>
      </w:r>
      <w:r w:rsidRPr="0004576F">
        <w:rPr>
          <w:i/>
          <w:szCs w:val="18"/>
        </w:rPr>
        <w:t>ment à Paris, Contenans plusieurs choses mémorables pour l’intelligence de l’estat des affaires de France</w:t>
      </w:r>
      <w:r w:rsidRPr="0004576F">
        <w:rPr>
          <w:szCs w:val="18"/>
        </w:rPr>
        <w:t>, A Rouan, Pour Philippe de Tours, 1578. La pr</w:t>
      </w:r>
      <w:r w:rsidRPr="0004576F">
        <w:rPr>
          <w:szCs w:val="18"/>
        </w:rPr>
        <w:t>é</w:t>
      </w:r>
      <w:r w:rsidRPr="0004576F">
        <w:rPr>
          <w:szCs w:val="18"/>
        </w:rPr>
        <w:t>face n’est pas paginée. Jean ou Jehan du Tillet (1521-1570), sieur de la Bu</w:t>
      </w:r>
      <w:r w:rsidRPr="0004576F">
        <w:rPr>
          <w:szCs w:val="18"/>
        </w:rPr>
        <w:t>s</w:t>
      </w:r>
      <w:r w:rsidRPr="0004576F">
        <w:rPr>
          <w:szCs w:val="18"/>
        </w:rPr>
        <w:t>sière, mit à profit sa charge de greffier du pa</w:t>
      </w:r>
      <w:r w:rsidRPr="0004576F">
        <w:rPr>
          <w:szCs w:val="18"/>
        </w:rPr>
        <w:t>r</w:t>
      </w:r>
      <w:r w:rsidRPr="0004576F">
        <w:rPr>
          <w:szCs w:val="18"/>
        </w:rPr>
        <w:t xml:space="preserve">lement de Paris pour y faire des recherches dans ses archives. Il avait présenté à </w:t>
      </w:r>
      <w:r>
        <w:rPr>
          <w:szCs w:val="18"/>
        </w:rPr>
        <w:t>Charles IX</w:t>
      </w:r>
      <w:r w:rsidRPr="0004576F">
        <w:rPr>
          <w:szCs w:val="18"/>
        </w:rPr>
        <w:t xml:space="preserve"> son manuscrit </w:t>
      </w:r>
      <w:r w:rsidRPr="0004576F">
        <w:rPr>
          <w:i/>
          <w:iCs/>
          <w:szCs w:val="18"/>
        </w:rPr>
        <w:t>R</w:t>
      </w:r>
      <w:r w:rsidRPr="0004576F">
        <w:rPr>
          <w:i/>
          <w:iCs/>
          <w:szCs w:val="18"/>
        </w:rPr>
        <w:t>e</w:t>
      </w:r>
      <w:r w:rsidRPr="0004576F">
        <w:rPr>
          <w:i/>
          <w:iCs/>
          <w:szCs w:val="18"/>
        </w:rPr>
        <w:t>cueil des Roys de France, leurs Couronne &amp; Maison</w:t>
      </w:r>
      <w:r w:rsidRPr="0004576F">
        <w:rPr>
          <w:iCs/>
          <w:szCs w:val="18"/>
        </w:rPr>
        <w:t xml:space="preserve"> en 1565.</w:t>
      </w:r>
    </w:p>
  </w:footnote>
  <w:footnote w:id="400">
    <w:p w14:paraId="26BD74DD" w14:textId="77777777" w:rsidR="00B01930" w:rsidRDefault="00B01930">
      <w:pPr>
        <w:pStyle w:val="Notedebasdepage"/>
      </w:pPr>
      <w:r>
        <w:rPr>
          <w:rStyle w:val="Appelnotedebasdep"/>
        </w:rPr>
        <w:footnoteRef/>
      </w:r>
      <w:r>
        <w:t xml:space="preserve"> </w:t>
      </w:r>
      <w:r>
        <w:tab/>
      </w:r>
      <w:r w:rsidRPr="0004576F">
        <w:rPr>
          <w:szCs w:val="18"/>
        </w:rPr>
        <w:t xml:space="preserve">Jacques Amyot, </w:t>
      </w:r>
      <w:r w:rsidRPr="0004576F">
        <w:rPr>
          <w:i/>
          <w:szCs w:val="18"/>
        </w:rPr>
        <w:t>Projet de l’éloquence royale composé pour He</w:t>
      </w:r>
      <w:r w:rsidRPr="0004576F">
        <w:rPr>
          <w:i/>
          <w:szCs w:val="18"/>
        </w:rPr>
        <w:t>n</w:t>
      </w:r>
      <w:r w:rsidRPr="0004576F">
        <w:rPr>
          <w:i/>
          <w:szCs w:val="18"/>
        </w:rPr>
        <w:t>ry III, roi de France</w:t>
      </w:r>
      <w:r w:rsidRPr="0004576F">
        <w:rPr>
          <w:szCs w:val="18"/>
        </w:rPr>
        <w:t xml:space="preserve">, Versailles, 1805, p. 1 et 7. Jean du Tillet n’était pas de cet avis. Il écrit à </w:t>
      </w:r>
      <w:r>
        <w:rPr>
          <w:szCs w:val="18"/>
        </w:rPr>
        <w:t>Charles IX</w:t>
      </w:r>
      <w:r w:rsidRPr="0004576F">
        <w:rPr>
          <w:szCs w:val="18"/>
        </w:rPr>
        <w:t> : « </w:t>
      </w:r>
      <w:r w:rsidRPr="0004576F">
        <w:rPr>
          <w:i/>
          <w:szCs w:val="18"/>
        </w:rPr>
        <w:t>Quand les Grecs &amp; Latins ont défini l’orateur homme de bien sachant bien dire, ils ont confessé que le bien dire n’est qu’un parement de vertu, laquelle défaillante ce p</w:t>
      </w:r>
      <w:r w:rsidRPr="0004576F">
        <w:rPr>
          <w:i/>
          <w:szCs w:val="18"/>
        </w:rPr>
        <w:t>a</w:t>
      </w:r>
      <w:r w:rsidRPr="0004576F">
        <w:rPr>
          <w:i/>
          <w:szCs w:val="18"/>
        </w:rPr>
        <w:t>rement ne doit estre estimé ; et au contraire la vertu seule suffit. Les escrits publiez depuis la d</w:t>
      </w:r>
      <w:r w:rsidRPr="0004576F">
        <w:rPr>
          <w:i/>
          <w:szCs w:val="18"/>
        </w:rPr>
        <w:t>i</w:t>
      </w:r>
      <w:r w:rsidRPr="0004576F">
        <w:rPr>
          <w:i/>
          <w:szCs w:val="18"/>
        </w:rPr>
        <w:t>vision ouverte en vostre royaume ont esté dressez par une éloquence nourrie de licence (que les fols appellent liberté) compagne de séditions, incitant le peuple effréné, plein de désobéissance, téméraire et arrogante, n’estant à tolérer es républiques bien gouve</w:t>
      </w:r>
      <w:r w:rsidRPr="0004576F">
        <w:rPr>
          <w:i/>
          <w:szCs w:val="18"/>
        </w:rPr>
        <w:t>r</w:t>
      </w:r>
      <w:r w:rsidRPr="0004576F">
        <w:rPr>
          <w:i/>
          <w:szCs w:val="18"/>
        </w:rPr>
        <w:t>nées</w:t>
      </w:r>
      <w:r w:rsidRPr="0004576F">
        <w:rPr>
          <w:szCs w:val="18"/>
        </w:rPr>
        <w:t> » (</w:t>
      </w:r>
      <w:r w:rsidRPr="0004576F">
        <w:rPr>
          <w:i/>
          <w:szCs w:val="18"/>
        </w:rPr>
        <w:t>Les Mémoires et recherches de Jean du Tillet</w:t>
      </w:r>
      <w:r w:rsidRPr="0004576F">
        <w:rPr>
          <w:szCs w:val="18"/>
        </w:rPr>
        <w:t xml:space="preserve">…, </w:t>
      </w:r>
      <w:r w:rsidRPr="0004576F">
        <w:rPr>
          <w:i/>
          <w:szCs w:val="18"/>
        </w:rPr>
        <w:t>op. cit</w:t>
      </w:r>
      <w:r w:rsidRPr="0004576F">
        <w:rPr>
          <w:szCs w:val="18"/>
        </w:rPr>
        <w:t>., non paginé).</w:t>
      </w:r>
    </w:p>
  </w:footnote>
  <w:footnote w:id="401">
    <w:p w14:paraId="4D38FB01" w14:textId="77777777" w:rsidR="00B01930" w:rsidRDefault="00B01930">
      <w:pPr>
        <w:pStyle w:val="Notedebasdepage"/>
      </w:pPr>
      <w:r>
        <w:rPr>
          <w:rStyle w:val="Appelnotedebasdep"/>
        </w:rPr>
        <w:footnoteRef/>
      </w:r>
      <w:r>
        <w:t xml:space="preserve"> </w:t>
      </w:r>
      <w:r>
        <w:tab/>
      </w:r>
      <w:r w:rsidRPr="0004576F">
        <w:rPr>
          <w:szCs w:val="18"/>
        </w:rPr>
        <w:t xml:space="preserve">Brantôme, </w:t>
      </w:r>
      <w:r w:rsidRPr="0004576F">
        <w:rPr>
          <w:i/>
          <w:szCs w:val="18"/>
        </w:rPr>
        <w:t>Œuvres complètes</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t. V, p. 282-283.</w:t>
      </w:r>
    </w:p>
  </w:footnote>
  <w:footnote w:id="402">
    <w:p w14:paraId="1E024276" w14:textId="77777777" w:rsidR="00B01930" w:rsidRDefault="00B01930">
      <w:pPr>
        <w:pStyle w:val="Notedebasdepage"/>
      </w:pPr>
      <w:r>
        <w:rPr>
          <w:rStyle w:val="Appelnotedebasdep"/>
        </w:rPr>
        <w:footnoteRef/>
      </w:r>
      <w:r>
        <w:t xml:space="preserve"> </w:t>
      </w:r>
      <w:r>
        <w:tab/>
      </w:r>
      <w:r w:rsidRPr="0004576F">
        <w:rPr>
          <w:szCs w:val="18"/>
        </w:rPr>
        <w:t xml:space="preserve">[Jean de Serres], </w:t>
      </w:r>
      <w:r w:rsidRPr="0004576F">
        <w:rPr>
          <w:i/>
          <w:szCs w:val="18"/>
        </w:rPr>
        <w:t xml:space="preserve">Recueil des choses mémorables avenues en France sous le règne de </w:t>
      </w:r>
      <w:r>
        <w:rPr>
          <w:i/>
          <w:szCs w:val="18"/>
        </w:rPr>
        <w:t>Henri I</w:t>
      </w:r>
      <w:r w:rsidRPr="0004576F">
        <w:rPr>
          <w:i/>
          <w:szCs w:val="18"/>
        </w:rPr>
        <w:t xml:space="preserve">I, </w:t>
      </w:r>
      <w:r>
        <w:rPr>
          <w:i/>
          <w:szCs w:val="18"/>
        </w:rPr>
        <w:t>François I</w:t>
      </w:r>
      <w:r w:rsidRPr="0004576F">
        <w:rPr>
          <w:i/>
          <w:szCs w:val="18"/>
        </w:rPr>
        <w:t xml:space="preserve">I, </w:t>
      </w:r>
      <w:r>
        <w:rPr>
          <w:i/>
          <w:szCs w:val="18"/>
        </w:rPr>
        <w:t>Charles IX</w:t>
      </w:r>
      <w:r w:rsidRPr="0004576F">
        <w:rPr>
          <w:i/>
          <w:szCs w:val="18"/>
        </w:rPr>
        <w:t xml:space="preserve">, </w:t>
      </w:r>
      <w:r>
        <w:rPr>
          <w:i/>
          <w:szCs w:val="18"/>
        </w:rPr>
        <w:t>Henri I</w:t>
      </w:r>
      <w:r w:rsidRPr="0004576F">
        <w:rPr>
          <w:i/>
          <w:szCs w:val="18"/>
        </w:rPr>
        <w:t xml:space="preserve">II et </w:t>
      </w:r>
      <w:r>
        <w:rPr>
          <w:i/>
          <w:szCs w:val="18"/>
        </w:rPr>
        <w:t>Henri I</w:t>
      </w:r>
      <w:r w:rsidRPr="0004576F">
        <w:rPr>
          <w:i/>
          <w:szCs w:val="18"/>
        </w:rPr>
        <w:t>V</w:t>
      </w:r>
      <w:r w:rsidRPr="0004576F">
        <w:rPr>
          <w:szCs w:val="18"/>
        </w:rPr>
        <w:t>, M. D. XCVIII, p. 505-506.</w:t>
      </w:r>
    </w:p>
  </w:footnote>
  <w:footnote w:id="403">
    <w:p w14:paraId="57BC6E53" w14:textId="77777777" w:rsidR="00B01930" w:rsidRDefault="00B01930">
      <w:pPr>
        <w:pStyle w:val="Notedebasdepage"/>
      </w:pPr>
      <w:r>
        <w:rPr>
          <w:rStyle w:val="Appelnotedebasdep"/>
        </w:rPr>
        <w:footnoteRef/>
      </w:r>
      <w:r>
        <w:t xml:space="preserve"> </w:t>
      </w:r>
      <w:r>
        <w:tab/>
      </w:r>
      <w:r w:rsidRPr="0004576F">
        <w:rPr>
          <w:szCs w:val="18"/>
        </w:rPr>
        <w:t xml:space="preserve">Cimber et Danjou, </w:t>
      </w:r>
      <w:r w:rsidRPr="0004576F">
        <w:rPr>
          <w:i/>
          <w:szCs w:val="18"/>
        </w:rPr>
        <w:t>op. cit</w:t>
      </w:r>
      <w:r w:rsidRPr="0004576F">
        <w:rPr>
          <w:szCs w:val="18"/>
        </w:rPr>
        <w:t>., t. VIII, « Histoire contenant un abrégé de la vie, mœurs et ve</w:t>
      </w:r>
      <w:r w:rsidRPr="0004576F">
        <w:rPr>
          <w:szCs w:val="18"/>
        </w:rPr>
        <w:t>r</w:t>
      </w:r>
      <w:r w:rsidRPr="0004576F">
        <w:rPr>
          <w:szCs w:val="18"/>
        </w:rPr>
        <w:t xml:space="preserve">tus du Roy Très-Chrestien et débonnaire </w:t>
      </w:r>
      <w:r>
        <w:rPr>
          <w:szCs w:val="18"/>
        </w:rPr>
        <w:t>Charles IX</w:t>
      </w:r>
      <w:r w:rsidRPr="0004576F">
        <w:rPr>
          <w:szCs w:val="18"/>
        </w:rPr>
        <w:t>, vrayment piteux, propugnateur de la Foy Catholique, et amateur de bons esprits…, par A. Sorbin, dit de Sainte Foy, son prédic</w:t>
      </w:r>
      <w:r w:rsidRPr="0004576F">
        <w:rPr>
          <w:szCs w:val="18"/>
        </w:rPr>
        <w:t>a</w:t>
      </w:r>
      <w:r w:rsidRPr="0004576F">
        <w:rPr>
          <w:szCs w:val="18"/>
        </w:rPr>
        <w:t>teur… », p. 271-331, pour la citation, p. 300-301.</w:t>
      </w:r>
    </w:p>
  </w:footnote>
  <w:footnote w:id="404">
    <w:p w14:paraId="72E14E99" w14:textId="77777777" w:rsidR="00B01930" w:rsidRDefault="00B01930">
      <w:pPr>
        <w:pStyle w:val="Notedebasdepage"/>
      </w:pPr>
      <w:r>
        <w:rPr>
          <w:rStyle w:val="Appelnotedebasdep"/>
        </w:rPr>
        <w:footnoteRef/>
      </w:r>
      <w:r>
        <w:t xml:space="preserve"> </w:t>
      </w:r>
      <w:r>
        <w:tab/>
      </w:r>
      <w:r w:rsidRPr="0004576F">
        <w:rPr>
          <w:szCs w:val="18"/>
        </w:rPr>
        <w:t xml:space="preserve">Il fut publié en 1625 sous le titre de </w:t>
      </w:r>
      <w:r w:rsidRPr="0004576F">
        <w:rPr>
          <w:i/>
          <w:szCs w:val="18"/>
        </w:rPr>
        <w:t>la chasse royale</w:t>
      </w:r>
      <w:r w:rsidRPr="0004576F">
        <w:rPr>
          <w:szCs w:val="18"/>
        </w:rPr>
        <w:t xml:space="preserve"> et réédité en 1859 : </w:t>
      </w:r>
      <w:r w:rsidRPr="0004576F">
        <w:rPr>
          <w:i/>
          <w:szCs w:val="18"/>
        </w:rPr>
        <w:t>Livre du roy Charles. De la chasse du cerf</w:t>
      </w:r>
      <w:r w:rsidRPr="0004576F">
        <w:rPr>
          <w:szCs w:val="18"/>
        </w:rPr>
        <w:t>, Paris, 1859.</w:t>
      </w:r>
    </w:p>
  </w:footnote>
  <w:footnote w:id="405">
    <w:p w14:paraId="48914BBA" w14:textId="77777777" w:rsidR="00B01930" w:rsidRDefault="00B01930">
      <w:pPr>
        <w:pStyle w:val="Notedebasdepage"/>
      </w:pPr>
      <w:r>
        <w:rPr>
          <w:rStyle w:val="Appelnotedebasdep"/>
        </w:rPr>
        <w:footnoteRef/>
      </w:r>
      <w:r>
        <w:t xml:space="preserve"> </w:t>
      </w:r>
      <w:r>
        <w:tab/>
      </w:r>
      <w:r w:rsidRPr="0004576F">
        <w:rPr>
          <w:szCs w:val="18"/>
        </w:rPr>
        <w:t xml:space="preserve">Brantôme, </w:t>
      </w:r>
      <w:r w:rsidRPr="0004576F">
        <w:rPr>
          <w:i/>
          <w:szCs w:val="18"/>
        </w:rPr>
        <w:t>Œuvres complètes</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t. V, p. 281-282 et 285-286.</w:t>
      </w:r>
    </w:p>
  </w:footnote>
  <w:footnote w:id="406">
    <w:p w14:paraId="0912FA10" w14:textId="77777777" w:rsidR="00B01930" w:rsidRDefault="00B01930">
      <w:pPr>
        <w:pStyle w:val="Notedebasdepage"/>
      </w:pPr>
      <w:r>
        <w:rPr>
          <w:rStyle w:val="Appelnotedebasdep"/>
        </w:rPr>
        <w:footnoteRef/>
      </w:r>
      <w:r>
        <w:t xml:space="preserve"> </w:t>
      </w:r>
      <w:r>
        <w:tab/>
      </w:r>
      <w:r w:rsidRPr="0004576F">
        <w:rPr>
          <w:i/>
          <w:szCs w:val="18"/>
        </w:rPr>
        <w:t>Ibidem</w:t>
      </w:r>
      <w:r w:rsidRPr="0004576F">
        <w:rPr>
          <w:szCs w:val="18"/>
        </w:rPr>
        <w:t>.</w:t>
      </w:r>
    </w:p>
  </w:footnote>
  <w:footnote w:id="407">
    <w:p w14:paraId="380FE2F9" w14:textId="77777777" w:rsidR="00B01930" w:rsidRDefault="00B01930">
      <w:pPr>
        <w:pStyle w:val="Notedebasdepage"/>
      </w:pPr>
      <w:r>
        <w:rPr>
          <w:rStyle w:val="Appelnotedebasdep"/>
        </w:rPr>
        <w:footnoteRef/>
      </w:r>
      <w:r>
        <w:t xml:space="preserve"> </w:t>
      </w:r>
      <w:r>
        <w:tab/>
      </w:r>
      <w:r w:rsidRPr="0004576F">
        <w:rPr>
          <w:szCs w:val="18"/>
        </w:rPr>
        <w:t xml:space="preserve">Roland de Lassus, appelé par les Italiens </w:t>
      </w:r>
      <w:r w:rsidRPr="0004576F">
        <w:rPr>
          <w:i/>
          <w:szCs w:val="18"/>
        </w:rPr>
        <w:t>Orlando di Lasso</w:t>
      </w:r>
      <w:r w:rsidRPr="0004576F">
        <w:rPr>
          <w:szCs w:val="18"/>
        </w:rPr>
        <w:t xml:space="preserve">, né à Mons en 1520, obtint de grands succès dans toute l’Europe et mourut à Munich en 1594. Il était venu en France en 1571, mais on ignore la durée de son séjour. Appelé par </w:t>
      </w:r>
      <w:r>
        <w:rPr>
          <w:szCs w:val="18"/>
        </w:rPr>
        <w:t>Charles IX</w:t>
      </w:r>
      <w:r w:rsidRPr="0004576F">
        <w:rPr>
          <w:szCs w:val="18"/>
        </w:rPr>
        <w:t>, il s’était mis en route, quand il apprit le décès du Roi et r</w:t>
      </w:r>
      <w:r w:rsidRPr="0004576F">
        <w:rPr>
          <w:szCs w:val="18"/>
        </w:rPr>
        <w:t>e</w:t>
      </w:r>
      <w:r w:rsidRPr="0004576F">
        <w:rPr>
          <w:szCs w:val="18"/>
        </w:rPr>
        <w:t>broussa chemin.</w:t>
      </w:r>
    </w:p>
  </w:footnote>
  <w:footnote w:id="408">
    <w:p w14:paraId="548335E9" w14:textId="77777777" w:rsidR="00B01930" w:rsidRDefault="00B01930">
      <w:pPr>
        <w:pStyle w:val="Notedebasdepage"/>
      </w:pPr>
      <w:r>
        <w:rPr>
          <w:rStyle w:val="Appelnotedebasdep"/>
        </w:rPr>
        <w:footnoteRef/>
      </w:r>
      <w:r>
        <w:t xml:space="preserve"> </w:t>
      </w:r>
      <w:r>
        <w:tab/>
      </w:r>
      <w:r w:rsidRPr="0004576F">
        <w:rPr>
          <w:szCs w:val="18"/>
        </w:rPr>
        <w:t xml:space="preserve">Cimber et Danjou, </w:t>
      </w:r>
      <w:r w:rsidRPr="0004576F">
        <w:rPr>
          <w:i/>
          <w:szCs w:val="18"/>
        </w:rPr>
        <w:t>op. cit</w:t>
      </w:r>
      <w:r w:rsidRPr="0004576F">
        <w:rPr>
          <w:szCs w:val="18"/>
        </w:rPr>
        <w:t>., t. VIII, p. 301.</w:t>
      </w:r>
    </w:p>
  </w:footnote>
  <w:footnote w:id="409">
    <w:p w14:paraId="48B8021D" w14:textId="77777777" w:rsidR="00B01930" w:rsidRDefault="00B01930">
      <w:pPr>
        <w:pStyle w:val="Notedebasdepage"/>
      </w:pPr>
      <w:r>
        <w:rPr>
          <w:rStyle w:val="Appelnotedebasdep"/>
        </w:rPr>
        <w:footnoteRef/>
      </w:r>
      <w:r>
        <w:t xml:space="preserve"> </w:t>
      </w:r>
      <w:r>
        <w:tab/>
      </w:r>
      <w:r w:rsidRPr="0004576F">
        <w:rPr>
          <w:szCs w:val="18"/>
        </w:rPr>
        <w:t xml:space="preserve">Edouard Frémy, </w:t>
      </w:r>
      <w:r w:rsidRPr="0004576F">
        <w:rPr>
          <w:i/>
          <w:szCs w:val="18"/>
        </w:rPr>
        <w:t>L’Académie des derniers Valois</w:t>
      </w:r>
      <w:r w:rsidRPr="0004576F">
        <w:rPr>
          <w:szCs w:val="18"/>
        </w:rPr>
        <w:t>, Paris, 1887, p. 46-50.</w:t>
      </w:r>
    </w:p>
  </w:footnote>
  <w:footnote w:id="410">
    <w:p w14:paraId="5635DD8A" w14:textId="77777777" w:rsidR="00B01930" w:rsidRDefault="00B01930">
      <w:pPr>
        <w:pStyle w:val="Notedebasdepage"/>
      </w:pPr>
      <w:r>
        <w:rPr>
          <w:rStyle w:val="Appelnotedebasdep"/>
        </w:rPr>
        <w:footnoteRef/>
      </w:r>
      <w:r>
        <w:t xml:space="preserve"> </w:t>
      </w:r>
      <w:r>
        <w:tab/>
      </w:r>
      <w:r w:rsidRPr="0004576F">
        <w:rPr>
          <w:szCs w:val="18"/>
        </w:rPr>
        <w:t>François de Belleforest (1530-1583) avait été « nourri » à la cour de Margu</w:t>
      </w:r>
      <w:r w:rsidRPr="0004576F">
        <w:rPr>
          <w:szCs w:val="18"/>
        </w:rPr>
        <w:t>e</w:t>
      </w:r>
      <w:r w:rsidRPr="0004576F">
        <w:rPr>
          <w:szCs w:val="18"/>
        </w:rPr>
        <w:t xml:space="preserve">rite de Navarre, sœur de </w:t>
      </w:r>
      <w:r>
        <w:rPr>
          <w:szCs w:val="18"/>
        </w:rPr>
        <w:t>François I</w:t>
      </w:r>
      <w:r w:rsidRPr="0004576F">
        <w:rPr>
          <w:szCs w:val="18"/>
          <w:vertAlign w:val="superscript"/>
        </w:rPr>
        <w:t>er</w:t>
      </w:r>
      <w:r w:rsidRPr="0004576F">
        <w:rPr>
          <w:szCs w:val="18"/>
        </w:rPr>
        <w:t>. Il abandonna des ét</w:t>
      </w:r>
      <w:r w:rsidRPr="0004576F">
        <w:rPr>
          <w:szCs w:val="18"/>
        </w:rPr>
        <w:t>u</w:t>
      </w:r>
      <w:r w:rsidRPr="0004576F">
        <w:rPr>
          <w:szCs w:val="18"/>
        </w:rPr>
        <w:t>des de droit pour se consacrer à la poésie et cultiva l’amitié de Ronsard et de Jean Antoine de Baïf. Sa plus grande réussite fut la tr</w:t>
      </w:r>
      <w:r w:rsidRPr="0004576F">
        <w:rPr>
          <w:szCs w:val="18"/>
        </w:rPr>
        <w:t>a</w:t>
      </w:r>
      <w:r w:rsidRPr="0004576F">
        <w:rPr>
          <w:szCs w:val="18"/>
        </w:rPr>
        <w:t xml:space="preserve">duction des </w:t>
      </w:r>
      <w:r w:rsidRPr="0004576F">
        <w:rPr>
          <w:i/>
          <w:szCs w:val="18"/>
        </w:rPr>
        <w:t>Histoires tragiques</w:t>
      </w:r>
      <w:r w:rsidRPr="0004576F">
        <w:rPr>
          <w:szCs w:val="18"/>
        </w:rPr>
        <w:t xml:space="preserve"> de l’italien Matteo Bandello. Il écrivit ensuite sur la co</w:t>
      </w:r>
      <w:r w:rsidRPr="0004576F">
        <w:rPr>
          <w:szCs w:val="18"/>
        </w:rPr>
        <w:t>s</w:t>
      </w:r>
      <w:r w:rsidRPr="0004576F">
        <w:rPr>
          <w:szCs w:val="18"/>
        </w:rPr>
        <w:t xml:space="preserve">mographie et l’histoire. Il publia en 1568 son </w:t>
      </w:r>
      <w:r w:rsidRPr="0004576F">
        <w:rPr>
          <w:i/>
          <w:iCs/>
          <w:szCs w:val="18"/>
        </w:rPr>
        <w:t>Histo</w:t>
      </w:r>
      <w:r w:rsidRPr="0004576F">
        <w:rPr>
          <w:i/>
          <w:iCs/>
          <w:szCs w:val="18"/>
        </w:rPr>
        <w:t>i</w:t>
      </w:r>
      <w:r w:rsidRPr="0004576F">
        <w:rPr>
          <w:i/>
          <w:iCs/>
          <w:szCs w:val="18"/>
        </w:rPr>
        <w:t>re des neuf rois qui ont eu le nom de Charles</w:t>
      </w:r>
      <w:r w:rsidRPr="0004576F">
        <w:rPr>
          <w:szCs w:val="18"/>
        </w:rPr>
        <w:t xml:space="preserve"> qui lui valut d’être nommé historiographe du duc d’Anjou, frère de </w:t>
      </w:r>
      <w:r>
        <w:rPr>
          <w:szCs w:val="18"/>
        </w:rPr>
        <w:t>Charles IX</w:t>
      </w:r>
      <w:r w:rsidRPr="0004576F">
        <w:rPr>
          <w:szCs w:val="18"/>
        </w:rPr>
        <w:t>.</w:t>
      </w:r>
    </w:p>
  </w:footnote>
  <w:footnote w:id="411">
    <w:p w14:paraId="6B80CA27" w14:textId="77777777" w:rsidR="00B01930" w:rsidRDefault="00B01930">
      <w:pPr>
        <w:pStyle w:val="Notedebasdepage"/>
      </w:pPr>
      <w:r>
        <w:rPr>
          <w:rStyle w:val="Appelnotedebasdep"/>
        </w:rPr>
        <w:footnoteRef/>
      </w:r>
      <w:r>
        <w:t xml:space="preserve"> </w:t>
      </w:r>
      <w:r>
        <w:tab/>
      </w:r>
      <w:r w:rsidRPr="0004576F">
        <w:rPr>
          <w:szCs w:val="18"/>
        </w:rPr>
        <w:t>Étienne Pasquier (1529-1615), considéré comme l’un des précu</w:t>
      </w:r>
      <w:r w:rsidRPr="0004576F">
        <w:rPr>
          <w:szCs w:val="18"/>
        </w:rPr>
        <w:t>r</w:t>
      </w:r>
      <w:r w:rsidRPr="0004576F">
        <w:rPr>
          <w:szCs w:val="18"/>
        </w:rPr>
        <w:t xml:space="preserve">seurs de l’historiographie moderne, fut reçu avocat en 1549. Le premier volume de ses </w:t>
      </w:r>
      <w:r w:rsidRPr="0004576F">
        <w:rPr>
          <w:i/>
          <w:szCs w:val="18"/>
        </w:rPr>
        <w:t>Recherches de la France</w:t>
      </w:r>
      <w:r w:rsidRPr="0004576F">
        <w:rPr>
          <w:szCs w:val="18"/>
        </w:rPr>
        <w:t>, p</w:t>
      </w:r>
      <w:r w:rsidRPr="0004576F">
        <w:rPr>
          <w:szCs w:val="18"/>
        </w:rPr>
        <w:t>a</w:t>
      </w:r>
      <w:r w:rsidRPr="0004576F">
        <w:rPr>
          <w:szCs w:val="18"/>
        </w:rPr>
        <w:t>ru en 1560, connut un grand succès. En 1564, c’est son plaidoyer en faveur de la Sorbo</w:t>
      </w:r>
      <w:r w:rsidRPr="0004576F">
        <w:rPr>
          <w:szCs w:val="18"/>
        </w:rPr>
        <w:t>n</w:t>
      </w:r>
      <w:r w:rsidRPr="0004576F">
        <w:rPr>
          <w:szCs w:val="18"/>
        </w:rPr>
        <w:t xml:space="preserve">ne dans le procès qui l’opposa aux Jésuites qui le rendit célèbre. En 1568, il adressa des conseils à </w:t>
      </w:r>
      <w:r>
        <w:rPr>
          <w:szCs w:val="18"/>
        </w:rPr>
        <w:t>Charles IX</w:t>
      </w:r>
      <w:r w:rsidRPr="0004576F">
        <w:rPr>
          <w:szCs w:val="18"/>
        </w:rPr>
        <w:t xml:space="preserve"> dans des lettres qui ont malhe</w:t>
      </w:r>
      <w:r w:rsidRPr="0004576F">
        <w:rPr>
          <w:szCs w:val="18"/>
        </w:rPr>
        <w:t>u</w:t>
      </w:r>
      <w:r w:rsidRPr="0004576F">
        <w:rPr>
          <w:szCs w:val="18"/>
        </w:rPr>
        <w:t xml:space="preserve">reusement disparu. En 1585, il fut nommé par </w:t>
      </w:r>
      <w:r>
        <w:rPr>
          <w:szCs w:val="18"/>
        </w:rPr>
        <w:t>Henri I</w:t>
      </w:r>
      <w:r w:rsidRPr="0004576F">
        <w:rPr>
          <w:szCs w:val="18"/>
        </w:rPr>
        <w:t>II avocat général en la Chambre des Comptes. En 1586, il publia les dix premiers L</w:t>
      </w:r>
      <w:r w:rsidRPr="0004576F">
        <w:rPr>
          <w:szCs w:val="18"/>
        </w:rPr>
        <w:t>i</w:t>
      </w:r>
      <w:r w:rsidRPr="0004576F">
        <w:rPr>
          <w:szCs w:val="18"/>
        </w:rPr>
        <w:t xml:space="preserve">vres de ses lettres. Sur lui, voir </w:t>
      </w:r>
      <w:r w:rsidRPr="0004576F">
        <w:rPr>
          <w:bCs/>
          <w:szCs w:val="18"/>
        </w:rPr>
        <w:t>Catherine Magnien-Simonin</w:t>
      </w:r>
      <w:r w:rsidRPr="0004576F">
        <w:rPr>
          <w:szCs w:val="18"/>
        </w:rPr>
        <w:t xml:space="preserve">, « Étienne Pasquier (1529-1615) ou la dissidence discrète », </w:t>
      </w:r>
      <w:r w:rsidRPr="0004576F">
        <w:rPr>
          <w:i/>
          <w:iCs/>
          <w:szCs w:val="18"/>
        </w:rPr>
        <w:t>Les Do</w:t>
      </w:r>
      <w:r w:rsidRPr="0004576F">
        <w:rPr>
          <w:i/>
          <w:iCs/>
          <w:szCs w:val="18"/>
        </w:rPr>
        <w:t>s</w:t>
      </w:r>
      <w:r w:rsidRPr="0004576F">
        <w:rPr>
          <w:i/>
          <w:iCs/>
          <w:szCs w:val="18"/>
        </w:rPr>
        <w:t>siers du Grihl</w:t>
      </w:r>
      <w:r>
        <w:rPr>
          <w:szCs w:val="18"/>
        </w:rPr>
        <w:t xml:space="preserve"> [</w:t>
      </w:r>
      <w:hyperlink r:id="rId21" w:history="1">
        <w:r w:rsidRPr="00413C9C">
          <w:rPr>
            <w:rStyle w:val="Hyperlien"/>
            <w:szCs w:val="18"/>
          </w:rPr>
          <w:t>En ligne</w:t>
        </w:r>
      </w:hyperlink>
      <w:r>
        <w:rPr>
          <w:szCs w:val="18"/>
        </w:rPr>
        <w:t>], 2013-01, consulté le 12 juin 2014.</w:t>
      </w:r>
    </w:p>
  </w:footnote>
  <w:footnote w:id="412">
    <w:p w14:paraId="46D81DE6" w14:textId="77777777" w:rsidR="00B01930" w:rsidRDefault="00B01930">
      <w:pPr>
        <w:pStyle w:val="Notedebasdepage"/>
      </w:pPr>
      <w:r>
        <w:rPr>
          <w:rStyle w:val="Appelnotedebasdep"/>
        </w:rPr>
        <w:footnoteRef/>
      </w:r>
      <w:r>
        <w:t xml:space="preserve"> </w:t>
      </w:r>
      <w:r>
        <w:tab/>
      </w:r>
      <w:r w:rsidRPr="0004576F">
        <w:rPr>
          <w:szCs w:val="18"/>
        </w:rPr>
        <w:t>Antoine Loisel (1536-1617), était l’un des meilleurs amis de Pas</w:t>
      </w:r>
      <w:r w:rsidRPr="0004576F">
        <w:rPr>
          <w:szCs w:val="18"/>
        </w:rPr>
        <w:softHyphen/>
        <w:t>quier qui lui adressa nombre de ses lettres. Après avoir fait, comme ce dernier, ses études à Paris, sous la dire</w:t>
      </w:r>
      <w:r w:rsidRPr="0004576F">
        <w:rPr>
          <w:szCs w:val="18"/>
        </w:rPr>
        <w:t>c</w:t>
      </w:r>
      <w:r w:rsidRPr="0004576F">
        <w:rPr>
          <w:szCs w:val="18"/>
        </w:rPr>
        <w:t>tion de Ramus, il suivit ensuite les cours de droit de Cujas à Toulouse. Reçu avocat, il compta Cath</w:t>
      </w:r>
      <w:r w:rsidRPr="0004576F">
        <w:rPr>
          <w:szCs w:val="18"/>
        </w:rPr>
        <w:t>e</w:t>
      </w:r>
      <w:r w:rsidRPr="0004576F">
        <w:rPr>
          <w:szCs w:val="18"/>
        </w:rPr>
        <w:t xml:space="preserve">rine de Médicis et son plus jeune fils, François, duc d’Alençon, parmi ses clients. </w:t>
      </w:r>
      <w:r>
        <w:rPr>
          <w:szCs w:val="18"/>
        </w:rPr>
        <w:t>Henri I</w:t>
      </w:r>
      <w:r w:rsidRPr="0004576F">
        <w:rPr>
          <w:szCs w:val="18"/>
        </w:rPr>
        <w:t>V le choisit pour être son avocat général au Parlement. Son neveu, Claude Joly, publia ses œuvres inéd</w:t>
      </w:r>
      <w:r w:rsidRPr="0004576F">
        <w:rPr>
          <w:szCs w:val="18"/>
        </w:rPr>
        <w:t>i</w:t>
      </w:r>
      <w:r w:rsidRPr="0004576F">
        <w:rPr>
          <w:szCs w:val="18"/>
        </w:rPr>
        <w:t xml:space="preserve">tes, sous le titre </w:t>
      </w:r>
      <w:r w:rsidRPr="0004576F">
        <w:rPr>
          <w:iCs/>
          <w:szCs w:val="18"/>
        </w:rPr>
        <w:t>d’</w:t>
      </w:r>
      <w:r w:rsidRPr="0004576F">
        <w:rPr>
          <w:i/>
          <w:iCs/>
          <w:szCs w:val="18"/>
        </w:rPr>
        <w:t>Opuscules</w:t>
      </w:r>
      <w:r w:rsidRPr="0004576F">
        <w:rPr>
          <w:iCs/>
          <w:szCs w:val="18"/>
        </w:rPr>
        <w:t>,</w:t>
      </w:r>
      <w:r w:rsidRPr="0004576F">
        <w:rPr>
          <w:i/>
          <w:iCs/>
          <w:szCs w:val="18"/>
        </w:rPr>
        <w:t xml:space="preserve"> </w:t>
      </w:r>
      <w:r w:rsidRPr="0004576F">
        <w:rPr>
          <w:szCs w:val="18"/>
        </w:rPr>
        <w:t>en 1652.</w:t>
      </w:r>
    </w:p>
  </w:footnote>
  <w:footnote w:id="413">
    <w:p w14:paraId="6BFFD166" w14:textId="77777777" w:rsidR="00B01930" w:rsidRDefault="00B01930">
      <w:pPr>
        <w:pStyle w:val="Notedebasdepage"/>
      </w:pPr>
      <w:r>
        <w:rPr>
          <w:rStyle w:val="Appelnotedebasdep"/>
        </w:rPr>
        <w:footnoteRef/>
      </w:r>
      <w:r>
        <w:t xml:space="preserve"> </w:t>
      </w:r>
      <w:r>
        <w:tab/>
      </w:r>
      <w:r w:rsidRPr="0004576F">
        <w:rPr>
          <w:szCs w:val="18"/>
        </w:rPr>
        <w:t xml:space="preserve">Bernard de Girard, sieur du Haillan (1535-1610) se fit connaître par son traité </w:t>
      </w:r>
      <w:r w:rsidRPr="0004576F">
        <w:rPr>
          <w:i/>
          <w:iCs/>
          <w:szCs w:val="18"/>
        </w:rPr>
        <w:t>De l’estat et succez des affaires de France</w:t>
      </w:r>
      <w:r w:rsidRPr="0004576F">
        <w:rPr>
          <w:iCs/>
          <w:szCs w:val="18"/>
        </w:rPr>
        <w:t>, publié en 1570, une histoire polit</w:t>
      </w:r>
      <w:r w:rsidRPr="0004576F">
        <w:rPr>
          <w:iCs/>
          <w:szCs w:val="18"/>
        </w:rPr>
        <w:t>i</w:t>
      </w:r>
      <w:r w:rsidRPr="0004576F">
        <w:rPr>
          <w:iCs/>
          <w:szCs w:val="18"/>
        </w:rPr>
        <w:t>que et institutionnelle qui lui valut la charge d’historiographe de France, a</w:t>
      </w:r>
      <w:r w:rsidRPr="0004576F">
        <w:rPr>
          <w:iCs/>
          <w:szCs w:val="18"/>
        </w:rPr>
        <w:t>c</w:t>
      </w:r>
      <w:r w:rsidRPr="0004576F">
        <w:rPr>
          <w:iCs/>
          <w:szCs w:val="18"/>
        </w:rPr>
        <w:t xml:space="preserve">cordée par </w:t>
      </w:r>
      <w:r>
        <w:rPr>
          <w:iCs/>
          <w:szCs w:val="18"/>
        </w:rPr>
        <w:t>Charles IX</w:t>
      </w:r>
      <w:r w:rsidRPr="0004576F">
        <w:rPr>
          <w:iCs/>
          <w:szCs w:val="18"/>
        </w:rPr>
        <w:t xml:space="preserve"> en 1571. D’abord secrétaire de François de Noailles, évêque de Dax, ambassadeur en Angleterre, puis à V</w:t>
      </w:r>
      <w:r w:rsidRPr="0004576F">
        <w:rPr>
          <w:iCs/>
          <w:szCs w:val="18"/>
        </w:rPr>
        <w:t>e</w:t>
      </w:r>
      <w:r w:rsidRPr="0004576F">
        <w:rPr>
          <w:iCs/>
          <w:szCs w:val="18"/>
        </w:rPr>
        <w:t xml:space="preserve">nise, l’un des meilleurs diplomates de </w:t>
      </w:r>
      <w:r>
        <w:rPr>
          <w:iCs/>
          <w:szCs w:val="18"/>
        </w:rPr>
        <w:t>Charles IX</w:t>
      </w:r>
      <w:r w:rsidRPr="0004576F">
        <w:rPr>
          <w:iCs/>
          <w:szCs w:val="18"/>
        </w:rPr>
        <w:t>, il passa au service du duc d’Anjou, f</w:t>
      </w:r>
      <w:r w:rsidRPr="0004576F">
        <w:rPr>
          <w:iCs/>
          <w:szCs w:val="18"/>
        </w:rPr>
        <w:t>u</w:t>
      </w:r>
      <w:r w:rsidRPr="0004576F">
        <w:rPr>
          <w:iCs/>
          <w:szCs w:val="18"/>
        </w:rPr>
        <w:t xml:space="preserve">tur </w:t>
      </w:r>
      <w:r>
        <w:rPr>
          <w:iCs/>
          <w:szCs w:val="18"/>
        </w:rPr>
        <w:t>Henri I</w:t>
      </w:r>
      <w:r w:rsidRPr="0004576F">
        <w:rPr>
          <w:iCs/>
          <w:szCs w:val="18"/>
        </w:rPr>
        <w:t xml:space="preserve">II, frère puîné de </w:t>
      </w:r>
      <w:r>
        <w:rPr>
          <w:iCs/>
          <w:szCs w:val="18"/>
        </w:rPr>
        <w:t>Charles IX</w:t>
      </w:r>
      <w:r w:rsidRPr="0004576F">
        <w:rPr>
          <w:iCs/>
          <w:szCs w:val="18"/>
        </w:rPr>
        <w:t xml:space="preserve">. Historien et théoricien politique, il fut également un poète, disciple de Ronsard. </w:t>
      </w:r>
      <w:r w:rsidRPr="0004576F">
        <w:rPr>
          <w:szCs w:val="18"/>
        </w:rPr>
        <w:t>Avec du Tillet, Le Roy, Pasquier et Loisel, il pa</w:t>
      </w:r>
      <w:r w:rsidRPr="0004576F">
        <w:rPr>
          <w:szCs w:val="18"/>
        </w:rPr>
        <w:t>r</w:t>
      </w:r>
      <w:r w:rsidRPr="0004576F">
        <w:rPr>
          <w:szCs w:val="18"/>
        </w:rPr>
        <w:t>ticipa au renouveau de l’historiographie française. Édifié par les convulsions du règne d’</w:t>
      </w:r>
      <w:r>
        <w:rPr>
          <w:szCs w:val="18"/>
        </w:rPr>
        <w:t>Henri I</w:t>
      </w:r>
      <w:r w:rsidRPr="0004576F">
        <w:rPr>
          <w:szCs w:val="18"/>
        </w:rPr>
        <w:t>II, et l’avènement d’</w:t>
      </w:r>
      <w:r>
        <w:rPr>
          <w:szCs w:val="18"/>
        </w:rPr>
        <w:t>Henri I</w:t>
      </w:r>
      <w:r w:rsidRPr="0004576F">
        <w:rPr>
          <w:szCs w:val="18"/>
        </w:rPr>
        <w:t>V, le partisan de la monarchie mixte finit par adopter la conce</w:t>
      </w:r>
      <w:r w:rsidRPr="0004576F">
        <w:rPr>
          <w:szCs w:val="18"/>
        </w:rPr>
        <w:t>p</w:t>
      </w:r>
      <w:r w:rsidRPr="0004576F">
        <w:rPr>
          <w:szCs w:val="18"/>
        </w:rPr>
        <w:t>tion du pouvoir absolu du Roi par Jean Bodin, qu’il avait tant critiqué.</w:t>
      </w:r>
    </w:p>
  </w:footnote>
  <w:footnote w:id="414">
    <w:p w14:paraId="501135E2" w14:textId="77777777" w:rsidR="00B01930" w:rsidRDefault="00B01930">
      <w:pPr>
        <w:pStyle w:val="Notedebasdepage"/>
      </w:pPr>
      <w:r>
        <w:rPr>
          <w:rStyle w:val="Appelnotedebasdep"/>
        </w:rPr>
        <w:footnoteRef/>
      </w:r>
      <w:r>
        <w:t xml:space="preserve"> </w:t>
      </w:r>
      <w:r>
        <w:tab/>
      </w:r>
      <w:r w:rsidRPr="0004576F">
        <w:rPr>
          <w:szCs w:val="18"/>
        </w:rPr>
        <w:t xml:space="preserve">Du Haillan, </w:t>
      </w:r>
      <w:r w:rsidRPr="0004576F">
        <w:rPr>
          <w:i/>
          <w:iCs/>
          <w:szCs w:val="18"/>
        </w:rPr>
        <w:t>De l’estat et succez des affaires de France</w:t>
      </w:r>
      <w:r w:rsidRPr="0004576F">
        <w:rPr>
          <w:iCs/>
          <w:szCs w:val="18"/>
        </w:rPr>
        <w:t xml:space="preserve">, Lyon, 1596, Dédicace à </w:t>
      </w:r>
      <w:r>
        <w:rPr>
          <w:iCs/>
          <w:szCs w:val="18"/>
        </w:rPr>
        <w:t>Cha</w:t>
      </w:r>
      <w:r>
        <w:rPr>
          <w:iCs/>
          <w:szCs w:val="18"/>
        </w:rPr>
        <w:t>r</w:t>
      </w:r>
      <w:r>
        <w:rPr>
          <w:iCs/>
          <w:szCs w:val="18"/>
        </w:rPr>
        <w:t>les IX</w:t>
      </w:r>
      <w:r w:rsidRPr="0004576F">
        <w:rPr>
          <w:iCs/>
          <w:szCs w:val="18"/>
        </w:rPr>
        <w:t>, non paginée.</w:t>
      </w:r>
    </w:p>
  </w:footnote>
  <w:footnote w:id="415">
    <w:p w14:paraId="3F4CF472" w14:textId="77777777" w:rsidR="00B01930" w:rsidRDefault="00B01930">
      <w:pPr>
        <w:pStyle w:val="Notedebasdepage"/>
      </w:pPr>
      <w:r>
        <w:rPr>
          <w:rStyle w:val="Appelnotedebasdep"/>
        </w:rPr>
        <w:footnoteRef/>
      </w:r>
      <w:r>
        <w:t xml:space="preserve"> </w:t>
      </w:r>
      <w:r>
        <w:tab/>
      </w:r>
      <w:r w:rsidRPr="0004576F">
        <w:rPr>
          <w:i/>
          <w:szCs w:val="18"/>
        </w:rPr>
        <w:t>Considérations sur l’Histoire Françoise et l’Universelle de ce temps dont les merveilles sont succinctement récitées</w:t>
      </w:r>
      <w:r w:rsidRPr="0004576F">
        <w:rPr>
          <w:szCs w:val="18"/>
        </w:rPr>
        <w:t xml:space="preserve">, </w:t>
      </w:r>
      <w:r w:rsidRPr="0004576F">
        <w:rPr>
          <w:i/>
          <w:szCs w:val="18"/>
        </w:rPr>
        <w:t>A la Royne Mère du Roy. Par Loys Le Roy, dict Régius. A P</w:t>
      </w:r>
      <w:r w:rsidRPr="0004576F">
        <w:rPr>
          <w:i/>
          <w:szCs w:val="18"/>
        </w:rPr>
        <w:t>a</w:t>
      </w:r>
      <w:r w:rsidRPr="0004576F">
        <w:rPr>
          <w:i/>
          <w:szCs w:val="18"/>
        </w:rPr>
        <w:t>ris, de l’imprimerie de Frédéric Morel, rue S. Jean de Beauvais, au Franc Meurier, 1568. Avec Privilège du Roy</w:t>
      </w:r>
      <w:r w:rsidRPr="0004576F">
        <w:rPr>
          <w:szCs w:val="18"/>
        </w:rPr>
        <w:t>, dédicace non p</w:t>
      </w:r>
      <w:r w:rsidRPr="0004576F">
        <w:rPr>
          <w:szCs w:val="18"/>
        </w:rPr>
        <w:t>a</w:t>
      </w:r>
      <w:r w:rsidRPr="0004576F">
        <w:rPr>
          <w:szCs w:val="18"/>
        </w:rPr>
        <w:t xml:space="preserve">ginée. En 1575, il publia </w:t>
      </w:r>
      <w:r w:rsidRPr="0004576F">
        <w:rPr>
          <w:i/>
          <w:szCs w:val="18"/>
        </w:rPr>
        <w:t>De l’excellence du Go</w:t>
      </w:r>
      <w:r w:rsidRPr="0004576F">
        <w:rPr>
          <w:i/>
          <w:szCs w:val="18"/>
        </w:rPr>
        <w:t>u</w:t>
      </w:r>
      <w:r w:rsidRPr="0004576F">
        <w:rPr>
          <w:i/>
          <w:szCs w:val="18"/>
        </w:rPr>
        <w:t>vernement Royal, par Loys Le Roy, dict Regius</w:t>
      </w:r>
      <w:r w:rsidRPr="0004576F">
        <w:rPr>
          <w:szCs w:val="18"/>
        </w:rPr>
        <w:t xml:space="preserve">, </w:t>
      </w:r>
      <w:r w:rsidRPr="0004576F">
        <w:rPr>
          <w:i/>
          <w:szCs w:val="18"/>
        </w:rPr>
        <w:t>A Paris, par Frédéric Morel, Imprimeur du Roy, 1575. Avec Privilège</w:t>
      </w:r>
      <w:r w:rsidRPr="0004576F">
        <w:rPr>
          <w:szCs w:val="18"/>
        </w:rPr>
        <w:t>. Loys ou Louis le Roy (1510-1577), était un brillant hell</w:t>
      </w:r>
      <w:r w:rsidRPr="0004576F">
        <w:rPr>
          <w:szCs w:val="18"/>
        </w:rPr>
        <w:t>é</w:t>
      </w:r>
      <w:r w:rsidRPr="0004576F">
        <w:rPr>
          <w:szCs w:val="18"/>
        </w:rPr>
        <w:t>niste qui avait reçu les leçons de grec  de Guillaume Budé, à Paris. Il publia aussi de nombreuses traductions du grec en français, n</w:t>
      </w:r>
      <w:r w:rsidRPr="0004576F">
        <w:rPr>
          <w:szCs w:val="18"/>
        </w:rPr>
        <w:t>o</w:t>
      </w:r>
      <w:r w:rsidRPr="0004576F">
        <w:rPr>
          <w:szCs w:val="18"/>
        </w:rPr>
        <w:t xml:space="preserve">tamment les </w:t>
      </w:r>
      <w:r w:rsidRPr="0004576F">
        <w:rPr>
          <w:i/>
          <w:szCs w:val="18"/>
        </w:rPr>
        <w:t>Politiques</w:t>
      </w:r>
      <w:r w:rsidRPr="0004576F">
        <w:rPr>
          <w:szCs w:val="18"/>
        </w:rPr>
        <w:t xml:space="preserve"> d’Aristote et de Platon, et des œuvres de Xénophon, de Démosthène et d’Isocrate.</w:t>
      </w:r>
    </w:p>
  </w:footnote>
  <w:footnote w:id="416">
    <w:p w14:paraId="064A8EFC" w14:textId="77777777" w:rsidR="00B01930" w:rsidRDefault="00B01930">
      <w:pPr>
        <w:pStyle w:val="Notedebasdepage"/>
      </w:pPr>
      <w:r>
        <w:rPr>
          <w:rStyle w:val="Appelnotedebasdep"/>
        </w:rPr>
        <w:footnoteRef/>
      </w:r>
      <w:r>
        <w:t xml:space="preserve"> </w:t>
      </w:r>
      <w:r>
        <w:tab/>
      </w:r>
      <w:r w:rsidRPr="0004576F">
        <w:rPr>
          <w:szCs w:val="18"/>
        </w:rPr>
        <w:t xml:space="preserve">Loys le Roy, </w:t>
      </w:r>
      <w:r w:rsidRPr="0004576F">
        <w:rPr>
          <w:i/>
          <w:szCs w:val="18"/>
        </w:rPr>
        <w:t xml:space="preserve">Considérations sur l’Histoire Françoise, op. cit., </w:t>
      </w:r>
      <w:r w:rsidRPr="0004576F">
        <w:rPr>
          <w:szCs w:val="18"/>
        </w:rPr>
        <w:t>dédicace non paginée.</w:t>
      </w:r>
    </w:p>
  </w:footnote>
  <w:footnote w:id="417">
    <w:p w14:paraId="755C1DA7" w14:textId="77777777" w:rsidR="00B01930" w:rsidRDefault="00B01930">
      <w:pPr>
        <w:pStyle w:val="Notedebasdepage"/>
      </w:pPr>
      <w:r>
        <w:rPr>
          <w:rStyle w:val="Appelnotedebasdep"/>
        </w:rPr>
        <w:footnoteRef/>
      </w:r>
      <w:r>
        <w:t xml:space="preserve"> </w:t>
      </w:r>
      <w:r>
        <w:tab/>
      </w:r>
      <w:r w:rsidRPr="0004576F">
        <w:rPr>
          <w:i/>
          <w:szCs w:val="18"/>
        </w:rPr>
        <w:t>Les Mémoires et recherches de Jean du Tillet</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non p</w:t>
      </w:r>
      <w:r w:rsidRPr="0004576F">
        <w:rPr>
          <w:szCs w:val="18"/>
        </w:rPr>
        <w:t>a</w:t>
      </w:r>
      <w:r w:rsidRPr="0004576F">
        <w:rPr>
          <w:szCs w:val="18"/>
        </w:rPr>
        <w:t>giné.</w:t>
      </w:r>
    </w:p>
  </w:footnote>
  <w:footnote w:id="418">
    <w:p w14:paraId="69EA9424" w14:textId="77777777" w:rsidR="00B01930" w:rsidRDefault="00B01930">
      <w:pPr>
        <w:pStyle w:val="Notedebasdepage"/>
      </w:pPr>
      <w:r>
        <w:rPr>
          <w:rStyle w:val="Appelnotedebasdep"/>
        </w:rPr>
        <w:footnoteRef/>
      </w:r>
      <w:r>
        <w:t xml:space="preserve"> </w:t>
      </w:r>
      <w:r>
        <w:tab/>
      </w:r>
      <w:r w:rsidRPr="0004576F">
        <w:rPr>
          <w:szCs w:val="18"/>
        </w:rPr>
        <w:t xml:space="preserve">François de Belleforest avait publié en 1559 une traduction des </w:t>
      </w:r>
      <w:r w:rsidRPr="0004576F">
        <w:rPr>
          <w:i/>
          <w:szCs w:val="18"/>
        </w:rPr>
        <w:t>Histoires tr</w:t>
      </w:r>
      <w:r w:rsidRPr="0004576F">
        <w:rPr>
          <w:i/>
          <w:szCs w:val="18"/>
        </w:rPr>
        <w:t>a</w:t>
      </w:r>
      <w:r w:rsidRPr="0004576F">
        <w:rPr>
          <w:i/>
          <w:szCs w:val="18"/>
        </w:rPr>
        <w:t>giques</w:t>
      </w:r>
      <w:r w:rsidRPr="0004576F">
        <w:rPr>
          <w:szCs w:val="18"/>
        </w:rPr>
        <w:t xml:space="preserve"> de l’italien Matteo Ba</w:t>
      </w:r>
      <w:r w:rsidRPr="0004576F">
        <w:rPr>
          <w:szCs w:val="18"/>
        </w:rPr>
        <w:t>n</w:t>
      </w:r>
      <w:r w:rsidRPr="0004576F">
        <w:rPr>
          <w:szCs w:val="18"/>
        </w:rPr>
        <w:t>dello.</w:t>
      </w:r>
    </w:p>
  </w:footnote>
  <w:footnote w:id="419">
    <w:p w14:paraId="6742084F" w14:textId="77777777" w:rsidR="00B01930" w:rsidRDefault="00B01930">
      <w:pPr>
        <w:pStyle w:val="Notedebasdepage"/>
      </w:pPr>
      <w:r>
        <w:rPr>
          <w:rStyle w:val="Appelnotedebasdep"/>
        </w:rPr>
        <w:footnoteRef/>
      </w:r>
      <w:r>
        <w:t xml:space="preserve"> </w:t>
      </w:r>
      <w:r>
        <w:tab/>
      </w:r>
      <w:r w:rsidRPr="0004576F">
        <w:rPr>
          <w:szCs w:val="18"/>
        </w:rPr>
        <w:t xml:space="preserve">La dernière édition des </w:t>
      </w:r>
      <w:r w:rsidRPr="0004576F">
        <w:rPr>
          <w:i/>
          <w:szCs w:val="18"/>
        </w:rPr>
        <w:t>Annales et Chroniques de France</w:t>
      </w:r>
      <w:r w:rsidRPr="0004576F">
        <w:rPr>
          <w:szCs w:val="18"/>
        </w:rPr>
        <w:t xml:space="preserve">, par l’historiographe de France, Nicole Gilles, datait de 1547.  Belleforest ne publia son travail qu’après la mort de </w:t>
      </w:r>
      <w:r>
        <w:rPr>
          <w:szCs w:val="18"/>
        </w:rPr>
        <w:t>Charles IX</w:t>
      </w:r>
      <w:r w:rsidRPr="0004576F">
        <w:rPr>
          <w:szCs w:val="18"/>
        </w:rPr>
        <w:t xml:space="preserve">. Il le dédia à </w:t>
      </w:r>
      <w:r>
        <w:rPr>
          <w:szCs w:val="18"/>
        </w:rPr>
        <w:t>He</w:t>
      </w:r>
      <w:r>
        <w:rPr>
          <w:szCs w:val="18"/>
        </w:rPr>
        <w:t>n</w:t>
      </w:r>
      <w:r>
        <w:rPr>
          <w:szCs w:val="18"/>
        </w:rPr>
        <w:t>ri I</w:t>
      </w:r>
      <w:r w:rsidRPr="0004576F">
        <w:rPr>
          <w:szCs w:val="18"/>
        </w:rPr>
        <w:t>II [</w:t>
      </w:r>
      <w:r w:rsidRPr="0004576F">
        <w:rPr>
          <w:i/>
          <w:szCs w:val="18"/>
        </w:rPr>
        <w:t>Les Grandes Annales et Histoire générale de France, dès la venue des Francs en Gaule, jusques au règne du Roy Très-Chrestien Henry III. Par François de Belle-Forest, C</w:t>
      </w:r>
      <w:r w:rsidRPr="0004576F">
        <w:rPr>
          <w:i/>
          <w:szCs w:val="18"/>
        </w:rPr>
        <w:t>o</w:t>
      </w:r>
      <w:r w:rsidRPr="0004576F">
        <w:rPr>
          <w:i/>
          <w:szCs w:val="18"/>
        </w:rPr>
        <w:t>mingeois, &amp; Annaliste de sa Majesté très-Chrétienne</w:t>
      </w:r>
      <w:r w:rsidRPr="0004576F">
        <w:rPr>
          <w:szCs w:val="18"/>
        </w:rPr>
        <w:t>. A Paris, chez Gabriel Buon, 1579, 2 t</w:t>
      </w:r>
      <w:r w:rsidRPr="0004576F">
        <w:rPr>
          <w:szCs w:val="18"/>
        </w:rPr>
        <w:t>o</w:t>
      </w:r>
      <w:r w:rsidRPr="0004576F">
        <w:rPr>
          <w:szCs w:val="18"/>
        </w:rPr>
        <w:t>mes.</w:t>
      </w:r>
    </w:p>
  </w:footnote>
  <w:footnote w:id="420">
    <w:p w14:paraId="6B45B9BB" w14:textId="77777777" w:rsidR="00B01930" w:rsidRDefault="00B01930">
      <w:pPr>
        <w:pStyle w:val="Notedebasdepage"/>
      </w:pPr>
      <w:r>
        <w:rPr>
          <w:rStyle w:val="Appelnotedebasdep"/>
        </w:rPr>
        <w:footnoteRef/>
      </w:r>
      <w:r>
        <w:t xml:space="preserve"> </w:t>
      </w:r>
      <w:r>
        <w:tab/>
      </w:r>
      <w:r w:rsidRPr="0004576F">
        <w:rPr>
          <w:szCs w:val="18"/>
        </w:rPr>
        <w:t xml:space="preserve">François de Belleforest </w:t>
      </w:r>
      <w:r w:rsidRPr="0004576F">
        <w:rPr>
          <w:i/>
          <w:iCs/>
          <w:szCs w:val="18"/>
        </w:rPr>
        <w:t>Histoire des neuf rois qui ont eu le nom de Charles</w:t>
      </w:r>
      <w:r w:rsidRPr="0004576F">
        <w:rPr>
          <w:iCs/>
          <w:szCs w:val="18"/>
        </w:rPr>
        <w:t>…, Paris, 1568</w:t>
      </w:r>
      <w:r w:rsidRPr="0004576F">
        <w:rPr>
          <w:szCs w:val="18"/>
        </w:rPr>
        <w:t>.</w:t>
      </w:r>
    </w:p>
  </w:footnote>
  <w:footnote w:id="421">
    <w:p w14:paraId="6CF31E83" w14:textId="77777777" w:rsidR="00B01930" w:rsidRDefault="00B01930">
      <w:pPr>
        <w:pStyle w:val="Notedebasdepage"/>
      </w:pPr>
      <w:r>
        <w:rPr>
          <w:rStyle w:val="Appelnotedebasdep"/>
        </w:rPr>
        <w:footnoteRef/>
      </w:r>
      <w:r>
        <w:t xml:space="preserve"> </w:t>
      </w:r>
      <w:r>
        <w:tab/>
      </w:r>
      <w:r w:rsidRPr="0004576F">
        <w:rPr>
          <w:szCs w:val="18"/>
        </w:rPr>
        <w:t xml:space="preserve">Du Haillan, </w:t>
      </w:r>
      <w:r w:rsidRPr="0004576F">
        <w:rPr>
          <w:i/>
          <w:iCs/>
          <w:szCs w:val="18"/>
        </w:rPr>
        <w:t>De l’estat et succez des affaires de France</w:t>
      </w:r>
      <w:r w:rsidRPr="0004576F">
        <w:rPr>
          <w:iCs/>
          <w:szCs w:val="18"/>
        </w:rPr>
        <w:t>, Rouen, 1611,</w:t>
      </w:r>
      <w:r w:rsidRPr="0004576F">
        <w:rPr>
          <w:szCs w:val="18"/>
        </w:rPr>
        <w:t xml:space="preserve"> f ° 310.</w:t>
      </w:r>
    </w:p>
  </w:footnote>
  <w:footnote w:id="422">
    <w:p w14:paraId="45E670DD" w14:textId="77777777" w:rsidR="00B01930" w:rsidRDefault="00B01930">
      <w:pPr>
        <w:pStyle w:val="Notedebasdepage"/>
      </w:pPr>
      <w:r>
        <w:rPr>
          <w:rStyle w:val="Appelnotedebasdep"/>
        </w:rPr>
        <w:footnoteRef/>
      </w:r>
      <w:r>
        <w:t xml:space="preserve"> </w:t>
      </w:r>
      <w:r>
        <w:tab/>
      </w:r>
      <w:r w:rsidRPr="0004576F">
        <w:rPr>
          <w:i/>
          <w:szCs w:val="18"/>
        </w:rPr>
        <w:t>Ibidem</w:t>
      </w:r>
      <w:r w:rsidRPr="0004576F">
        <w:rPr>
          <w:szCs w:val="18"/>
        </w:rPr>
        <w:t xml:space="preserve">, Livre second : </w:t>
      </w:r>
      <w:r w:rsidRPr="0004576F">
        <w:rPr>
          <w:i/>
          <w:szCs w:val="18"/>
        </w:rPr>
        <w:t>Titres, grandeur et excellence des roys et royaume de France</w:t>
      </w:r>
      <w:r w:rsidRPr="0004576F">
        <w:rPr>
          <w:szCs w:val="18"/>
        </w:rPr>
        <w:t>, p. 131. Il ajoute que « les rois de France doivent le titre de Roi Très Chrétien à leurs mérites, surtout pour avoir mai</w:t>
      </w:r>
      <w:r w:rsidRPr="0004576F">
        <w:rPr>
          <w:szCs w:val="18"/>
        </w:rPr>
        <w:t>n</w:t>
      </w:r>
      <w:r w:rsidRPr="0004576F">
        <w:rPr>
          <w:szCs w:val="18"/>
        </w:rPr>
        <w:t>tenu l’église Gallicane : « les rois et royaume de France l’ont à bon droict obtenu, tant pour la vraye religion des rois que pour avoir maintenu l’église Gall</w:t>
      </w:r>
      <w:r w:rsidRPr="0004576F">
        <w:rPr>
          <w:szCs w:val="18"/>
        </w:rPr>
        <w:t>i</w:t>
      </w:r>
      <w:r w:rsidRPr="0004576F">
        <w:rPr>
          <w:szCs w:val="18"/>
        </w:rPr>
        <w:t>cane en son sainct ordre, &amp; par leur exemple exercité &amp; contenu les sujets en foy &amp; œ</w:t>
      </w:r>
      <w:r w:rsidRPr="0004576F">
        <w:rPr>
          <w:szCs w:val="18"/>
        </w:rPr>
        <w:t>u</w:t>
      </w:r>
      <w:r w:rsidRPr="0004576F">
        <w:rPr>
          <w:szCs w:val="18"/>
        </w:rPr>
        <w:t>vres Chrestiennes, qui en ont plus receu de fruict, que de tous les autres potentats ense</w:t>
      </w:r>
      <w:r w:rsidRPr="0004576F">
        <w:rPr>
          <w:szCs w:val="18"/>
        </w:rPr>
        <w:t>m</w:t>
      </w:r>
      <w:r w:rsidRPr="0004576F">
        <w:rPr>
          <w:szCs w:val="18"/>
        </w:rPr>
        <w:t>ble ».</w:t>
      </w:r>
    </w:p>
  </w:footnote>
  <w:footnote w:id="423">
    <w:p w14:paraId="3484B011" w14:textId="77777777" w:rsidR="00B01930" w:rsidRDefault="00B01930">
      <w:pPr>
        <w:pStyle w:val="Notedebasdepage"/>
      </w:pPr>
      <w:r>
        <w:rPr>
          <w:rStyle w:val="Appelnotedebasdep"/>
        </w:rPr>
        <w:footnoteRef/>
      </w:r>
      <w:r>
        <w:t xml:space="preserve"> </w:t>
      </w:r>
      <w:r>
        <w:tab/>
      </w:r>
      <w:r w:rsidRPr="0004576F">
        <w:rPr>
          <w:szCs w:val="18"/>
        </w:rPr>
        <w:t xml:space="preserve">Du Haillan, </w:t>
      </w:r>
      <w:r w:rsidRPr="0004576F">
        <w:rPr>
          <w:i/>
          <w:iCs/>
          <w:szCs w:val="18"/>
        </w:rPr>
        <w:t>De l’estat et succez des affaires de France</w:t>
      </w:r>
      <w:r w:rsidRPr="0004576F">
        <w:rPr>
          <w:iCs/>
          <w:szCs w:val="18"/>
        </w:rPr>
        <w:t xml:space="preserve">, </w:t>
      </w:r>
      <w:r w:rsidRPr="0004576F">
        <w:rPr>
          <w:i/>
          <w:iCs/>
          <w:szCs w:val="18"/>
        </w:rPr>
        <w:t>op</w:t>
      </w:r>
      <w:r w:rsidRPr="0004576F">
        <w:rPr>
          <w:iCs/>
          <w:szCs w:val="18"/>
        </w:rPr>
        <w:t xml:space="preserve">. </w:t>
      </w:r>
      <w:r w:rsidRPr="0004576F">
        <w:rPr>
          <w:i/>
          <w:iCs/>
          <w:szCs w:val="18"/>
        </w:rPr>
        <w:t>cit</w:t>
      </w:r>
      <w:r w:rsidRPr="0004576F">
        <w:rPr>
          <w:iCs/>
          <w:szCs w:val="18"/>
        </w:rPr>
        <w:t xml:space="preserve">., </w:t>
      </w:r>
      <w:r w:rsidRPr="0004576F">
        <w:rPr>
          <w:szCs w:val="18"/>
        </w:rPr>
        <w:t>f ° 302 v°- 303.</w:t>
      </w:r>
    </w:p>
  </w:footnote>
  <w:footnote w:id="424">
    <w:p w14:paraId="61635796" w14:textId="77777777" w:rsidR="00B01930" w:rsidRDefault="00B01930">
      <w:pPr>
        <w:pStyle w:val="Notedebasdepage"/>
      </w:pPr>
      <w:r>
        <w:rPr>
          <w:rStyle w:val="Appelnotedebasdep"/>
        </w:rPr>
        <w:footnoteRef/>
      </w:r>
      <w:r>
        <w:t xml:space="preserve"> </w:t>
      </w:r>
      <w:r>
        <w:tab/>
      </w:r>
      <w:r w:rsidRPr="0004576F">
        <w:rPr>
          <w:szCs w:val="18"/>
        </w:rPr>
        <w:t xml:space="preserve">Le Roy, </w:t>
      </w:r>
      <w:r w:rsidRPr="0004576F">
        <w:rPr>
          <w:i/>
          <w:szCs w:val="18"/>
        </w:rPr>
        <w:t>De l’excellence du Gouvernement Royal</w:t>
      </w:r>
      <w:r w:rsidRPr="0004576F">
        <w:rPr>
          <w:szCs w:val="18"/>
        </w:rPr>
        <w:t>, Paris, Frédéric Morel, 1575, f ° 36 r °.</w:t>
      </w:r>
    </w:p>
  </w:footnote>
  <w:footnote w:id="425">
    <w:p w14:paraId="3B240669" w14:textId="77777777" w:rsidR="00B01930" w:rsidRDefault="00B01930">
      <w:pPr>
        <w:pStyle w:val="Notedebasdepage"/>
      </w:pPr>
      <w:r>
        <w:rPr>
          <w:rStyle w:val="Appelnotedebasdep"/>
        </w:rPr>
        <w:footnoteRef/>
      </w:r>
      <w:r>
        <w:t xml:space="preserve"> </w:t>
      </w:r>
      <w:r>
        <w:tab/>
      </w:r>
      <w:r w:rsidRPr="0004576F">
        <w:rPr>
          <w:szCs w:val="18"/>
        </w:rPr>
        <w:t xml:space="preserve">Du Tillet, </w:t>
      </w:r>
      <w:r w:rsidRPr="0004576F">
        <w:rPr>
          <w:i/>
          <w:szCs w:val="18"/>
        </w:rPr>
        <w:t>Les mémoires et recherches, op. cit.,</w:t>
      </w:r>
      <w:r w:rsidRPr="0004576F">
        <w:rPr>
          <w:szCs w:val="18"/>
        </w:rPr>
        <w:t xml:space="preserve"> p. 132.</w:t>
      </w:r>
    </w:p>
  </w:footnote>
  <w:footnote w:id="426">
    <w:p w14:paraId="7016B9B7" w14:textId="77777777" w:rsidR="00B01930" w:rsidRDefault="00B01930">
      <w:pPr>
        <w:pStyle w:val="Notedebasdepage"/>
      </w:pPr>
      <w:r>
        <w:rPr>
          <w:rStyle w:val="Appelnotedebasdep"/>
        </w:rPr>
        <w:footnoteRef/>
      </w:r>
      <w:r>
        <w:t xml:space="preserve"> </w:t>
      </w:r>
      <w:r>
        <w:tab/>
      </w:r>
      <w:r w:rsidRPr="0004576F">
        <w:rPr>
          <w:szCs w:val="18"/>
        </w:rPr>
        <w:t xml:space="preserve">Du Haillan, </w:t>
      </w:r>
      <w:r w:rsidRPr="0004576F">
        <w:rPr>
          <w:i/>
          <w:iCs/>
          <w:szCs w:val="18"/>
        </w:rPr>
        <w:t>De l’estat et succez des affaires de France</w:t>
      </w:r>
      <w:r w:rsidRPr="0004576F">
        <w:rPr>
          <w:szCs w:val="18"/>
        </w:rPr>
        <w:t xml:space="preserve">, </w:t>
      </w:r>
      <w:r w:rsidRPr="0004576F">
        <w:rPr>
          <w:i/>
          <w:szCs w:val="18"/>
        </w:rPr>
        <w:t>op. cit</w:t>
      </w:r>
      <w:r w:rsidRPr="0004576F">
        <w:rPr>
          <w:szCs w:val="18"/>
        </w:rPr>
        <w:t>., f ° 308.</w:t>
      </w:r>
    </w:p>
  </w:footnote>
  <w:footnote w:id="427">
    <w:p w14:paraId="32DF9DF0" w14:textId="77777777" w:rsidR="00B01930" w:rsidRDefault="00B01930">
      <w:pPr>
        <w:pStyle w:val="Notedebasdepage"/>
      </w:pPr>
      <w:r>
        <w:rPr>
          <w:rStyle w:val="Appelnotedebasdep"/>
        </w:rPr>
        <w:footnoteRef/>
      </w:r>
      <w:r>
        <w:t xml:space="preserve"> </w:t>
      </w:r>
      <w:r>
        <w:tab/>
      </w:r>
      <w:r w:rsidRPr="0004576F">
        <w:rPr>
          <w:i/>
          <w:szCs w:val="18"/>
        </w:rPr>
        <w:t>Ibidem</w:t>
      </w:r>
      <w:r w:rsidRPr="0004576F">
        <w:rPr>
          <w:szCs w:val="18"/>
        </w:rPr>
        <w:t>, f ° 305.</w:t>
      </w:r>
    </w:p>
  </w:footnote>
  <w:footnote w:id="428">
    <w:p w14:paraId="47BACECA" w14:textId="77777777" w:rsidR="00B01930" w:rsidRDefault="00B01930">
      <w:pPr>
        <w:pStyle w:val="Notedebasdepage"/>
      </w:pPr>
      <w:r>
        <w:rPr>
          <w:rStyle w:val="Appelnotedebasdep"/>
        </w:rPr>
        <w:footnoteRef/>
      </w:r>
      <w:r>
        <w:t xml:space="preserve"> </w:t>
      </w:r>
      <w:r>
        <w:tab/>
      </w:r>
      <w:r w:rsidRPr="0004576F">
        <w:rPr>
          <w:szCs w:val="18"/>
        </w:rPr>
        <w:t xml:space="preserve">Du Tillet, </w:t>
      </w:r>
      <w:r w:rsidRPr="0004576F">
        <w:rPr>
          <w:i/>
          <w:szCs w:val="18"/>
        </w:rPr>
        <w:t>Mémoire &amp; advis… sur les libertez de l’Eglise Gall</w:t>
      </w:r>
      <w:r w:rsidRPr="0004576F">
        <w:rPr>
          <w:i/>
          <w:szCs w:val="18"/>
        </w:rPr>
        <w:t>i</w:t>
      </w:r>
      <w:r w:rsidRPr="0004576F">
        <w:rPr>
          <w:i/>
          <w:szCs w:val="18"/>
        </w:rPr>
        <w:t>cane</w:t>
      </w:r>
      <w:r w:rsidRPr="0004576F">
        <w:rPr>
          <w:szCs w:val="18"/>
        </w:rPr>
        <w:t>, fait en 1551, éd. 1594, p. 3 – 4. Du Haillan fait écho à du Tillet : « Plusieurs sou</w:t>
      </w:r>
      <w:r w:rsidRPr="0004576F">
        <w:rPr>
          <w:szCs w:val="18"/>
        </w:rPr>
        <w:t>s</w:t>
      </w:r>
      <w:r w:rsidRPr="0004576F">
        <w:rPr>
          <w:szCs w:val="18"/>
        </w:rPr>
        <w:t>tiennent que les Roys de France sont aussi bien souv</w:t>
      </w:r>
      <w:r w:rsidRPr="0004576F">
        <w:rPr>
          <w:szCs w:val="18"/>
        </w:rPr>
        <w:t>e</w:t>
      </w:r>
      <w:r w:rsidRPr="0004576F">
        <w:rPr>
          <w:szCs w:val="18"/>
        </w:rPr>
        <w:t>rains Pontifes en leur Royaume, en l’Eglise Gallicane &amp; en la puissance spirituelle, que Roys en la temporelle, qu’ils ont toute &amp; souv</w:t>
      </w:r>
      <w:r w:rsidRPr="0004576F">
        <w:rPr>
          <w:szCs w:val="18"/>
        </w:rPr>
        <w:t>e</w:t>
      </w:r>
      <w:r w:rsidRPr="0004576F">
        <w:rPr>
          <w:szCs w:val="18"/>
        </w:rPr>
        <w:t>raine authorité en ladite Eglise &amp; avec pouvoir de corriger &amp; amender les abuz d’icelle, d’y ordonner Loix &amp; Ordo</w:t>
      </w:r>
      <w:r w:rsidRPr="0004576F">
        <w:rPr>
          <w:szCs w:val="18"/>
        </w:rPr>
        <w:t>n</w:t>
      </w:r>
      <w:r w:rsidRPr="0004576F">
        <w:rPr>
          <w:szCs w:val="18"/>
        </w:rPr>
        <w:t>nances, d’assembler &amp; convoquer Conciles &amp; Synodes, &amp; d’y faire tous actes de Souverains pasteurs de l’Église. Quand les Papes nous ont été favorables &amp; doux, qu’ils ont laissé jouyr les Ecclésiastiques des droits de l’Église Gallic</w:t>
      </w:r>
      <w:r w:rsidRPr="0004576F">
        <w:rPr>
          <w:szCs w:val="18"/>
        </w:rPr>
        <w:t>a</w:t>
      </w:r>
      <w:r w:rsidRPr="0004576F">
        <w:rPr>
          <w:szCs w:val="18"/>
        </w:rPr>
        <w:t>ne, nos Roys ny leurs s</w:t>
      </w:r>
      <w:r w:rsidRPr="0004576F">
        <w:rPr>
          <w:szCs w:val="18"/>
        </w:rPr>
        <w:t>u</w:t>
      </w:r>
      <w:r w:rsidRPr="0004576F">
        <w:rPr>
          <w:szCs w:val="18"/>
        </w:rPr>
        <w:t>jets n’ont voulu remuer ceste pierre ; mais quand on a veu que les papes ont voulu trop e</w:t>
      </w:r>
      <w:r w:rsidRPr="0004576F">
        <w:rPr>
          <w:szCs w:val="18"/>
        </w:rPr>
        <w:t>n</w:t>
      </w:r>
      <w:r w:rsidRPr="0004576F">
        <w:rPr>
          <w:szCs w:val="18"/>
        </w:rPr>
        <w:t>treprendre sur les uns &amp; sur les autres, on l’a remuée, on en a fait plusieurs livres, &amp; nous en avons amplement discouru en nostre œuvre de la Monarchie desjà plusieurs fois all</w:t>
      </w:r>
      <w:r w:rsidRPr="0004576F">
        <w:rPr>
          <w:szCs w:val="18"/>
        </w:rPr>
        <w:t>é</w:t>
      </w:r>
      <w:r w:rsidRPr="0004576F">
        <w:rPr>
          <w:szCs w:val="18"/>
        </w:rPr>
        <w:t xml:space="preserve">gué ». Du Haillan, </w:t>
      </w:r>
      <w:r w:rsidRPr="0004576F">
        <w:rPr>
          <w:i/>
          <w:iCs/>
          <w:szCs w:val="18"/>
        </w:rPr>
        <w:t>De l’estat et succez des affaires de France</w:t>
      </w:r>
      <w:r w:rsidRPr="0004576F">
        <w:rPr>
          <w:szCs w:val="18"/>
        </w:rPr>
        <w:t xml:space="preserve">, </w:t>
      </w:r>
      <w:r w:rsidRPr="0004576F">
        <w:rPr>
          <w:i/>
          <w:szCs w:val="18"/>
        </w:rPr>
        <w:t>op. cit</w:t>
      </w:r>
      <w:r w:rsidRPr="0004576F">
        <w:rPr>
          <w:szCs w:val="18"/>
        </w:rPr>
        <w:t>., f ° 308.</w:t>
      </w:r>
    </w:p>
  </w:footnote>
  <w:footnote w:id="429">
    <w:p w14:paraId="649BE39D" w14:textId="77777777" w:rsidR="00B01930" w:rsidRDefault="00B01930">
      <w:pPr>
        <w:pStyle w:val="Notedebasdepage"/>
      </w:pPr>
      <w:r>
        <w:rPr>
          <w:rStyle w:val="Appelnotedebasdep"/>
        </w:rPr>
        <w:footnoteRef/>
      </w:r>
      <w:r>
        <w:t xml:space="preserve"> </w:t>
      </w:r>
      <w:r>
        <w:tab/>
      </w:r>
      <w:r w:rsidRPr="0004576F">
        <w:rPr>
          <w:szCs w:val="18"/>
        </w:rPr>
        <w:t xml:space="preserve">Cité dans </w:t>
      </w:r>
      <w:r w:rsidRPr="0004576F">
        <w:rPr>
          <w:i/>
          <w:szCs w:val="18"/>
        </w:rPr>
        <w:t>Les Lettres d’Etienne Pasquier</w:t>
      </w:r>
      <w:r w:rsidRPr="0004576F">
        <w:rPr>
          <w:szCs w:val="18"/>
        </w:rPr>
        <w:t>, Mélisssa Lapointe, Dominique L</w:t>
      </w:r>
      <w:r w:rsidRPr="0004576F">
        <w:rPr>
          <w:szCs w:val="18"/>
        </w:rPr>
        <w:t>o</w:t>
      </w:r>
      <w:r w:rsidRPr="0004576F">
        <w:rPr>
          <w:szCs w:val="18"/>
        </w:rPr>
        <w:t>cas et Luc Vaillancourt (édit.), Editions du Gr@@l, 2005, Livre XII, lettre II, p. 415.</w:t>
      </w:r>
    </w:p>
  </w:footnote>
  <w:footnote w:id="430">
    <w:p w14:paraId="4B77DBC5" w14:textId="77777777" w:rsidR="00B01930" w:rsidRDefault="00B01930">
      <w:pPr>
        <w:pStyle w:val="Notedebasdepage"/>
      </w:pPr>
      <w:r>
        <w:rPr>
          <w:rStyle w:val="Appelnotedebasdep"/>
        </w:rPr>
        <w:footnoteRef/>
      </w:r>
      <w:r>
        <w:t xml:space="preserve"> </w:t>
      </w:r>
      <w:r>
        <w:tab/>
      </w:r>
      <w:r w:rsidRPr="0004576F">
        <w:rPr>
          <w:szCs w:val="18"/>
        </w:rPr>
        <w:t xml:space="preserve">Du Haillan, </w:t>
      </w:r>
      <w:r w:rsidRPr="0004576F">
        <w:rPr>
          <w:i/>
          <w:iCs/>
          <w:szCs w:val="18"/>
        </w:rPr>
        <w:t>De l’estat et succez des affaires de France</w:t>
      </w:r>
      <w:r w:rsidRPr="0004576F">
        <w:rPr>
          <w:szCs w:val="18"/>
        </w:rPr>
        <w:t xml:space="preserve">, </w:t>
      </w:r>
      <w:r w:rsidRPr="0004576F">
        <w:rPr>
          <w:i/>
          <w:szCs w:val="18"/>
        </w:rPr>
        <w:t>op. cit</w:t>
      </w:r>
      <w:r w:rsidRPr="0004576F">
        <w:rPr>
          <w:szCs w:val="18"/>
        </w:rPr>
        <w:t>., f ° 170.</w:t>
      </w:r>
    </w:p>
  </w:footnote>
  <w:footnote w:id="431">
    <w:p w14:paraId="5036F752" w14:textId="77777777" w:rsidR="00B01930" w:rsidRDefault="00B01930">
      <w:pPr>
        <w:pStyle w:val="Notedebasdepage"/>
      </w:pPr>
      <w:r>
        <w:rPr>
          <w:rStyle w:val="Appelnotedebasdep"/>
        </w:rPr>
        <w:footnoteRef/>
      </w:r>
      <w:r>
        <w:t xml:space="preserve"> </w:t>
      </w:r>
      <w:r>
        <w:tab/>
      </w:r>
      <w:r w:rsidRPr="0004576F">
        <w:rPr>
          <w:szCs w:val="18"/>
        </w:rPr>
        <w:t xml:space="preserve">Le Roy, </w:t>
      </w:r>
      <w:r w:rsidRPr="0004576F">
        <w:rPr>
          <w:i/>
          <w:szCs w:val="18"/>
        </w:rPr>
        <w:t>De l’excellence du Gouvernement Royal</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f ° 28 v °.</w:t>
      </w:r>
    </w:p>
  </w:footnote>
  <w:footnote w:id="432">
    <w:p w14:paraId="67BAEE10" w14:textId="77777777" w:rsidR="00B01930" w:rsidRDefault="00B01930">
      <w:pPr>
        <w:pStyle w:val="Notedebasdepage"/>
      </w:pPr>
      <w:r>
        <w:rPr>
          <w:rStyle w:val="Appelnotedebasdep"/>
        </w:rPr>
        <w:footnoteRef/>
      </w:r>
      <w:r>
        <w:t xml:space="preserve"> </w:t>
      </w:r>
      <w:r>
        <w:tab/>
      </w:r>
      <w:r w:rsidRPr="0004576F">
        <w:rPr>
          <w:szCs w:val="18"/>
        </w:rPr>
        <w:t xml:space="preserve">Cité dans </w:t>
      </w:r>
      <w:r w:rsidRPr="0004576F">
        <w:rPr>
          <w:i/>
          <w:szCs w:val="18"/>
        </w:rPr>
        <w:t>Les Lettres d’Etienne Pasquier</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p. 195</w:t>
      </w:r>
      <w:r>
        <w:rPr>
          <w:szCs w:val="18"/>
        </w:rPr>
        <w:t>.</w:t>
      </w:r>
    </w:p>
  </w:footnote>
  <w:footnote w:id="433">
    <w:p w14:paraId="094BBD86" w14:textId="77777777" w:rsidR="00B01930" w:rsidRDefault="00B01930">
      <w:pPr>
        <w:pStyle w:val="Notedebasdepage"/>
      </w:pPr>
      <w:r>
        <w:rPr>
          <w:rStyle w:val="Appelnotedebasdep"/>
        </w:rPr>
        <w:footnoteRef/>
      </w:r>
      <w:r>
        <w:t xml:space="preserve"> </w:t>
      </w:r>
      <w:r>
        <w:tab/>
      </w:r>
      <w:r w:rsidRPr="0004576F">
        <w:rPr>
          <w:szCs w:val="18"/>
        </w:rPr>
        <w:t xml:space="preserve">Du Tillet, </w:t>
      </w:r>
      <w:r w:rsidRPr="0004576F">
        <w:rPr>
          <w:i/>
          <w:szCs w:val="18"/>
        </w:rPr>
        <w:t>Les Mémoires et recherches, op. cit.,</w:t>
      </w:r>
      <w:r w:rsidRPr="0004576F">
        <w:rPr>
          <w:szCs w:val="18"/>
        </w:rPr>
        <w:t xml:space="preserve"> p. 154.</w:t>
      </w:r>
    </w:p>
  </w:footnote>
  <w:footnote w:id="434">
    <w:p w14:paraId="39B26BC3" w14:textId="77777777" w:rsidR="00B01930" w:rsidRDefault="00B01930">
      <w:pPr>
        <w:pStyle w:val="Notedebasdepage"/>
      </w:pPr>
      <w:r>
        <w:rPr>
          <w:rStyle w:val="Appelnotedebasdep"/>
        </w:rPr>
        <w:footnoteRef/>
      </w:r>
      <w:r>
        <w:t xml:space="preserve"> </w:t>
      </w:r>
      <w:r>
        <w:tab/>
      </w:r>
      <w:r w:rsidRPr="0004576F">
        <w:rPr>
          <w:szCs w:val="18"/>
        </w:rPr>
        <w:t xml:space="preserve">Du Haillan, </w:t>
      </w:r>
      <w:r w:rsidRPr="0004576F">
        <w:rPr>
          <w:i/>
          <w:iCs/>
          <w:szCs w:val="18"/>
        </w:rPr>
        <w:t>De l’estat et succez des affaires de France</w:t>
      </w:r>
      <w:r w:rsidRPr="0004576F">
        <w:rPr>
          <w:szCs w:val="18"/>
        </w:rPr>
        <w:t xml:space="preserve">, </w:t>
      </w:r>
      <w:r w:rsidRPr="0004576F">
        <w:rPr>
          <w:i/>
          <w:szCs w:val="18"/>
        </w:rPr>
        <w:t>op. cit</w:t>
      </w:r>
      <w:r w:rsidRPr="0004576F">
        <w:rPr>
          <w:szCs w:val="18"/>
        </w:rPr>
        <w:t>., f ° 307 v °.</w:t>
      </w:r>
    </w:p>
  </w:footnote>
  <w:footnote w:id="435">
    <w:p w14:paraId="0CDCE685" w14:textId="77777777" w:rsidR="00B01930" w:rsidRDefault="00B01930">
      <w:pPr>
        <w:pStyle w:val="Notedebasdepage"/>
      </w:pPr>
      <w:r>
        <w:rPr>
          <w:rStyle w:val="Appelnotedebasdep"/>
        </w:rPr>
        <w:footnoteRef/>
      </w:r>
      <w:r>
        <w:t xml:space="preserve"> </w:t>
      </w:r>
      <w:r>
        <w:tab/>
      </w:r>
      <w:r w:rsidRPr="0004576F">
        <w:rPr>
          <w:i/>
          <w:szCs w:val="18"/>
        </w:rPr>
        <w:t>Divers opuscules tirez des mémoires de M. Antoine Loisel, Avocat en Parl</w:t>
      </w:r>
      <w:r w:rsidRPr="0004576F">
        <w:rPr>
          <w:i/>
          <w:szCs w:val="18"/>
        </w:rPr>
        <w:t>e</w:t>
      </w:r>
      <w:r w:rsidRPr="0004576F">
        <w:rPr>
          <w:i/>
          <w:szCs w:val="18"/>
        </w:rPr>
        <w:t>ment</w:t>
      </w:r>
      <w:r w:rsidRPr="0004576F">
        <w:rPr>
          <w:szCs w:val="18"/>
        </w:rPr>
        <w:t>, Paris, 1652, p. 64-65.</w:t>
      </w:r>
    </w:p>
  </w:footnote>
  <w:footnote w:id="436">
    <w:p w14:paraId="11842528" w14:textId="77777777" w:rsidR="00B01930" w:rsidRDefault="00B01930">
      <w:pPr>
        <w:pStyle w:val="Notedebasdepage"/>
      </w:pPr>
      <w:r>
        <w:rPr>
          <w:rStyle w:val="Appelnotedebasdep"/>
        </w:rPr>
        <w:footnoteRef/>
      </w:r>
      <w:r>
        <w:t xml:space="preserve"> </w:t>
      </w:r>
      <w:r>
        <w:tab/>
      </w:r>
      <w:r w:rsidRPr="0004576F">
        <w:rPr>
          <w:szCs w:val="18"/>
        </w:rPr>
        <w:t xml:space="preserve">Du Haillan, </w:t>
      </w:r>
      <w:r w:rsidRPr="0004576F">
        <w:rPr>
          <w:i/>
          <w:iCs/>
          <w:szCs w:val="18"/>
        </w:rPr>
        <w:t>De l’estat et succez des affaires de France</w:t>
      </w:r>
      <w:r w:rsidRPr="0004576F">
        <w:rPr>
          <w:szCs w:val="18"/>
        </w:rPr>
        <w:t xml:space="preserve">, </w:t>
      </w:r>
      <w:r w:rsidRPr="0004576F">
        <w:rPr>
          <w:i/>
          <w:szCs w:val="18"/>
        </w:rPr>
        <w:t>op. cit</w:t>
      </w:r>
      <w:r w:rsidRPr="0004576F">
        <w:rPr>
          <w:szCs w:val="18"/>
        </w:rPr>
        <w:t>., f ° 315.</w:t>
      </w:r>
    </w:p>
  </w:footnote>
  <w:footnote w:id="437">
    <w:p w14:paraId="159222C9" w14:textId="77777777" w:rsidR="00B01930" w:rsidRDefault="00B01930">
      <w:pPr>
        <w:pStyle w:val="Notedebasdepage"/>
      </w:pPr>
      <w:r>
        <w:rPr>
          <w:rStyle w:val="Appelnotedebasdep"/>
        </w:rPr>
        <w:footnoteRef/>
      </w:r>
      <w:r>
        <w:t xml:space="preserve"> </w:t>
      </w:r>
      <w:r>
        <w:tab/>
      </w:r>
      <w:r w:rsidRPr="0004576F">
        <w:rPr>
          <w:i/>
          <w:szCs w:val="18"/>
        </w:rPr>
        <w:t>Divers opuscules tirez des mémoires de M. Antoine Loisel, Avocat en Parl</w:t>
      </w:r>
      <w:r w:rsidRPr="0004576F">
        <w:rPr>
          <w:i/>
          <w:szCs w:val="18"/>
        </w:rPr>
        <w:t>e</w:t>
      </w:r>
      <w:r w:rsidRPr="0004576F">
        <w:rPr>
          <w:i/>
          <w:szCs w:val="18"/>
        </w:rPr>
        <w:t>ment</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p. 61.</w:t>
      </w:r>
    </w:p>
  </w:footnote>
  <w:footnote w:id="438">
    <w:p w14:paraId="224D35CA" w14:textId="77777777" w:rsidR="00B01930" w:rsidRDefault="00B01930">
      <w:pPr>
        <w:pStyle w:val="Notedebasdepage"/>
      </w:pPr>
      <w:r>
        <w:rPr>
          <w:rStyle w:val="Appelnotedebasdep"/>
        </w:rPr>
        <w:footnoteRef/>
      </w:r>
      <w:r>
        <w:t xml:space="preserve"> </w:t>
      </w:r>
      <w:r>
        <w:tab/>
      </w:r>
      <w:r w:rsidRPr="0004576F">
        <w:rPr>
          <w:szCs w:val="18"/>
        </w:rPr>
        <w:t>« </w:t>
      </w:r>
      <w:r w:rsidRPr="0004576F">
        <w:rPr>
          <w:i/>
          <w:szCs w:val="18"/>
        </w:rPr>
        <w:t>Si les femmes héritent, comme en Espaigne, Angleterre, Esco</w:t>
      </w:r>
      <w:r w:rsidRPr="0004576F">
        <w:rPr>
          <w:i/>
          <w:szCs w:val="18"/>
        </w:rPr>
        <w:t>s</w:t>
      </w:r>
      <w:r w:rsidRPr="0004576F">
        <w:rPr>
          <w:i/>
          <w:szCs w:val="18"/>
        </w:rPr>
        <w:t>se </w:t>
      </w:r>
      <w:r w:rsidRPr="0004576F">
        <w:rPr>
          <w:szCs w:val="18"/>
        </w:rPr>
        <w:t>», écrit Loys Le Roy, « </w:t>
      </w:r>
      <w:r w:rsidRPr="0004576F">
        <w:rPr>
          <w:i/>
          <w:szCs w:val="18"/>
        </w:rPr>
        <w:t>il advient que par leur mariage l’estat vie</w:t>
      </w:r>
      <w:r w:rsidRPr="0004576F">
        <w:rPr>
          <w:i/>
          <w:szCs w:val="18"/>
        </w:rPr>
        <w:t>n</w:t>
      </w:r>
      <w:r w:rsidRPr="0004576F">
        <w:rPr>
          <w:i/>
          <w:szCs w:val="18"/>
        </w:rPr>
        <w:t>ne en pouvoir de Prince estranger ; qui est chose pernicieuse &amp; da</w:t>
      </w:r>
      <w:r w:rsidRPr="0004576F">
        <w:rPr>
          <w:i/>
          <w:szCs w:val="18"/>
        </w:rPr>
        <w:t>n</w:t>
      </w:r>
      <w:r w:rsidRPr="0004576F">
        <w:rPr>
          <w:i/>
          <w:szCs w:val="18"/>
        </w:rPr>
        <w:t>gereuse, pourtant que celuy qui vient d’estrange nation, est d’autre nourriture &amp; condition, &amp; a autres meurs, autre langage &amp; autre façon de vivre, que ceux du païs où il vient d</w:t>
      </w:r>
      <w:r w:rsidRPr="0004576F">
        <w:rPr>
          <w:i/>
          <w:szCs w:val="18"/>
        </w:rPr>
        <w:t>o</w:t>
      </w:r>
      <w:r w:rsidRPr="0004576F">
        <w:rPr>
          <w:i/>
          <w:szCs w:val="18"/>
        </w:rPr>
        <w:t>miner, &amp; si veult comm</w:t>
      </w:r>
      <w:r w:rsidRPr="0004576F">
        <w:rPr>
          <w:i/>
          <w:szCs w:val="18"/>
        </w:rPr>
        <w:t>u</w:t>
      </w:r>
      <w:r w:rsidRPr="0004576F">
        <w:rPr>
          <w:i/>
          <w:szCs w:val="18"/>
        </w:rPr>
        <w:t>nément avancer ceulx de sa nation, &amp; leur baille la plus grande &amp; principale authorité au maniement des affaires,  &amp; dava</w:t>
      </w:r>
      <w:r w:rsidRPr="0004576F">
        <w:rPr>
          <w:i/>
          <w:szCs w:val="18"/>
        </w:rPr>
        <w:t>n</w:t>
      </w:r>
      <w:r w:rsidRPr="0004576F">
        <w:rPr>
          <w:i/>
          <w:szCs w:val="18"/>
        </w:rPr>
        <w:t>tage les préfère aux honneurs &amp; profits</w:t>
      </w:r>
      <w:r w:rsidRPr="0004576F">
        <w:rPr>
          <w:szCs w:val="18"/>
        </w:rPr>
        <w:t xml:space="preserve"> ». Loys Le Roy, </w:t>
      </w:r>
      <w:r w:rsidRPr="0004576F">
        <w:rPr>
          <w:i/>
          <w:szCs w:val="18"/>
        </w:rPr>
        <w:t>De l’excellence du Go</w:t>
      </w:r>
      <w:r w:rsidRPr="0004576F">
        <w:rPr>
          <w:i/>
          <w:szCs w:val="18"/>
        </w:rPr>
        <w:t>u</w:t>
      </w:r>
      <w:r w:rsidRPr="0004576F">
        <w:rPr>
          <w:i/>
          <w:szCs w:val="18"/>
        </w:rPr>
        <w:t>vern</w:t>
      </w:r>
      <w:r w:rsidRPr="0004576F">
        <w:rPr>
          <w:i/>
          <w:szCs w:val="18"/>
        </w:rPr>
        <w:t>e</w:t>
      </w:r>
      <w:r w:rsidRPr="0004576F">
        <w:rPr>
          <w:i/>
          <w:szCs w:val="18"/>
        </w:rPr>
        <w:t>ment Royal</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f ° 36 r °.</w:t>
      </w:r>
    </w:p>
  </w:footnote>
  <w:footnote w:id="439">
    <w:p w14:paraId="071545C7" w14:textId="77777777" w:rsidR="00B01930" w:rsidRDefault="00B01930">
      <w:pPr>
        <w:pStyle w:val="Notedebasdepage"/>
      </w:pPr>
      <w:r>
        <w:rPr>
          <w:rStyle w:val="Appelnotedebasdep"/>
        </w:rPr>
        <w:footnoteRef/>
      </w:r>
      <w:r>
        <w:t xml:space="preserve"> </w:t>
      </w:r>
      <w:r>
        <w:tab/>
      </w:r>
      <w:r w:rsidRPr="0004576F">
        <w:rPr>
          <w:i/>
          <w:szCs w:val="18"/>
        </w:rPr>
        <w:t>Divers opuscules tirez des mémoires de M. Antoine Loisel, Avocat en Parl</w:t>
      </w:r>
      <w:r w:rsidRPr="0004576F">
        <w:rPr>
          <w:i/>
          <w:szCs w:val="18"/>
        </w:rPr>
        <w:t>e</w:t>
      </w:r>
      <w:r w:rsidRPr="0004576F">
        <w:rPr>
          <w:i/>
          <w:szCs w:val="18"/>
        </w:rPr>
        <w:t>ment</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p. 69-71.</w:t>
      </w:r>
    </w:p>
  </w:footnote>
  <w:footnote w:id="440">
    <w:p w14:paraId="56228A08" w14:textId="77777777" w:rsidR="00B01930" w:rsidRDefault="00B01930">
      <w:pPr>
        <w:pStyle w:val="Notedebasdepage"/>
      </w:pPr>
      <w:r>
        <w:rPr>
          <w:rStyle w:val="Appelnotedebasdep"/>
        </w:rPr>
        <w:footnoteRef/>
      </w:r>
      <w:r>
        <w:t xml:space="preserve"> </w:t>
      </w:r>
      <w:r>
        <w:tab/>
      </w:r>
      <w:r w:rsidRPr="0004576F">
        <w:rPr>
          <w:szCs w:val="18"/>
        </w:rPr>
        <w:t xml:space="preserve">Cité dans </w:t>
      </w:r>
      <w:r w:rsidRPr="0004576F">
        <w:rPr>
          <w:i/>
          <w:szCs w:val="18"/>
        </w:rPr>
        <w:t>Les Lettres d’Etienne Pasquier</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p. 415. Jean du Tillet lui-même, plus érudit et historien que théoricien politique, qui n’a pas subi l’influence de Claude de Sey</w:t>
      </w:r>
      <w:r w:rsidRPr="0004576F">
        <w:rPr>
          <w:szCs w:val="18"/>
        </w:rPr>
        <w:t>s</w:t>
      </w:r>
      <w:r w:rsidRPr="0004576F">
        <w:rPr>
          <w:szCs w:val="18"/>
        </w:rPr>
        <w:t>sel, reconnaît que la puissance absolue des Rois est « réglée » : « Quelque plenitude de puissance qu’ils aient, elle doit estre par eux exercée avec équité &amp; justice, &amp; si leur puissance absolue n’y est re</w:t>
      </w:r>
      <w:r w:rsidRPr="0004576F">
        <w:rPr>
          <w:szCs w:val="18"/>
        </w:rPr>
        <w:t>i</w:t>
      </w:r>
      <w:r w:rsidRPr="0004576F">
        <w:rPr>
          <w:szCs w:val="18"/>
        </w:rPr>
        <w:t xml:space="preserve">glée, elle devient dissolue ». Du Tillet, </w:t>
      </w:r>
      <w:r w:rsidRPr="0004576F">
        <w:rPr>
          <w:i/>
          <w:szCs w:val="18"/>
        </w:rPr>
        <w:t>Les mémoires et reche</w:t>
      </w:r>
      <w:r w:rsidRPr="0004576F">
        <w:rPr>
          <w:i/>
          <w:szCs w:val="18"/>
        </w:rPr>
        <w:t>r</w:t>
      </w:r>
      <w:r w:rsidRPr="0004576F">
        <w:rPr>
          <w:i/>
          <w:szCs w:val="18"/>
        </w:rPr>
        <w:t>ches, op. cit.,</w:t>
      </w:r>
      <w:r w:rsidRPr="0004576F">
        <w:rPr>
          <w:szCs w:val="18"/>
        </w:rPr>
        <w:t xml:space="preserve"> p. 134.</w:t>
      </w:r>
    </w:p>
  </w:footnote>
  <w:footnote w:id="441">
    <w:p w14:paraId="06162B3A" w14:textId="77777777" w:rsidR="00B01930" w:rsidRDefault="00B01930">
      <w:pPr>
        <w:pStyle w:val="Notedebasdepage"/>
      </w:pPr>
      <w:r>
        <w:rPr>
          <w:rStyle w:val="Appelnotedebasdep"/>
        </w:rPr>
        <w:footnoteRef/>
      </w:r>
      <w:r>
        <w:t xml:space="preserve"> </w:t>
      </w:r>
      <w:r>
        <w:tab/>
      </w:r>
      <w:r w:rsidRPr="0004576F">
        <w:rPr>
          <w:szCs w:val="18"/>
        </w:rPr>
        <w:t>Loys Le Roy,</w:t>
      </w:r>
      <w:r w:rsidRPr="0004576F">
        <w:rPr>
          <w:i/>
          <w:szCs w:val="18"/>
        </w:rPr>
        <w:t xml:space="preserve"> De l’excellence du Gouvernement Royal</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f ° 13.</w:t>
      </w:r>
    </w:p>
  </w:footnote>
  <w:footnote w:id="442">
    <w:p w14:paraId="1B850D24" w14:textId="77777777" w:rsidR="00B01930" w:rsidRDefault="00B01930">
      <w:pPr>
        <w:pStyle w:val="Notedebasdepage"/>
      </w:pPr>
      <w:r>
        <w:rPr>
          <w:rStyle w:val="Appelnotedebasdep"/>
        </w:rPr>
        <w:footnoteRef/>
      </w:r>
      <w:r>
        <w:t xml:space="preserve"> </w:t>
      </w:r>
      <w:r>
        <w:tab/>
      </w:r>
      <w:r w:rsidRPr="0004576F">
        <w:rPr>
          <w:szCs w:val="18"/>
        </w:rPr>
        <w:t xml:space="preserve">Cité dans </w:t>
      </w:r>
      <w:r w:rsidRPr="0004576F">
        <w:rPr>
          <w:i/>
          <w:szCs w:val="18"/>
        </w:rPr>
        <w:t>Les Lettres d’Étienne Pasquier</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p.415. Du Haillan fait la même remarque : « leur bonté, &amp; le zèle qu’ils ont tou</w:t>
      </w:r>
      <w:r w:rsidRPr="0004576F">
        <w:rPr>
          <w:szCs w:val="18"/>
        </w:rPr>
        <w:t>s</w:t>
      </w:r>
      <w:r w:rsidRPr="0004576F">
        <w:rPr>
          <w:szCs w:val="18"/>
        </w:rPr>
        <w:t>jours porté à la justice, &amp; au bien, soulagement, &amp; repos de leur Estat &amp; peuple, leur a fait de leur pr</w:t>
      </w:r>
      <w:r w:rsidRPr="0004576F">
        <w:rPr>
          <w:szCs w:val="18"/>
        </w:rPr>
        <w:t>o</w:t>
      </w:r>
      <w:r w:rsidRPr="0004576F">
        <w:rPr>
          <w:szCs w:val="18"/>
        </w:rPr>
        <w:t>pre mouvement faire des loix &amp; des Officiers, par le pouvoir &amp; authorité desquels ils ont volontair</w:t>
      </w:r>
      <w:r w:rsidRPr="0004576F">
        <w:rPr>
          <w:szCs w:val="18"/>
        </w:rPr>
        <w:t>e</w:t>
      </w:r>
      <w:r w:rsidRPr="0004576F">
        <w:rPr>
          <w:szCs w:val="18"/>
        </w:rPr>
        <w:t xml:space="preserve">ment reiglé &amp; bridé leur puissance, qui pour cela n’est en rien diminuée, ravallée, ou abbaissée, mais au contraire plus grande, plus asseurée, &amp; plus doucement supportée ». Du Haillan, </w:t>
      </w:r>
      <w:r w:rsidRPr="0004576F">
        <w:rPr>
          <w:i/>
          <w:iCs/>
          <w:szCs w:val="18"/>
        </w:rPr>
        <w:t>De l’estat et su</w:t>
      </w:r>
      <w:r w:rsidRPr="0004576F">
        <w:rPr>
          <w:i/>
          <w:iCs/>
          <w:szCs w:val="18"/>
        </w:rPr>
        <w:t>c</w:t>
      </w:r>
      <w:r w:rsidRPr="0004576F">
        <w:rPr>
          <w:i/>
          <w:iCs/>
          <w:szCs w:val="18"/>
        </w:rPr>
        <w:t>cez des affaires de Fra</w:t>
      </w:r>
      <w:r w:rsidRPr="0004576F">
        <w:rPr>
          <w:i/>
          <w:iCs/>
          <w:szCs w:val="18"/>
        </w:rPr>
        <w:t>n</w:t>
      </w:r>
      <w:r w:rsidRPr="0004576F">
        <w:rPr>
          <w:i/>
          <w:iCs/>
          <w:szCs w:val="18"/>
        </w:rPr>
        <w:t>ce</w:t>
      </w:r>
      <w:r w:rsidRPr="0004576F">
        <w:rPr>
          <w:szCs w:val="18"/>
        </w:rPr>
        <w:t xml:space="preserve">, </w:t>
      </w:r>
      <w:r w:rsidRPr="0004576F">
        <w:rPr>
          <w:i/>
          <w:szCs w:val="18"/>
        </w:rPr>
        <w:t>op. cit</w:t>
      </w:r>
      <w:r w:rsidRPr="0004576F">
        <w:rPr>
          <w:szCs w:val="18"/>
        </w:rPr>
        <w:t>., f ° 171 r °.</w:t>
      </w:r>
    </w:p>
  </w:footnote>
  <w:footnote w:id="443">
    <w:p w14:paraId="5A55D2FA" w14:textId="77777777" w:rsidR="00B01930" w:rsidRDefault="00B01930">
      <w:pPr>
        <w:pStyle w:val="Notedebasdepage"/>
      </w:pPr>
      <w:r>
        <w:rPr>
          <w:rStyle w:val="Appelnotedebasdep"/>
        </w:rPr>
        <w:footnoteRef/>
      </w:r>
      <w:r>
        <w:t xml:space="preserve"> </w:t>
      </w:r>
      <w:r>
        <w:tab/>
      </w:r>
      <w:r w:rsidRPr="0004576F">
        <w:rPr>
          <w:i/>
          <w:szCs w:val="18"/>
        </w:rPr>
        <w:t>Les Grandes Annales et Histoire générale de France</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Livre I, ch</w:t>
      </w:r>
      <w:r w:rsidRPr="0004576F">
        <w:rPr>
          <w:szCs w:val="18"/>
        </w:rPr>
        <w:t>a</w:t>
      </w:r>
      <w:r w:rsidRPr="0004576F">
        <w:rPr>
          <w:szCs w:val="18"/>
        </w:rPr>
        <w:t>pitre I, f ° 1 v °-2.</w:t>
      </w:r>
    </w:p>
  </w:footnote>
  <w:footnote w:id="444">
    <w:p w14:paraId="298BA3CD" w14:textId="77777777" w:rsidR="00B01930" w:rsidRDefault="00B01930">
      <w:pPr>
        <w:pStyle w:val="Notedebasdepage"/>
      </w:pPr>
      <w:r>
        <w:rPr>
          <w:rStyle w:val="Appelnotedebasdep"/>
        </w:rPr>
        <w:footnoteRef/>
      </w:r>
      <w:r>
        <w:t xml:space="preserve"> </w:t>
      </w:r>
      <w:r>
        <w:tab/>
      </w:r>
      <w:r w:rsidRPr="0004576F">
        <w:rPr>
          <w:i/>
          <w:szCs w:val="18"/>
        </w:rPr>
        <w:t>Ibidem</w:t>
      </w:r>
      <w:r w:rsidRPr="0004576F">
        <w:rPr>
          <w:szCs w:val="18"/>
        </w:rPr>
        <w:t>, f ° 170.</w:t>
      </w:r>
    </w:p>
  </w:footnote>
  <w:footnote w:id="445">
    <w:p w14:paraId="6D17C749" w14:textId="77777777" w:rsidR="00B01930" w:rsidRDefault="00B01930">
      <w:pPr>
        <w:pStyle w:val="Notedebasdepage"/>
      </w:pPr>
      <w:r>
        <w:rPr>
          <w:rStyle w:val="Appelnotedebasdep"/>
        </w:rPr>
        <w:footnoteRef/>
      </w:r>
      <w:r>
        <w:t xml:space="preserve"> </w:t>
      </w:r>
      <w:r>
        <w:tab/>
      </w:r>
      <w:r w:rsidRPr="0004576F">
        <w:rPr>
          <w:i/>
          <w:szCs w:val="18"/>
        </w:rPr>
        <w:t>Les Recherches de la France</w:t>
      </w:r>
      <w:r w:rsidRPr="0004576F">
        <w:rPr>
          <w:szCs w:val="18"/>
        </w:rPr>
        <w:t xml:space="preserve"> </w:t>
      </w:r>
      <w:r w:rsidRPr="0004576F">
        <w:rPr>
          <w:i/>
          <w:szCs w:val="18"/>
        </w:rPr>
        <w:t>d’Estienne Pasquier</w:t>
      </w:r>
      <w:r w:rsidRPr="0004576F">
        <w:rPr>
          <w:szCs w:val="18"/>
        </w:rPr>
        <w:t>, Paris, 1621, p. 42.</w:t>
      </w:r>
    </w:p>
  </w:footnote>
  <w:footnote w:id="446">
    <w:p w14:paraId="4445373A" w14:textId="77777777" w:rsidR="00B01930" w:rsidRDefault="00B01930">
      <w:pPr>
        <w:pStyle w:val="Notedebasdepage"/>
      </w:pPr>
      <w:r>
        <w:rPr>
          <w:rStyle w:val="Appelnotedebasdep"/>
        </w:rPr>
        <w:footnoteRef/>
      </w:r>
      <w:r>
        <w:t xml:space="preserve"> </w:t>
      </w:r>
      <w:r>
        <w:tab/>
      </w:r>
      <w:r w:rsidRPr="0004576F">
        <w:rPr>
          <w:szCs w:val="18"/>
        </w:rPr>
        <w:t xml:space="preserve">Cité dans </w:t>
      </w:r>
      <w:r w:rsidRPr="0004576F">
        <w:rPr>
          <w:i/>
          <w:szCs w:val="18"/>
        </w:rPr>
        <w:t>Les Lettres d’Etienne Pasquier</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Pasquier, p. 415.</w:t>
      </w:r>
    </w:p>
  </w:footnote>
  <w:footnote w:id="447">
    <w:p w14:paraId="2E6481B7" w14:textId="77777777" w:rsidR="00B01930" w:rsidRDefault="00B01930">
      <w:pPr>
        <w:pStyle w:val="Notedebasdepage"/>
      </w:pPr>
      <w:r>
        <w:rPr>
          <w:rStyle w:val="Appelnotedebasdep"/>
        </w:rPr>
        <w:footnoteRef/>
      </w:r>
      <w:r>
        <w:t xml:space="preserve"> </w:t>
      </w:r>
      <w:r>
        <w:tab/>
      </w:r>
      <w:r w:rsidRPr="0004576F">
        <w:rPr>
          <w:szCs w:val="18"/>
        </w:rPr>
        <w:t>Il remarque que « l’un des principaux de ces escrivains est tombé en crime c</w:t>
      </w:r>
      <w:r w:rsidRPr="0004576F">
        <w:rPr>
          <w:szCs w:val="18"/>
        </w:rPr>
        <w:t>a</w:t>
      </w:r>
      <w:r w:rsidRPr="0004576F">
        <w:rPr>
          <w:szCs w:val="18"/>
        </w:rPr>
        <w:t>pital, pource qu’il s’est fait Ligueur ». L’allusion à Jean Bodin est évidente. Celui-ci écrit : « </w:t>
      </w:r>
      <w:r w:rsidRPr="0004576F">
        <w:rPr>
          <w:i/>
          <w:szCs w:val="18"/>
        </w:rPr>
        <w:t>On a vo</w:t>
      </w:r>
      <w:r w:rsidRPr="0004576F">
        <w:rPr>
          <w:i/>
          <w:szCs w:val="18"/>
        </w:rPr>
        <w:t>u</w:t>
      </w:r>
      <w:r w:rsidRPr="0004576F">
        <w:rPr>
          <w:i/>
          <w:szCs w:val="18"/>
        </w:rPr>
        <w:t>lu dire &amp; publier par escrit que l’estat de France estoit aussi composé des trois Républiques, &amp; que le Parlement de Paris t</w:t>
      </w:r>
      <w:r w:rsidRPr="0004576F">
        <w:rPr>
          <w:i/>
          <w:szCs w:val="18"/>
        </w:rPr>
        <w:t>e</w:t>
      </w:r>
      <w:r w:rsidRPr="0004576F">
        <w:rPr>
          <w:i/>
          <w:szCs w:val="18"/>
        </w:rPr>
        <w:t>noit une forme d’Aristocratie, les trois estats t</w:t>
      </w:r>
      <w:r w:rsidRPr="0004576F">
        <w:rPr>
          <w:i/>
          <w:szCs w:val="18"/>
        </w:rPr>
        <w:t>e</w:t>
      </w:r>
      <w:r w:rsidRPr="0004576F">
        <w:rPr>
          <w:i/>
          <w:szCs w:val="18"/>
        </w:rPr>
        <w:t xml:space="preserve">noyent la Démocratie, &amp; le Roy représentoit l’estat Royal, qui est une </w:t>
      </w:r>
      <w:r w:rsidRPr="0004576F">
        <w:rPr>
          <w:szCs w:val="18"/>
        </w:rPr>
        <w:t>opinion non seul</w:t>
      </w:r>
      <w:r w:rsidRPr="0004576F">
        <w:rPr>
          <w:szCs w:val="18"/>
        </w:rPr>
        <w:t>e</w:t>
      </w:r>
      <w:r w:rsidRPr="0004576F">
        <w:rPr>
          <w:szCs w:val="18"/>
        </w:rPr>
        <w:t>ment absurde, ains aussi capitale. Car c’est crime de lèze majesté de faire les subjects co</w:t>
      </w:r>
      <w:r w:rsidRPr="0004576F">
        <w:rPr>
          <w:szCs w:val="18"/>
        </w:rPr>
        <w:t>m</w:t>
      </w:r>
      <w:r w:rsidRPr="0004576F">
        <w:rPr>
          <w:szCs w:val="18"/>
        </w:rPr>
        <w:t xml:space="preserve">pagnons du Prince souverain ». </w:t>
      </w:r>
      <w:r w:rsidRPr="0004576F">
        <w:rPr>
          <w:i/>
          <w:szCs w:val="18"/>
        </w:rPr>
        <w:t>Les Six Livres de la République de J. Bodin, A</w:t>
      </w:r>
      <w:r w:rsidRPr="0004576F">
        <w:rPr>
          <w:i/>
          <w:szCs w:val="18"/>
        </w:rPr>
        <w:t>n</w:t>
      </w:r>
      <w:r w:rsidRPr="0004576F">
        <w:rPr>
          <w:i/>
          <w:szCs w:val="18"/>
        </w:rPr>
        <w:t>gevin</w:t>
      </w:r>
      <w:r w:rsidRPr="0004576F">
        <w:rPr>
          <w:szCs w:val="18"/>
        </w:rPr>
        <w:t>, Lyon, 1589, Livre II, chap. I, p. 183.</w:t>
      </w:r>
    </w:p>
  </w:footnote>
  <w:footnote w:id="448">
    <w:p w14:paraId="60D1148F" w14:textId="77777777" w:rsidR="00B01930" w:rsidRDefault="00B01930">
      <w:pPr>
        <w:pStyle w:val="Notedebasdepage"/>
      </w:pPr>
      <w:r>
        <w:rPr>
          <w:rStyle w:val="Appelnotedebasdep"/>
        </w:rPr>
        <w:footnoteRef/>
      </w:r>
      <w:r>
        <w:t xml:space="preserve"> </w:t>
      </w:r>
      <w:r>
        <w:tab/>
      </w:r>
      <w:r w:rsidRPr="0004576F">
        <w:rPr>
          <w:szCs w:val="18"/>
        </w:rPr>
        <w:t xml:space="preserve">Du Haillan, </w:t>
      </w:r>
      <w:r w:rsidRPr="0004576F">
        <w:rPr>
          <w:i/>
          <w:iCs/>
          <w:szCs w:val="18"/>
        </w:rPr>
        <w:t>De l’estat et succez des affaires de France</w:t>
      </w:r>
      <w:r w:rsidRPr="0004576F">
        <w:rPr>
          <w:szCs w:val="18"/>
        </w:rPr>
        <w:t xml:space="preserve">, </w:t>
      </w:r>
      <w:r w:rsidRPr="0004576F">
        <w:rPr>
          <w:i/>
          <w:szCs w:val="18"/>
        </w:rPr>
        <w:t>op. cit</w:t>
      </w:r>
      <w:r w:rsidRPr="0004576F">
        <w:rPr>
          <w:szCs w:val="18"/>
        </w:rPr>
        <w:t>., f ° 170.</w:t>
      </w:r>
    </w:p>
  </w:footnote>
  <w:footnote w:id="449">
    <w:p w14:paraId="500E8BF0" w14:textId="77777777" w:rsidR="00B01930" w:rsidRDefault="00B01930">
      <w:pPr>
        <w:pStyle w:val="Notedebasdepage"/>
      </w:pPr>
      <w:r>
        <w:rPr>
          <w:rStyle w:val="Appelnotedebasdep"/>
        </w:rPr>
        <w:footnoteRef/>
      </w:r>
      <w:r>
        <w:t xml:space="preserve"> </w:t>
      </w:r>
      <w:r>
        <w:tab/>
      </w:r>
      <w:r w:rsidRPr="0004576F">
        <w:rPr>
          <w:szCs w:val="18"/>
        </w:rPr>
        <w:t>Machiavel lui-même n’est pas loin de le penser, lorsqu’il reconnaît une utilité au Parlement en faveur du roi : « </w:t>
      </w:r>
      <w:r w:rsidRPr="0004576F">
        <w:rPr>
          <w:i/>
          <w:szCs w:val="18"/>
        </w:rPr>
        <w:t>Parmi les royaumes bien ordonnés et go</w:t>
      </w:r>
      <w:r w:rsidRPr="0004576F">
        <w:rPr>
          <w:i/>
          <w:szCs w:val="18"/>
        </w:rPr>
        <w:t>u</w:t>
      </w:r>
      <w:r w:rsidRPr="0004576F">
        <w:rPr>
          <w:i/>
          <w:szCs w:val="18"/>
        </w:rPr>
        <w:t>vernés de notre temps, il y a celui de France. Et l’on y trouve une infinité de bonnes institutions dont dépend la liberté et sécurité du roi ; desquelles la première est le parlement et son autorité ; car c</w:t>
      </w:r>
      <w:r w:rsidRPr="0004576F">
        <w:rPr>
          <w:i/>
          <w:szCs w:val="18"/>
        </w:rPr>
        <w:t>e</w:t>
      </w:r>
      <w:r w:rsidRPr="0004576F">
        <w:rPr>
          <w:i/>
          <w:szCs w:val="18"/>
        </w:rPr>
        <w:t>lui qui ordonna ce royaume, connaisssant l’ambition des puissants et leur insolence et j</w:t>
      </w:r>
      <w:r w:rsidRPr="0004576F">
        <w:rPr>
          <w:i/>
          <w:szCs w:val="18"/>
        </w:rPr>
        <w:t>u</w:t>
      </w:r>
      <w:r w:rsidRPr="0004576F">
        <w:rPr>
          <w:i/>
          <w:szCs w:val="18"/>
        </w:rPr>
        <w:t>geant que leur était nécessaire un frein en la bouche qui les bridât, et d’autre part connai</w:t>
      </w:r>
      <w:r w:rsidRPr="0004576F">
        <w:rPr>
          <w:i/>
          <w:szCs w:val="18"/>
        </w:rPr>
        <w:t>s</w:t>
      </w:r>
      <w:r w:rsidRPr="0004576F">
        <w:rPr>
          <w:i/>
          <w:szCs w:val="18"/>
        </w:rPr>
        <w:t>sant la haine de la multitude pour les grands, fondée sur la peur, et voulant les rassurer, il ne voulût pas que ce fût là une charge particulière du roi, pour lui éviter les récriminations où il eût pu être exposé de la part des grands, s’il favorisait le peuple, et  de la part du peuple, s’il favorisait les grands, et c’est pourquoi il institua un tiers juge qui fût celui qui, sans récriminations contre le roi, frappât les grands et favorisât les petits. Et cela ne pouvait être ordo</w:t>
      </w:r>
      <w:r w:rsidRPr="0004576F">
        <w:rPr>
          <w:i/>
          <w:szCs w:val="18"/>
        </w:rPr>
        <w:t>n</w:t>
      </w:r>
      <w:r w:rsidRPr="0004576F">
        <w:rPr>
          <w:i/>
          <w:szCs w:val="18"/>
        </w:rPr>
        <w:t>né de façon meilleure ni plus sage, ni qui soit plus gra</w:t>
      </w:r>
      <w:r w:rsidRPr="0004576F">
        <w:rPr>
          <w:i/>
          <w:szCs w:val="18"/>
        </w:rPr>
        <w:t>n</w:t>
      </w:r>
      <w:r w:rsidRPr="0004576F">
        <w:rPr>
          <w:i/>
          <w:szCs w:val="18"/>
        </w:rPr>
        <w:t>de source de sécurité pour le roi et le royaume</w:t>
      </w:r>
      <w:r w:rsidRPr="0004576F">
        <w:rPr>
          <w:szCs w:val="18"/>
        </w:rPr>
        <w:t> ». Machi</w:t>
      </w:r>
      <w:r w:rsidRPr="0004576F">
        <w:rPr>
          <w:szCs w:val="18"/>
        </w:rPr>
        <w:t>a</w:t>
      </w:r>
      <w:r w:rsidRPr="0004576F">
        <w:rPr>
          <w:szCs w:val="18"/>
        </w:rPr>
        <w:t xml:space="preserve">vel, </w:t>
      </w:r>
      <w:r w:rsidRPr="0004576F">
        <w:rPr>
          <w:i/>
          <w:szCs w:val="18"/>
        </w:rPr>
        <w:t>Le Prince</w:t>
      </w:r>
      <w:r w:rsidRPr="0004576F">
        <w:rPr>
          <w:szCs w:val="18"/>
        </w:rPr>
        <w:t>, éd. Yves Lévy, Paris, 1980, ch. XIX, p. 165-166.</w:t>
      </w:r>
    </w:p>
  </w:footnote>
  <w:footnote w:id="450">
    <w:p w14:paraId="591B55CB" w14:textId="77777777" w:rsidR="00B01930" w:rsidRDefault="00B01930">
      <w:pPr>
        <w:pStyle w:val="Notedebasdepage"/>
      </w:pPr>
      <w:r>
        <w:rPr>
          <w:rStyle w:val="Appelnotedebasdep"/>
        </w:rPr>
        <w:footnoteRef/>
      </w:r>
      <w:r>
        <w:t xml:space="preserve"> </w:t>
      </w:r>
      <w:r>
        <w:tab/>
      </w:r>
      <w:r w:rsidRPr="0004576F">
        <w:rPr>
          <w:szCs w:val="18"/>
        </w:rPr>
        <w:t xml:space="preserve">Cité dans </w:t>
      </w:r>
      <w:r w:rsidRPr="0004576F">
        <w:rPr>
          <w:i/>
          <w:szCs w:val="18"/>
        </w:rPr>
        <w:t>Les Lettres d’Etienne Pasquier</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p. 199.</w:t>
      </w:r>
    </w:p>
  </w:footnote>
  <w:footnote w:id="451">
    <w:p w14:paraId="08B74443" w14:textId="77777777" w:rsidR="00B01930" w:rsidRDefault="00B01930">
      <w:pPr>
        <w:pStyle w:val="Notedebasdepage"/>
      </w:pPr>
      <w:r>
        <w:rPr>
          <w:rStyle w:val="Appelnotedebasdep"/>
        </w:rPr>
        <w:footnoteRef/>
      </w:r>
      <w:r>
        <w:t xml:space="preserve"> </w:t>
      </w:r>
      <w:r>
        <w:tab/>
      </w:r>
      <w:r w:rsidRPr="0004576F">
        <w:rPr>
          <w:i/>
          <w:szCs w:val="18"/>
        </w:rPr>
        <w:t>Les Recherches de la France</w:t>
      </w:r>
      <w:r w:rsidRPr="0004576F">
        <w:rPr>
          <w:szCs w:val="18"/>
        </w:rPr>
        <w:t xml:space="preserve"> </w:t>
      </w:r>
      <w:r w:rsidRPr="0004576F">
        <w:rPr>
          <w:i/>
          <w:szCs w:val="18"/>
        </w:rPr>
        <w:t>d’Estienne Pasquier</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p. 227. </w:t>
      </w:r>
    </w:p>
  </w:footnote>
  <w:footnote w:id="452">
    <w:p w14:paraId="79C266F3" w14:textId="77777777" w:rsidR="00B01930" w:rsidRDefault="00B01930">
      <w:pPr>
        <w:pStyle w:val="Notedebasdepage"/>
      </w:pPr>
      <w:r>
        <w:rPr>
          <w:rStyle w:val="Appelnotedebasdep"/>
        </w:rPr>
        <w:footnoteRef/>
      </w:r>
      <w:r>
        <w:t xml:space="preserve"> </w:t>
      </w:r>
      <w:r>
        <w:tab/>
      </w:r>
      <w:r w:rsidRPr="0004576F">
        <w:rPr>
          <w:szCs w:val="18"/>
        </w:rPr>
        <w:t xml:space="preserve">Cité dans </w:t>
      </w:r>
      <w:r w:rsidRPr="0004576F">
        <w:rPr>
          <w:i/>
          <w:szCs w:val="18"/>
        </w:rPr>
        <w:t>Les Lettres d’Etienne Pasquier</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xml:space="preserve">., p. 195. En l’occurrence, Pasquier fait allusion à la déclaration de </w:t>
      </w:r>
      <w:r>
        <w:rPr>
          <w:szCs w:val="18"/>
        </w:rPr>
        <w:t>Charles IX</w:t>
      </w:r>
      <w:r w:rsidRPr="0004576F">
        <w:rPr>
          <w:szCs w:val="18"/>
        </w:rPr>
        <w:t xml:space="preserve"> sauvegardant les droits de son frère, le futur </w:t>
      </w:r>
      <w:r>
        <w:rPr>
          <w:szCs w:val="18"/>
        </w:rPr>
        <w:t>Henri I</w:t>
      </w:r>
      <w:r w:rsidRPr="0004576F">
        <w:rPr>
          <w:szCs w:val="18"/>
        </w:rPr>
        <w:t>II, sur le trône de France, malgré son élection en P</w:t>
      </w:r>
      <w:r w:rsidRPr="0004576F">
        <w:rPr>
          <w:szCs w:val="18"/>
        </w:rPr>
        <w:t>o</w:t>
      </w:r>
      <w:r w:rsidRPr="0004576F">
        <w:rPr>
          <w:szCs w:val="18"/>
        </w:rPr>
        <w:t>logne.</w:t>
      </w:r>
    </w:p>
  </w:footnote>
  <w:footnote w:id="453">
    <w:p w14:paraId="31F4635A" w14:textId="77777777" w:rsidR="00B01930" w:rsidRDefault="00B01930">
      <w:pPr>
        <w:pStyle w:val="Notedebasdepage"/>
      </w:pPr>
      <w:r>
        <w:rPr>
          <w:rStyle w:val="Appelnotedebasdep"/>
        </w:rPr>
        <w:footnoteRef/>
      </w:r>
      <w:r>
        <w:t xml:space="preserve"> </w:t>
      </w:r>
      <w:r>
        <w:tab/>
      </w:r>
      <w:r w:rsidRPr="0004576F">
        <w:rPr>
          <w:i/>
          <w:szCs w:val="18"/>
        </w:rPr>
        <w:t>Ibidem</w:t>
      </w:r>
      <w:r w:rsidRPr="0004576F">
        <w:rPr>
          <w:szCs w:val="18"/>
        </w:rPr>
        <w:t>, Livre XII, lettre II, p. 415-416.</w:t>
      </w:r>
    </w:p>
  </w:footnote>
  <w:footnote w:id="454">
    <w:p w14:paraId="07943CE7" w14:textId="77777777" w:rsidR="00B01930" w:rsidRDefault="00B01930">
      <w:pPr>
        <w:pStyle w:val="Notedebasdepage"/>
      </w:pPr>
      <w:r>
        <w:rPr>
          <w:rStyle w:val="Appelnotedebasdep"/>
        </w:rPr>
        <w:footnoteRef/>
      </w:r>
      <w:r>
        <w:t xml:space="preserve"> </w:t>
      </w:r>
      <w:r>
        <w:tab/>
      </w:r>
      <w:r w:rsidRPr="0004576F">
        <w:rPr>
          <w:szCs w:val="18"/>
        </w:rPr>
        <w:t>L’étude la plus récente sur le pouvoir absolu du roi de France au XVI</w:t>
      </w:r>
      <w:r w:rsidRPr="0004576F">
        <w:rPr>
          <w:szCs w:val="18"/>
          <w:vertAlign w:val="superscript"/>
        </w:rPr>
        <w:t>e</w:t>
      </w:r>
      <w:r w:rsidRPr="0004576F">
        <w:rPr>
          <w:szCs w:val="18"/>
        </w:rPr>
        <w:t xml:space="preserve"> siècle est celle d’Arlette Jouanna, </w:t>
      </w:r>
      <w:r w:rsidRPr="0004576F">
        <w:rPr>
          <w:i/>
          <w:szCs w:val="18"/>
        </w:rPr>
        <w:t>Le pouvoir absolu, Naissance de l’imaginaire p</w:t>
      </w:r>
      <w:r w:rsidRPr="0004576F">
        <w:rPr>
          <w:i/>
          <w:szCs w:val="18"/>
        </w:rPr>
        <w:t>o</w:t>
      </w:r>
      <w:r w:rsidRPr="0004576F">
        <w:rPr>
          <w:i/>
          <w:szCs w:val="18"/>
        </w:rPr>
        <w:t>lit</w:t>
      </w:r>
      <w:r w:rsidRPr="0004576F">
        <w:rPr>
          <w:i/>
          <w:szCs w:val="18"/>
        </w:rPr>
        <w:t>i</w:t>
      </w:r>
      <w:r w:rsidRPr="0004576F">
        <w:rPr>
          <w:i/>
          <w:szCs w:val="18"/>
        </w:rPr>
        <w:t>que de la royauté</w:t>
      </w:r>
      <w:r w:rsidRPr="0004576F">
        <w:rPr>
          <w:szCs w:val="18"/>
        </w:rPr>
        <w:t>, Paris, 2013.</w:t>
      </w:r>
    </w:p>
  </w:footnote>
  <w:footnote w:id="455">
    <w:p w14:paraId="5CF12F26" w14:textId="77777777" w:rsidR="00B01930" w:rsidRDefault="00B01930">
      <w:pPr>
        <w:pStyle w:val="Notedebasdepage"/>
      </w:pPr>
      <w:r>
        <w:rPr>
          <w:rStyle w:val="Appelnotedebasdep"/>
        </w:rPr>
        <w:footnoteRef/>
      </w:r>
      <w:r>
        <w:t xml:space="preserve"> </w:t>
      </w:r>
      <w:r>
        <w:tab/>
      </w:r>
      <w:r w:rsidRPr="0004576F">
        <w:rPr>
          <w:szCs w:val="18"/>
        </w:rPr>
        <w:t xml:space="preserve">Cité dans Lancelot Voisin de la Popelinière, </w:t>
      </w:r>
      <w:r w:rsidRPr="0004576F">
        <w:rPr>
          <w:i/>
          <w:szCs w:val="18"/>
        </w:rPr>
        <w:t>L’Histoire de France, enrichie des plus notables occurrances survenues ez provinces de l’Europe et pays vo</w:t>
      </w:r>
      <w:r w:rsidRPr="0004576F">
        <w:rPr>
          <w:i/>
          <w:szCs w:val="18"/>
        </w:rPr>
        <w:t>i</w:t>
      </w:r>
      <w:r w:rsidRPr="0004576F">
        <w:rPr>
          <w:i/>
          <w:szCs w:val="18"/>
        </w:rPr>
        <w:t>sins, soit en Paix, soit en Guerre</w:t>
      </w:r>
      <w:r w:rsidRPr="0004576F">
        <w:rPr>
          <w:szCs w:val="18"/>
        </w:rPr>
        <w:t>…, La Rochelle, 1581, 2 vol., tome I, livre X, f ° 370.</w:t>
      </w:r>
    </w:p>
  </w:footnote>
  <w:footnote w:id="456">
    <w:p w14:paraId="2BAABEB7" w14:textId="77777777" w:rsidR="00B01930" w:rsidRDefault="00B01930">
      <w:pPr>
        <w:pStyle w:val="Notedebasdepage"/>
      </w:pPr>
      <w:r>
        <w:rPr>
          <w:rStyle w:val="Appelnotedebasdep"/>
        </w:rPr>
        <w:footnoteRef/>
      </w:r>
      <w:r>
        <w:t xml:space="preserve"> </w:t>
      </w:r>
      <w:r>
        <w:tab/>
      </w:r>
      <w:r w:rsidRPr="0004576F">
        <w:rPr>
          <w:i/>
          <w:szCs w:val="18"/>
        </w:rPr>
        <w:t>Ibidem</w:t>
      </w:r>
      <w:r w:rsidRPr="0004576F">
        <w:rPr>
          <w:szCs w:val="18"/>
        </w:rPr>
        <w:t>, f ° 371 v °.</w:t>
      </w:r>
    </w:p>
  </w:footnote>
  <w:footnote w:id="457">
    <w:p w14:paraId="50633A43" w14:textId="77777777" w:rsidR="00B01930" w:rsidRDefault="00B01930">
      <w:pPr>
        <w:pStyle w:val="Notedebasdepage"/>
      </w:pPr>
      <w:r>
        <w:rPr>
          <w:rStyle w:val="Appelnotedebasdep"/>
        </w:rPr>
        <w:footnoteRef/>
      </w:r>
      <w:r>
        <w:t xml:space="preserve"> </w:t>
      </w:r>
      <w:r>
        <w:tab/>
      </w:r>
      <w:r w:rsidRPr="0004576F">
        <w:rPr>
          <w:i/>
          <w:szCs w:val="18"/>
        </w:rPr>
        <w:t>Ibidem</w:t>
      </w:r>
      <w:r w:rsidRPr="0004576F">
        <w:rPr>
          <w:szCs w:val="18"/>
        </w:rPr>
        <w:t>, f ° 373. Pasquier déplore ces enregistrements forcés qui réduisent le rôle constitutionnel des Cours de justice, car cet autoritarisme ne fait que re</w:t>
      </w:r>
      <w:r w:rsidRPr="0004576F">
        <w:rPr>
          <w:szCs w:val="18"/>
        </w:rPr>
        <w:t>n</w:t>
      </w:r>
      <w:r w:rsidRPr="0004576F">
        <w:rPr>
          <w:szCs w:val="18"/>
        </w:rPr>
        <w:t>dre le pouvoir royal plus tyrannique, et moins obéi. « Maintenant qu’on les contrainct, tantost par commandemens absolus, tantost par la présence du Roy ou des Princes de son sang, sans requérir les voix &amp; opinions des juges, tout aussi-tost se sont les affaires de nostre France desliées, &amp; la désobéïssance l</w:t>
      </w:r>
      <w:r w:rsidRPr="0004576F">
        <w:rPr>
          <w:szCs w:val="18"/>
        </w:rPr>
        <w:t>o</w:t>
      </w:r>
      <w:r w:rsidRPr="0004576F">
        <w:rPr>
          <w:szCs w:val="18"/>
        </w:rPr>
        <w:t>gée au cœur des sujets. De manière que là où nos Roys commandoient avec une baguette à leurs sujets, maintenant (il faut que je le die à mon grand r</w:t>
      </w:r>
      <w:r w:rsidRPr="0004576F">
        <w:rPr>
          <w:szCs w:val="18"/>
        </w:rPr>
        <w:t>e</w:t>
      </w:r>
      <w:r w:rsidRPr="0004576F">
        <w:rPr>
          <w:szCs w:val="18"/>
        </w:rPr>
        <w:t>gret), ils n’y peuvent bonnement commander avec deux &amp; trois armées […] La Couronne de France e</w:t>
      </w:r>
      <w:r w:rsidRPr="0004576F">
        <w:rPr>
          <w:szCs w:val="18"/>
        </w:rPr>
        <w:t>s</w:t>
      </w:r>
      <w:r w:rsidRPr="0004576F">
        <w:rPr>
          <w:szCs w:val="18"/>
        </w:rPr>
        <w:t>toit maintenue par l’authorité de ces trois Ordres ; diminuez leurs authoritez, certainement lors que penserez plus magnifier la Majesté de nostre Roy, par une puissance absoluë, c’est lors que la trou</w:t>
      </w:r>
      <w:r>
        <w:rPr>
          <w:szCs w:val="18"/>
        </w:rPr>
        <w:t>verez plus diminuée &amp; affoiblie</w:t>
      </w:r>
      <w:r w:rsidRPr="0004576F">
        <w:rPr>
          <w:szCs w:val="18"/>
        </w:rPr>
        <w:t> ». [C</w:t>
      </w:r>
      <w:r w:rsidRPr="0004576F">
        <w:rPr>
          <w:szCs w:val="18"/>
        </w:rPr>
        <w:t>i</w:t>
      </w:r>
      <w:r w:rsidRPr="0004576F">
        <w:rPr>
          <w:szCs w:val="18"/>
        </w:rPr>
        <w:t xml:space="preserve">té dans </w:t>
      </w:r>
      <w:r w:rsidRPr="0004576F">
        <w:rPr>
          <w:i/>
          <w:szCs w:val="18"/>
        </w:rPr>
        <w:t>Les Lettres d’Etienne Pasquier</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p. 415-416.</w:t>
      </w:r>
    </w:p>
    <w:p w14:paraId="09BEF6A2" w14:textId="77777777" w:rsidR="00B01930" w:rsidRDefault="00B01930">
      <w:pPr>
        <w:pStyle w:val="Notedebasdepage"/>
      </w:pPr>
      <w:r>
        <w:tab/>
      </w:r>
      <w:r>
        <w:tab/>
      </w:r>
      <w:r w:rsidRPr="0004576F">
        <w:rPr>
          <w:szCs w:val="18"/>
        </w:rPr>
        <w:t>Du Haillan regrette également que les temps aient changé sur ce point : « Jadis c’estoit un vray sénat Romain qui représentoit une m</w:t>
      </w:r>
      <w:r w:rsidRPr="0004576F">
        <w:rPr>
          <w:szCs w:val="18"/>
        </w:rPr>
        <w:t>a</w:t>
      </w:r>
      <w:r w:rsidRPr="0004576F">
        <w:rPr>
          <w:szCs w:val="18"/>
        </w:rPr>
        <w:t>jesté secourable aux bons, &amp; espouvantable aux mauvais, pource mesmement qu’elles ont c</w:t>
      </w:r>
      <w:r w:rsidRPr="0004576F">
        <w:rPr>
          <w:szCs w:val="18"/>
        </w:rPr>
        <w:t>o</w:t>
      </w:r>
      <w:r w:rsidRPr="0004576F">
        <w:rPr>
          <w:szCs w:val="18"/>
        </w:rPr>
        <w:t>gnoissance sans appel en dernier ressort, non seulement de toutes matières c</w:t>
      </w:r>
      <w:r w:rsidRPr="0004576F">
        <w:rPr>
          <w:szCs w:val="18"/>
        </w:rPr>
        <w:t>i</w:t>
      </w:r>
      <w:r w:rsidRPr="0004576F">
        <w:rPr>
          <w:szCs w:val="18"/>
        </w:rPr>
        <w:t>viles &amp; criminelles, mais de toutes lettres Royaux. […] La licence de ce siècle est si grande que cest article se trouve aujourd’huy sans effet en plusieurs e</w:t>
      </w:r>
      <w:r w:rsidRPr="0004576F">
        <w:rPr>
          <w:szCs w:val="18"/>
        </w:rPr>
        <w:t>n</w:t>
      </w:r>
      <w:r w:rsidRPr="0004576F">
        <w:rPr>
          <w:szCs w:val="18"/>
        </w:rPr>
        <w:t>droits de la France. Aussi les compagnies de ce temps ne sont telles qu’elles estoient j</w:t>
      </w:r>
      <w:r w:rsidRPr="0004576F">
        <w:rPr>
          <w:szCs w:val="18"/>
        </w:rPr>
        <w:t>a</w:t>
      </w:r>
      <w:r w:rsidRPr="0004576F">
        <w:rPr>
          <w:szCs w:val="18"/>
        </w:rPr>
        <w:t xml:space="preserve">dis ». Du Haillan, </w:t>
      </w:r>
      <w:r w:rsidRPr="0004576F">
        <w:rPr>
          <w:i/>
          <w:iCs/>
          <w:szCs w:val="18"/>
        </w:rPr>
        <w:t>De l’estat et succez des affaires de France</w:t>
      </w:r>
      <w:r w:rsidRPr="0004576F">
        <w:rPr>
          <w:szCs w:val="18"/>
        </w:rPr>
        <w:t xml:space="preserve">, </w:t>
      </w:r>
      <w:r w:rsidRPr="0004576F">
        <w:rPr>
          <w:i/>
          <w:szCs w:val="18"/>
        </w:rPr>
        <w:t>op. cit</w:t>
      </w:r>
      <w:r w:rsidRPr="0004576F">
        <w:rPr>
          <w:szCs w:val="18"/>
        </w:rPr>
        <w:t>., f ° 170.</w:t>
      </w:r>
    </w:p>
  </w:footnote>
  <w:footnote w:id="458">
    <w:p w14:paraId="7E08539A" w14:textId="77777777" w:rsidR="00B01930" w:rsidRDefault="00B01930">
      <w:pPr>
        <w:pStyle w:val="Notedebasdepage"/>
      </w:pPr>
      <w:r>
        <w:rPr>
          <w:rStyle w:val="Appelnotedebasdep"/>
        </w:rPr>
        <w:footnoteRef/>
      </w:r>
      <w:r>
        <w:t xml:space="preserve"> </w:t>
      </w:r>
      <w:r>
        <w:tab/>
      </w:r>
      <w:r w:rsidRPr="0004576F">
        <w:rPr>
          <w:i/>
          <w:szCs w:val="18"/>
        </w:rPr>
        <w:t xml:space="preserve">Harangue du Roy </w:t>
      </w:r>
      <w:r>
        <w:rPr>
          <w:i/>
          <w:szCs w:val="18"/>
        </w:rPr>
        <w:t>Charles IX</w:t>
      </w:r>
      <w:r w:rsidRPr="0004576F">
        <w:rPr>
          <w:i/>
          <w:szCs w:val="18"/>
        </w:rPr>
        <w:t xml:space="preserve"> à Messieurs de la Court de Parl</w:t>
      </w:r>
      <w:r w:rsidRPr="0004576F">
        <w:rPr>
          <w:i/>
          <w:szCs w:val="18"/>
        </w:rPr>
        <w:t>e</w:t>
      </w:r>
      <w:r w:rsidRPr="0004576F">
        <w:rPr>
          <w:i/>
          <w:szCs w:val="18"/>
        </w:rPr>
        <w:t>ment à Paris, tenant son Siège Royal, &amp; lict de Justice</w:t>
      </w:r>
      <w:r w:rsidRPr="0004576F">
        <w:rPr>
          <w:szCs w:val="18"/>
        </w:rPr>
        <w:t>, A Rouen, De l’Imprimerie de Martin le Mesgissier, Impr</w:t>
      </w:r>
      <w:r w:rsidRPr="0004576F">
        <w:rPr>
          <w:szCs w:val="18"/>
        </w:rPr>
        <w:t>i</w:t>
      </w:r>
      <w:r w:rsidRPr="0004576F">
        <w:rPr>
          <w:szCs w:val="18"/>
        </w:rPr>
        <w:t>meur du Roy, 1574, Avec Privilège.</w:t>
      </w:r>
    </w:p>
  </w:footnote>
  <w:footnote w:id="459">
    <w:p w14:paraId="207C4856" w14:textId="77777777" w:rsidR="00B01930" w:rsidRDefault="00B01930">
      <w:pPr>
        <w:pStyle w:val="Notedebasdepage"/>
      </w:pPr>
      <w:r>
        <w:rPr>
          <w:rStyle w:val="Appelnotedebasdep"/>
        </w:rPr>
        <w:footnoteRef/>
      </w:r>
      <w:r>
        <w:t xml:space="preserve"> </w:t>
      </w:r>
      <w:r>
        <w:tab/>
      </w:r>
      <w:r w:rsidRPr="0004576F">
        <w:rPr>
          <w:szCs w:val="18"/>
        </w:rPr>
        <w:t>L’historien protestant La Popelinière, qui reproduit dans son histoire le di</w:t>
      </w:r>
      <w:r w:rsidRPr="0004576F">
        <w:rPr>
          <w:szCs w:val="18"/>
        </w:rPr>
        <w:t>s</w:t>
      </w:r>
      <w:r w:rsidRPr="0004576F">
        <w:rPr>
          <w:szCs w:val="18"/>
        </w:rPr>
        <w:t>cours du Roi, note en marge : « </w:t>
      </w:r>
      <w:r w:rsidRPr="0004576F">
        <w:rPr>
          <w:i/>
          <w:szCs w:val="18"/>
        </w:rPr>
        <w:t>Autorité &amp; puissance des Parlemens de Fra</w:t>
      </w:r>
      <w:r w:rsidRPr="0004576F">
        <w:rPr>
          <w:i/>
          <w:szCs w:val="18"/>
        </w:rPr>
        <w:t>n</w:t>
      </w:r>
      <w:r w:rsidRPr="0004576F">
        <w:rPr>
          <w:i/>
          <w:szCs w:val="18"/>
        </w:rPr>
        <w:t>ce, autrefois Curateurs des Roys, abaissée &amp; amoindrie</w:t>
      </w:r>
      <w:r w:rsidRPr="0004576F">
        <w:rPr>
          <w:szCs w:val="18"/>
        </w:rPr>
        <w:t> », et dans son co</w:t>
      </w:r>
      <w:r w:rsidRPr="0004576F">
        <w:rPr>
          <w:szCs w:val="18"/>
        </w:rPr>
        <w:t>m</w:t>
      </w:r>
      <w:r w:rsidRPr="0004576F">
        <w:rPr>
          <w:szCs w:val="18"/>
        </w:rPr>
        <w:t>mentaire, il se place dans le camp des pa</w:t>
      </w:r>
      <w:r w:rsidRPr="0004576F">
        <w:rPr>
          <w:szCs w:val="18"/>
        </w:rPr>
        <w:t>r</w:t>
      </w:r>
      <w:r w:rsidRPr="0004576F">
        <w:rPr>
          <w:szCs w:val="18"/>
        </w:rPr>
        <w:t>tisans d’une monarchie modérée, et d’une puissance abs</w:t>
      </w:r>
      <w:r w:rsidRPr="0004576F">
        <w:rPr>
          <w:szCs w:val="18"/>
        </w:rPr>
        <w:t>o</w:t>
      </w:r>
      <w:r w:rsidRPr="0004576F">
        <w:rPr>
          <w:szCs w:val="18"/>
        </w:rPr>
        <w:t xml:space="preserve">lue contrôlée. La Popelinière, </w:t>
      </w:r>
      <w:r w:rsidRPr="0004576F">
        <w:rPr>
          <w:i/>
          <w:szCs w:val="18"/>
        </w:rPr>
        <w:t>op</w:t>
      </w:r>
      <w:r w:rsidRPr="0004576F">
        <w:rPr>
          <w:szCs w:val="18"/>
        </w:rPr>
        <w:t xml:space="preserve">. </w:t>
      </w:r>
      <w:r w:rsidRPr="0004576F">
        <w:rPr>
          <w:i/>
          <w:szCs w:val="18"/>
        </w:rPr>
        <w:t>cit</w:t>
      </w:r>
      <w:r w:rsidRPr="0004576F">
        <w:rPr>
          <w:szCs w:val="18"/>
        </w:rPr>
        <w:t>., t. II, f ° 9-10.</w:t>
      </w:r>
    </w:p>
  </w:footnote>
  <w:footnote w:id="460">
    <w:p w14:paraId="5AEFDBCA" w14:textId="77777777" w:rsidR="00B01930" w:rsidRDefault="00B01930">
      <w:pPr>
        <w:pStyle w:val="Notedebasdepage"/>
      </w:pPr>
      <w:r>
        <w:rPr>
          <w:rStyle w:val="Appelnotedebasdep"/>
        </w:rPr>
        <w:footnoteRef/>
      </w:r>
      <w:r>
        <w:t xml:space="preserve"> </w:t>
      </w:r>
      <w:r>
        <w:tab/>
      </w:r>
      <w:r w:rsidRPr="0004576F">
        <w:rPr>
          <w:szCs w:val="18"/>
        </w:rPr>
        <w:t xml:space="preserve">Sur les relations entre </w:t>
      </w:r>
      <w:r>
        <w:rPr>
          <w:szCs w:val="18"/>
        </w:rPr>
        <w:t>Charles IX</w:t>
      </w:r>
      <w:r w:rsidRPr="0004576F">
        <w:rPr>
          <w:szCs w:val="18"/>
        </w:rPr>
        <w:t xml:space="preserve"> et le parlement de Paris, voir Sylvie Da</w:t>
      </w:r>
      <w:r w:rsidRPr="0004576F">
        <w:rPr>
          <w:szCs w:val="18"/>
        </w:rPr>
        <w:t>u</w:t>
      </w:r>
      <w:r w:rsidRPr="0004576F">
        <w:rPr>
          <w:szCs w:val="18"/>
        </w:rPr>
        <w:t xml:space="preserve">bresse, </w:t>
      </w:r>
      <w:r w:rsidRPr="0004576F">
        <w:rPr>
          <w:i/>
          <w:szCs w:val="18"/>
        </w:rPr>
        <w:t>Le Pa</w:t>
      </w:r>
      <w:r w:rsidRPr="0004576F">
        <w:rPr>
          <w:i/>
          <w:szCs w:val="18"/>
        </w:rPr>
        <w:t>r</w:t>
      </w:r>
      <w:r w:rsidRPr="0004576F">
        <w:rPr>
          <w:i/>
          <w:szCs w:val="18"/>
        </w:rPr>
        <w:t>lement de Paris ou la voix de la raison (1559-1589)</w:t>
      </w:r>
      <w:r w:rsidRPr="0004576F">
        <w:rPr>
          <w:szCs w:val="18"/>
        </w:rPr>
        <w:t>, Genève, Droz, 2005.</w:t>
      </w:r>
    </w:p>
  </w:footnote>
  <w:footnote w:id="461">
    <w:p w14:paraId="3ECFB856" w14:textId="77777777" w:rsidR="00B01930" w:rsidRDefault="00B01930">
      <w:pPr>
        <w:pStyle w:val="Notedebasdepage"/>
      </w:pPr>
      <w:r>
        <w:rPr>
          <w:rStyle w:val="Appelnotedebasdep"/>
        </w:rPr>
        <w:footnoteRef/>
      </w:r>
      <w:r>
        <w:t xml:space="preserve"> </w:t>
      </w:r>
      <w:r>
        <w:tab/>
      </w:r>
      <w:r w:rsidRPr="0004576F">
        <w:rPr>
          <w:smallCaps/>
          <w:szCs w:val="18"/>
        </w:rPr>
        <w:t>Bnf</w:t>
      </w:r>
      <w:r w:rsidRPr="0004576F">
        <w:rPr>
          <w:szCs w:val="18"/>
        </w:rPr>
        <w:t xml:space="preserve">, Dupuy 801, f ° 27, </w:t>
      </w:r>
      <w:r>
        <w:rPr>
          <w:szCs w:val="18"/>
        </w:rPr>
        <w:t>Charles IX</w:t>
      </w:r>
      <w:r w:rsidRPr="0004576F">
        <w:rPr>
          <w:szCs w:val="18"/>
        </w:rPr>
        <w:t xml:space="preserve"> au président de Thou, du Plessis-lès-Tours, le 1-9-1569, contreseing de Brulart.</w:t>
      </w:r>
    </w:p>
  </w:footnote>
  <w:footnote w:id="462">
    <w:p w14:paraId="41DFA0EC" w14:textId="77777777" w:rsidR="00B01930" w:rsidRDefault="00B01930">
      <w:pPr>
        <w:pStyle w:val="Notedebasdepage"/>
      </w:pPr>
      <w:r>
        <w:rPr>
          <w:rStyle w:val="Appelnotedebasdep"/>
        </w:rPr>
        <w:footnoteRef/>
      </w:r>
      <w:r>
        <w:t xml:space="preserve"> </w:t>
      </w:r>
      <w:r>
        <w:tab/>
      </w:r>
      <w:r w:rsidRPr="0004576F">
        <w:rPr>
          <w:smallCaps/>
          <w:szCs w:val="18"/>
        </w:rPr>
        <w:t>Bn</w:t>
      </w:r>
      <w:r w:rsidRPr="0004576F">
        <w:rPr>
          <w:szCs w:val="18"/>
        </w:rPr>
        <w:t xml:space="preserve">, Dupuy 498, f ° 42, </w:t>
      </w:r>
      <w:r>
        <w:rPr>
          <w:szCs w:val="18"/>
        </w:rPr>
        <w:t>Charles IX</w:t>
      </w:r>
      <w:r w:rsidRPr="0004576F">
        <w:rPr>
          <w:szCs w:val="18"/>
        </w:rPr>
        <w:t xml:space="preserve"> au président de Thou, au Ple</w:t>
      </w:r>
      <w:r w:rsidRPr="0004576F">
        <w:rPr>
          <w:szCs w:val="18"/>
        </w:rPr>
        <w:t>s</w:t>
      </w:r>
      <w:r w:rsidRPr="0004576F">
        <w:rPr>
          <w:szCs w:val="18"/>
        </w:rPr>
        <w:t>sis-lès-Tours, le 5-10-1569. Contreseing de Brulart. Il avait aussi interdit à son parlement de se mêler des affa</w:t>
      </w:r>
      <w:r w:rsidRPr="0004576F">
        <w:rPr>
          <w:szCs w:val="18"/>
        </w:rPr>
        <w:t>i</w:t>
      </w:r>
      <w:r w:rsidRPr="0004576F">
        <w:rPr>
          <w:szCs w:val="18"/>
        </w:rPr>
        <w:t>res des princes du sang rebelles, qu’il se réservait, ou d’attendre ses ordres pour priver C</w:t>
      </w:r>
      <w:r w:rsidRPr="0004576F">
        <w:rPr>
          <w:szCs w:val="18"/>
        </w:rPr>
        <w:t>o</w:t>
      </w:r>
      <w:r w:rsidRPr="0004576F">
        <w:rPr>
          <w:szCs w:val="18"/>
        </w:rPr>
        <w:t xml:space="preserve">ligny de sa charge d’Amiral de France. (Voir J. F. Labourdette, « L’échec de la politique de concorde de </w:t>
      </w:r>
      <w:r>
        <w:rPr>
          <w:szCs w:val="18"/>
        </w:rPr>
        <w:t>Charles IX</w:t>
      </w:r>
      <w:r w:rsidRPr="0004576F">
        <w:rPr>
          <w:szCs w:val="18"/>
        </w:rPr>
        <w:t>, de la pac</w:t>
      </w:r>
      <w:r w:rsidRPr="0004576F">
        <w:rPr>
          <w:szCs w:val="18"/>
        </w:rPr>
        <w:t>i</w:t>
      </w:r>
      <w:r w:rsidRPr="0004576F">
        <w:rPr>
          <w:szCs w:val="18"/>
        </w:rPr>
        <w:t xml:space="preserve">fication de Saint-Germain (10 août 1570) à la Saint-Barthélemy (24 août 1572) », dans </w:t>
      </w:r>
      <w:r w:rsidRPr="0004576F">
        <w:rPr>
          <w:i/>
          <w:szCs w:val="18"/>
        </w:rPr>
        <w:t>Contributions à une Histoire du Catholicisme, Papa</w:t>
      </w:r>
      <w:r w:rsidRPr="0004576F">
        <w:rPr>
          <w:i/>
          <w:szCs w:val="18"/>
        </w:rPr>
        <w:t>u</w:t>
      </w:r>
      <w:r w:rsidRPr="0004576F">
        <w:rPr>
          <w:i/>
          <w:szCs w:val="18"/>
        </w:rPr>
        <w:t>té, Aquitaine, France et Outre-mer</w:t>
      </w:r>
      <w:r w:rsidRPr="0004576F">
        <w:rPr>
          <w:szCs w:val="18"/>
        </w:rPr>
        <w:t>, Mélanges offerts à Marc Agostino, Paris, Ka</w:t>
      </w:r>
      <w:r w:rsidRPr="0004576F">
        <w:rPr>
          <w:szCs w:val="18"/>
        </w:rPr>
        <w:t>r</w:t>
      </w:r>
      <w:r w:rsidRPr="0004576F">
        <w:rPr>
          <w:szCs w:val="18"/>
        </w:rPr>
        <w:t>thala, 2013, p. 175 à 192.</w:t>
      </w:r>
    </w:p>
  </w:footnote>
  <w:footnote w:id="463">
    <w:p w14:paraId="3B2D43DE" w14:textId="77777777" w:rsidR="00B01930" w:rsidRDefault="00B01930">
      <w:pPr>
        <w:pStyle w:val="Notedebasdepage"/>
      </w:pPr>
      <w:r>
        <w:rPr>
          <w:rStyle w:val="Appelnotedebasdep"/>
        </w:rPr>
        <w:footnoteRef/>
      </w:r>
      <w:r>
        <w:t xml:space="preserve"> </w:t>
      </w:r>
      <w:r>
        <w:tab/>
      </w:r>
      <w:r w:rsidRPr="0004576F">
        <w:rPr>
          <w:szCs w:val="18"/>
        </w:rPr>
        <w:t>Jean Bodin précise que ce Conseil privé, qu’il appelle Sénat, n’est établi que pour donner des avis au Roi, et non pour commander : sans le souverain il n’a aucune existence : « </w:t>
      </w:r>
      <w:r w:rsidRPr="0004576F">
        <w:rPr>
          <w:i/>
          <w:szCs w:val="18"/>
        </w:rPr>
        <w:t>Le Sénat est establi pour donner advis à ceux qui ont la souveraineté, j’ay dit donner advis, parce que le Sénat d’une République bien ordonnée ne doit point avoir puissance de commander, ny décerner mand</w:t>
      </w:r>
      <w:r w:rsidRPr="0004576F">
        <w:rPr>
          <w:i/>
          <w:szCs w:val="18"/>
        </w:rPr>
        <w:t>e</w:t>
      </w:r>
      <w:r w:rsidRPr="0004576F">
        <w:rPr>
          <w:i/>
          <w:szCs w:val="18"/>
        </w:rPr>
        <w:t>mens, ny mettre en exécution ses advis &amp; délibérations, mais il faut tout ra</w:t>
      </w:r>
      <w:r w:rsidRPr="0004576F">
        <w:rPr>
          <w:i/>
          <w:szCs w:val="18"/>
        </w:rPr>
        <w:t>p</w:t>
      </w:r>
      <w:r w:rsidRPr="0004576F">
        <w:rPr>
          <w:i/>
          <w:szCs w:val="18"/>
        </w:rPr>
        <w:t>porter à ceux qui ont la souveraineté</w:t>
      </w:r>
      <w:r w:rsidRPr="0004576F">
        <w:rPr>
          <w:szCs w:val="18"/>
        </w:rPr>
        <w:t xml:space="preserve"> […] </w:t>
      </w:r>
      <w:r w:rsidRPr="0004576F">
        <w:rPr>
          <w:i/>
          <w:szCs w:val="18"/>
        </w:rPr>
        <w:t>Aussi voit-on que tous les arrests du conseil privé po</w:t>
      </w:r>
      <w:r w:rsidRPr="0004576F">
        <w:rPr>
          <w:i/>
          <w:szCs w:val="18"/>
        </w:rPr>
        <w:t>r</w:t>
      </w:r>
      <w:r w:rsidRPr="0004576F">
        <w:rPr>
          <w:i/>
          <w:szCs w:val="18"/>
        </w:rPr>
        <w:t>tent ces mots : « </w:t>
      </w:r>
      <w:r w:rsidRPr="0004576F">
        <w:rPr>
          <w:i/>
          <w:smallCaps/>
          <w:szCs w:val="18"/>
        </w:rPr>
        <w:t>Par le Roy en son conseil »</w:t>
      </w:r>
      <w:r w:rsidRPr="0004576F">
        <w:rPr>
          <w:i/>
          <w:szCs w:val="18"/>
        </w:rPr>
        <w:t>, lequel ne peut rien faire si le Roy n’est présent, ou qu’il n’ayt pour agréable les actes de son conseil</w:t>
      </w:r>
      <w:r w:rsidRPr="0004576F">
        <w:rPr>
          <w:szCs w:val="18"/>
        </w:rPr>
        <w:t xml:space="preserve"> ». (J. Bodin, </w:t>
      </w:r>
      <w:r w:rsidRPr="0004576F">
        <w:rPr>
          <w:i/>
          <w:szCs w:val="18"/>
        </w:rPr>
        <w:t>Les Six Livres de la République</w:t>
      </w:r>
      <w:r w:rsidRPr="0004576F">
        <w:rPr>
          <w:szCs w:val="18"/>
        </w:rPr>
        <w:t xml:space="preserve">…, </w:t>
      </w:r>
      <w:r w:rsidRPr="0004576F">
        <w:rPr>
          <w:i/>
          <w:szCs w:val="18"/>
        </w:rPr>
        <w:t>op. cit</w:t>
      </w:r>
      <w:r w:rsidRPr="0004576F">
        <w:rPr>
          <w:szCs w:val="18"/>
        </w:rPr>
        <w:t>., Livre III, chap</w:t>
      </w:r>
      <w:r w:rsidRPr="0004576F">
        <w:rPr>
          <w:szCs w:val="18"/>
        </w:rPr>
        <w:t>i</w:t>
      </w:r>
      <w:r w:rsidRPr="0004576F">
        <w:rPr>
          <w:szCs w:val="18"/>
        </w:rPr>
        <w:t>tre I, p. 254-255).</w:t>
      </w:r>
    </w:p>
  </w:footnote>
  <w:footnote w:id="464">
    <w:p w14:paraId="52917616" w14:textId="77777777" w:rsidR="00B01930" w:rsidRDefault="00B01930">
      <w:pPr>
        <w:pStyle w:val="Notedebasdepage"/>
      </w:pPr>
      <w:r>
        <w:rPr>
          <w:rStyle w:val="Appelnotedebasdep"/>
        </w:rPr>
        <w:footnoteRef/>
      </w:r>
      <w:r>
        <w:t xml:space="preserve"> </w:t>
      </w:r>
      <w:r>
        <w:tab/>
      </w:r>
      <w:r w:rsidRPr="0004576F">
        <w:rPr>
          <w:szCs w:val="18"/>
        </w:rPr>
        <w:t xml:space="preserve">La Popelinière, </w:t>
      </w:r>
      <w:r w:rsidRPr="0004576F">
        <w:rPr>
          <w:i/>
          <w:szCs w:val="18"/>
        </w:rPr>
        <w:t>op</w:t>
      </w:r>
      <w:r w:rsidRPr="0004576F">
        <w:rPr>
          <w:szCs w:val="18"/>
        </w:rPr>
        <w:t xml:space="preserve">. </w:t>
      </w:r>
      <w:r w:rsidRPr="0004576F">
        <w:rPr>
          <w:i/>
          <w:szCs w:val="18"/>
        </w:rPr>
        <w:t>cit</w:t>
      </w:r>
      <w:r w:rsidRPr="0004576F">
        <w:rPr>
          <w:szCs w:val="18"/>
        </w:rPr>
        <w:t>., I, livre X, f ° 371 v °.</w:t>
      </w:r>
    </w:p>
  </w:footnote>
  <w:footnote w:id="465">
    <w:p w14:paraId="316C0D0C" w14:textId="77777777" w:rsidR="00B01930" w:rsidRDefault="00B01930">
      <w:pPr>
        <w:pStyle w:val="Notedebasdepage"/>
      </w:pPr>
      <w:r>
        <w:rPr>
          <w:rStyle w:val="Appelnotedebasdep"/>
        </w:rPr>
        <w:footnoteRef/>
      </w:r>
      <w:r>
        <w:t xml:space="preserve"> </w:t>
      </w:r>
      <w:r>
        <w:tab/>
      </w:r>
      <w:r w:rsidRPr="0004576F">
        <w:rPr>
          <w:szCs w:val="18"/>
        </w:rPr>
        <w:t xml:space="preserve">Voir Jean-François Labourdette, </w:t>
      </w:r>
      <w:r>
        <w:rPr>
          <w:i/>
          <w:szCs w:val="18"/>
        </w:rPr>
        <w:t>Charles IX</w:t>
      </w:r>
      <w:r w:rsidRPr="0004576F">
        <w:rPr>
          <w:i/>
          <w:szCs w:val="18"/>
        </w:rPr>
        <w:t xml:space="preserve"> et la puissance espagnole. D</w:t>
      </w:r>
      <w:r w:rsidRPr="0004576F">
        <w:rPr>
          <w:i/>
          <w:szCs w:val="18"/>
        </w:rPr>
        <w:t>i</w:t>
      </w:r>
      <w:r w:rsidRPr="0004576F">
        <w:rPr>
          <w:i/>
          <w:szCs w:val="18"/>
        </w:rPr>
        <w:t>plomatie et guerres civiles (1563-1574)</w:t>
      </w:r>
      <w:r w:rsidRPr="0004576F">
        <w:rPr>
          <w:szCs w:val="18"/>
        </w:rPr>
        <w:t>, Prix de l’Académie française 2014, P</w:t>
      </w:r>
      <w:r w:rsidRPr="0004576F">
        <w:rPr>
          <w:szCs w:val="18"/>
        </w:rPr>
        <w:t>a</w:t>
      </w:r>
      <w:r w:rsidRPr="0004576F">
        <w:rPr>
          <w:szCs w:val="18"/>
        </w:rPr>
        <w:t>ris, Champion, 2013, p. 415-418.</w:t>
      </w:r>
    </w:p>
  </w:footnote>
  <w:footnote w:id="466">
    <w:p w14:paraId="193D6425" w14:textId="77777777" w:rsidR="00B01930" w:rsidRDefault="00B01930">
      <w:pPr>
        <w:pStyle w:val="Notedebasdepage"/>
      </w:pPr>
      <w:r>
        <w:rPr>
          <w:rStyle w:val="Appelnotedebasdep"/>
        </w:rPr>
        <w:footnoteRef/>
      </w:r>
      <w:r>
        <w:t xml:space="preserve"> </w:t>
      </w:r>
      <w:r>
        <w:tab/>
      </w:r>
      <w:r w:rsidRPr="0004576F">
        <w:rPr>
          <w:szCs w:val="18"/>
        </w:rPr>
        <w:t xml:space="preserve">Lettre de </w:t>
      </w:r>
      <w:r>
        <w:rPr>
          <w:szCs w:val="18"/>
        </w:rPr>
        <w:t>Charles IX</w:t>
      </w:r>
      <w:r w:rsidRPr="0004576F">
        <w:rPr>
          <w:szCs w:val="18"/>
        </w:rPr>
        <w:t xml:space="preserve"> à son ambassadeur à Rome, M. de l’Isle [o</w:t>
      </w:r>
      <w:r w:rsidRPr="0004576F">
        <w:rPr>
          <w:szCs w:val="18"/>
        </w:rPr>
        <w:t>c</w:t>
      </w:r>
      <w:r w:rsidRPr="0004576F">
        <w:rPr>
          <w:szCs w:val="18"/>
        </w:rPr>
        <w:t xml:space="preserve">tobre 1561], citée dans La Popelinière, </w:t>
      </w:r>
      <w:r w:rsidRPr="0004576F">
        <w:rPr>
          <w:i/>
          <w:szCs w:val="18"/>
        </w:rPr>
        <w:t>op</w:t>
      </w:r>
      <w:r w:rsidRPr="0004576F">
        <w:rPr>
          <w:szCs w:val="18"/>
        </w:rPr>
        <w:t xml:space="preserve">. </w:t>
      </w:r>
      <w:r w:rsidRPr="0004576F">
        <w:rPr>
          <w:i/>
          <w:szCs w:val="18"/>
        </w:rPr>
        <w:t>cit</w:t>
      </w:r>
      <w:r w:rsidRPr="0004576F">
        <w:rPr>
          <w:szCs w:val="18"/>
        </w:rPr>
        <w:t>., I, f ° 257.</w:t>
      </w:r>
    </w:p>
  </w:footnote>
  <w:footnote w:id="467">
    <w:p w14:paraId="6337B0A9" w14:textId="77777777" w:rsidR="00B01930" w:rsidRDefault="00B01930">
      <w:pPr>
        <w:pStyle w:val="Notedebasdepage"/>
      </w:pPr>
      <w:r>
        <w:rPr>
          <w:rStyle w:val="Appelnotedebasdep"/>
        </w:rPr>
        <w:footnoteRef/>
      </w:r>
      <w:r>
        <w:t xml:space="preserve"> </w:t>
      </w:r>
      <w:r>
        <w:tab/>
      </w:r>
      <w:r>
        <w:rPr>
          <w:szCs w:val="18"/>
        </w:rPr>
        <w:t>Charles IX</w:t>
      </w:r>
      <w:r w:rsidRPr="0004576F">
        <w:rPr>
          <w:szCs w:val="18"/>
        </w:rPr>
        <w:t xml:space="preserve"> à M. de Fourquevaux, Angers, 7-2-1570, cité dans </w:t>
      </w:r>
      <w:r w:rsidRPr="0004576F">
        <w:rPr>
          <w:i/>
          <w:szCs w:val="18"/>
        </w:rPr>
        <w:t xml:space="preserve">Lettres de </w:t>
      </w:r>
      <w:r>
        <w:rPr>
          <w:i/>
          <w:szCs w:val="18"/>
        </w:rPr>
        <w:t>Charles IX</w:t>
      </w:r>
      <w:r w:rsidRPr="0004576F">
        <w:rPr>
          <w:i/>
          <w:szCs w:val="18"/>
        </w:rPr>
        <w:t xml:space="preserve"> à M. de Fourquevaux, ambassadeur en Esp</w:t>
      </w:r>
      <w:r w:rsidRPr="0004576F">
        <w:rPr>
          <w:i/>
          <w:szCs w:val="18"/>
        </w:rPr>
        <w:t>a</w:t>
      </w:r>
      <w:r w:rsidRPr="0004576F">
        <w:rPr>
          <w:i/>
          <w:szCs w:val="18"/>
        </w:rPr>
        <w:t>gne, 1565-1572</w:t>
      </w:r>
      <w:r w:rsidRPr="0004576F">
        <w:rPr>
          <w:szCs w:val="18"/>
        </w:rPr>
        <w:t>, C. Douais éd., Montpellier, 1899, p. 278-282.</w:t>
      </w:r>
    </w:p>
  </w:footnote>
  <w:footnote w:id="468">
    <w:p w14:paraId="6A813FB3" w14:textId="77777777" w:rsidR="00B01930" w:rsidRDefault="00B01930">
      <w:pPr>
        <w:pStyle w:val="Notedebasdepage"/>
      </w:pPr>
      <w:r>
        <w:rPr>
          <w:rStyle w:val="Appelnotedebasdep"/>
        </w:rPr>
        <w:footnoteRef/>
      </w:r>
      <w:r>
        <w:t xml:space="preserve"> </w:t>
      </w:r>
      <w:r>
        <w:tab/>
      </w:r>
      <w:r w:rsidRPr="0004576F">
        <w:rPr>
          <w:szCs w:val="18"/>
        </w:rPr>
        <w:t>Le 24 novembre 1573, il écrivait à Matignon, son lieutenant général en No</w:t>
      </w:r>
      <w:r w:rsidRPr="0004576F">
        <w:rPr>
          <w:szCs w:val="18"/>
        </w:rPr>
        <w:t>r</w:t>
      </w:r>
      <w:r w:rsidRPr="0004576F">
        <w:rPr>
          <w:szCs w:val="18"/>
        </w:rPr>
        <w:t>mandie, de s’y rendre « bien a</w:t>
      </w:r>
      <w:r w:rsidRPr="0004576F">
        <w:rPr>
          <w:szCs w:val="18"/>
        </w:rPr>
        <w:t>m</w:t>
      </w:r>
      <w:r w:rsidRPr="0004576F">
        <w:rPr>
          <w:szCs w:val="18"/>
        </w:rPr>
        <w:t>plement instruict de tout ce que je vous ay mandé pour m’en rendre compte par le menu » (B</w:t>
      </w:r>
      <w:r w:rsidRPr="0004576F">
        <w:rPr>
          <w:smallCaps/>
          <w:szCs w:val="18"/>
        </w:rPr>
        <w:t>nf</w:t>
      </w:r>
      <w:r w:rsidRPr="0004576F">
        <w:rPr>
          <w:szCs w:val="18"/>
        </w:rPr>
        <w:t xml:space="preserve">, Fr 3254, f° 73, </w:t>
      </w:r>
      <w:r>
        <w:rPr>
          <w:szCs w:val="18"/>
        </w:rPr>
        <w:t>Cha</w:t>
      </w:r>
      <w:r>
        <w:rPr>
          <w:szCs w:val="18"/>
        </w:rPr>
        <w:t>r</w:t>
      </w:r>
      <w:r>
        <w:rPr>
          <w:szCs w:val="18"/>
        </w:rPr>
        <w:t>les IX</w:t>
      </w:r>
      <w:r w:rsidRPr="0004576F">
        <w:rPr>
          <w:szCs w:val="18"/>
        </w:rPr>
        <w:t xml:space="preserve"> à M. de Matignon, du 29-11-1573, Châlon en Champagne, contreseing de Pinart).</w:t>
      </w:r>
    </w:p>
  </w:footnote>
  <w:footnote w:id="469">
    <w:p w14:paraId="7B759CFA" w14:textId="77777777" w:rsidR="00B01930" w:rsidRDefault="00B01930">
      <w:pPr>
        <w:pStyle w:val="Notedebasdepage"/>
      </w:pPr>
      <w:r>
        <w:rPr>
          <w:rStyle w:val="Appelnotedebasdep"/>
        </w:rPr>
        <w:footnoteRef/>
      </w:r>
      <w:r>
        <w:t xml:space="preserve"> </w:t>
      </w:r>
      <w:r>
        <w:tab/>
      </w:r>
      <w:r w:rsidRPr="0004576F">
        <w:rPr>
          <w:smallCaps/>
          <w:szCs w:val="18"/>
        </w:rPr>
        <w:t>Bnf</w:t>
      </w:r>
      <w:r w:rsidRPr="0004576F">
        <w:rPr>
          <w:szCs w:val="18"/>
        </w:rPr>
        <w:t xml:space="preserve">, Fr 3967, f ° 67-70 et 500 Colbert, 366, p. 527-530, </w:t>
      </w:r>
      <w:r>
        <w:rPr>
          <w:szCs w:val="18"/>
        </w:rPr>
        <w:t>Charles IX</w:t>
      </w:r>
      <w:r w:rsidRPr="0004576F">
        <w:rPr>
          <w:szCs w:val="18"/>
        </w:rPr>
        <w:t xml:space="preserve"> à M. du Ferrier, du 25-1-1574, Saint-Germain en Laye, contr</w:t>
      </w:r>
      <w:r w:rsidRPr="0004576F">
        <w:rPr>
          <w:szCs w:val="18"/>
        </w:rPr>
        <w:t>e</w:t>
      </w:r>
      <w:r w:rsidRPr="0004576F">
        <w:rPr>
          <w:szCs w:val="18"/>
        </w:rPr>
        <w:t>seing de Fizes.</w:t>
      </w:r>
    </w:p>
  </w:footnote>
  <w:footnote w:id="470">
    <w:p w14:paraId="6A1412B0" w14:textId="77777777" w:rsidR="00B01930" w:rsidRDefault="00B01930">
      <w:pPr>
        <w:pStyle w:val="Notedebasdepage"/>
      </w:pPr>
      <w:r>
        <w:rPr>
          <w:rStyle w:val="Appelnotedebasdep"/>
        </w:rPr>
        <w:footnoteRef/>
      </w:r>
      <w:r>
        <w:t xml:space="preserve"> </w:t>
      </w:r>
      <w:r>
        <w:tab/>
      </w:r>
      <w:r>
        <w:rPr>
          <w:szCs w:val="18"/>
        </w:rPr>
        <w:t>Charles IX</w:t>
      </w:r>
      <w:r w:rsidRPr="0004576F">
        <w:rPr>
          <w:szCs w:val="18"/>
        </w:rPr>
        <w:t xml:space="preserve"> à M. de Fourquevaux,</w:t>
      </w:r>
      <w:r w:rsidRPr="0004576F">
        <w:rPr>
          <w:i/>
          <w:iCs/>
          <w:szCs w:val="18"/>
        </w:rPr>
        <w:t xml:space="preserve"> </w:t>
      </w:r>
      <w:r w:rsidRPr="0004576F">
        <w:rPr>
          <w:szCs w:val="18"/>
        </w:rPr>
        <w:t>Fonta</w:t>
      </w:r>
      <w:r w:rsidRPr="0004576F">
        <w:rPr>
          <w:szCs w:val="18"/>
        </w:rPr>
        <w:t>i</w:t>
      </w:r>
      <w:r w:rsidRPr="0004576F">
        <w:rPr>
          <w:szCs w:val="18"/>
        </w:rPr>
        <w:t xml:space="preserve">nebleau, 30-3-1567, De L’Aubespine, cité dans </w:t>
      </w:r>
      <w:r w:rsidRPr="0004576F">
        <w:rPr>
          <w:i/>
          <w:szCs w:val="18"/>
        </w:rPr>
        <w:t xml:space="preserve">Lettres de </w:t>
      </w:r>
      <w:r>
        <w:rPr>
          <w:i/>
          <w:szCs w:val="18"/>
        </w:rPr>
        <w:t>Charles IX</w:t>
      </w:r>
      <w:r w:rsidRPr="0004576F">
        <w:rPr>
          <w:i/>
          <w:szCs w:val="18"/>
        </w:rPr>
        <w:t xml:space="preserve"> à M. de Fourquevaux, </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p. 89-91.</w:t>
      </w:r>
    </w:p>
  </w:footnote>
  <w:footnote w:id="471">
    <w:p w14:paraId="1F1DCB1F" w14:textId="77777777" w:rsidR="00B01930" w:rsidRDefault="00B01930">
      <w:pPr>
        <w:pStyle w:val="Notedebasdepage"/>
      </w:pPr>
      <w:r>
        <w:rPr>
          <w:rStyle w:val="Appelnotedebasdep"/>
        </w:rPr>
        <w:footnoteRef/>
      </w:r>
      <w:r>
        <w:t xml:space="preserve"> </w:t>
      </w:r>
      <w:r>
        <w:tab/>
      </w:r>
      <w:r w:rsidRPr="0004576F">
        <w:rPr>
          <w:szCs w:val="18"/>
        </w:rPr>
        <w:t xml:space="preserve">Voir J. F. Labourdette, </w:t>
      </w:r>
      <w:r>
        <w:rPr>
          <w:i/>
          <w:szCs w:val="18"/>
        </w:rPr>
        <w:t>Charles IX</w:t>
      </w:r>
      <w:r w:rsidRPr="0004576F">
        <w:rPr>
          <w:i/>
          <w:szCs w:val="18"/>
        </w:rPr>
        <w:t xml:space="preserve"> et la puisssance espagnole</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p. 75-78.</w:t>
      </w:r>
    </w:p>
  </w:footnote>
  <w:footnote w:id="472">
    <w:p w14:paraId="55062E4A" w14:textId="77777777" w:rsidR="00B01930" w:rsidRDefault="00B01930">
      <w:pPr>
        <w:pStyle w:val="Notedebasdepage"/>
      </w:pPr>
      <w:r>
        <w:rPr>
          <w:rStyle w:val="Appelnotedebasdep"/>
        </w:rPr>
        <w:footnoteRef/>
      </w:r>
      <w:r>
        <w:t xml:space="preserve"> </w:t>
      </w:r>
      <w:r>
        <w:tab/>
      </w:r>
      <w:r w:rsidRPr="0004576F">
        <w:rPr>
          <w:smallCaps/>
          <w:szCs w:val="18"/>
        </w:rPr>
        <w:t>Bnf</w:t>
      </w:r>
      <w:r w:rsidRPr="0004576F">
        <w:rPr>
          <w:szCs w:val="18"/>
        </w:rPr>
        <w:t xml:space="preserve">, Fr 15869, f ° 3, </w:t>
      </w:r>
      <w:r w:rsidRPr="0004576F">
        <w:rPr>
          <w:i/>
          <w:szCs w:val="18"/>
        </w:rPr>
        <w:t>Instruction à Monsieur le comte de Tou</w:t>
      </w:r>
      <w:r w:rsidRPr="0004576F">
        <w:rPr>
          <w:i/>
          <w:szCs w:val="18"/>
        </w:rPr>
        <w:t>r</w:t>
      </w:r>
      <w:r w:rsidRPr="0004576F">
        <w:rPr>
          <w:i/>
          <w:szCs w:val="18"/>
        </w:rPr>
        <w:t>non, allant en ambassade à Rome</w:t>
      </w:r>
      <w:r w:rsidRPr="0004576F">
        <w:rPr>
          <w:szCs w:val="18"/>
        </w:rPr>
        <w:t>, s.d. (après le 11 juillet 1566, date de la mort de Villepar</w:t>
      </w:r>
      <w:r w:rsidRPr="0004576F">
        <w:rPr>
          <w:szCs w:val="18"/>
        </w:rPr>
        <w:t>i</w:t>
      </w:r>
      <w:r w:rsidRPr="0004576F">
        <w:rPr>
          <w:szCs w:val="18"/>
        </w:rPr>
        <w:t>sis).</w:t>
      </w:r>
    </w:p>
  </w:footnote>
  <w:footnote w:id="473">
    <w:p w14:paraId="692AB867" w14:textId="77777777" w:rsidR="00B01930" w:rsidRDefault="00B01930">
      <w:pPr>
        <w:pStyle w:val="Notedebasdepage"/>
      </w:pPr>
      <w:r>
        <w:rPr>
          <w:rStyle w:val="Appelnotedebasdep"/>
        </w:rPr>
        <w:footnoteRef/>
      </w:r>
      <w:r>
        <w:t xml:space="preserve"> </w:t>
      </w:r>
      <w:r>
        <w:tab/>
      </w:r>
      <w:r w:rsidRPr="0004576F">
        <w:rPr>
          <w:szCs w:val="18"/>
        </w:rPr>
        <w:t>C’est aussi pour cette raison que, pendant les guerres civiles, il refusait d’admettre les bons offices d’un autre souverain entre lui et ses sujets : « </w:t>
      </w:r>
      <w:r w:rsidRPr="0004576F">
        <w:rPr>
          <w:i/>
          <w:szCs w:val="18"/>
        </w:rPr>
        <w:t>Dieu m’ayant faict en saincte grace de me constituer Prince légitime et souverain sur mes subgectz, et les ayant tou</w:t>
      </w:r>
      <w:r w:rsidRPr="0004576F">
        <w:rPr>
          <w:i/>
          <w:szCs w:val="18"/>
        </w:rPr>
        <w:t>s</w:t>
      </w:r>
      <w:r w:rsidRPr="0004576F">
        <w:rPr>
          <w:i/>
          <w:szCs w:val="18"/>
        </w:rPr>
        <w:t>jours traictez avec la doulceur et clémence que l’on se doibt promestre d’un bon prince, qui veult aussi se réserver et maintenir son auctorité, je ne suis pas pour recevoir ung moyen entre eulx et moy pour rabiller les faultes qu’ilz ont faictes, lesquelles quant ilz vouldront recongnoistre et s’humilier comme ilz doyvent, me trouveront aussi favorable et plain d’amour et affection paternelle envers eulx, que j’ay esté cy d</w:t>
      </w:r>
      <w:r w:rsidRPr="0004576F">
        <w:rPr>
          <w:i/>
          <w:szCs w:val="18"/>
        </w:rPr>
        <w:t>e</w:t>
      </w:r>
      <w:r w:rsidRPr="0004576F">
        <w:rPr>
          <w:i/>
          <w:szCs w:val="18"/>
        </w:rPr>
        <w:t>vant</w:t>
      </w:r>
      <w:r w:rsidRPr="0004576F">
        <w:rPr>
          <w:szCs w:val="18"/>
        </w:rPr>
        <w:t> ». (</w:t>
      </w:r>
      <w:r w:rsidRPr="0004576F">
        <w:rPr>
          <w:smallCaps/>
          <w:szCs w:val="18"/>
        </w:rPr>
        <w:t>Bnf</w:t>
      </w:r>
      <w:r w:rsidRPr="0004576F">
        <w:rPr>
          <w:szCs w:val="18"/>
        </w:rPr>
        <w:t xml:space="preserve">, Fr. 15918, f ° 105-106, </w:t>
      </w:r>
      <w:r>
        <w:rPr>
          <w:szCs w:val="18"/>
        </w:rPr>
        <w:t>Charles IX</w:t>
      </w:r>
      <w:r w:rsidRPr="0004576F">
        <w:rPr>
          <w:szCs w:val="18"/>
        </w:rPr>
        <w:t xml:space="preserve"> à l’évêque de Re</w:t>
      </w:r>
      <w:r w:rsidRPr="0004576F">
        <w:rPr>
          <w:szCs w:val="18"/>
        </w:rPr>
        <w:t>n</w:t>
      </w:r>
      <w:r w:rsidRPr="0004576F">
        <w:rPr>
          <w:szCs w:val="18"/>
        </w:rPr>
        <w:t>nes, du 9-12-1567, Paris).</w:t>
      </w:r>
    </w:p>
  </w:footnote>
  <w:footnote w:id="474">
    <w:p w14:paraId="26F13A5C" w14:textId="77777777" w:rsidR="00B01930" w:rsidRDefault="00B01930">
      <w:pPr>
        <w:pStyle w:val="Notedebasdepage"/>
      </w:pPr>
      <w:r>
        <w:rPr>
          <w:rStyle w:val="Appelnotedebasdep"/>
        </w:rPr>
        <w:footnoteRef/>
      </w:r>
      <w:r>
        <w:t xml:space="preserve"> </w:t>
      </w:r>
      <w:r>
        <w:tab/>
      </w:r>
      <w:r w:rsidRPr="0004576F">
        <w:rPr>
          <w:smallCaps/>
          <w:szCs w:val="18"/>
        </w:rPr>
        <w:t>Bnf</w:t>
      </w:r>
      <w:r w:rsidRPr="0004576F">
        <w:rPr>
          <w:szCs w:val="18"/>
        </w:rPr>
        <w:t xml:space="preserve">, Fr 15902, f ° 205 r°-208 r °, </w:t>
      </w:r>
      <w:r>
        <w:rPr>
          <w:szCs w:val="18"/>
        </w:rPr>
        <w:t>Charles IX</w:t>
      </w:r>
      <w:r w:rsidRPr="0004576F">
        <w:rPr>
          <w:szCs w:val="18"/>
        </w:rPr>
        <w:t xml:space="preserve"> à M. de Bellièvre, du 29 déce</w:t>
      </w:r>
      <w:r w:rsidRPr="0004576F">
        <w:rPr>
          <w:szCs w:val="18"/>
        </w:rPr>
        <w:t>m</w:t>
      </w:r>
      <w:r w:rsidRPr="0004576F">
        <w:rPr>
          <w:szCs w:val="18"/>
        </w:rPr>
        <w:t>bre 1572.</w:t>
      </w:r>
    </w:p>
  </w:footnote>
  <w:footnote w:id="475">
    <w:p w14:paraId="0F58A754" w14:textId="77777777" w:rsidR="00B01930" w:rsidRDefault="00B01930">
      <w:pPr>
        <w:pStyle w:val="Notedebasdepage"/>
      </w:pPr>
      <w:r>
        <w:rPr>
          <w:rStyle w:val="Appelnotedebasdep"/>
        </w:rPr>
        <w:footnoteRef/>
      </w:r>
      <w:r>
        <w:t xml:space="preserve"> </w:t>
      </w:r>
      <w:r>
        <w:tab/>
      </w:r>
      <w:r w:rsidRPr="0004576F">
        <w:rPr>
          <w:smallCaps/>
          <w:szCs w:val="18"/>
        </w:rPr>
        <w:t>Bnf</w:t>
      </w:r>
      <w:r w:rsidRPr="0004576F">
        <w:rPr>
          <w:szCs w:val="18"/>
        </w:rPr>
        <w:t xml:space="preserve">, Fr 3899, f ° 308 v °-309 v °, </w:t>
      </w:r>
      <w:r>
        <w:rPr>
          <w:szCs w:val="18"/>
        </w:rPr>
        <w:t>Charles IX</w:t>
      </w:r>
      <w:r w:rsidRPr="0004576F">
        <w:rPr>
          <w:szCs w:val="18"/>
        </w:rPr>
        <w:t xml:space="preserve"> à Ferrals, du 7 f</w:t>
      </w:r>
      <w:r w:rsidRPr="0004576F">
        <w:rPr>
          <w:szCs w:val="18"/>
        </w:rPr>
        <w:t>é</w:t>
      </w:r>
      <w:r w:rsidRPr="0004576F">
        <w:rPr>
          <w:szCs w:val="18"/>
        </w:rPr>
        <w:t>vrier 1572.</w:t>
      </w:r>
    </w:p>
  </w:footnote>
  <w:footnote w:id="476">
    <w:p w14:paraId="5717F511" w14:textId="77777777" w:rsidR="00B01930" w:rsidRDefault="00B01930">
      <w:pPr>
        <w:pStyle w:val="Notedebasdepage"/>
      </w:pPr>
      <w:r>
        <w:rPr>
          <w:rStyle w:val="Appelnotedebasdep"/>
        </w:rPr>
        <w:footnoteRef/>
      </w:r>
      <w:r>
        <w:t xml:space="preserve"> </w:t>
      </w:r>
      <w:r>
        <w:tab/>
      </w:r>
      <w:r w:rsidRPr="0004576F">
        <w:rPr>
          <w:smallCaps/>
          <w:szCs w:val="18"/>
        </w:rPr>
        <w:t>Bnf</w:t>
      </w:r>
      <w:r w:rsidRPr="0004576F">
        <w:rPr>
          <w:szCs w:val="18"/>
        </w:rPr>
        <w:t xml:space="preserve">, Fr 3867, f ° 65-67 r °, et 500 Colbert, 366, p. 485-486, </w:t>
      </w:r>
      <w:r>
        <w:rPr>
          <w:szCs w:val="18"/>
        </w:rPr>
        <w:t>Charles IX</w:t>
      </w:r>
      <w:r w:rsidRPr="0004576F">
        <w:rPr>
          <w:szCs w:val="18"/>
        </w:rPr>
        <w:t xml:space="preserve"> à M. du Ferrier, du 5-1-1574, Saint-Germain en Laye, contreseing de Fizes.</w:t>
      </w:r>
    </w:p>
  </w:footnote>
  <w:footnote w:id="477">
    <w:p w14:paraId="4D2165D1" w14:textId="77777777" w:rsidR="00B01930" w:rsidRDefault="00B01930">
      <w:pPr>
        <w:pStyle w:val="Notedebasdepage"/>
      </w:pPr>
      <w:r>
        <w:rPr>
          <w:rStyle w:val="Appelnotedebasdep"/>
        </w:rPr>
        <w:footnoteRef/>
      </w:r>
      <w:r>
        <w:t xml:space="preserve"> </w:t>
      </w:r>
      <w:r>
        <w:tab/>
      </w:r>
      <w:r w:rsidRPr="0004576F">
        <w:rPr>
          <w:szCs w:val="18"/>
        </w:rPr>
        <w:t>Pour autant, le Pape ne pouvait le déchoir de  son titre de Très-Chrétien, car, écrivait du Haillan « </w:t>
      </w:r>
      <w:r w:rsidRPr="0004576F">
        <w:rPr>
          <w:i/>
          <w:szCs w:val="18"/>
        </w:rPr>
        <w:t>Quelques-uns veulent dire que les Papes donnèrent ce nom de Très Chrestien à Charles-Magne, héréditaire à sa postér</w:t>
      </w:r>
      <w:r w:rsidRPr="0004576F">
        <w:rPr>
          <w:i/>
          <w:szCs w:val="18"/>
        </w:rPr>
        <w:t>i</w:t>
      </w:r>
      <w:r w:rsidRPr="0004576F">
        <w:rPr>
          <w:i/>
          <w:szCs w:val="18"/>
        </w:rPr>
        <w:t>té ; mais nos Roys par consentement universel de tout le monde, l’ont acquis, &amp; laissé h</w:t>
      </w:r>
      <w:r w:rsidRPr="0004576F">
        <w:rPr>
          <w:i/>
          <w:szCs w:val="18"/>
        </w:rPr>
        <w:t>é</w:t>
      </w:r>
      <w:r w:rsidRPr="0004576F">
        <w:rPr>
          <w:i/>
          <w:szCs w:val="18"/>
        </w:rPr>
        <w:t>réditaire &amp; patrimonial à leurs successeurs, pour avoir vivement soustenu la Foy &amp; Religion Chrestienne contre les I</w:t>
      </w:r>
      <w:r w:rsidRPr="0004576F">
        <w:rPr>
          <w:i/>
          <w:szCs w:val="18"/>
        </w:rPr>
        <w:t>n</w:t>
      </w:r>
      <w:r w:rsidRPr="0004576F">
        <w:rPr>
          <w:i/>
          <w:szCs w:val="18"/>
        </w:rPr>
        <w:t>fidèles, &amp; ne faut que les Papes se glorifient de leur avoir donné ce Tiltre, qui leur a esté donné par la commune voix des Chre</w:t>
      </w:r>
      <w:r w:rsidRPr="0004576F">
        <w:rPr>
          <w:i/>
          <w:szCs w:val="18"/>
        </w:rPr>
        <w:t>s</w:t>
      </w:r>
      <w:r w:rsidRPr="0004576F">
        <w:rPr>
          <w:i/>
          <w:szCs w:val="18"/>
        </w:rPr>
        <w:t>tiens</w:t>
      </w:r>
      <w:r w:rsidRPr="0004576F">
        <w:rPr>
          <w:szCs w:val="18"/>
        </w:rPr>
        <w:t xml:space="preserve"> ». Du Haillan, </w:t>
      </w:r>
      <w:r w:rsidRPr="0004576F">
        <w:rPr>
          <w:i/>
          <w:iCs/>
          <w:szCs w:val="18"/>
        </w:rPr>
        <w:t>De l’estat et succez des affaires de France, op. cit.</w:t>
      </w:r>
      <w:r w:rsidRPr="0004576F">
        <w:rPr>
          <w:iCs/>
          <w:szCs w:val="18"/>
        </w:rPr>
        <w:t>,</w:t>
      </w:r>
      <w:r w:rsidRPr="0004576F">
        <w:rPr>
          <w:szCs w:val="18"/>
        </w:rPr>
        <w:t xml:space="preserve"> f ° 310.</w:t>
      </w:r>
    </w:p>
  </w:footnote>
  <w:footnote w:id="478">
    <w:p w14:paraId="154BD832" w14:textId="77777777" w:rsidR="00B01930" w:rsidRDefault="00B01930">
      <w:pPr>
        <w:pStyle w:val="Notedebasdepage"/>
      </w:pPr>
      <w:r>
        <w:rPr>
          <w:rStyle w:val="Appelnotedebasdep"/>
        </w:rPr>
        <w:footnoteRef/>
      </w:r>
      <w:r>
        <w:t xml:space="preserve"> </w:t>
      </w:r>
      <w:r>
        <w:tab/>
      </w:r>
      <w:r w:rsidRPr="0004576F">
        <w:rPr>
          <w:smallCaps/>
          <w:szCs w:val="18"/>
        </w:rPr>
        <w:t>Bnf</w:t>
      </w:r>
      <w:r w:rsidRPr="0004576F">
        <w:rPr>
          <w:szCs w:val="18"/>
        </w:rPr>
        <w:t xml:space="preserve">, Fr 16039, f ° 288, le cardinal de Rambouillet à </w:t>
      </w:r>
      <w:r>
        <w:rPr>
          <w:szCs w:val="18"/>
        </w:rPr>
        <w:t>Charles IX</w:t>
      </w:r>
      <w:r w:rsidRPr="0004576F">
        <w:rPr>
          <w:szCs w:val="18"/>
        </w:rPr>
        <w:t>, d’août 1570.</w:t>
      </w:r>
    </w:p>
  </w:footnote>
  <w:footnote w:id="479">
    <w:p w14:paraId="19B1C4C4" w14:textId="77777777" w:rsidR="00B01930" w:rsidRDefault="00B01930">
      <w:pPr>
        <w:pStyle w:val="Notedebasdepage"/>
      </w:pPr>
      <w:r>
        <w:rPr>
          <w:rStyle w:val="Appelnotedebasdep"/>
        </w:rPr>
        <w:footnoteRef/>
      </w:r>
      <w:r>
        <w:t xml:space="preserve"> </w:t>
      </w:r>
      <w:r>
        <w:tab/>
      </w:r>
      <w:r w:rsidRPr="0004576F">
        <w:rPr>
          <w:smallCaps/>
          <w:szCs w:val="18"/>
        </w:rPr>
        <w:t>Bnf</w:t>
      </w:r>
      <w:r w:rsidRPr="0004576F">
        <w:rPr>
          <w:szCs w:val="18"/>
        </w:rPr>
        <w:t xml:space="preserve">, 16104, </w:t>
      </w:r>
      <w:r>
        <w:rPr>
          <w:szCs w:val="18"/>
        </w:rPr>
        <w:t>Charles IX</w:t>
      </w:r>
      <w:r w:rsidRPr="0004576F">
        <w:rPr>
          <w:szCs w:val="18"/>
        </w:rPr>
        <w:t xml:space="preserve"> à Saint-Gouard, du 5-12-1572.</w:t>
      </w:r>
    </w:p>
  </w:footnote>
  <w:footnote w:id="480">
    <w:p w14:paraId="53D65B6F" w14:textId="77777777" w:rsidR="00B01930" w:rsidRDefault="00B01930">
      <w:pPr>
        <w:pStyle w:val="Notedebasdepage"/>
      </w:pPr>
      <w:r>
        <w:rPr>
          <w:rStyle w:val="Appelnotedebasdep"/>
        </w:rPr>
        <w:footnoteRef/>
      </w:r>
      <w:r>
        <w:t xml:space="preserve"> </w:t>
      </w:r>
      <w:r>
        <w:tab/>
      </w:r>
      <w:r w:rsidRPr="0004576F">
        <w:rPr>
          <w:smallCaps/>
          <w:szCs w:val="18"/>
        </w:rPr>
        <w:t>Bnf</w:t>
      </w:r>
      <w:r w:rsidRPr="0004576F">
        <w:rPr>
          <w:szCs w:val="18"/>
        </w:rPr>
        <w:t xml:space="preserve">, Fr 17832, f ° 158 r°-159 v °, </w:t>
      </w:r>
      <w:r>
        <w:rPr>
          <w:szCs w:val="18"/>
        </w:rPr>
        <w:t>Charles IX</w:t>
      </w:r>
      <w:r w:rsidRPr="0004576F">
        <w:rPr>
          <w:szCs w:val="18"/>
        </w:rPr>
        <w:t xml:space="preserve"> au comte de Retz, du 29-10-1570.</w:t>
      </w:r>
    </w:p>
  </w:footnote>
  <w:footnote w:id="481">
    <w:p w14:paraId="617E8F0F" w14:textId="77777777" w:rsidR="00B01930" w:rsidRDefault="00B01930">
      <w:pPr>
        <w:pStyle w:val="Notedebasdepage"/>
      </w:pPr>
      <w:r>
        <w:rPr>
          <w:rStyle w:val="Appelnotedebasdep"/>
        </w:rPr>
        <w:footnoteRef/>
      </w:r>
      <w:r>
        <w:t xml:space="preserve"> </w:t>
      </w:r>
      <w:r>
        <w:tab/>
      </w:r>
      <w:r w:rsidRPr="0004576F">
        <w:rPr>
          <w:i/>
          <w:szCs w:val="18"/>
        </w:rPr>
        <w:t>Instruction donnée à MM. de Montmorency et de Foix pour la négociation du mariage du duc d’Alençon avec le reine Elizabeth</w:t>
      </w:r>
      <w:r w:rsidRPr="0004576F">
        <w:rPr>
          <w:szCs w:val="18"/>
        </w:rPr>
        <w:t xml:space="preserve">, Blois, 25-4-1572, Pinart, dans </w:t>
      </w:r>
      <w:r w:rsidRPr="0004576F">
        <w:rPr>
          <w:i/>
          <w:szCs w:val="18"/>
        </w:rPr>
        <w:t>Correspondance diplomatique de Bertrand de Salignac de la Mothe F</w:t>
      </w:r>
      <w:r w:rsidRPr="0004576F">
        <w:rPr>
          <w:i/>
          <w:szCs w:val="18"/>
        </w:rPr>
        <w:t>é</w:t>
      </w:r>
      <w:r w:rsidRPr="0004576F">
        <w:rPr>
          <w:i/>
          <w:szCs w:val="18"/>
        </w:rPr>
        <w:t>nelon</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t. VII, p. 289-294.</w:t>
      </w:r>
    </w:p>
  </w:footnote>
  <w:footnote w:id="482">
    <w:p w14:paraId="4F431534" w14:textId="77777777" w:rsidR="00B01930" w:rsidRDefault="00B01930">
      <w:pPr>
        <w:pStyle w:val="Notedebasdepage"/>
      </w:pPr>
      <w:r>
        <w:rPr>
          <w:rStyle w:val="Appelnotedebasdep"/>
        </w:rPr>
        <w:footnoteRef/>
      </w:r>
      <w:r>
        <w:t xml:space="preserve"> </w:t>
      </w:r>
      <w:r>
        <w:tab/>
      </w:r>
      <w:r w:rsidRPr="0004576F">
        <w:rPr>
          <w:smallCaps/>
          <w:szCs w:val="18"/>
        </w:rPr>
        <w:t>Bnf</w:t>
      </w:r>
      <w:r w:rsidRPr="0004576F">
        <w:rPr>
          <w:szCs w:val="18"/>
        </w:rPr>
        <w:t xml:space="preserve">, Fr 3899, f ° 291 v °- 292 v °, sans date, Instructions du Roi à M. de la Bourdaisière. Son prédicateur insistait sur la dévotion de </w:t>
      </w:r>
      <w:r>
        <w:rPr>
          <w:szCs w:val="18"/>
        </w:rPr>
        <w:t>Charles IX</w:t>
      </w:r>
      <w:r w:rsidRPr="0004576F">
        <w:rPr>
          <w:szCs w:val="18"/>
        </w:rPr>
        <w:t>, et sur son application à remplir ses devoirs de roi thaumaturge, aussi bien en to</w:t>
      </w:r>
      <w:r w:rsidRPr="0004576F">
        <w:rPr>
          <w:szCs w:val="18"/>
        </w:rPr>
        <w:t>u</w:t>
      </w:r>
      <w:r w:rsidRPr="0004576F">
        <w:rPr>
          <w:szCs w:val="18"/>
        </w:rPr>
        <w:t>chant les écrouelles qu’en lavant les pieds des pauvres le Jeudi saint : « Il avoit les mains belles par excellence, larges, les doigts longs ; et le faisoit si</w:t>
      </w:r>
      <w:r w:rsidRPr="0004576F">
        <w:rPr>
          <w:szCs w:val="18"/>
        </w:rPr>
        <w:t>n</w:t>
      </w:r>
      <w:r w:rsidRPr="0004576F">
        <w:rPr>
          <w:szCs w:val="18"/>
        </w:rPr>
        <w:t>gulièrement beau voir faire le signe de la croix, ores qu’il touchoit les mal</w:t>
      </w:r>
      <w:r w:rsidRPr="0004576F">
        <w:rPr>
          <w:szCs w:val="18"/>
        </w:rPr>
        <w:t>a</w:t>
      </w:r>
      <w:r w:rsidRPr="0004576F">
        <w:rPr>
          <w:szCs w:val="18"/>
        </w:rPr>
        <w:t>des, une des actions ausquelles il se plaisoit excellement, comme il faisoit au</w:t>
      </w:r>
      <w:r w:rsidRPr="0004576F">
        <w:rPr>
          <w:szCs w:val="18"/>
        </w:rPr>
        <w:t>s</w:t>
      </w:r>
      <w:r w:rsidRPr="0004576F">
        <w:rPr>
          <w:szCs w:val="18"/>
        </w:rPr>
        <w:t>si au service des pauvres, le jour du jeudy absolu ; auquel jour chacun le voyoit si allégrement et avec une si rare dévotion servir aux pauvres qu’il e</w:t>
      </w:r>
      <w:r w:rsidRPr="0004576F">
        <w:rPr>
          <w:szCs w:val="18"/>
        </w:rPr>
        <w:t>s</w:t>
      </w:r>
      <w:r w:rsidRPr="0004576F">
        <w:rPr>
          <w:szCs w:val="18"/>
        </w:rPr>
        <w:t xml:space="preserve">toit assez aisé à juger quel estoit le contentement et religieux plaisir qu’il y prenoit ». (Cimber et Danjou, </w:t>
      </w:r>
      <w:r w:rsidRPr="0004576F">
        <w:rPr>
          <w:i/>
          <w:szCs w:val="18"/>
        </w:rPr>
        <w:t>op</w:t>
      </w:r>
      <w:r w:rsidRPr="0004576F">
        <w:rPr>
          <w:szCs w:val="18"/>
        </w:rPr>
        <w:t xml:space="preserve">. </w:t>
      </w:r>
      <w:r w:rsidRPr="0004576F">
        <w:rPr>
          <w:i/>
          <w:szCs w:val="18"/>
        </w:rPr>
        <w:t>cit</w:t>
      </w:r>
      <w:r w:rsidRPr="0004576F">
        <w:rPr>
          <w:szCs w:val="18"/>
        </w:rPr>
        <w:t xml:space="preserve">. t. VIII, « Vie de </w:t>
      </w:r>
      <w:r>
        <w:rPr>
          <w:szCs w:val="18"/>
        </w:rPr>
        <w:t>Charles IX</w:t>
      </w:r>
      <w:r w:rsidRPr="0004576F">
        <w:rPr>
          <w:szCs w:val="18"/>
        </w:rPr>
        <w:t> », p. 297).</w:t>
      </w:r>
    </w:p>
  </w:footnote>
  <w:footnote w:id="483">
    <w:p w14:paraId="5B91552A" w14:textId="77777777" w:rsidR="00B01930" w:rsidRDefault="00B01930">
      <w:pPr>
        <w:pStyle w:val="Notedebasdepage"/>
      </w:pPr>
      <w:r>
        <w:rPr>
          <w:rStyle w:val="Appelnotedebasdep"/>
        </w:rPr>
        <w:footnoteRef/>
      </w:r>
      <w:r>
        <w:t xml:space="preserve"> </w:t>
      </w:r>
      <w:r>
        <w:tab/>
      </w:r>
      <w:r w:rsidRPr="0004576F">
        <w:rPr>
          <w:smallCaps/>
          <w:szCs w:val="18"/>
        </w:rPr>
        <w:t>Bnf</w:t>
      </w:r>
      <w:r w:rsidRPr="0004576F">
        <w:rPr>
          <w:szCs w:val="18"/>
        </w:rPr>
        <w:t xml:space="preserve">, Fr 3899, f° 314 v°-315 v°, </w:t>
      </w:r>
      <w:r>
        <w:rPr>
          <w:szCs w:val="18"/>
        </w:rPr>
        <w:t>Charles IX</w:t>
      </w:r>
      <w:r w:rsidRPr="0004576F">
        <w:rPr>
          <w:szCs w:val="18"/>
        </w:rPr>
        <w:t xml:space="preserve"> à M. de Ferrals, du 31 juillet 1572. Sorbin écrit qu’il aimait « principalement ceux qu’il cognoissoit zélateurs en la religion cathol</w:t>
      </w:r>
      <w:r w:rsidRPr="0004576F">
        <w:rPr>
          <w:szCs w:val="18"/>
        </w:rPr>
        <w:t>i</w:t>
      </w:r>
      <w:r w:rsidRPr="0004576F">
        <w:rPr>
          <w:szCs w:val="18"/>
        </w:rPr>
        <w:t>que, ausquels il descouvroit volontiers son cueur, leur faisant cognoistre par ses propos combien il désiroit de voir Dieu honoré et bien se</w:t>
      </w:r>
      <w:r w:rsidRPr="0004576F">
        <w:rPr>
          <w:szCs w:val="18"/>
        </w:rPr>
        <w:t>r</w:t>
      </w:r>
      <w:r w:rsidRPr="0004576F">
        <w:rPr>
          <w:szCs w:val="18"/>
        </w:rPr>
        <w:t>vy en France, et l’hérésie d</w:t>
      </w:r>
      <w:r w:rsidRPr="0004576F">
        <w:rPr>
          <w:szCs w:val="18"/>
        </w:rPr>
        <w:t>e</w:t>
      </w:r>
      <w:r w:rsidRPr="0004576F">
        <w:rPr>
          <w:szCs w:val="18"/>
        </w:rPr>
        <w:t xml:space="preserve">sracinée ». (Cimber et Danjou, </w:t>
      </w:r>
      <w:r w:rsidRPr="0004576F">
        <w:rPr>
          <w:i/>
          <w:szCs w:val="18"/>
        </w:rPr>
        <w:t>op</w:t>
      </w:r>
      <w:r w:rsidRPr="0004576F">
        <w:rPr>
          <w:szCs w:val="18"/>
        </w:rPr>
        <w:t xml:space="preserve">. </w:t>
      </w:r>
      <w:r w:rsidRPr="0004576F">
        <w:rPr>
          <w:i/>
          <w:szCs w:val="18"/>
        </w:rPr>
        <w:t>cit</w:t>
      </w:r>
      <w:r w:rsidRPr="0004576F">
        <w:rPr>
          <w:szCs w:val="18"/>
        </w:rPr>
        <w:t xml:space="preserve">. t. VIII, « Vie de </w:t>
      </w:r>
      <w:r>
        <w:rPr>
          <w:szCs w:val="18"/>
        </w:rPr>
        <w:t>Charles IX</w:t>
      </w:r>
      <w:r w:rsidRPr="0004576F">
        <w:rPr>
          <w:szCs w:val="18"/>
        </w:rPr>
        <w:t> », p. 308.</w:t>
      </w:r>
    </w:p>
  </w:footnote>
  <w:footnote w:id="484">
    <w:p w14:paraId="717D0DF6" w14:textId="77777777" w:rsidR="00B01930" w:rsidRDefault="00B01930">
      <w:pPr>
        <w:pStyle w:val="Notedebasdepage"/>
      </w:pPr>
      <w:r>
        <w:rPr>
          <w:rStyle w:val="Appelnotedebasdep"/>
        </w:rPr>
        <w:footnoteRef/>
      </w:r>
      <w:r>
        <w:t xml:space="preserve"> </w:t>
      </w:r>
      <w:r>
        <w:tab/>
      </w:r>
      <w:r>
        <w:rPr>
          <w:szCs w:val="18"/>
        </w:rPr>
        <w:t>Charles IX</w:t>
      </w:r>
      <w:r w:rsidRPr="0004576F">
        <w:rPr>
          <w:szCs w:val="18"/>
        </w:rPr>
        <w:t xml:space="preserve"> à M. de Fourquevaux, Angers, 7-2-1570, cité dans </w:t>
      </w:r>
      <w:r w:rsidRPr="0004576F">
        <w:rPr>
          <w:i/>
          <w:szCs w:val="18"/>
        </w:rPr>
        <w:t xml:space="preserve">Lettres de </w:t>
      </w:r>
      <w:r>
        <w:rPr>
          <w:i/>
          <w:szCs w:val="18"/>
        </w:rPr>
        <w:t>Charles IX</w:t>
      </w:r>
      <w:r w:rsidRPr="0004576F">
        <w:rPr>
          <w:i/>
          <w:szCs w:val="18"/>
        </w:rPr>
        <w:t xml:space="preserve"> à M. de Fourquevaux, op. cit.</w:t>
      </w:r>
      <w:r w:rsidRPr="0004576F">
        <w:rPr>
          <w:szCs w:val="18"/>
        </w:rPr>
        <w:t>, p. 278-282.</w:t>
      </w:r>
    </w:p>
  </w:footnote>
  <w:footnote w:id="485">
    <w:p w14:paraId="658D912C" w14:textId="77777777" w:rsidR="00B01930" w:rsidRDefault="00B01930">
      <w:pPr>
        <w:pStyle w:val="Notedebasdepage"/>
      </w:pPr>
      <w:r>
        <w:rPr>
          <w:rStyle w:val="Appelnotedebasdep"/>
        </w:rPr>
        <w:footnoteRef/>
      </w:r>
      <w:r>
        <w:t xml:space="preserve"> </w:t>
      </w:r>
      <w:r>
        <w:tab/>
      </w:r>
      <w:r w:rsidRPr="0004576F">
        <w:rPr>
          <w:smallCaps/>
          <w:szCs w:val="18"/>
        </w:rPr>
        <w:t>Bnf</w:t>
      </w:r>
      <w:r w:rsidRPr="0004576F">
        <w:rPr>
          <w:szCs w:val="18"/>
        </w:rPr>
        <w:t>, Fr 3899, f ° 293 r °-v °, le Roi à M. de Ferrals, du 5 octobre 1571.</w:t>
      </w:r>
    </w:p>
  </w:footnote>
  <w:footnote w:id="486">
    <w:p w14:paraId="03073A1A" w14:textId="77777777" w:rsidR="00B01930" w:rsidRDefault="00B01930">
      <w:pPr>
        <w:pStyle w:val="Notedebasdepage"/>
      </w:pPr>
      <w:r>
        <w:rPr>
          <w:rStyle w:val="Appelnotedebasdep"/>
        </w:rPr>
        <w:footnoteRef/>
      </w:r>
      <w:r>
        <w:t xml:space="preserve"> </w:t>
      </w:r>
      <w:r>
        <w:tab/>
      </w:r>
      <w:r w:rsidRPr="0004576F">
        <w:rPr>
          <w:szCs w:val="18"/>
        </w:rPr>
        <w:t>« </w:t>
      </w:r>
      <w:r w:rsidRPr="0004576F">
        <w:rPr>
          <w:i/>
          <w:iCs/>
          <w:szCs w:val="18"/>
        </w:rPr>
        <w:t xml:space="preserve">Instruction mandée par le Roy aux gouverneurs de Normandie de ce qu’ils auront </w:t>
      </w:r>
      <w:r w:rsidRPr="0004576F">
        <w:rPr>
          <w:szCs w:val="18"/>
        </w:rPr>
        <w:t xml:space="preserve">à </w:t>
      </w:r>
      <w:r w:rsidRPr="0004576F">
        <w:rPr>
          <w:i/>
          <w:iCs/>
          <w:szCs w:val="18"/>
        </w:rPr>
        <w:t>faire vers ceulx de la nouvelle religion, du III</w:t>
      </w:r>
      <w:r w:rsidRPr="0004576F">
        <w:rPr>
          <w:i/>
          <w:iCs/>
          <w:szCs w:val="18"/>
          <w:vertAlign w:val="superscript"/>
        </w:rPr>
        <w:t>e</w:t>
      </w:r>
      <w:r w:rsidRPr="0004576F">
        <w:rPr>
          <w:i/>
          <w:iCs/>
          <w:szCs w:val="18"/>
        </w:rPr>
        <w:t xml:space="preserve"> jour de novembre </w:t>
      </w:r>
      <w:r w:rsidRPr="0004576F">
        <w:rPr>
          <w:szCs w:val="18"/>
        </w:rPr>
        <w:t xml:space="preserve">1572 », du 3-11-1572, Contreseing de Pinart,. Cité dans </w:t>
      </w:r>
      <w:r w:rsidRPr="0004576F">
        <w:rPr>
          <w:i/>
          <w:szCs w:val="18"/>
        </w:rPr>
        <w:t>Correspondance d</w:t>
      </w:r>
      <w:r w:rsidRPr="0004576F">
        <w:rPr>
          <w:i/>
          <w:szCs w:val="18"/>
        </w:rPr>
        <w:t>i</w:t>
      </w:r>
      <w:r w:rsidRPr="0004576F">
        <w:rPr>
          <w:i/>
          <w:szCs w:val="18"/>
        </w:rPr>
        <w:t>plomatique de Bertrand de Salignac de la Mothe Fénelon</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t. VII, p. 388-391, pour la citation, p. 390.</w:t>
      </w:r>
    </w:p>
  </w:footnote>
  <w:footnote w:id="487">
    <w:p w14:paraId="474CA740" w14:textId="77777777" w:rsidR="00B01930" w:rsidRDefault="00B01930">
      <w:pPr>
        <w:pStyle w:val="Notedebasdepage"/>
      </w:pPr>
      <w:r>
        <w:rPr>
          <w:rStyle w:val="Appelnotedebasdep"/>
        </w:rPr>
        <w:footnoteRef/>
      </w:r>
      <w:r>
        <w:t xml:space="preserve"> </w:t>
      </w:r>
      <w:r>
        <w:tab/>
      </w:r>
      <w:r w:rsidRPr="0004576F">
        <w:rPr>
          <w:szCs w:val="18"/>
        </w:rPr>
        <w:t xml:space="preserve">« La raison d’état naît précisément chez des auteurs qui ne croient plus en l’idée selon laquelle la conservation des </w:t>
      </w:r>
      <w:r>
        <w:rPr>
          <w:szCs w:val="18"/>
        </w:rPr>
        <w:t>É</w:t>
      </w:r>
      <w:r w:rsidRPr="0004576F">
        <w:rPr>
          <w:szCs w:val="18"/>
        </w:rPr>
        <w:t>tats dépend d’abord et avant tout de la qualité de leurs institutions ». (Romain Descendre, « Sur l’effacement du m</w:t>
      </w:r>
      <w:r w:rsidRPr="0004576F">
        <w:rPr>
          <w:szCs w:val="18"/>
        </w:rPr>
        <w:t>o</w:t>
      </w:r>
      <w:r w:rsidRPr="0004576F">
        <w:rPr>
          <w:szCs w:val="18"/>
        </w:rPr>
        <w:t>dèle de la constitution mixte dans les discours italiens de la raison d’état : B</w:t>
      </w:r>
      <w:r w:rsidRPr="0004576F">
        <w:rPr>
          <w:szCs w:val="18"/>
        </w:rPr>
        <w:t>o</w:t>
      </w:r>
      <w:r w:rsidRPr="0004576F">
        <w:rPr>
          <w:szCs w:val="18"/>
        </w:rPr>
        <w:t xml:space="preserve">tero, Boccalini et Zuccolo », p. 71-94, dans </w:t>
      </w:r>
      <w:r w:rsidRPr="0004576F">
        <w:rPr>
          <w:i/>
          <w:szCs w:val="18"/>
        </w:rPr>
        <w:t>Le Gouvernement mixte, De l’idéal polit</w:t>
      </w:r>
      <w:r w:rsidRPr="0004576F">
        <w:rPr>
          <w:i/>
          <w:szCs w:val="18"/>
        </w:rPr>
        <w:t>i</w:t>
      </w:r>
      <w:r w:rsidRPr="0004576F">
        <w:rPr>
          <w:i/>
          <w:szCs w:val="18"/>
        </w:rPr>
        <w:t>que au monstre constitutionnel en Europe (XIIIe-XVIIe siècle)</w:t>
      </w:r>
      <w:r w:rsidRPr="0004576F">
        <w:rPr>
          <w:szCs w:val="18"/>
        </w:rPr>
        <w:t>, Etudes réunies et introduites par Marie Gaille-Nikodimov, Publications de l’Université de Saint-Etienne, 2005). Giovanni Botero définit ainsi la raison d’</w:t>
      </w:r>
      <w:r>
        <w:rPr>
          <w:szCs w:val="18"/>
        </w:rPr>
        <w:t>État</w:t>
      </w:r>
      <w:r w:rsidRPr="0004576F">
        <w:rPr>
          <w:szCs w:val="18"/>
        </w:rPr>
        <w:t> : « Estat est une ferme domination sur les peuples  &amp; la Raison d’Estat est la cognoissance des moyens propres à fonder, conserver, &amp; agrandir une dom</w:t>
      </w:r>
      <w:r w:rsidRPr="0004576F">
        <w:rPr>
          <w:szCs w:val="18"/>
        </w:rPr>
        <w:t>i</w:t>
      </w:r>
      <w:r w:rsidRPr="0004576F">
        <w:rPr>
          <w:szCs w:val="18"/>
        </w:rPr>
        <w:t>nation &amp; seigneurie. Il est bien vray, pour parler absolument, qu’encore qu’elle s’estende aux trois susdites pa</w:t>
      </w:r>
      <w:r w:rsidRPr="0004576F">
        <w:rPr>
          <w:szCs w:val="18"/>
        </w:rPr>
        <w:t>r</w:t>
      </w:r>
      <w:r w:rsidRPr="0004576F">
        <w:rPr>
          <w:szCs w:val="18"/>
        </w:rPr>
        <w:t>ties, il semble ce néanmoins qu’elle embrasse plus estroictement la conservation que les autres, &amp; des autres l’estendue plus que la fond</w:t>
      </w:r>
      <w:r w:rsidRPr="0004576F">
        <w:rPr>
          <w:szCs w:val="18"/>
        </w:rPr>
        <w:t>a</w:t>
      </w:r>
      <w:r w:rsidRPr="0004576F">
        <w:rPr>
          <w:szCs w:val="18"/>
        </w:rPr>
        <w:t>tion, car la Raison d’Estat supppose le Prince &amp; l’estat ; le premier comme ouvrier, le second, comme matière ». (</w:t>
      </w:r>
      <w:r w:rsidRPr="0004576F">
        <w:rPr>
          <w:i/>
          <w:szCs w:val="18"/>
        </w:rPr>
        <w:t>Raison et gouvernement d’Estat, en dix livres, du seigneur Giovani Botero… Traduicts sur la quatrième impre</w:t>
      </w:r>
      <w:r w:rsidRPr="0004576F">
        <w:rPr>
          <w:i/>
          <w:szCs w:val="18"/>
        </w:rPr>
        <w:t>s</w:t>
      </w:r>
      <w:r w:rsidRPr="0004576F">
        <w:rPr>
          <w:i/>
          <w:szCs w:val="18"/>
        </w:rPr>
        <w:t>sion italienne… Par Gabriel Chappuys, Secrétaire, Interprète du Roy…</w:t>
      </w:r>
      <w:r w:rsidRPr="0004576F">
        <w:rPr>
          <w:szCs w:val="18"/>
        </w:rPr>
        <w:t xml:space="preserve"> A Paris, 1599, Livre I, f° 4). Voir aussi la dernière éd</w:t>
      </w:r>
      <w:r w:rsidRPr="0004576F">
        <w:rPr>
          <w:szCs w:val="18"/>
        </w:rPr>
        <w:t>i</w:t>
      </w:r>
      <w:r w:rsidRPr="0004576F">
        <w:rPr>
          <w:szCs w:val="18"/>
        </w:rPr>
        <w:t xml:space="preserve">tion, et la première en français depuis celle de 1599, du livre de G. Botero : Giovanni Botero, </w:t>
      </w:r>
      <w:r w:rsidRPr="0004576F">
        <w:rPr>
          <w:i/>
          <w:szCs w:val="18"/>
        </w:rPr>
        <w:t>De la raison d’</w:t>
      </w:r>
      <w:r>
        <w:rPr>
          <w:i/>
          <w:szCs w:val="18"/>
        </w:rPr>
        <w:t>État</w:t>
      </w:r>
      <w:r w:rsidRPr="0004576F">
        <w:rPr>
          <w:szCs w:val="18"/>
        </w:rPr>
        <w:t>, éd. et trad. de l’italien par Pierre Ben</w:t>
      </w:r>
      <w:r w:rsidRPr="0004576F">
        <w:rPr>
          <w:szCs w:val="18"/>
        </w:rPr>
        <w:t>e</w:t>
      </w:r>
      <w:r w:rsidRPr="0004576F">
        <w:rPr>
          <w:szCs w:val="18"/>
        </w:rPr>
        <w:t>dittini et Romain Desce</w:t>
      </w:r>
      <w:r w:rsidRPr="0004576F">
        <w:rPr>
          <w:szCs w:val="18"/>
        </w:rPr>
        <w:t>n</w:t>
      </w:r>
      <w:r w:rsidRPr="0004576F">
        <w:rPr>
          <w:szCs w:val="18"/>
        </w:rPr>
        <w:t>dre, Gallimard, Paris, 2014.</w:t>
      </w:r>
    </w:p>
  </w:footnote>
  <w:footnote w:id="488">
    <w:p w14:paraId="62B917BE" w14:textId="77777777" w:rsidR="00B01930" w:rsidRDefault="00B01930">
      <w:pPr>
        <w:pStyle w:val="Notedebasdepage"/>
      </w:pPr>
      <w:r>
        <w:rPr>
          <w:rStyle w:val="Appelnotedebasdep"/>
        </w:rPr>
        <w:footnoteRef/>
      </w:r>
      <w:r>
        <w:t xml:space="preserve"> </w:t>
      </w:r>
      <w:r>
        <w:tab/>
      </w:r>
      <w:r w:rsidRPr="0004576F">
        <w:rPr>
          <w:smallCaps/>
          <w:szCs w:val="18"/>
        </w:rPr>
        <w:t>Bnf</w:t>
      </w:r>
      <w:r w:rsidRPr="0004576F">
        <w:rPr>
          <w:szCs w:val="18"/>
        </w:rPr>
        <w:t xml:space="preserve">, Fr. 15918, f ° 10, l’évêque de Rennes à </w:t>
      </w:r>
      <w:r>
        <w:rPr>
          <w:szCs w:val="18"/>
        </w:rPr>
        <w:t>Charles IX</w:t>
      </w:r>
      <w:r w:rsidRPr="0004576F">
        <w:rPr>
          <w:szCs w:val="18"/>
        </w:rPr>
        <w:t>, Heide</w:t>
      </w:r>
      <w:r w:rsidRPr="0004576F">
        <w:rPr>
          <w:szCs w:val="18"/>
        </w:rPr>
        <w:t>l</w:t>
      </w:r>
      <w:r w:rsidRPr="0004576F">
        <w:rPr>
          <w:szCs w:val="18"/>
        </w:rPr>
        <w:t>berg, 1-11-1567.</w:t>
      </w:r>
    </w:p>
  </w:footnote>
  <w:footnote w:id="489">
    <w:p w14:paraId="71D0CE87" w14:textId="77777777" w:rsidR="00B01930" w:rsidRDefault="00B01930">
      <w:pPr>
        <w:pStyle w:val="Notedebasdepage"/>
      </w:pPr>
      <w:r>
        <w:rPr>
          <w:rStyle w:val="Appelnotedebasdep"/>
        </w:rPr>
        <w:footnoteRef/>
      </w:r>
      <w:r>
        <w:t xml:space="preserve"> </w:t>
      </w:r>
      <w:r>
        <w:tab/>
      </w:r>
      <w:r>
        <w:rPr>
          <w:szCs w:val="18"/>
        </w:rPr>
        <w:t>Charles IX</w:t>
      </w:r>
      <w:r w:rsidRPr="0004576F">
        <w:rPr>
          <w:szCs w:val="18"/>
        </w:rPr>
        <w:t xml:space="preserve"> à l’évêque de Dax, le 11 mai 1572. Cité dans Marquis de Noailles, </w:t>
      </w:r>
      <w:r w:rsidRPr="0004576F">
        <w:rPr>
          <w:i/>
          <w:szCs w:val="18"/>
        </w:rPr>
        <w:t>Henri de Valois et la Pologne en 1572</w:t>
      </w:r>
      <w:r w:rsidRPr="0004576F">
        <w:rPr>
          <w:szCs w:val="18"/>
        </w:rPr>
        <w:t>, Paris, 1867, 3 vol., I, p. 9, note 1.</w:t>
      </w:r>
    </w:p>
  </w:footnote>
  <w:footnote w:id="490">
    <w:p w14:paraId="72901091" w14:textId="77777777" w:rsidR="00B01930" w:rsidRDefault="00B01930">
      <w:pPr>
        <w:pStyle w:val="Notedebasdepage"/>
      </w:pPr>
      <w:r>
        <w:rPr>
          <w:rStyle w:val="Appelnotedebasdep"/>
        </w:rPr>
        <w:footnoteRef/>
      </w:r>
      <w:r>
        <w:t xml:space="preserve"> </w:t>
      </w:r>
      <w:r>
        <w:tab/>
      </w:r>
      <w:r>
        <w:rPr>
          <w:szCs w:val="18"/>
        </w:rPr>
        <w:t>Charles IX</w:t>
      </w:r>
      <w:r w:rsidRPr="0004576F">
        <w:rPr>
          <w:szCs w:val="18"/>
        </w:rPr>
        <w:t xml:space="preserve"> à M. de la Mothe Fénelon, Paris, 9-8-1572, Pinart, dans </w:t>
      </w:r>
      <w:r w:rsidRPr="0004576F">
        <w:rPr>
          <w:i/>
          <w:szCs w:val="18"/>
        </w:rPr>
        <w:t>Corre</w:t>
      </w:r>
      <w:r w:rsidRPr="0004576F">
        <w:rPr>
          <w:i/>
          <w:szCs w:val="18"/>
        </w:rPr>
        <w:t>s</w:t>
      </w:r>
      <w:r w:rsidRPr="0004576F">
        <w:rPr>
          <w:i/>
          <w:szCs w:val="18"/>
        </w:rPr>
        <w:t>pondance diplomatique de Be</w:t>
      </w:r>
      <w:r w:rsidRPr="0004576F">
        <w:rPr>
          <w:i/>
          <w:szCs w:val="18"/>
        </w:rPr>
        <w:t>r</w:t>
      </w:r>
      <w:r w:rsidRPr="0004576F">
        <w:rPr>
          <w:i/>
          <w:szCs w:val="18"/>
        </w:rPr>
        <w:t>trand de Salignac de la Mothe Fénelon</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t. VII, p. 306-314.</w:t>
      </w:r>
    </w:p>
  </w:footnote>
  <w:footnote w:id="491">
    <w:p w14:paraId="1BD890E0" w14:textId="77777777" w:rsidR="00B01930" w:rsidRDefault="00B01930">
      <w:pPr>
        <w:pStyle w:val="Notedebasdepage"/>
      </w:pPr>
      <w:r>
        <w:rPr>
          <w:rStyle w:val="Appelnotedebasdep"/>
        </w:rPr>
        <w:footnoteRef/>
      </w:r>
      <w:r>
        <w:t xml:space="preserve"> </w:t>
      </w:r>
      <w:r>
        <w:tab/>
      </w:r>
      <w:r>
        <w:rPr>
          <w:szCs w:val="18"/>
        </w:rPr>
        <w:t>Charles IX</w:t>
      </w:r>
      <w:r w:rsidRPr="0004576F">
        <w:rPr>
          <w:szCs w:val="18"/>
        </w:rPr>
        <w:t xml:space="preserve"> à M. de Mondoucet, du 26 et du 31-8-1572, cité dans J. F. Labou</w:t>
      </w:r>
      <w:r w:rsidRPr="0004576F">
        <w:rPr>
          <w:szCs w:val="18"/>
        </w:rPr>
        <w:t>r</w:t>
      </w:r>
      <w:r w:rsidRPr="0004576F">
        <w:rPr>
          <w:szCs w:val="18"/>
        </w:rPr>
        <w:t xml:space="preserve">dette, </w:t>
      </w:r>
      <w:r>
        <w:rPr>
          <w:i/>
          <w:szCs w:val="18"/>
        </w:rPr>
        <w:t>Cha</w:t>
      </w:r>
      <w:r>
        <w:rPr>
          <w:i/>
          <w:szCs w:val="18"/>
        </w:rPr>
        <w:t>r</w:t>
      </w:r>
      <w:r>
        <w:rPr>
          <w:i/>
          <w:szCs w:val="18"/>
        </w:rPr>
        <w:t>les IX</w:t>
      </w:r>
      <w:r w:rsidRPr="0004576F">
        <w:rPr>
          <w:i/>
          <w:szCs w:val="18"/>
        </w:rPr>
        <w:t xml:space="preserve"> et la puissance espagnole…, op. cit</w:t>
      </w:r>
      <w:r w:rsidRPr="0004576F">
        <w:rPr>
          <w:szCs w:val="18"/>
        </w:rPr>
        <w:t>., p. 509-510.</w:t>
      </w:r>
    </w:p>
  </w:footnote>
  <w:footnote w:id="492">
    <w:p w14:paraId="5E3AA123" w14:textId="77777777" w:rsidR="00B01930" w:rsidRDefault="00B01930">
      <w:pPr>
        <w:pStyle w:val="Notedebasdepage"/>
      </w:pPr>
      <w:r>
        <w:rPr>
          <w:rStyle w:val="Appelnotedebasdep"/>
        </w:rPr>
        <w:footnoteRef/>
      </w:r>
      <w:r>
        <w:t xml:space="preserve"> </w:t>
      </w:r>
      <w:r>
        <w:tab/>
      </w:r>
      <w:r w:rsidRPr="0004576F">
        <w:rPr>
          <w:smallCaps/>
          <w:szCs w:val="18"/>
        </w:rPr>
        <w:t>Bnf</w:t>
      </w:r>
      <w:r w:rsidRPr="0004576F">
        <w:rPr>
          <w:szCs w:val="18"/>
        </w:rPr>
        <w:t xml:space="preserve">, Fr 3899, f ° 302 v °-303 r °, </w:t>
      </w:r>
      <w:r>
        <w:rPr>
          <w:szCs w:val="18"/>
        </w:rPr>
        <w:t>Charles IX</w:t>
      </w:r>
      <w:r w:rsidRPr="0004576F">
        <w:rPr>
          <w:szCs w:val="18"/>
        </w:rPr>
        <w:t xml:space="preserve"> au président du Fe</w:t>
      </w:r>
      <w:r w:rsidRPr="0004576F">
        <w:rPr>
          <w:szCs w:val="18"/>
        </w:rPr>
        <w:t>r</w:t>
      </w:r>
      <w:r w:rsidRPr="0004576F">
        <w:rPr>
          <w:szCs w:val="18"/>
        </w:rPr>
        <w:t>rier, du 31-12-1571.</w:t>
      </w:r>
    </w:p>
  </w:footnote>
  <w:footnote w:id="493">
    <w:p w14:paraId="0A44ABA9" w14:textId="77777777" w:rsidR="00B01930" w:rsidRDefault="00B01930">
      <w:pPr>
        <w:pStyle w:val="Notedebasdepage"/>
      </w:pPr>
      <w:r>
        <w:rPr>
          <w:rStyle w:val="Appelnotedebasdep"/>
        </w:rPr>
        <w:footnoteRef/>
      </w:r>
      <w:r>
        <w:t xml:space="preserve"> </w:t>
      </w:r>
      <w:r>
        <w:tab/>
      </w:r>
      <w:r w:rsidRPr="0004576F">
        <w:rPr>
          <w:szCs w:val="18"/>
        </w:rPr>
        <w:t>La retraite de Don Juan d’Autriche avait empêché la flotte chrétienne de su</w:t>
      </w:r>
      <w:r w:rsidRPr="0004576F">
        <w:rPr>
          <w:szCs w:val="18"/>
        </w:rPr>
        <w:t>r</w:t>
      </w:r>
      <w:r w:rsidRPr="0004576F">
        <w:rPr>
          <w:szCs w:val="18"/>
        </w:rPr>
        <w:t xml:space="preserve">prendre la flotte turque devant Modone. Voir J. F. Labourdette, </w:t>
      </w:r>
      <w:r>
        <w:rPr>
          <w:i/>
          <w:szCs w:val="18"/>
        </w:rPr>
        <w:t>Charles IX</w:t>
      </w:r>
      <w:r w:rsidRPr="0004576F">
        <w:rPr>
          <w:i/>
          <w:szCs w:val="18"/>
        </w:rPr>
        <w:t xml:space="preserve"> et la puissance espagn</w:t>
      </w:r>
      <w:r w:rsidRPr="0004576F">
        <w:rPr>
          <w:i/>
          <w:szCs w:val="18"/>
        </w:rPr>
        <w:t>o</w:t>
      </w:r>
      <w:r w:rsidRPr="0004576F">
        <w:rPr>
          <w:i/>
          <w:szCs w:val="18"/>
        </w:rPr>
        <w:t>le…, op. cit</w:t>
      </w:r>
      <w:r w:rsidRPr="0004576F">
        <w:rPr>
          <w:szCs w:val="18"/>
        </w:rPr>
        <w:t>., p. 507 et 579.</w:t>
      </w:r>
    </w:p>
  </w:footnote>
  <w:footnote w:id="494">
    <w:p w14:paraId="077A341C" w14:textId="77777777" w:rsidR="00B01930" w:rsidRDefault="00B01930">
      <w:pPr>
        <w:pStyle w:val="Notedebasdepage"/>
      </w:pPr>
      <w:r>
        <w:rPr>
          <w:rStyle w:val="Appelnotedebasdep"/>
        </w:rPr>
        <w:footnoteRef/>
      </w:r>
      <w:r>
        <w:t xml:space="preserve"> </w:t>
      </w:r>
      <w:r>
        <w:tab/>
      </w:r>
      <w:r w:rsidRPr="0004576F">
        <w:rPr>
          <w:smallCaps/>
          <w:szCs w:val="18"/>
        </w:rPr>
        <w:t>Bnf</w:t>
      </w:r>
      <w:r w:rsidRPr="0004576F">
        <w:rPr>
          <w:szCs w:val="18"/>
        </w:rPr>
        <w:t xml:space="preserve">, Fr 3899, f ° 202 v ° à 204 r °, </w:t>
      </w:r>
      <w:r>
        <w:rPr>
          <w:szCs w:val="18"/>
        </w:rPr>
        <w:t>Charles IX</w:t>
      </w:r>
      <w:r w:rsidRPr="0004576F">
        <w:rPr>
          <w:szCs w:val="18"/>
        </w:rPr>
        <w:t xml:space="preserve"> à François de Noailles du 30-11-1572.</w:t>
      </w:r>
    </w:p>
  </w:footnote>
  <w:footnote w:id="495">
    <w:p w14:paraId="762DD51C" w14:textId="77777777" w:rsidR="00B01930" w:rsidRDefault="00B01930">
      <w:pPr>
        <w:pStyle w:val="Notedebasdepage"/>
      </w:pPr>
      <w:r>
        <w:rPr>
          <w:rStyle w:val="Appelnotedebasdep"/>
        </w:rPr>
        <w:footnoteRef/>
      </w:r>
      <w:r>
        <w:t xml:space="preserve"> </w:t>
      </w:r>
      <w:r>
        <w:tab/>
      </w:r>
      <w:r w:rsidRPr="0004576F">
        <w:rPr>
          <w:smallCaps/>
          <w:szCs w:val="18"/>
        </w:rPr>
        <w:t>Bnf</w:t>
      </w:r>
      <w:r w:rsidRPr="0004576F">
        <w:rPr>
          <w:szCs w:val="18"/>
        </w:rPr>
        <w:t xml:space="preserve">, Fr 16105, f ° 62 et suiv., </w:t>
      </w:r>
      <w:r>
        <w:rPr>
          <w:szCs w:val="18"/>
        </w:rPr>
        <w:t>Charles IX</w:t>
      </w:r>
      <w:r w:rsidRPr="0004576F">
        <w:rPr>
          <w:szCs w:val="18"/>
        </w:rPr>
        <w:t xml:space="preserve"> à M. de Saint-Gouard du 6-4-1573.</w:t>
      </w:r>
    </w:p>
  </w:footnote>
  <w:footnote w:id="496">
    <w:p w14:paraId="57558330" w14:textId="77777777" w:rsidR="00B01930" w:rsidRDefault="00B01930">
      <w:pPr>
        <w:pStyle w:val="Notedebasdepage"/>
      </w:pPr>
      <w:r>
        <w:rPr>
          <w:rStyle w:val="Appelnotedebasdep"/>
        </w:rPr>
        <w:footnoteRef/>
      </w:r>
      <w:r>
        <w:t xml:space="preserve"> </w:t>
      </w:r>
      <w:r>
        <w:tab/>
      </w:r>
      <w:r w:rsidRPr="0004576F">
        <w:rPr>
          <w:smallCaps/>
          <w:szCs w:val="18"/>
        </w:rPr>
        <w:t>Bnf</w:t>
      </w:r>
      <w:r w:rsidRPr="0004576F">
        <w:rPr>
          <w:szCs w:val="18"/>
        </w:rPr>
        <w:t>, Fr 3899, f ° 337-339 r °, Instruction du Roi à M. de Scho</w:t>
      </w:r>
      <w:r w:rsidRPr="0004576F">
        <w:rPr>
          <w:szCs w:val="18"/>
        </w:rPr>
        <w:t>m</w:t>
      </w:r>
      <w:r w:rsidRPr="0004576F">
        <w:rPr>
          <w:szCs w:val="18"/>
        </w:rPr>
        <w:t>berg, du 15 février 1573, contreseing de Brulart.</w:t>
      </w:r>
    </w:p>
  </w:footnote>
  <w:footnote w:id="497">
    <w:p w14:paraId="0696B78F" w14:textId="77777777" w:rsidR="00B01930" w:rsidRDefault="00B01930">
      <w:pPr>
        <w:pStyle w:val="Notedebasdepage"/>
      </w:pPr>
      <w:r>
        <w:rPr>
          <w:rStyle w:val="Appelnotedebasdep"/>
        </w:rPr>
        <w:footnoteRef/>
      </w:r>
      <w:r>
        <w:t xml:space="preserve"> </w:t>
      </w:r>
      <w:r>
        <w:tab/>
      </w:r>
      <w:r>
        <w:rPr>
          <w:szCs w:val="18"/>
        </w:rPr>
        <w:t>Charles IX</w:t>
      </w:r>
      <w:r w:rsidRPr="0004576F">
        <w:rPr>
          <w:szCs w:val="18"/>
        </w:rPr>
        <w:t xml:space="preserve"> à M. de Fourquevaux, Blois, 14-10-1571, De Neufvi</w:t>
      </w:r>
      <w:r w:rsidRPr="0004576F">
        <w:rPr>
          <w:szCs w:val="18"/>
        </w:rPr>
        <w:t>l</w:t>
      </w:r>
      <w:r w:rsidRPr="0004576F">
        <w:rPr>
          <w:szCs w:val="18"/>
        </w:rPr>
        <w:t xml:space="preserve">le, cité dans </w:t>
      </w:r>
      <w:r w:rsidRPr="0004576F">
        <w:rPr>
          <w:i/>
          <w:szCs w:val="18"/>
        </w:rPr>
        <w:t xml:space="preserve">Lettres de </w:t>
      </w:r>
      <w:r>
        <w:rPr>
          <w:i/>
          <w:szCs w:val="18"/>
        </w:rPr>
        <w:t>Charles IX</w:t>
      </w:r>
      <w:r w:rsidRPr="0004576F">
        <w:rPr>
          <w:i/>
          <w:szCs w:val="18"/>
        </w:rPr>
        <w:t xml:space="preserve"> à M. de Fourquevaux</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xml:space="preserve">., p. 363-365. Claude de Seyssel justifiait avant l’heure le double-jeu de </w:t>
      </w:r>
      <w:r>
        <w:rPr>
          <w:szCs w:val="18"/>
        </w:rPr>
        <w:t>Charles IX</w:t>
      </w:r>
      <w:r w:rsidRPr="0004576F">
        <w:rPr>
          <w:szCs w:val="18"/>
        </w:rPr>
        <w:t xml:space="preserve"> envers Philippe II, dont il mettait en doute la bonne foi et les intentions : « Il est loisible en bonne conscience de le faire à celui qui peut ra</w:t>
      </w:r>
      <w:r w:rsidRPr="0004576F">
        <w:rPr>
          <w:szCs w:val="18"/>
        </w:rPr>
        <w:t>i</w:t>
      </w:r>
      <w:r w:rsidRPr="0004576F">
        <w:rPr>
          <w:szCs w:val="18"/>
        </w:rPr>
        <w:t>sonnablement et apparemment craindre que tels voisins étant fortifiés n’entreprennent l’outrager : ainsi que fit Saint Paul qui mit le schisme entre les Juifs, voyant qu’ils s’accordaient à lui mal faire contre raison ; à l’exemple duquel il est permis en tel cas à tout bon Prince de mettre et entretenir par bons et couverts moyens la diffidence et le différend entre ceux desquels il connaît que l’accord s</w:t>
      </w:r>
      <w:r w:rsidRPr="0004576F">
        <w:rPr>
          <w:szCs w:val="18"/>
        </w:rPr>
        <w:t>e</w:t>
      </w:r>
      <w:r w:rsidRPr="0004576F">
        <w:rPr>
          <w:szCs w:val="18"/>
        </w:rPr>
        <w:t xml:space="preserve">rait à son dommage et de ses sujets contre raison ». Seyssel, </w:t>
      </w:r>
      <w:r w:rsidRPr="0004576F">
        <w:rPr>
          <w:i/>
          <w:szCs w:val="18"/>
        </w:rPr>
        <w:t>La M</w:t>
      </w:r>
      <w:r w:rsidRPr="0004576F">
        <w:rPr>
          <w:i/>
          <w:szCs w:val="18"/>
        </w:rPr>
        <w:t>o</w:t>
      </w:r>
      <w:r w:rsidRPr="0004576F">
        <w:rPr>
          <w:i/>
          <w:szCs w:val="18"/>
        </w:rPr>
        <w:t>narchie de France, op. cit</w:t>
      </w:r>
      <w:r w:rsidRPr="0004576F">
        <w:rPr>
          <w:szCs w:val="18"/>
        </w:rPr>
        <w:t>., IV, 3, p. 193.</w:t>
      </w:r>
    </w:p>
  </w:footnote>
  <w:footnote w:id="498">
    <w:p w14:paraId="5F0CAABC" w14:textId="77777777" w:rsidR="00B01930" w:rsidRDefault="00B01930">
      <w:pPr>
        <w:pStyle w:val="Notedebasdepage"/>
      </w:pPr>
      <w:r>
        <w:rPr>
          <w:rStyle w:val="Appelnotedebasdep"/>
        </w:rPr>
        <w:footnoteRef/>
      </w:r>
      <w:r>
        <w:t xml:space="preserve"> </w:t>
      </w:r>
      <w:r>
        <w:tab/>
      </w:r>
      <w:r w:rsidRPr="0004576F">
        <w:rPr>
          <w:szCs w:val="18"/>
        </w:rPr>
        <w:t xml:space="preserve">Voir </w:t>
      </w:r>
      <w:r w:rsidRPr="0004576F">
        <w:rPr>
          <w:bCs/>
          <w:szCs w:val="18"/>
        </w:rPr>
        <w:t>Marie-Madeleine Fragonard</w:t>
      </w:r>
      <w:r w:rsidRPr="0004576F">
        <w:rPr>
          <w:szCs w:val="18"/>
        </w:rPr>
        <w:t xml:space="preserve">, « L’établissement de la raison d’état et la Saint-Barthélemy », </w:t>
      </w:r>
      <w:r w:rsidRPr="0004576F">
        <w:rPr>
          <w:i/>
          <w:iCs/>
          <w:szCs w:val="18"/>
        </w:rPr>
        <w:t>Les Cahiers du Centre de Recherches Historiques</w:t>
      </w:r>
      <w:r w:rsidRPr="0004576F">
        <w:rPr>
          <w:szCs w:val="18"/>
        </w:rPr>
        <w:t xml:space="preserve"> [En l</w:t>
      </w:r>
      <w:r w:rsidRPr="0004576F">
        <w:rPr>
          <w:szCs w:val="18"/>
        </w:rPr>
        <w:t>i</w:t>
      </w:r>
      <w:r w:rsidRPr="0004576F">
        <w:rPr>
          <w:szCs w:val="18"/>
        </w:rPr>
        <w:t xml:space="preserve">gne], 20 | 1998, mis en ligne le 20 avril 2009, consulté le 18 janvier 2014. URL : </w:t>
      </w:r>
      <w:hyperlink r:id="rId22" w:history="1">
        <w:r w:rsidRPr="0004576F">
          <w:rPr>
            <w:rStyle w:val="Hyperlien"/>
            <w:rFonts w:eastAsia="Times"/>
            <w:szCs w:val="18"/>
          </w:rPr>
          <w:t>http://ccrh.revues.org/2535</w:t>
        </w:r>
      </w:hyperlink>
      <w:r w:rsidRPr="0004576F">
        <w:rPr>
          <w:szCs w:val="18"/>
        </w:rPr>
        <w:t>.</w:t>
      </w:r>
    </w:p>
  </w:footnote>
  <w:footnote w:id="499">
    <w:p w14:paraId="03FEDA92" w14:textId="77777777" w:rsidR="00B01930" w:rsidRDefault="00B01930">
      <w:pPr>
        <w:pStyle w:val="Notedebasdepage"/>
      </w:pPr>
      <w:r>
        <w:rPr>
          <w:rStyle w:val="Appelnotedebasdep"/>
        </w:rPr>
        <w:footnoteRef/>
      </w:r>
      <w:r>
        <w:t xml:space="preserve"> </w:t>
      </w:r>
      <w:r>
        <w:tab/>
      </w:r>
      <w:r w:rsidRPr="0004576F">
        <w:rPr>
          <w:szCs w:val="18"/>
        </w:rPr>
        <w:t xml:space="preserve">Les auteurs dont </w:t>
      </w:r>
      <w:r>
        <w:rPr>
          <w:szCs w:val="18"/>
        </w:rPr>
        <w:t>Charles IX</w:t>
      </w:r>
      <w:r w:rsidRPr="0004576F">
        <w:rPr>
          <w:szCs w:val="18"/>
        </w:rPr>
        <w:t xml:space="preserve"> avait lu les ouvrages n’admettaient pourtant pas que le Roi pût lui-même condamner sans l’intermédiaire des institutions jud</w:t>
      </w:r>
      <w:r w:rsidRPr="0004576F">
        <w:rPr>
          <w:szCs w:val="18"/>
        </w:rPr>
        <w:t>i</w:t>
      </w:r>
      <w:r w:rsidRPr="0004576F">
        <w:rPr>
          <w:szCs w:val="18"/>
        </w:rPr>
        <w:t>ciaires : « Les rois mesmes qui sont la loy vive n’ont accoustumé de conda</w:t>
      </w:r>
      <w:r w:rsidRPr="0004576F">
        <w:rPr>
          <w:szCs w:val="18"/>
        </w:rPr>
        <w:t>m</w:t>
      </w:r>
      <w:r w:rsidRPr="0004576F">
        <w:rPr>
          <w:szCs w:val="18"/>
        </w:rPr>
        <w:t>ner personne, ains font administrer just</w:t>
      </w:r>
      <w:r w:rsidRPr="0004576F">
        <w:rPr>
          <w:szCs w:val="18"/>
        </w:rPr>
        <w:t>i</w:t>
      </w:r>
      <w:r w:rsidRPr="0004576F">
        <w:rPr>
          <w:szCs w:val="18"/>
        </w:rPr>
        <w:t>ce selon la forme deue &amp; accoustumée en leur royaume. Et quand ils commanderont aux juges de condamner ou à a</w:t>
      </w:r>
      <w:r w:rsidRPr="0004576F">
        <w:rPr>
          <w:szCs w:val="18"/>
        </w:rPr>
        <w:t>u</w:t>
      </w:r>
      <w:r w:rsidRPr="0004576F">
        <w:rPr>
          <w:szCs w:val="18"/>
        </w:rPr>
        <w:t>tre de tuer, encor qu’on ne fist résistance de fait à leurs ministres ou justice, telle obéi</w:t>
      </w:r>
      <w:r w:rsidRPr="0004576F">
        <w:rPr>
          <w:szCs w:val="18"/>
        </w:rPr>
        <w:t>s</w:t>
      </w:r>
      <w:r w:rsidRPr="0004576F">
        <w:rPr>
          <w:szCs w:val="18"/>
        </w:rPr>
        <w:t>sance ne seroit suffisante descharge devant Dieu qui règne sur les hommes. Et les rois très-chrestiens n’ont voulu user de celle puissa</w:t>
      </w:r>
      <w:r w:rsidRPr="0004576F">
        <w:rPr>
          <w:szCs w:val="18"/>
        </w:rPr>
        <w:t>n</w:t>
      </w:r>
      <w:r w:rsidRPr="0004576F">
        <w:rPr>
          <w:szCs w:val="18"/>
        </w:rPr>
        <w:t xml:space="preserve">ce ». Du Tillet, </w:t>
      </w:r>
      <w:r w:rsidRPr="0004576F">
        <w:rPr>
          <w:i/>
          <w:szCs w:val="18"/>
        </w:rPr>
        <w:t>Les Mémoires et recherches…, op. cit.</w:t>
      </w:r>
      <w:r w:rsidRPr="0004576F">
        <w:rPr>
          <w:szCs w:val="18"/>
        </w:rPr>
        <w:t>,</w:t>
      </w:r>
      <w:r w:rsidRPr="0004576F">
        <w:rPr>
          <w:i/>
          <w:szCs w:val="18"/>
        </w:rPr>
        <w:t xml:space="preserve"> </w:t>
      </w:r>
      <w:r w:rsidRPr="0004576F">
        <w:rPr>
          <w:szCs w:val="18"/>
        </w:rPr>
        <w:t>p. 257. Et son ancien chanc</w:t>
      </w:r>
      <w:r w:rsidRPr="0004576F">
        <w:rPr>
          <w:szCs w:val="18"/>
        </w:rPr>
        <w:t>e</w:t>
      </w:r>
      <w:r w:rsidRPr="0004576F">
        <w:rPr>
          <w:szCs w:val="18"/>
        </w:rPr>
        <w:t>lier, Michel de l’Hôpital, s’élevait contre cette justice expéditive et la pratique de la ruse et de la tromp</w:t>
      </w:r>
      <w:r w:rsidRPr="0004576F">
        <w:rPr>
          <w:szCs w:val="18"/>
        </w:rPr>
        <w:t>e</w:t>
      </w:r>
      <w:r w:rsidRPr="0004576F">
        <w:rPr>
          <w:szCs w:val="18"/>
        </w:rPr>
        <w:t>rie comme moyen de gouvernement. Ses ancêtres n’estimaient jamais « qu’il y ait de la vertu à engager le combat alors que le jour était couché, furtivement à la nuit noire, ni de s’approcher de leur cible sous des armes luisantes. Jamais ne leur serait venue l’idée de rompre le pacte juré, quelqu’ait été pressante et grande l’</w:t>
      </w:r>
      <w:r w:rsidRPr="0004576F">
        <w:rPr>
          <w:i/>
          <w:szCs w:val="18"/>
        </w:rPr>
        <w:t>utilitas</w:t>
      </w:r>
      <w:r w:rsidRPr="0004576F">
        <w:rPr>
          <w:szCs w:val="18"/>
        </w:rPr>
        <w:t xml:space="preserve"> immédiate pour les pou</w:t>
      </w:r>
      <w:r w:rsidRPr="0004576F">
        <w:rPr>
          <w:szCs w:val="18"/>
        </w:rPr>
        <w:t>s</w:t>
      </w:r>
      <w:r w:rsidRPr="0004576F">
        <w:rPr>
          <w:szCs w:val="18"/>
        </w:rPr>
        <w:t xml:space="preserve">ser à agir en sens contraire ». Cité dans Denis Crouzet, </w:t>
      </w:r>
      <w:r w:rsidRPr="0004576F">
        <w:rPr>
          <w:i/>
          <w:szCs w:val="18"/>
        </w:rPr>
        <w:t>La Sagesse et le malheur</w:t>
      </w:r>
      <w:r w:rsidRPr="0004576F">
        <w:rPr>
          <w:szCs w:val="18"/>
        </w:rPr>
        <w:t>, Seyssel, 1998, p. 578.</w:t>
      </w:r>
    </w:p>
  </w:footnote>
  <w:footnote w:id="500">
    <w:p w14:paraId="6313D892" w14:textId="77777777" w:rsidR="00B01930" w:rsidRDefault="00B01930">
      <w:pPr>
        <w:pStyle w:val="Notedebasdepage"/>
      </w:pPr>
      <w:r>
        <w:rPr>
          <w:rStyle w:val="Appelnotedebasdep"/>
        </w:rPr>
        <w:footnoteRef/>
      </w:r>
      <w:r>
        <w:t xml:space="preserve"> </w:t>
      </w:r>
      <w:r>
        <w:tab/>
      </w:r>
      <w:r w:rsidRPr="0004576F">
        <w:rPr>
          <w:szCs w:val="18"/>
        </w:rPr>
        <w:t>« </w:t>
      </w:r>
      <w:r w:rsidRPr="0004576F">
        <w:rPr>
          <w:i/>
          <w:szCs w:val="18"/>
        </w:rPr>
        <w:t>Favorables aux théories scolastiques de la souveraineté du peuple, les ca</w:t>
      </w:r>
      <w:r w:rsidRPr="0004576F">
        <w:rPr>
          <w:i/>
          <w:szCs w:val="18"/>
        </w:rPr>
        <w:t>l</w:t>
      </w:r>
      <w:r w:rsidRPr="0004576F">
        <w:rPr>
          <w:i/>
          <w:szCs w:val="18"/>
        </w:rPr>
        <w:t>vinistes français adoptèrent un anti-machiavélisme méthodique avec la publ</w:t>
      </w:r>
      <w:r w:rsidRPr="0004576F">
        <w:rPr>
          <w:i/>
          <w:szCs w:val="18"/>
        </w:rPr>
        <w:t>i</w:t>
      </w:r>
      <w:r w:rsidRPr="0004576F">
        <w:rPr>
          <w:i/>
          <w:szCs w:val="18"/>
        </w:rPr>
        <w:t>cation en 1576 du pamphlet d’un président au Parlement de Grenoble, Inn</w:t>
      </w:r>
      <w:r w:rsidRPr="0004576F">
        <w:rPr>
          <w:i/>
          <w:szCs w:val="18"/>
        </w:rPr>
        <w:t>o</w:t>
      </w:r>
      <w:r w:rsidRPr="0004576F">
        <w:rPr>
          <w:i/>
          <w:szCs w:val="18"/>
        </w:rPr>
        <w:t xml:space="preserve">cent Gentillet, </w:t>
      </w:r>
      <w:r w:rsidRPr="0004576F">
        <w:rPr>
          <w:szCs w:val="18"/>
        </w:rPr>
        <w:t>Discours sur les moyens de bien gouverner et maintenir en paix un royaume</w:t>
      </w:r>
      <w:r w:rsidRPr="0004576F">
        <w:rPr>
          <w:i/>
          <w:szCs w:val="18"/>
        </w:rPr>
        <w:t>, contre N. M. le Florentin. Il visait les auteurs du crime pol</w:t>
      </w:r>
      <w:r w:rsidRPr="0004576F">
        <w:rPr>
          <w:i/>
          <w:szCs w:val="18"/>
        </w:rPr>
        <w:t>i</w:t>
      </w:r>
      <w:r w:rsidRPr="0004576F">
        <w:rPr>
          <w:i/>
          <w:szCs w:val="18"/>
        </w:rPr>
        <w:t>tique de la Barthélemy</w:t>
      </w:r>
      <w:r w:rsidRPr="0004576F">
        <w:rPr>
          <w:szCs w:val="18"/>
        </w:rPr>
        <w:t xml:space="preserve"> ». Cf. Michel Bergès, </w:t>
      </w:r>
      <w:r w:rsidRPr="0004576F">
        <w:rPr>
          <w:i/>
          <w:szCs w:val="18"/>
        </w:rPr>
        <w:t>Machiavel, un penseur ma</w:t>
      </w:r>
      <w:r w:rsidRPr="0004576F">
        <w:rPr>
          <w:i/>
          <w:szCs w:val="18"/>
        </w:rPr>
        <w:t>s</w:t>
      </w:r>
      <w:r w:rsidRPr="0004576F">
        <w:rPr>
          <w:i/>
          <w:szCs w:val="18"/>
        </w:rPr>
        <w:t>qué </w:t>
      </w:r>
      <w:r w:rsidRPr="0004576F">
        <w:rPr>
          <w:szCs w:val="18"/>
        </w:rPr>
        <w:t xml:space="preserve">?, </w:t>
      </w:r>
      <w:r w:rsidRPr="0004576F">
        <w:rPr>
          <w:i/>
          <w:szCs w:val="18"/>
        </w:rPr>
        <w:t>op.cit</w:t>
      </w:r>
      <w:r w:rsidRPr="0004576F">
        <w:rPr>
          <w:szCs w:val="18"/>
        </w:rPr>
        <w:t>., p. 219.</w:t>
      </w:r>
    </w:p>
  </w:footnote>
  <w:footnote w:id="501">
    <w:p w14:paraId="0B684876" w14:textId="77777777" w:rsidR="00B01930" w:rsidRDefault="00B01930">
      <w:pPr>
        <w:pStyle w:val="Notedebasdepage"/>
      </w:pPr>
      <w:r>
        <w:rPr>
          <w:rStyle w:val="Appelnotedebasdep"/>
        </w:rPr>
        <w:footnoteRef/>
      </w:r>
      <w:r>
        <w:t xml:space="preserve"> </w:t>
      </w:r>
      <w:r>
        <w:tab/>
      </w:r>
      <w:r w:rsidRPr="0004576F">
        <w:rPr>
          <w:i/>
          <w:szCs w:val="18"/>
        </w:rPr>
        <w:t>Le Tocsain contre les massacreurs et auteurs des confusions en France</w:t>
      </w:r>
      <w:r w:rsidRPr="0004576F">
        <w:rPr>
          <w:szCs w:val="18"/>
        </w:rPr>
        <w:t>…, Reims, J. Ma</w:t>
      </w:r>
      <w:r w:rsidRPr="0004576F">
        <w:rPr>
          <w:szCs w:val="18"/>
        </w:rPr>
        <w:t>r</w:t>
      </w:r>
      <w:r w:rsidRPr="0004576F">
        <w:rPr>
          <w:szCs w:val="18"/>
        </w:rPr>
        <w:t xml:space="preserve">tin, 1577, p. 52, cité dans Charles Benoist, </w:t>
      </w:r>
      <w:r w:rsidRPr="0004576F">
        <w:rPr>
          <w:i/>
          <w:szCs w:val="18"/>
        </w:rPr>
        <w:t>Le machiavélisme après Machiavel</w:t>
      </w:r>
      <w:r w:rsidRPr="0004576F">
        <w:rPr>
          <w:szCs w:val="18"/>
        </w:rPr>
        <w:t xml:space="preserve">, Paris, s. d., p. 11-13. [Une version du </w:t>
      </w:r>
      <w:r w:rsidRPr="0004576F">
        <w:rPr>
          <w:i/>
          <w:szCs w:val="18"/>
        </w:rPr>
        <w:t>Tocsain</w:t>
      </w:r>
      <w:r w:rsidRPr="0004576F">
        <w:rPr>
          <w:szCs w:val="18"/>
        </w:rPr>
        <w:t xml:space="preserve"> se trouve dans Cimber et Danjou, </w:t>
      </w:r>
      <w:r w:rsidRPr="0004576F">
        <w:rPr>
          <w:i/>
          <w:szCs w:val="18"/>
        </w:rPr>
        <w:t>op</w:t>
      </w:r>
      <w:r w:rsidRPr="0004576F">
        <w:rPr>
          <w:szCs w:val="18"/>
        </w:rPr>
        <w:t xml:space="preserve">. </w:t>
      </w:r>
      <w:r w:rsidRPr="0004576F">
        <w:rPr>
          <w:i/>
          <w:szCs w:val="18"/>
        </w:rPr>
        <w:t>cit</w:t>
      </w:r>
      <w:r w:rsidRPr="0004576F">
        <w:rPr>
          <w:szCs w:val="18"/>
        </w:rPr>
        <w:t xml:space="preserve">., VII, p. 1 à 76]. Un autre pamphlet, </w:t>
      </w:r>
      <w:r w:rsidRPr="0004576F">
        <w:rPr>
          <w:i/>
          <w:szCs w:val="18"/>
        </w:rPr>
        <w:t>Discours me</w:t>
      </w:r>
      <w:r w:rsidRPr="0004576F">
        <w:rPr>
          <w:i/>
          <w:szCs w:val="18"/>
        </w:rPr>
        <w:t>r</w:t>
      </w:r>
      <w:r w:rsidRPr="0004576F">
        <w:rPr>
          <w:i/>
          <w:szCs w:val="18"/>
        </w:rPr>
        <w:t>veilleux de la vie, actions et déportements de Cath</w:t>
      </w:r>
      <w:r w:rsidRPr="0004576F">
        <w:rPr>
          <w:i/>
          <w:szCs w:val="18"/>
        </w:rPr>
        <w:t>e</w:t>
      </w:r>
      <w:r w:rsidRPr="0004576F">
        <w:rPr>
          <w:i/>
          <w:szCs w:val="18"/>
        </w:rPr>
        <w:t>rine de Médicis, Royne mère</w:t>
      </w:r>
      <w:r w:rsidRPr="0004576F">
        <w:rPr>
          <w:szCs w:val="18"/>
        </w:rPr>
        <w:t>, paru en 1575 et 1576 (dans l’édition critique sous la dire</w:t>
      </w:r>
      <w:r w:rsidRPr="0004576F">
        <w:rPr>
          <w:szCs w:val="18"/>
        </w:rPr>
        <w:t>c</w:t>
      </w:r>
      <w:r w:rsidRPr="0004576F">
        <w:rPr>
          <w:szCs w:val="18"/>
        </w:rPr>
        <w:t>tion de Nicole Cazauran, Droz, Genève, 1995), vise surtout la Reine mère, qui aurait fait de Machi</w:t>
      </w:r>
      <w:r w:rsidRPr="0004576F">
        <w:rPr>
          <w:szCs w:val="18"/>
        </w:rPr>
        <w:t>a</w:t>
      </w:r>
      <w:r w:rsidRPr="0004576F">
        <w:rPr>
          <w:szCs w:val="18"/>
        </w:rPr>
        <w:t>vel son livre de chevet.</w:t>
      </w:r>
      <w:r w:rsidRPr="0004576F">
        <w:rPr>
          <w:color w:val="0000FF"/>
          <w:szCs w:val="18"/>
        </w:rPr>
        <w:t xml:space="preserve"> </w:t>
      </w:r>
      <w:r w:rsidRPr="0004576F">
        <w:rPr>
          <w:szCs w:val="18"/>
        </w:rPr>
        <w:t>« </w:t>
      </w:r>
      <w:r w:rsidRPr="0004576F">
        <w:rPr>
          <w:i/>
          <w:szCs w:val="18"/>
        </w:rPr>
        <w:t>Celle-ci, imbue de Machiavel ou accusée de l’être par les élites de la cour comme par un anti-machiavélisme populaire, canalisa vers son compatriote une haine anti-italienne dur</w:t>
      </w:r>
      <w:r w:rsidRPr="0004576F">
        <w:rPr>
          <w:i/>
          <w:szCs w:val="18"/>
        </w:rPr>
        <w:t>a</w:t>
      </w:r>
      <w:r w:rsidRPr="0004576F">
        <w:rPr>
          <w:i/>
          <w:szCs w:val="18"/>
        </w:rPr>
        <w:t>ble en France, alimentée de surcroît par une ferveur gallicane nouvelle, antiromaine et ant</w:t>
      </w:r>
      <w:r w:rsidRPr="0004576F">
        <w:rPr>
          <w:i/>
          <w:szCs w:val="18"/>
        </w:rPr>
        <w:t>i</w:t>
      </w:r>
      <w:r w:rsidRPr="0004576F">
        <w:rPr>
          <w:i/>
          <w:szCs w:val="18"/>
        </w:rPr>
        <w:t>papale, étayée par une aversion pour le mercant</w:t>
      </w:r>
      <w:r w:rsidRPr="0004576F">
        <w:rPr>
          <w:i/>
          <w:szCs w:val="18"/>
        </w:rPr>
        <w:t>i</w:t>
      </w:r>
      <w:r w:rsidRPr="0004576F">
        <w:rPr>
          <w:i/>
          <w:szCs w:val="18"/>
        </w:rPr>
        <w:t>lisme de la péninsule. Des défenseurs de Machiavel s’opposèrent aux idées dominantes</w:t>
      </w:r>
      <w:r w:rsidRPr="0004576F">
        <w:rPr>
          <w:szCs w:val="18"/>
        </w:rPr>
        <w:t xml:space="preserve"> », comme Jean de la Taille, </w:t>
      </w:r>
      <w:r w:rsidRPr="0004576F">
        <w:rPr>
          <w:i/>
          <w:szCs w:val="18"/>
        </w:rPr>
        <w:t>Le Prince nécessa</w:t>
      </w:r>
      <w:r w:rsidRPr="0004576F">
        <w:rPr>
          <w:i/>
          <w:szCs w:val="18"/>
        </w:rPr>
        <w:t>i</w:t>
      </w:r>
      <w:r w:rsidRPr="0004576F">
        <w:rPr>
          <w:i/>
          <w:szCs w:val="18"/>
        </w:rPr>
        <w:t>re</w:t>
      </w:r>
      <w:r w:rsidRPr="0004576F">
        <w:rPr>
          <w:szCs w:val="18"/>
        </w:rPr>
        <w:t xml:space="preserve">, 1572. Cf. Michel Bergès, </w:t>
      </w:r>
      <w:r w:rsidRPr="0004576F">
        <w:rPr>
          <w:i/>
          <w:szCs w:val="18"/>
        </w:rPr>
        <w:t>op. cit</w:t>
      </w:r>
      <w:r w:rsidRPr="0004576F">
        <w:rPr>
          <w:szCs w:val="18"/>
        </w:rPr>
        <w:t>., p. 217.</w:t>
      </w:r>
    </w:p>
  </w:footnote>
  <w:footnote w:id="502">
    <w:p w14:paraId="3AB08E2A" w14:textId="77777777" w:rsidR="00B01930" w:rsidRDefault="00B01930">
      <w:pPr>
        <w:pStyle w:val="Notedebasdepage"/>
      </w:pPr>
      <w:r>
        <w:rPr>
          <w:rStyle w:val="Appelnotedebasdep"/>
        </w:rPr>
        <w:footnoteRef/>
      </w:r>
      <w:r>
        <w:t xml:space="preserve"> </w:t>
      </w:r>
      <w:r>
        <w:tab/>
      </w:r>
      <w:r w:rsidRPr="0004576F">
        <w:rPr>
          <w:i/>
          <w:szCs w:val="18"/>
        </w:rPr>
        <w:t>Le Réveille-matin des François et de leurs voisins, composé par Eusèbe Ph</w:t>
      </w:r>
      <w:r w:rsidRPr="0004576F">
        <w:rPr>
          <w:i/>
          <w:szCs w:val="18"/>
        </w:rPr>
        <w:t>i</w:t>
      </w:r>
      <w:r w:rsidRPr="0004576F">
        <w:rPr>
          <w:i/>
          <w:szCs w:val="18"/>
        </w:rPr>
        <w:t>ladelphe, Cosmopolite, en forme de Dialogues</w:t>
      </w:r>
      <w:r w:rsidRPr="0004576F">
        <w:rPr>
          <w:szCs w:val="18"/>
        </w:rPr>
        <w:t>, A Edi</w:t>
      </w:r>
      <w:r w:rsidRPr="0004576F">
        <w:rPr>
          <w:szCs w:val="18"/>
        </w:rPr>
        <w:t>m</w:t>
      </w:r>
      <w:r w:rsidRPr="0004576F">
        <w:rPr>
          <w:szCs w:val="18"/>
        </w:rPr>
        <w:t>bourg, De l’imprimerie de Jaques James, Avec permission, 1574, di</w:t>
      </w:r>
      <w:r w:rsidRPr="0004576F">
        <w:rPr>
          <w:szCs w:val="18"/>
        </w:rPr>
        <w:t>a</w:t>
      </w:r>
      <w:r w:rsidRPr="0004576F">
        <w:rPr>
          <w:szCs w:val="18"/>
        </w:rPr>
        <w:t>logue I, p. 107. L’accusation portait en effet non seulement sur Catherine de Médicis, mais sur le Conseil privé où se trouvaient des It</w:t>
      </w:r>
      <w:r w:rsidRPr="0004576F">
        <w:rPr>
          <w:szCs w:val="18"/>
        </w:rPr>
        <w:t>a</w:t>
      </w:r>
      <w:r w:rsidRPr="0004576F">
        <w:rPr>
          <w:szCs w:val="18"/>
        </w:rPr>
        <w:t>liens, Albert de Gondi, le garde des sceaux Birague, Ludovic de Go</w:t>
      </w:r>
      <w:r w:rsidRPr="0004576F">
        <w:rPr>
          <w:szCs w:val="18"/>
        </w:rPr>
        <w:t>n</w:t>
      </w:r>
      <w:r w:rsidRPr="0004576F">
        <w:rPr>
          <w:szCs w:val="18"/>
        </w:rPr>
        <w:t>zague, duc de Nevers.</w:t>
      </w:r>
    </w:p>
  </w:footnote>
  <w:footnote w:id="503">
    <w:p w14:paraId="224ABD0C" w14:textId="77777777" w:rsidR="00B01930" w:rsidRDefault="00B01930">
      <w:pPr>
        <w:pStyle w:val="Notedebasdepage"/>
      </w:pPr>
      <w:r>
        <w:rPr>
          <w:rStyle w:val="Appelnotedebasdep"/>
        </w:rPr>
        <w:footnoteRef/>
      </w:r>
      <w:r>
        <w:t xml:space="preserve"> </w:t>
      </w:r>
      <w:r>
        <w:tab/>
      </w:r>
      <w:r w:rsidRPr="0004576F">
        <w:rPr>
          <w:szCs w:val="18"/>
        </w:rPr>
        <w:t>L’auteur faisait allusion à ce passage du Prince, de Machiavel : « </w:t>
      </w:r>
      <w:r w:rsidRPr="0004576F">
        <w:rPr>
          <w:i/>
          <w:szCs w:val="18"/>
        </w:rPr>
        <w:t>Un souv</w:t>
      </w:r>
      <w:r w:rsidRPr="0004576F">
        <w:rPr>
          <w:i/>
          <w:szCs w:val="18"/>
        </w:rPr>
        <w:t>e</w:t>
      </w:r>
      <w:r w:rsidRPr="0004576F">
        <w:rPr>
          <w:i/>
          <w:szCs w:val="18"/>
        </w:rPr>
        <w:t>rain prudent ne peut ni ne doit observer sa foi quand une telle observance tourn</w:t>
      </w:r>
      <w:r w:rsidRPr="0004576F">
        <w:rPr>
          <w:i/>
          <w:szCs w:val="18"/>
        </w:rPr>
        <w:t>e</w:t>
      </w:r>
      <w:r w:rsidRPr="0004576F">
        <w:rPr>
          <w:i/>
          <w:szCs w:val="18"/>
        </w:rPr>
        <w:t>rait contre lui, et que sont éteintes les raisons qui le firent promettre. Et si les hommes étaient tous bons, ce pr</w:t>
      </w:r>
      <w:r w:rsidRPr="0004576F">
        <w:rPr>
          <w:i/>
          <w:szCs w:val="18"/>
        </w:rPr>
        <w:t>é</w:t>
      </w:r>
      <w:r w:rsidRPr="0004576F">
        <w:rPr>
          <w:i/>
          <w:szCs w:val="18"/>
        </w:rPr>
        <w:t xml:space="preserve">cepte ne serait pas bon ; mais comme ils sont méchants et ne te l’observeraient pas à toi, toi non plus tu n’as pas à l’observer avec eux. Et jamais un prince n’a manqué de motifs légitimes pour colorer son manque de foi </w:t>
      </w:r>
      <w:r w:rsidRPr="0004576F">
        <w:rPr>
          <w:szCs w:val="18"/>
        </w:rPr>
        <w:t>[…]</w:t>
      </w:r>
      <w:r w:rsidRPr="0004576F">
        <w:rPr>
          <w:i/>
          <w:szCs w:val="18"/>
        </w:rPr>
        <w:t xml:space="preserve"> Dans les actions de tous les hommes, et su</w:t>
      </w:r>
      <w:r w:rsidRPr="0004576F">
        <w:rPr>
          <w:i/>
          <w:szCs w:val="18"/>
        </w:rPr>
        <w:t>r</w:t>
      </w:r>
      <w:r w:rsidRPr="0004576F">
        <w:rPr>
          <w:i/>
          <w:szCs w:val="18"/>
        </w:rPr>
        <w:t>tout des princes, où il n’y a pas de tribunal à qui recourir, on consid</w:t>
      </w:r>
      <w:r w:rsidRPr="0004576F">
        <w:rPr>
          <w:i/>
          <w:szCs w:val="18"/>
        </w:rPr>
        <w:t>è</w:t>
      </w:r>
      <w:r w:rsidRPr="0004576F">
        <w:rPr>
          <w:i/>
          <w:szCs w:val="18"/>
        </w:rPr>
        <w:t>re la fin. Qu’un prince, donc, fasse en sorte de vaincre et de maintenir l’État : les moyens seront toujours considérés honorables et loués d’un chacun</w:t>
      </w:r>
      <w:r w:rsidRPr="0004576F">
        <w:rPr>
          <w:szCs w:val="18"/>
        </w:rPr>
        <w:t xml:space="preserve"> ». Cf. N. Machiavel, </w:t>
      </w:r>
      <w:r w:rsidRPr="0004576F">
        <w:rPr>
          <w:i/>
          <w:szCs w:val="18"/>
        </w:rPr>
        <w:t>Le Prince</w:t>
      </w:r>
      <w:r w:rsidRPr="0004576F">
        <w:rPr>
          <w:szCs w:val="18"/>
        </w:rPr>
        <w:t>, Ed. GF-Flammarion, P</w:t>
      </w:r>
      <w:r w:rsidRPr="0004576F">
        <w:rPr>
          <w:szCs w:val="18"/>
        </w:rPr>
        <w:t>a</w:t>
      </w:r>
      <w:r w:rsidRPr="0004576F">
        <w:rPr>
          <w:szCs w:val="18"/>
        </w:rPr>
        <w:t xml:space="preserve">ris, 1980, chapitre XVIII, </w:t>
      </w:r>
      <w:r w:rsidRPr="0004576F">
        <w:rPr>
          <w:i/>
          <w:szCs w:val="18"/>
        </w:rPr>
        <w:t>Comment les princes doivent garder leur foi</w:t>
      </w:r>
      <w:r w:rsidRPr="0004576F">
        <w:rPr>
          <w:szCs w:val="18"/>
        </w:rPr>
        <w:t>, p. 159-161.</w:t>
      </w:r>
    </w:p>
  </w:footnote>
  <w:footnote w:id="504">
    <w:p w14:paraId="28433C65" w14:textId="77777777" w:rsidR="00B01930" w:rsidRDefault="00B01930">
      <w:pPr>
        <w:pStyle w:val="Notedebasdepage"/>
      </w:pPr>
      <w:r>
        <w:rPr>
          <w:rStyle w:val="Appelnotedebasdep"/>
        </w:rPr>
        <w:footnoteRef/>
      </w:r>
      <w:r>
        <w:t xml:space="preserve"> </w:t>
      </w:r>
      <w:r>
        <w:tab/>
      </w:r>
      <w:r w:rsidRPr="0004576F">
        <w:rPr>
          <w:i/>
          <w:szCs w:val="18"/>
        </w:rPr>
        <w:t>Le Réveille-matin des François…, op. cit.</w:t>
      </w:r>
      <w:r w:rsidRPr="0004576F">
        <w:rPr>
          <w:szCs w:val="18"/>
        </w:rPr>
        <w:t xml:space="preserve">, p. 40. L’auteur, qui s’adressait aux protestants, allait même jusqu’à écrire que </w:t>
      </w:r>
      <w:r>
        <w:rPr>
          <w:szCs w:val="18"/>
        </w:rPr>
        <w:t>Charles IX</w:t>
      </w:r>
      <w:r w:rsidRPr="0004576F">
        <w:rPr>
          <w:szCs w:val="18"/>
        </w:rPr>
        <w:t xml:space="preserve"> avait tiré de Machiavel le principe de l’unité religieuse du royaume ! « </w:t>
      </w:r>
      <w:r w:rsidRPr="0004576F">
        <w:rPr>
          <w:i/>
          <w:szCs w:val="18"/>
        </w:rPr>
        <w:t>Prenez garde, que le Roy a e</w:t>
      </w:r>
      <w:r w:rsidRPr="0004576F">
        <w:rPr>
          <w:i/>
          <w:szCs w:val="18"/>
        </w:rPr>
        <w:t>s</w:t>
      </w:r>
      <w:r w:rsidRPr="0004576F">
        <w:rPr>
          <w:i/>
          <w:szCs w:val="18"/>
        </w:rPr>
        <w:t>té persuadé par la doctrine de M</w:t>
      </w:r>
      <w:r w:rsidRPr="0004576F">
        <w:rPr>
          <w:i/>
          <w:szCs w:val="18"/>
        </w:rPr>
        <w:t>a</w:t>
      </w:r>
      <w:r w:rsidRPr="0004576F">
        <w:rPr>
          <w:i/>
          <w:szCs w:val="18"/>
        </w:rPr>
        <w:t>chiavelli, qu’il ne faut pas qu’il souffre en son Royaume, autre religion que celle sur l</w:t>
      </w:r>
      <w:r w:rsidRPr="0004576F">
        <w:rPr>
          <w:i/>
          <w:szCs w:val="18"/>
        </w:rPr>
        <w:t>a</w:t>
      </w:r>
      <w:r w:rsidRPr="0004576F">
        <w:rPr>
          <w:i/>
          <w:szCs w:val="18"/>
        </w:rPr>
        <w:t>quelle son estat a esté fondé, de laquelle, voire de ses faux miracles, il faut qu’il monstre faire compte. Asse</w:t>
      </w:r>
      <w:r w:rsidRPr="0004576F">
        <w:rPr>
          <w:i/>
          <w:szCs w:val="18"/>
        </w:rPr>
        <w:t>u</w:t>
      </w:r>
      <w:r w:rsidRPr="0004576F">
        <w:rPr>
          <w:i/>
          <w:szCs w:val="18"/>
        </w:rPr>
        <w:t>rez-vous qu’on luy a enseigné &amp; souvent répété ceste leçon, que son Royaume ne peut estre paisible &amp; asseuré, cependant qu’il y aura deux religions</w:t>
      </w:r>
      <w:r w:rsidRPr="0004576F">
        <w:rPr>
          <w:szCs w:val="18"/>
        </w:rPr>
        <w:t xml:space="preserve"> ». </w:t>
      </w:r>
      <w:r w:rsidRPr="0004576F">
        <w:rPr>
          <w:i/>
          <w:szCs w:val="18"/>
        </w:rPr>
        <w:t>Ib</w:t>
      </w:r>
      <w:r w:rsidRPr="0004576F">
        <w:rPr>
          <w:i/>
          <w:szCs w:val="18"/>
        </w:rPr>
        <w:t>i</w:t>
      </w:r>
      <w:r w:rsidRPr="0004576F">
        <w:rPr>
          <w:i/>
          <w:szCs w:val="18"/>
        </w:rPr>
        <w:t>dem</w:t>
      </w:r>
      <w:r w:rsidRPr="0004576F">
        <w:rPr>
          <w:szCs w:val="18"/>
        </w:rPr>
        <w:t>, p. 37-38.</w:t>
      </w:r>
    </w:p>
  </w:footnote>
  <w:footnote w:id="505">
    <w:p w14:paraId="3670A9A9" w14:textId="77777777" w:rsidR="00B01930" w:rsidRDefault="00B01930">
      <w:pPr>
        <w:pStyle w:val="Notedebasdepage"/>
      </w:pPr>
      <w:r>
        <w:rPr>
          <w:rStyle w:val="Appelnotedebasdep"/>
        </w:rPr>
        <w:footnoteRef/>
      </w:r>
      <w:r>
        <w:t xml:space="preserve"> </w:t>
      </w:r>
      <w:r>
        <w:tab/>
      </w:r>
      <w:r w:rsidRPr="0004576F">
        <w:rPr>
          <w:i/>
          <w:szCs w:val="18"/>
        </w:rPr>
        <w:t>Ibidem</w:t>
      </w:r>
      <w:r w:rsidRPr="0004576F">
        <w:rPr>
          <w:szCs w:val="18"/>
        </w:rPr>
        <w:t>.</w:t>
      </w:r>
    </w:p>
  </w:footnote>
  <w:footnote w:id="506">
    <w:p w14:paraId="1B29905D" w14:textId="77777777" w:rsidR="00B01930" w:rsidRDefault="00B01930">
      <w:pPr>
        <w:pStyle w:val="Notedebasdepage"/>
      </w:pPr>
      <w:r>
        <w:rPr>
          <w:rStyle w:val="Appelnotedebasdep"/>
        </w:rPr>
        <w:footnoteRef/>
      </w:r>
      <w:r>
        <w:t xml:space="preserve"> </w:t>
      </w:r>
      <w:r>
        <w:tab/>
      </w:r>
      <w:r w:rsidRPr="0004576F">
        <w:rPr>
          <w:szCs w:val="18"/>
        </w:rPr>
        <w:t xml:space="preserve">Jean de Serres, </w:t>
      </w:r>
      <w:r w:rsidRPr="0004576F">
        <w:rPr>
          <w:i/>
          <w:szCs w:val="18"/>
        </w:rPr>
        <w:t>Histoire…, op. cit</w:t>
      </w:r>
      <w:r w:rsidRPr="0004576F">
        <w:rPr>
          <w:szCs w:val="18"/>
        </w:rPr>
        <w:t xml:space="preserve">., p. 505-506. Le </w:t>
      </w:r>
      <w:r w:rsidRPr="0004576F">
        <w:rPr>
          <w:i/>
          <w:szCs w:val="18"/>
        </w:rPr>
        <w:t>Réveille-matin des Fra</w:t>
      </w:r>
      <w:r w:rsidRPr="0004576F">
        <w:rPr>
          <w:i/>
          <w:szCs w:val="18"/>
        </w:rPr>
        <w:t>n</w:t>
      </w:r>
      <w:r w:rsidRPr="0004576F">
        <w:rPr>
          <w:i/>
          <w:szCs w:val="18"/>
        </w:rPr>
        <w:t>çois</w:t>
      </w:r>
      <w:r w:rsidRPr="0004576F">
        <w:rPr>
          <w:szCs w:val="18"/>
        </w:rPr>
        <w:t xml:space="preserve"> en rajo</w:t>
      </w:r>
      <w:r w:rsidRPr="0004576F">
        <w:rPr>
          <w:szCs w:val="18"/>
        </w:rPr>
        <w:t>u</w:t>
      </w:r>
      <w:r w:rsidRPr="0004576F">
        <w:rPr>
          <w:szCs w:val="18"/>
        </w:rPr>
        <w:t>te : « </w:t>
      </w:r>
      <w:r w:rsidRPr="0004576F">
        <w:rPr>
          <w:i/>
          <w:szCs w:val="18"/>
        </w:rPr>
        <w:t>Considérez que le Roy depuis douze ans en ça a eu des maistres &amp; instituteurs qui l’on apprins à jurer, blasphémer, se perjurer, pai</w:t>
      </w:r>
      <w:r w:rsidRPr="0004576F">
        <w:rPr>
          <w:i/>
          <w:szCs w:val="18"/>
        </w:rPr>
        <w:t>l</w:t>
      </w:r>
      <w:r w:rsidRPr="0004576F">
        <w:rPr>
          <w:i/>
          <w:szCs w:val="18"/>
        </w:rPr>
        <w:t>larder, dissimuler sa foy, sa religion, ses pe</w:t>
      </w:r>
      <w:r w:rsidRPr="0004576F">
        <w:rPr>
          <w:i/>
          <w:szCs w:val="18"/>
        </w:rPr>
        <w:t>n</w:t>
      </w:r>
      <w:r w:rsidRPr="0004576F">
        <w:rPr>
          <w:i/>
          <w:szCs w:val="18"/>
        </w:rPr>
        <w:t>sées, estre maître de son visage, &amp; qui l’ont sur tout nourri à aimer de voir du sang, commençant par des be</w:t>
      </w:r>
      <w:r w:rsidRPr="0004576F">
        <w:rPr>
          <w:i/>
          <w:szCs w:val="18"/>
        </w:rPr>
        <w:t>s</w:t>
      </w:r>
      <w:r w:rsidRPr="0004576F">
        <w:rPr>
          <w:i/>
          <w:szCs w:val="18"/>
        </w:rPr>
        <w:t>tes &amp; achevant par ses sujets</w:t>
      </w:r>
      <w:r w:rsidRPr="0004576F">
        <w:rPr>
          <w:szCs w:val="18"/>
        </w:rPr>
        <w:t xml:space="preserve"> ». Cf. </w:t>
      </w:r>
      <w:r w:rsidRPr="0004576F">
        <w:rPr>
          <w:i/>
          <w:szCs w:val="18"/>
        </w:rPr>
        <w:t>Le Réveille-matin des Fra</w:t>
      </w:r>
      <w:r w:rsidRPr="0004576F">
        <w:rPr>
          <w:i/>
          <w:szCs w:val="18"/>
        </w:rPr>
        <w:t>n</w:t>
      </w:r>
      <w:r w:rsidRPr="0004576F">
        <w:rPr>
          <w:i/>
          <w:szCs w:val="18"/>
        </w:rPr>
        <w:t>çois…, op. cit.</w:t>
      </w:r>
      <w:r w:rsidRPr="0004576F">
        <w:rPr>
          <w:szCs w:val="18"/>
        </w:rPr>
        <w:t>, p. 37.</w:t>
      </w:r>
    </w:p>
  </w:footnote>
  <w:footnote w:id="507">
    <w:p w14:paraId="2493FCB4" w14:textId="77777777" w:rsidR="00B01930" w:rsidRDefault="00B01930">
      <w:pPr>
        <w:pStyle w:val="Notedebasdepage"/>
      </w:pPr>
      <w:r>
        <w:rPr>
          <w:rStyle w:val="Appelnotedebasdep"/>
        </w:rPr>
        <w:footnoteRef/>
      </w:r>
      <w:r>
        <w:t xml:space="preserve"> </w:t>
      </w:r>
      <w:r>
        <w:tab/>
      </w:r>
      <w:r w:rsidRPr="0004576F">
        <w:rPr>
          <w:szCs w:val="18"/>
        </w:rPr>
        <w:t xml:space="preserve">Brantôme, </w:t>
      </w:r>
      <w:r w:rsidRPr="0004576F">
        <w:rPr>
          <w:i/>
          <w:szCs w:val="18"/>
        </w:rPr>
        <w:t>op. cit</w:t>
      </w:r>
      <w:r w:rsidRPr="0004576F">
        <w:rPr>
          <w:szCs w:val="18"/>
        </w:rPr>
        <w:t>., t. V, p. 254-255.</w:t>
      </w:r>
    </w:p>
  </w:footnote>
  <w:footnote w:id="508">
    <w:p w14:paraId="5C5252B7" w14:textId="77777777" w:rsidR="00B01930" w:rsidRDefault="00B01930">
      <w:pPr>
        <w:pStyle w:val="Notedebasdepage"/>
      </w:pPr>
      <w:r>
        <w:rPr>
          <w:rStyle w:val="Appelnotedebasdep"/>
        </w:rPr>
        <w:footnoteRef/>
      </w:r>
      <w:r>
        <w:t xml:space="preserve"> </w:t>
      </w:r>
      <w:r>
        <w:tab/>
      </w:r>
      <w:r w:rsidRPr="0004576F">
        <w:rPr>
          <w:szCs w:val="18"/>
        </w:rPr>
        <w:t xml:space="preserve">Voir J. F. Labourdette, </w:t>
      </w:r>
      <w:r>
        <w:rPr>
          <w:i/>
          <w:szCs w:val="18"/>
        </w:rPr>
        <w:t>Charles IX</w:t>
      </w:r>
      <w:r w:rsidRPr="0004576F">
        <w:rPr>
          <w:i/>
          <w:szCs w:val="18"/>
        </w:rPr>
        <w:t xml:space="preserve"> et la puissance espagnole…, op. cit</w:t>
      </w:r>
      <w:r w:rsidRPr="0004576F">
        <w:rPr>
          <w:szCs w:val="18"/>
        </w:rPr>
        <w:t>., p. 442.</w:t>
      </w:r>
    </w:p>
  </w:footnote>
  <w:footnote w:id="509">
    <w:p w14:paraId="5D3C21B4" w14:textId="77777777" w:rsidR="00B01930" w:rsidRDefault="00B01930">
      <w:pPr>
        <w:pStyle w:val="Notedebasdepage"/>
      </w:pPr>
      <w:r>
        <w:rPr>
          <w:rStyle w:val="Appelnotedebasdep"/>
        </w:rPr>
        <w:footnoteRef/>
      </w:r>
      <w:r>
        <w:t xml:space="preserve"> </w:t>
      </w:r>
      <w:r>
        <w:tab/>
      </w:r>
      <w:r w:rsidRPr="0004576F">
        <w:rPr>
          <w:szCs w:val="18"/>
        </w:rPr>
        <w:t>Machiavel estime qu’un prince doit savoir bien dissimuler : « </w:t>
      </w:r>
      <w:r w:rsidRPr="0004576F">
        <w:rPr>
          <w:i/>
          <w:szCs w:val="18"/>
        </w:rPr>
        <w:t>Celui qui a su mieux user du renard est arrivé à meilleure fin. Mais il faut, cette nature, s</w:t>
      </w:r>
      <w:r w:rsidRPr="0004576F">
        <w:rPr>
          <w:i/>
          <w:szCs w:val="18"/>
        </w:rPr>
        <w:t>a</w:t>
      </w:r>
      <w:r w:rsidRPr="0004576F">
        <w:rPr>
          <w:i/>
          <w:szCs w:val="18"/>
        </w:rPr>
        <w:t>voir bien la colorer, et être grand simulateur et dissimul</w:t>
      </w:r>
      <w:r w:rsidRPr="0004576F">
        <w:rPr>
          <w:i/>
          <w:szCs w:val="18"/>
        </w:rPr>
        <w:t>a</w:t>
      </w:r>
      <w:r w:rsidRPr="0004576F">
        <w:rPr>
          <w:i/>
          <w:szCs w:val="18"/>
        </w:rPr>
        <w:t>teur </w:t>
      </w:r>
      <w:r w:rsidRPr="0004576F">
        <w:rPr>
          <w:szCs w:val="18"/>
        </w:rPr>
        <w:t xml:space="preserve">». [Machiavel, </w:t>
      </w:r>
      <w:r w:rsidRPr="0004576F">
        <w:rPr>
          <w:i/>
          <w:szCs w:val="18"/>
        </w:rPr>
        <w:t>Le Prince, op. cit</w:t>
      </w:r>
      <w:r w:rsidRPr="0004576F">
        <w:rPr>
          <w:szCs w:val="18"/>
        </w:rPr>
        <w:t>., p. 160] Claude de Seyssel rejoint presque Machiavel lor</w:t>
      </w:r>
      <w:r w:rsidRPr="0004576F">
        <w:rPr>
          <w:szCs w:val="18"/>
        </w:rPr>
        <w:t>s</w:t>
      </w:r>
      <w:r w:rsidRPr="0004576F">
        <w:rPr>
          <w:szCs w:val="18"/>
        </w:rPr>
        <w:t>qu’il écrit comment le Prince doit se conduire lor</w:t>
      </w:r>
      <w:r w:rsidRPr="0004576F">
        <w:rPr>
          <w:szCs w:val="18"/>
        </w:rPr>
        <w:t>s</w:t>
      </w:r>
      <w:r w:rsidRPr="0004576F">
        <w:rPr>
          <w:szCs w:val="18"/>
        </w:rPr>
        <w:t>qu’il soupçonne d’autres princes de lui vouloir faire la guerre : « </w:t>
      </w:r>
      <w:r w:rsidRPr="0004576F">
        <w:rPr>
          <w:i/>
          <w:szCs w:val="18"/>
        </w:rPr>
        <w:t>en ce cas, on doit diss</w:t>
      </w:r>
      <w:r w:rsidRPr="0004576F">
        <w:rPr>
          <w:i/>
          <w:szCs w:val="18"/>
        </w:rPr>
        <w:t>i</w:t>
      </w:r>
      <w:r w:rsidRPr="0004576F">
        <w:rPr>
          <w:i/>
          <w:szCs w:val="18"/>
        </w:rPr>
        <w:t>muler avec eux non point pour les tromper ni décevoir, mais pour obvier à</w:t>
      </w:r>
      <w:r w:rsidRPr="0004576F">
        <w:rPr>
          <w:szCs w:val="18"/>
        </w:rPr>
        <w:t xml:space="preserve"> </w:t>
      </w:r>
      <w:r w:rsidRPr="0004576F">
        <w:rPr>
          <w:i/>
          <w:szCs w:val="18"/>
        </w:rPr>
        <w:t>leurs malices et aguêts. En ce faisant doit le Roi pourvoir toujours couvertement par moyens subtils et raisonnables</w:t>
      </w:r>
      <w:r w:rsidRPr="0004576F">
        <w:rPr>
          <w:szCs w:val="18"/>
        </w:rPr>
        <w:t xml:space="preserve"> ».  Cf. Seyssel, </w:t>
      </w:r>
      <w:r w:rsidRPr="0004576F">
        <w:rPr>
          <w:i/>
          <w:szCs w:val="18"/>
        </w:rPr>
        <w:t>La monarchie de Fra</w:t>
      </w:r>
      <w:r w:rsidRPr="0004576F">
        <w:rPr>
          <w:i/>
          <w:szCs w:val="18"/>
        </w:rPr>
        <w:t>n</w:t>
      </w:r>
      <w:r w:rsidRPr="0004576F">
        <w:rPr>
          <w:i/>
          <w:szCs w:val="18"/>
        </w:rPr>
        <w:t>ce, op. cit</w:t>
      </w:r>
      <w:r w:rsidRPr="0004576F">
        <w:rPr>
          <w:szCs w:val="18"/>
        </w:rPr>
        <w:t>., IV, 4, p. 195.</w:t>
      </w:r>
    </w:p>
  </w:footnote>
  <w:footnote w:id="510">
    <w:p w14:paraId="66E5CD75" w14:textId="77777777" w:rsidR="00B01930" w:rsidRDefault="00B01930">
      <w:pPr>
        <w:pStyle w:val="Notedebasdepage"/>
      </w:pPr>
      <w:r>
        <w:rPr>
          <w:rStyle w:val="Appelnotedebasdep"/>
        </w:rPr>
        <w:footnoteRef/>
      </w:r>
      <w:r>
        <w:t xml:space="preserve"> </w:t>
      </w:r>
      <w:r>
        <w:tab/>
      </w:r>
      <w:r w:rsidRPr="0004576F">
        <w:rPr>
          <w:szCs w:val="18"/>
        </w:rPr>
        <w:t xml:space="preserve">Cimber et Danjou, </w:t>
      </w:r>
      <w:r w:rsidRPr="0004576F">
        <w:rPr>
          <w:i/>
          <w:szCs w:val="18"/>
        </w:rPr>
        <w:t>op. cit</w:t>
      </w:r>
      <w:r w:rsidRPr="0004576F">
        <w:rPr>
          <w:szCs w:val="18"/>
        </w:rPr>
        <w:t xml:space="preserve">., t. VIII, « Vie de </w:t>
      </w:r>
      <w:r>
        <w:rPr>
          <w:szCs w:val="18"/>
        </w:rPr>
        <w:t>Charles IX</w:t>
      </w:r>
      <w:r w:rsidRPr="0004576F">
        <w:rPr>
          <w:szCs w:val="18"/>
        </w:rPr>
        <w:t xml:space="preserve"> par So</w:t>
      </w:r>
      <w:r w:rsidRPr="0004576F">
        <w:rPr>
          <w:szCs w:val="18"/>
        </w:rPr>
        <w:t>r</w:t>
      </w:r>
      <w:r w:rsidRPr="0004576F">
        <w:rPr>
          <w:szCs w:val="18"/>
        </w:rPr>
        <w:t>bin », p. 297.</w:t>
      </w:r>
    </w:p>
  </w:footnote>
  <w:footnote w:id="511">
    <w:p w14:paraId="1907DDE5" w14:textId="77777777" w:rsidR="00B01930" w:rsidRDefault="00B01930">
      <w:pPr>
        <w:pStyle w:val="Notedebasdepage"/>
      </w:pPr>
      <w:r>
        <w:rPr>
          <w:rStyle w:val="Appelnotedebasdep"/>
        </w:rPr>
        <w:footnoteRef/>
      </w:r>
      <w:r>
        <w:t xml:space="preserve"> </w:t>
      </w:r>
      <w:r>
        <w:tab/>
      </w:r>
      <w:r w:rsidRPr="0004576F">
        <w:rPr>
          <w:i/>
          <w:szCs w:val="18"/>
        </w:rPr>
        <w:t>Le Réveille-matin des François…, op. cit.</w:t>
      </w:r>
      <w:r w:rsidRPr="0004576F">
        <w:rPr>
          <w:szCs w:val="18"/>
        </w:rPr>
        <w:t>, p. 71.</w:t>
      </w:r>
    </w:p>
  </w:footnote>
  <w:footnote w:id="512">
    <w:p w14:paraId="5DD84C3E" w14:textId="77777777" w:rsidR="00B01930" w:rsidRDefault="00B01930">
      <w:pPr>
        <w:pStyle w:val="Notedebasdepage"/>
      </w:pPr>
      <w:r>
        <w:rPr>
          <w:rStyle w:val="Appelnotedebasdep"/>
        </w:rPr>
        <w:footnoteRef/>
      </w:r>
      <w:r>
        <w:t xml:space="preserve"> </w:t>
      </w:r>
      <w:r>
        <w:tab/>
      </w:r>
      <w:r w:rsidRPr="0004576F">
        <w:rPr>
          <w:i/>
          <w:szCs w:val="18"/>
        </w:rPr>
        <w:t>Recueil des guerres et traictez d’entre les Roys de France et d’Angleterre, par maistre Jehan du Tillet, sieur de la Bussière, Prot</w:t>
      </w:r>
      <w:r w:rsidRPr="0004576F">
        <w:rPr>
          <w:i/>
          <w:szCs w:val="18"/>
        </w:rPr>
        <w:t>e</w:t>
      </w:r>
      <w:r w:rsidRPr="0004576F">
        <w:rPr>
          <w:i/>
          <w:szCs w:val="18"/>
        </w:rPr>
        <w:t>notaire &amp; Secrétaire du Roy, Greffier de son Parlement.</w:t>
      </w:r>
      <w:r w:rsidRPr="0004576F">
        <w:rPr>
          <w:szCs w:val="18"/>
        </w:rPr>
        <w:t xml:space="preserve"> A Paris, 1588, dédicace non pag</w:t>
      </w:r>
      <w:r w:rsidRPr="0004576F">
        <w:rPr>
          <w:szCs w:val="18"/>
        </w:rPr>
        <w:t>i</w:t>
      </w:r>
      <w:r w:rsidRPr="0004576F">
        <w:rPr>
          <w:szCs w:val="18"/>
        </w:rPr>
        <w:t>née.</w:t>
      </w:r>
    </w:p>
  </w:footnote>
  <w:footnote w:id="513">
    <w:p w14:paraId="4DF1CD40" w14:textId="77777777" w:rsidR="00B01930" w:rsidRDefault="00B01930">
      <w:pPr>
        <w:pStyle w:val="Notedebasdepage"/>
      </w:pPr>
      <w:r>
        <w:rPr>
          <w:rStyle w:val="Appelnotedebasdep"/>
        </w:rPr>
        <w:footnoteRef/>
      </w:r>
      <w:r>
        <w:t xml:space="preserve"> </w:t>
      </w:r>
      <w:r>
        <w:tab/>
      </w:r>
      <w:r w:rsidRPr="0004576F">
        <w:rPr>
          <w:szCs w:val="18"/>
        </w:rPr>
        <w:t xml:space="preserve">Dans son épître (non paginée) à </w:t>
      </w:r>
      <w:r>
        <w:rPr>
          <w:szCs w:val="18"/>
        </w:rPr>
        <w:t>Henri I</w:t>
      </w:r>
      <w:r w:rsidRPr="0004576F">
        <w:rPr>
          <w:szCs w:val="18"/>
        </w:rPr>
        <w:t>V, rédigée le 30 septe</w:t>
      </w:r>
      <w:r w:rsidRPr="0004576F">
        <w:rPr>
          <w:szCs w:val="18"/>
        </w:rPr>
        <w:t>m</w:t>
      </w:r>
      <w:r w:rsidRPr="0004576F">
        <w:rPr>
          <w:szCs w:val="18"/>
        </w:rPr>
        <w:t xml:space="preserve">bre 1594, dans l’édition de 1611, du Haillan lui donne </w:t>
      </w:r>
      <w:r>
        <w:rPr>
          <w:szCs w:val="18"/>
        </w:rPr>
        <w:t>Louis X</w:t>
      </w:r>
      <w:r w:rsidRPr="0004576F">
        <w:rPr>
          <w:szCs w:val="18"/>
        </w:rPr>
        <w:t>I pour modèle : « </w:t>
      </w:r>
      <w:r w:rsidRPr="0004576F">
        <w:rPr>
          <w:i/>
          <w:szCs w:val="18"/>
        </w:rPr>
        <w:t>Le Roy Loys XI a esté un grand Prince, &amp; Docteur en affaires d’Estat, &amp; aux finesses du monde. Il est imitable en pl</w:t>
      </w:r>
      <w:r w:rsidRPr="0004576F">
        <w:rPr>
          <w:i/>
          <w:szCs w:val="18"/>
        </w:rPr>
        <w:t>u</w:t>
      </w:r>
      <w:r w:rsidRPr="0004576F">
        <w:rPr>
          <w:i/>
          <w:szCs w:val="18"/>
        </w:rPr>
        <w:t>sieurs choses, &amp; és autres il faut considérer les hommes ausquels il avoit affaire, &amp; le temps &amp; les affaires de son règne</w:t>
      </w:r>
      <w:r w:rsidRPr="0004576F">
        <w:rPr>
          <w:szCs w:val="18"/>
        </w:rPr>
        <w:t xml:space="preserve"> ». Cf. </w:t>
      </w:r>
      <w:r w:rsidRPr="0004576F">
        <w:rPr>
          <w:i/>
          <w:iCs/>
          <w:szCs w:val="18"/>
        </w:rPr>
        <w:t>De l’estat et su</w:t>
      </w:r>
      <w:r w:rsidRPr="0004576F">
        <w:rPr>
          <w:i/>
          <w:iCs/>
          <w:szCs w:val="18"/>
        </w:rPr>
        <w:t>c</w:t>
      </w:r>
      <w:r w:rsidRPr="0004576F">
        <w:rPr>
          <w:i/>
          <w:iCs/>
          <w:szCs w:val="18"/>
        </w:rPr>
        <w:t>cez des affaires de France</w:t>
      </w:r>
      <w:r w:rsidRPr="0004576F">
        <w:rPr>
          <w:iCs/>
          <w:szCs w:val="18"/>
        </w:rPr>
        <w:t xml:space="preserve">, </w:t>
      </w:r>
      <w:r w:rsidRPr="0004576F">
        <w:rPr>
          <w:i/>
          <w:iCs/>
          <w:szCs w:val="18"/>
        </w:rPr>
        <w:t>op</w:t>
      </w:r>
      <w:r w:rsidRPr="0004576F">
        <w:rPr>
          <w:iCs/>
          <w:szCs w:val="18"/>
        </w:rPr>
        <w:t xml:space="preserve">. </w:t>
      </w:r>
      <w:r w:rsidRPr="0004576F">
        <w:rPr>
          <w:i/>
          <w:iCs/>
          <w:szCs w:val="18"/>
        </w:rPr>
        <w:t>cit</w:t>
      </w:r>
      <w:r w:rsidRPr="0004576F">
        <w:rPr>
          <w:iCs/>
          <w:szCs w:val="18"/>
        </w:rPr>
        <w:t>.</w:t>
      </w:r>
    </w:p>
  </w:footnote>
  <w:footnote w:id="514">
    <w:p w14:paraId="505BEB36" w14:textId="77777777" w:rsidR="00B01930" w:rsidRDefault="00B01930">
      <w:pPr>
        <w:pStyle w:val="Notedebasdepage"/>
      </w:pPr>
      <w:r>
        <w:rPr>
          <w:rStyle w:val="Appelnotedebasdep"/>
        </w:rPr>
        <w:footnoteRef/>
      </w:r>
      <w:r>
        <w:t xml:space="preserve"> </w:t>
      </w:r>
      <w:r>
        <w:tab/>
      </w:r>
      <w:r w:rsidRPr="0004576F">
        <w:rPr>
          <w:szCs w:val="18"/>
        </w:rPr>
        <w:t xml:space="preserve">Brantôme, </w:t>
      </w:r>
      <w:r w:rsidRPr="0004576F">
        <w:rPr>
          <w:i/>
          <w:szCs w:val="18"/>
        </w:rPr>
        <w:t>op. cit</w:t>
      </w:r>
      <w:r w:rsidRPr="0004576F">
        <w:rPr>
          <w:szCs w:val="18"/>
        </w:rPr>
        <w:t>., p. 253.</w:t>
      </w:r>
    </w:p>
  </w:footnote>
  <w:footnote w:id="515">
    <w:p w14:paraId="715B6416" w14:textId="77777777" w:rsidR="00B01930" w:rsidRDefault="00B01930">
      <w:pPr>
        <w:pStyle w:val="Notedebasdepage"/>
      </w:pPr>
      <w:r>
        <w:rPr>
          <w:rStyle w:val="Appelnotedebasdep"/>
        </w:rPr>
        <w:footnoteRef/>
      </w:r>
      <w:r>
        <w:t xml:space="preserve"> </w:t>
      </w:r>
      <w:r>
        <w:tab/>
      </w:r>
      <w:r w:rsidRPr="0004576F">
        <w:rPr>
          <w:szCs w:val="18"/>
        </w:rPr>
        <w:t>Avide de connaître l’histoire de ses prédécesseurs et d’y trouver des exe</w:t>
      </w:r>
      <w:r w:rsidRPr="0004576F">
        <w:rPr>
          <w:szCs w:val="18"/>
        </w:rPr>
        <w:t>m</w:t>
      </w:r>
      <w:r w:rsidRPr="0004576F">
        <w:rPr>
          <w:szCs w:val="18"/>
        </w:rPr>
        <w:t xml:space="preserve">ples, </w:t>
      </w:r>
      <w:r>
        <w:rPr>
          <w:szCs w:val="18"/>
        </w:rPr>
        <w:t>Charles IX</w:t>
      </w:r>
      <w:r w:rsidRPr="0004576F">
        <w:rPr>
          <w:szCs w:val="18"/>
        </w:rPr>
        <w:t xml:space="preserve"> dut lire ou se faire lire les Mémoires de Commynes dont la derni</w:t>
      </w:r>
      <w:r w:rsidRPr="0004576F">
        <w:rPr>
          <w:szCs w:val="18"/>
        </w:rPr>
        <w:t>è</w:t>
      </w:r>
      <w:r w:rsidRPr="0004576F">
        <w:rPr>
          <w:szCs w:val="18"/>
        </w:rPr>
        <w:t>re édition datait de 1552. Il put s’intéresser à ce passage dans lequel Comm</w:t>
      </w:r>
      <w:r w:rsidRPr="0004576F">
        <w:rPr>
          <w:szCs w:val="18"/>
        </w:rPr>
        <w:t>i</w:t>
      </w:r>
      <w:r w:rsidRPr="0004576F">
        <w:rPr>
          <w:szCs w:val="18"/>
        </w:rPr>
        <w:t>nes justifait la ruse avec un adversaire de mauvaise foi :</w:t>
      </w:r>
      <w:r w:rsidRPr="0004576F">
        <w:rPr>
          <w:color w:val="0000FF"/>
          <w:szCs w:val="18"/>
        </w:rPr>
        <w:t xml:space="preserve"> </w:t>
      </w:r>
      <w:r w:rsidRPr="0004576F">
        <w:rPr>
          <w:szCs w:val="18"/>
        </w:rPr>
        <w:t>« </w:t>
      </w:r>
      <w:r w:rsidRPr="0004576F">
        <w:rPr>
          <w:i/>
          <w:szCs w:val="18"/>
        </w:rPr>
        <w:t xml:space="preserve">Il pourra sembler, au temps advenir, à ceulx qui verront cecy, qu’en ces deux Princes </w:t>
      </w:r>
      <w:r w:rsidRPr="0004576F">
        <w:rPr>
          <w:szCs w:val="18"/>
        </w:rPr>
        <w:t>[</w:t>
      </w:r>
      <w:r>
        <w:rPr>
          <w:szCs w:val="18"/>
        </w:rPr>
        <w:t>Louis X</w:t>
      </w:r>
      <w:r w:rsidRPr="0004576F">
        <w:rPr>
          <w:szCs w:val="18"/>
        </w:rPr>
        <w:t>I et Charles le Téméra</w:t>
      </w:r>
      <w:r w:rsidRPr="0004576F">
        <w:rPr>
          <w:szCs w:val="18"/>
        </w:rPr>
        <w:t>i</w:t>
      </w:r>
      <w:r w:rsidRPr="0004576F">
        <w:rPr>
          <w:szCs w:val="18"/>
        </w:rPr>
        <w:t>re]</w:t>
      </w:r>
      <w:r w:rsidRPr="0004576F">
        <w:rPr>
          <w:i/>
          <w:szCs w:val="18"/>
        </w:rPr>
        <w:t xml:space="preserve">, n’y eut pas grand foy ou que je parle mal d’eux. </w:t>
      </w:r>
      <w:r w:rsidRPr="0004576F">
        <w:rPr>
          <w:szCs w:val="18"/>
        </w:rPr>
        <w:t>[…]</w:t>
      </w:r>
      <w:r w:rsidRPr="0004576F">
        <w:rPr>
          <w:i/>
          <w:szCs w:val="18"/>
        </w:rPr>
        <w:t xml:space="preserve"> Mais, quand on pensera aux autres Princes, on trouvera ceulx cy grans &amp; n</w:t>
      </w:r>
      <w:r w:rsidRPr="0004576F">
        <w:rPr>
          <w:i/>
          <w:szCs w:val="18"/>
        </w:rPr>
        <w:t>o</w:t>
      </w:r>
      <w:r w:rsidRPr="0004576F">
        <w:rPr>
          <w:i/>
          <w:szCs w:val="18"/>
        </w:rPr>
        <w:t>bles &amp; notables, &amp; le nostre très sage, lequel a laissé son Royaume a</w:t>
      </w:r>
      <w:r w:rsidRPr="0004576F">
        <w:rPr>
          <w:i/>
          <w:szCs w:val="18"/>
        </w:rPr>
        <w:t>c</w:t>
      </w:r>
      <w:r w:rsidRPr="0004576F">
        <w:rPr>
          <w:i/>
          <w:szCs w:val="18"/>
        </w:rPr>
        <w:t>creu, &amp; en paix avec tous ses ennemys. Or voyons donc lequel de ces deux Seigneurs vouloit tromper son compaignon, à fin que, si pour le temps advenir cecy tomboit entre les mains de quelque jeune Prince, qui eust à conduire sembl</w:t>
      </w:r>
      <w:r w:rsidRPr="0004576F">
        <w:rPr>
          <w:i/>
          <w:szCs w:val="18"/>
        </w:rPr>
        <w:t>a</w:t>
      </w:r>
      <w:r w:rsidRPr="0004576F">
        <w:rPr>
          <w:i/>
          <w:szCs w:val="18"/>
        </w:rPr>
        <w:t>bles affaires, il eust mieulx congnoissance, pour l’avoir veu, &amp; se ga</w:t>
      </w:r>
      <w:r w:rsidRPr="0004576F">
        <w:rPr>
          <w:i/>
          <w:szCs w:val="18"/>
        </w:rPr>
        <w:t>r</w:t>
      </w:r>
      <w:r w:rsidRPr="0004576F">
        <w:rPr>
          <w:i/>
          <w:szCs w:val="18"/>
        </w:rPr>
        <w:t>der d’estre trompé. Car, combien que les ennemys, ne les Princes, ne soyent point tousjours semblables, enc</w:t>
      </w:r>
      <w:r w:rsidRPr="0004576F">
        <w:rPr>
          <w:i/>
          <w:szCs w:val="18"/>
        </w:rPr>
        <w:t>o</w:t>
      </w:r>
      <w:r w:rsidRPr="0004576F">
        <w:rPr>
          <w:i/>
          <w:szCs w:val="18"/>
        </w:rPr>
        <w:t>res que les matières le fussent, si fait-il bon d’estre informé des choses passées. Pour en déclarer mon advis, je cuide estre certain que ces deux Princes icy y alloient tous deux en intention de tromper son compaignon, &amp; que leurs fins estoyent assez semblables comme vous o</w:t>
      </w:r>
      <w:r w:rsidRPr="0004576F">
        <w:rPr>
          <w:i/>
          <w:szCs w:val="18"/>
        </w:rPr>
        <w:t>r</w:t>
      </w:r>
      <w:r w:rsidRPr="0004576F">
        <w:rPr>
          <w:i/>
          <w:szCs w:val="18"/>
        </w:rPr>
        <w:t>rez</w:t>
      </w:r>
      <w:r w:rsidRPr="0004576F">
        <w:rPr>
          <w:szCs w:val="18"/>
        </w:rPr>
        <w:t xml:space="preserve">… » Cf. </w:t>
      </w:r>
      <w:r w:rsidRPr="0004576F">
        <w:rPr>
          <w:i/>
          <w:szCs w:val="18"/>
        </w:rPr>
        <w:t>Les Mémoires de Messire Philippe de Commines, chevalier, Se</w:t>
      </w:r>
      <w:r w:rsidRPr="0004576F">
        <w:rPr>
          <w:i/>
          <w:szCs w:val="18"/>
        </w:rPr>
        <w:t>i</w:t>
      </w:r>
      <w:r w:rsidRPr="0004576F">
        <w:rPr>
          <w:i/>
          <w:szCs w:val="18"/>
        </w:rPr>
        <w:t>gneur d’Argenton, sur les principaux faicts &amp; gestes de Louis onzième &amp; de Charles huictième, son fils, Roys de France</w:t>
      </w:r>
      <w:r w:rsidRPr="0004576F">
        <w:t xml:space="preserve"> </w:t>
      </w:r>
      <w:r w:rsidRPr="0004576F">
        <w:rPr>
          <w:szCs w:val="18"/>
        </w:rPr>
        <w:t>…, Paris, 1552, f ° 50.</w:t>
      </w:r>
    </w:p>
  </w:footnote>
  <w:footnote w:id="516">
    <w:p w14:paraId="5A1B884B" w14:textId="77777777" w:rsidR="00B01930" w:rsidRDefault="00B01930">
      <w:pPr>
        <w:pStyle w:val="Notedebasdepage"/>
      </w:pPr>
      <w:r>
        <w:rPr>
          <w:rStyle w:val="Appelnotedebasdep"/>
        </w:rPr>
        <w:footnoteRef/>
      </w:r>
      <w:r>
        <w:t xml:space="preserve"> </w:t>
      </w:r>
      <w:r>
        <w:tab/>
      </w:r>
      <w:r w:rsidRPr="0004576F">
        <w:rPr>
          <w:szCs w:val="18"/>
        </w:rPr>
        <w:t xml:space="preserve">Cimber et Danjou, </w:t>
      </w:r>
      <w:r w:rsidRPr="0004576F">
        <w:rPr>
          <w:i/>
          <w:szCs w:val="18"/>
        </w:rPr>
        <w:t>op. cit</w:t>
      </w:r>
      <w:r w:rsidRPr="0004576F">
        <w:rPr>
          <w:szCs w:val="18"/>
        </w:rPr>
        <w:t xml:space="preserve">., t. VIII, « Vie de </w:t>
      </w:r>
      <w:r>
        <w:rPr>
          <w:szCs w:val="18"/>
        </w:rPr>
        <w:t>Charles IX</w:t>
      </w:r>
      <w:r w:rsidRPr="0004576F">
        <w:rPr>
          <w:szCs w:val="18"/>
        </w:rPr>
        <w:t xml:space="preserve"> par Sorbin », p. 297. Dans le </w:t>
      </w:r>
      <w:r w:rsidRPr="0004576F">
        <w:rPr>
          <w:i/>
          <w:szCs w:val="18"/>
        </w:rPr>
        <w:t>Réveille-matin des Fra</w:t>
      </w:r>
      <w:r w:rsidRPr="0004576F">
        <w:rPr>
          <w:i/>
          <w:szCs w:val="18"/>
        </w:rPr>
        <w:t>n</w:t>
      </w:r>
      <w:r w:rsidRPr="0004576F">
        <w:rPr>
          <w:i/>
          <w:szCs w:val="18"/>
        </w:rPr>
        <w:t>çois</w:t>
      </w:r>
      <w:r w:rsidRPr="0004576F">
        <w:rPr>
          <w:szCs w:val="18"/>
        </w:rPr>
        <w:t xml:space="preserve">, on peut lire : « j’ay sceu de bonne part, que le jour que la royne de Navarre (Jeanne d’Albret, mère du futur </w:t>
      </w:r>
      <w:r>
        <w:rPr>
          <w:szCs w:val="18"/>
        </w:rPr>
        <w:t>Henri I</w:t>
      </w:r>
      <w:r w:rsidRPr="0004576F">
        <w:rPr>
          <w:szCs w:val="18"/>
        </w:rPr>
        <w:t xml:space="preserve">V) arriva à Bloys, il dit à sa mère : </w:t>
      </w:r>
      <w:r w:rsidRPr="0004576F">
        <w:t>« </w:t>
      </w:r>
      <w:r w:rsidRPr="0004576F">
        <w:rPr>
          <w:szCs w:val="18"/>
        </w:rPr>
        <w:t>Ne joue-je pas bien mon rollet, Madame ? Ce n’est rien fait, respondit-elle, il faut ach</w:t>
      </w:r>
      <w:r w:rsidRPr="0004576F">
        <w:rPr>
          <w:szCs w:val="18"/>
        </w:rPr>
        <w:t>e</w:t>
      </w:r>
      <w:r w:rsidRPr="0004576F">
        <w:rPr>
          <w:szCs w:val="18"/>
        </w:rPr>
        <w:t>ver. Par la mort-Dieu, Madame, ce répliqua il, je les vous mettray tous au filé, si vous me voulez laisser fa</w:t>
      </w:r>
      <w:r w:rsidRPr="0004576F">
        <w:rPr>
          <w:szCs w:val="18"/>
        </w:rPr>
        <w:t>i</w:t>
      </w:r>
      <w:r w:rsidRPr="0004576F">
        <w:rPr>
          <w:szCs w:val="18"/>
        </w:rPr>
        <w:t xml:space="preserve">re ». Cf. </w:t>
      </w:r>
      <w:r w:rsidRPr="0004576F">
        <w:rPr>
          <w:i/>
          <w:szCs w:val="18"/>
        </w:rPr>
        <w:t>Le Réveille-matin des François et de leurs voisins</w:t>
      </w:r>
      <w:r w:rsidRPr="0004576F">
        <w:rPr>
          <w:szCs w:val="18"/>
        </w:rPr>
        <w:t xml:space="preserve">…, </w:t>
      </w:r>
      <w:r w:rsidRPr="0004576F">
        <w:rPr>
          <w:i/>
          <w:szCs w:val="18"/>
        </w:rPr>
        <w:t>op</w:t>
      </w:r>
      <w:r w:rsidRPr="0004576F">
        <w:rPr>
          <w:szCs w:val="18"/>
        </w:rPr>
        <w:t xml:space="preserve">. </w:t>
      </w:r>
      <w:r w:rsidRPr="0004576F">
        <w:rPr>
          <w:i/>
          <w:szCs w:val="18"/>
        </w:rPr>
        <w:t>cit</w:t>
      </w:r>
      <w:r w:rsidRPr="0004576F">
        <w:rPr>
          <w:szCs w:val="18"/>
        </w:rPr>
        <w:t>., p. 37-38.</w:t>
      </w:r>
    </w:p>
  </w:footnote>
  <w:footnote w:id="517">
    <w:p w14:paraId="6D487917" w14:textId="77777777" w:rsidR="00B01930" w:rsidRDefault="00B01930">
      <w:pPr>
        <w:pStyle w:val="Notedebasdepage"/>
      </w:pPr>
      <w:r>
        <w:rPr>
          <w:rStyle w:val="Appelnotedebasdep"/>
        </w:rPr>
        <w:footnoteRef/>
      </w:r>
      <w:r>
        <w:t xml:space="preserve"> </w:t>
      </w:r>
      <w:r>
        <w:tab/>
      </w:r>
      <w:r w:rsidRPr="0004576F">
        <w:rPr>
          <w:i/>
          <w:szCs w:val="18"/>
        </w:rPr>
        <w:t>Le Miroir Politique, contenant diverses manières de gouverner &amp; policer les Républiques qui sont, &amp; ont esté par cy devant, Œuvre non moins utile que nécessaire à tous Monarches, Rois, Princes, Se</w:t>
      </w:r>
      <w:r w:rsidRPr="0004576F">
        <w:rPr>
          <w:i/>
          <w:szCs w:val="18"/>
        </w:rPr>
        <w:t>i</w:t>
      </w:r>
      <w:r w:rsidRPr="0004576F">
        <w:rPr>
          <w:i/>
          <w:szCs w:val="18"/>
        </w:rPr>
        <w:t>gneurs, Magistrats &amp; autres qui ont charge du gouvernement ou administration d’icelles</w:t>
      </w:r>
      <w:r w:rsidRPr="0004576F">
        <w:rPr>
          <w:szCs w:val="18"/>
        </w:rPr>
        <w:t xml:space="preserve">, </w:t>
      </w:r>
      <w:r w:rsidRPr="0004576F">
        <w:rPr>
          <w:i/>
          <w:szCs w:val="18"/>
        </w:rPr>
        <w:t>Par M. Guilla</w:t>
      </w:r>
      <w:r w:rsidRPr="0004576F">
        <w:rPr>
          <w:i/>
          <w:szCs w:val="18"/>
        </w:rPr>
        <w:t>u</w:t>
      </w:r>
      <w:r w:rsidRPr="0004576F">
        <w:rPr>
          <w:i/>
          <w:szCs w:val="18"/>
        </w:rPr>
        <w:t>me de la Perrière, Tholosain</w:t>
      </w:r>
      <w:r w:rsidRPr="0004576F">
        <w:rPr>
          <w:szCs w:val="18"/>
        </w:rPr>
        <w:t>, A Paris, 1567, avec privilège du Roy, f ° 7-8 r °. La première édition d</w:t>
      </w:r>
      <w:r w:rsidRPr="0004576F">
        <w:rPr>
          <w:szCs w:val="18"/>
        </w:rPr>
        <w:t>a</w:t>
      </w:r>
      <w:r w:rsidRPr="0004576F">
        <w:rPr>
          <w:szCs w:val="18"/>
        </w:rPr>
        <w:t>tait de 1555. Guillaume de La Perrière (1499-1554), prêtre et érudit toulousain, fut l’un des premiers théoriciens politiques fra</w:t>
      </w:r>
      <w:r w:rsidRPr="0004576F">
        <w:rPr>
          <w:szCs w:val="18"/>
        </w:rPr>
        <w:t>n</w:t>
      </w:r>
      <w:r w:rsidRPr="0004576F">
        <w:rPr>
          <w:szCs w:val="18"/>
        </w:rPr>
        <w:t>çais à citer Machiavel.</w:t>
      </w:r>
    </w:p>
  </w:footnote>
  <w:footnote w:id="518">
    <w:p w14:paraId="105A4B03" w14:textId="77777777" w:rsidR="00B01930" w:rsidRDefault="00B01930">
      <w:pPr>
        <w:pStyle w:val="Notedebasdepage"/>
      </w:pPr>
      <w:r>
        <w:rPr>
          <w:rStyle w:val="Appelnotedebasdep"/>
        </w:rPr>
        <w:footnoteRef/>
      </w:r>
      <w:r>
        <w:t xml:space="preserve"> </w:t>
      </w:r>
      <w:r>
        <w:tab/>
      </w:r>
      <w:r w:rsidRPr="0004576F">
        <w:rPr>
          <w:szCs w:val="18"/>
        </w:rPr>
        <w:t xml:space="preserve">Bodin, </w:t>
      </w:r>
      <w:r w:rsidRPr="0004576F">
        <w:rPr>
          <w:i/>
          <w:szCs w:val="18"/>
        </w:rPr>
        <w:t>Les Six Livres de la République</w:t>
      </w:r>
      <w:r w:rsidRPr="0004576F">
        <w:rPr>
          <w:szCs w:val="18"/>
        </w:rPr>
        <w:t xml:space="preserve">…, </w:t>
      </w:r>
      <w:r w:rsidRPr="0004576F">
        <w:rPr>
          <w:i/>
          <w:szCs w:val="18"/>
        </w:rPr>
        <w:t>op. cit.</w:t>
      </w:r>
      <w:r w:rsidRPr="0004576F">
        <w:rPr>
          <w:szCs w:val="18"/>
        </w:rPr>
        <w:t>,  Livre II, chap. I, p. 183-184. Bien que ses œuvres ne fussent publiées qu’après la mort du Roi, un a</w:t>
      </w:r>
      <w:r w:rsidRPr="0004576F">
        <w:rPr>
          <w:szCs w:val="18"/>
        </w:rPr>
        <w:t>u</w:t>
      </w:r>
      <w:r w:rsidRPr="0004576F">
        <w:rPr>
          <w:szCs w:val="18"/>
        </w:rPr>
        <w:t>tre théoricien de la monarchie absolue, le Nive</w:t>
      </w:r>
      <w:r w:rsidRPr="0004576F">
        <w:rPr>
          <w:szCs w:val="18"/>
        </w:rPr>
        <w:t>r</w:t>
      </w:r>
      <w:r w:rsidRPr="0004576F">
        <w:rPr>
          <w:szCs w:val="18"/>
        </w:rPr>
        <w:t xml:space="preserve">nais Guy Coquille (1523-1603), put avoir une certaine influence sur </w:t>
      </w:r>
      <w:r>
        <w:rPr>
          <w:szCs w:val="18"/>
        </w:rPr>
        <w:t>Charles IX</w:t>
      </w:r>
      <w:r w:rsidRPr="0004576F">
        <w:rPr>
          <w:szCs w:val="18"/>
        </w:rPr>
        <w:t xml:space="preserve"> par l’intermédiaire de Louis de Gonzague, duc de Nevers, l’un de ses consei</w:t>
      </w:r>
      <w:r w:rsidRPr="0004576F">
        <w:rPr>
          <w:szCs w:val="18"/>
        </w:rPr>
        <w:t>l</w:t>
      </w:r>
      <w:r w:rsidRPr="0004576F">
        <w:rPr>
          <w:szCs w:val="18"/>
        </w:rPr>
        <w:t>lers les plus écoutés. Ce dernier avait en effet bea</w:t>
      </w:r>
      <w:r w:rsidRPr="0004576F">
        <w:rPr>
          <w:szCs w:val="18"/>
        </w:rPr>
        <w:t>u</w:t>
      </w:r>
      <w:r w:rsidRPr="0004576F">
        <w:rPr>
          <w:szCs w:val="18"/>
        </w:rPr>
        <w:t>coup d’estime et d’attachement envers celui dont il fit son procureur fiscal en 1571, et qui écrit : « </w:t>
      </w:r>
      <w:r w:rsidRPr="0004576F">
        <w:rPr>
          <w:i/>
          <w:szCs w:val="18"/>
        </w:rPr>
        <w:t>Le Roy est Monarque, &amp; n’a point de comp</w:t>
      </w:r>
      <w:r w:rsidRPr="0004576F">
        <w:rPr>
          <w:i/>
          <w:szCs w:val="18"/>
        </w:rPr>
        <w:t>a</w:t>
      </w:r>
      <w:r w:rsidRPr="0004576F">
        <w:rPr>
          <w:i/>
          <w:szCs w:val="18"/>
        </w:rPr>
        <w:t>gnon en Sa Majesté Royale</w:t>
      </w:r>
      <w:r w:rsidRPr="0004576F">
        <w:rPr>
          <w:szCs w:val="18"/>
        </w:rPr>
        <w:t xml:space="preserve"> ». Cf. </w:t>
      </w:r>
      <w:r w:rsidRPr="0004576F">
        <w:rPr>
          <w:i/>
          <w:szCs w:val="18"/>
        </w:rPr>
        <w:t>Institution du droict des François</w:t>
      </w:r>
      <w:r w:rsidRPr="0004576F">
        <w:rPr>
          <w:szCs w:val="18"/>
        </w:rPr>
        <w:t xml:space="preserve">, </w:t>
      </w:r>
      <w:r w:rsidRPr="0004576F">
        <w:rPr>
          <w:i/>
          <w:szCs w:val="18"/>
        </w:rPr>
        <w:t>par M. Guy Coquille, sieur de Romenay, M. DC. VII</w:t>
      </w:r>
      <w:r w:rsidRPr="0004576F">
        <w:rPr>
          <w:szCs w:val="18"/>
        </w:rPr>
        <w:t>, p. 3.</w:t>
      </w:r>
    </w:p>
  </w:footnote>
  <w:footnote w:id="519">
    <w:p w14:paraId="72FC7C0B" w14:textId="77777777" w:rsidR="00B01930" w:rsidRDefault="00B01930">
      <w:pPr>
        <w:pStyle w:val="Notedebasdepage"/>
      </w:pPr>
      <w:r>
        <w:rPr>
          <w:rStyle w:val="Appelnotedebasdep"/>
        </w:rPr>
        <w:footnoteRef/>
      </w:r>
      <w:r>
        <w:t xml:space="preserve"> </w:t>
      </w:r>
      <w:r>
        <w:tab/>
      </w:r>
      <w:r w:rsidRPr="0004576F">
        <w:rPr>
          <w:szCs w:val="18"/>
        </w:rPr>
        <w:t xml:space="preserve">Cité dans Michel Antoine, </w:t>
      </w:r>
      <w:r>
        <w:rPr>
          <w:i/>
          <w:szCs w:val="18"/>
        </w:rPr>
        <w:t>Louis X</w:t>
      </w:r>
      <w:r w:rsidRPr="0004576F">
        <w:rPr>
          <w:i/>
          <w:szCs w:val="18"/>
        </w:rPr>
        <w:t>V</w:t>
      </w:r>
      <w:r w:rsidRPr="0004576F">
        <w:rPr>
          <w:szCs w:val="18"/>
        </w:rPr>
        <w:t>, Paris, 1989, p. 852.</w:t>
      </w:r>
    </w:p>
  </w:footnote>
  <w:footnote w:id="520">
    <w:p w14:paraId="5B2F968C" w14:textId="77777777" w:rsidR="00B01930" w:rsidRDefault="00B01930">
      <w:pPr>
        <w:pStyle w:val="Notedebasdepage"/>
      </w:pPr>
      <w:r>
        <w:rPr>
          <w:rStyle w:val="Appelnotedebasdep"/>
        </w:rPr>
        <w:footnoteRef/>
      </w:r>
      <w:r>
        <w:t xml:space="preserve"> </w:t>
      </w:r>
      <w:r>
        <w:tab/>
      </w:r>
      <w:r w:rsidRPr="0004576F">
        <w:t xml:space="preserve">Voir notamment, </w:t>
      </w:r>
      <w:r w:rsidRPr="0004576F">
        <w:rPr>
          <w:i/>
        </w:rPr>
        <w:t>Parliaments and English Politics 1621-1629</w:t>
      </w:r>
      <w:r w:rsidRPr="0004576F">
        <w:t>, Oxford, Cl</w:t>
      </w:r>
      <w:r w:rsidRPr="0004576F">
        <w:t>a</w:t>
      </w:r>
      <w:r w:rsidRPr="0004576F">
        <w:t>rendon Press,</w:t>
      </w:r>
      <w:r>
        <w:t xml:space="preserve"> </w:t>
      </w:r>
      <w:r w:rsidRPr="0004576F">
        <w:t>1979.</w:t>
      </w:r>
    </w:p>
  </w:footnote>
  <w:footnote w:id="521">
    <w:p w14:paraId="4BAF7012" w14:textId="77777777" w:rsidR="00B01930" w:rsidRDefault="00B01930">
      <w:pPr>
        <w:pStyle w:val="Notedebasdepage"/>
      </w:pPr>
      <w:r>
        <w:rPr>
          <w:rStyle w:val="Appelnotedebasdep"/>
        </w:rPr>
        <w:footnoteRef/>
      </w:r>
      <w:r>
        <w:t xml:space="preserve"> </w:t>
      </w:r>
      <w:r>
        <w:tab/>
      </w:r>
      <w:r w:rsidRPr="0004576F">
        <w:t>À cet égard, il fait très justement remarquer que, jusqu’à la Révolution de 1640, les A</w:t>
      </w:r>
      <w:r w:rsidRPr="0004576F">
        <w:t>n</w:t>
      </w:r>
      <w:r w:rsidRPr="0004576F">
        <w:t>glais ne disent pas le Parlement, mais parlent de « parlements » en liant leur existence à leur période de fonctionnement. Ils parlent, par exe</w:t>
      </w:r>
      <w:r w:rsidRPr="0004576F">
        <w:t>m</w:t>
      </w:r>
      <w:r w:rsidRPr="0004576F">
        <w:t>ple, du Parlement de 1625 ou de c</w:t>
      </w:r>
      <w:r w:rsidRPr="0004576F">
        <w:t>e</w:t>
      </w:r>
      <w:r w:rsidRPr="0004576F">
        <w:t xml:space="preserve">lui de 1628 : </w:t>
      </w:r>
      <w:r w:rsidRPr="0004576F">
        <w:rPr>
          <w:i/>
        </w:rPr>
        <w:t>The Crisis of Parliaments : English History 1559-1660</w:t>
      </w:r>
      <w:r w:rsidRPr="0004576F">
        <w:t>, O</w:t>
      </w:r>
      <w:r w:rsidRPr="0004576F">
        <w:t>x</w:t>
      </w:r>
      <w:r w:rsidRPr="0004576F">
        <w:t>ford, Oxford University Press, 1971, p. 39.</w:t>
      </w:r>
    </w:p>
  </w:footnote>
  <w:footnote w:id="522">
    <w:p w14:paraId="246B3C01" w14:textId="77777777" w:rsidR="00B01930" w:rsidRDefault="00B01930">
      <w:pPr>
        <w:pStyle w:val="Notedebasdepage"/>
      </w:pPr>
      <w:r>
        <w:rPr>
          <w:rStyle w:val="Appelnotedebasdep"/>
        </w:rPr>
        <w:footnoteRef/>
      </w:r>
      <w:r>
        <w:t xml:space="preserve"> </w:t>
      </w:r>
      <w:r>
        <w:tab/>
      </w:r>
      <w:r w:rsidRPr="0004576F">
        <w:rPr>
          <w:i/>
        </w:rPr>
        <w:t>Parliaments and English Politics…,</w:t>
      </w:r>
      <w:r w:rsidRPr="0004576F">
        <w:t xml:space="preserve"> </w:t>
      </w:r>
      <w:r w:rsidRPr="0004576F">
        <w:rPr>
          <w:i/>
        </w:rPr>
        <w:t>op. cit</w:t>
      </w:r>
      <w:r w:rsidRPr="0004576F">
        <w:t>., p. 424.</w:t>
      </w:r>
    </w:p>
  </w:footnote>
  <w:footnote w:id="523">
    <w:p w14:paraId="40E9C78F" w14:textId="77777777" w:rsidR="00B01930" w:rsidRDefault="00B01930">
      <w:pPr>
        <w:pStyle w:val="Notedebasdepage"/>
      </w:pPr>
      <w:r>
        <w:rPr>
          <w:rStyle w:val="Appelnotedebasdep"/>
        </w:rPr>
        <w:footnoteRef/>
      </w:r>
      <w:r>
        <w:t xml:space="preserve"> </w:t>
      </w:r>
      <w:r>
        <w:tab/>
      </w:r>
      <w:r w:rsidRPr="0004576F">
        <w:rPr>
          <w:i/>
        </w:rPr>
        <w:t>Ibidem</w:t>
      </w:r>
      <w:r w:rsidRPr="0004576F">
        <w:t>, p. 3.</w:t>
      </w:r>
    </w:p>
  </w:footnote>
  <w:footnote w:id="524">
    <w:p w14:paraId="63998094" w14:textId="77777777" w:rsidR="00B01930" w:rsidRDefault="00B01930">
      <w:pPr>
        <w:pStyle w:val="Notedebasdepage"/>
      </w:pPr>
      <w:r>
        <w:rPr>
          <w:rStyle w:val="Appelnotedebasdep"/>
        </w:rPr>
        <w:footnoteRef/>
      </w:r>
      <w:r>
        <w:t xml:space="preserve"> </w:t>
      </w:r>
      <w:r>
        <w:tab/>
      </w:r>
      <w:r w:rsidRPr="0004576F">
        <w:rPr>
          <w:i/>
        </w:rPr>
        <w:t>Idem.</w:t>
      </w:r>
    </w:p>
  </w:footnote>
  <w:footnote w:id="525">
    <w:p w14:paraId="12E6A07C" w14:textId="77777777" w:rsidR="00B01930" w:rsidRDefault="00B01930">
      <w:pPr>
        <w:pStyle w:val="Notedebasdepage"/>
      </w:pPr>
      <w:r>
        <w:rPr>
          <w:rStyle w:val="Appelnotedebasdep"/>
        </w:rPr>
        <w:footnoteRef/>
      </w:r>
      <w:r>
        <w:t xml:space="preserve"> </w:t>
      </w:r>
      <w:r>
        <w:tab/>
      </w:r>
      <w:r w:rsidRPr="0004576F">
        <w:t xml:space="preserve">Ils sont les adjoints du </w:t>
      </w:r>
      <w:r w:rsidRPr="0004576F">
        <w:rPr>
          <w:i/>
        </w:rPr>
        <w:t>Lord Lieutenant</w:t>
      </w:r>
      <w:r w:rsidRPr="0004576F">
        <w:t xml:space="preserve">, grand personnage, pair du royaume, commissaire nommé dans un comté pour représenter le souverain, et chargé de le diriger, notamment d’assurer sa sécurité en temps de guerre ou de grave menace, et de prendre les mesures nécessaires en cas de graves difficultés, comme une famine ou des révoltes. Le </w:t>
      </w:r>
      <w:r w:rsidRPr="0004576F">
        <w:rPr>
          <w:i/>
        </w:rPr>
        <w:t>Lord Lie</w:t>
      </w:r>
      <w:r w:rsidRPr="0004576F">
        <w:rPr>
          <w:i/>
        </w:rPr>
        <w:t>u</w:t>
      </w:r>
      <w:r w:rsidRPr="0004576F">
        <w:rPr>
          <w:i/>
        </w:rPr>
        <w:t>tenant</w:t>
      </w:r>
      <w:r w:rsidRPr="0004576F">
        <w:t xml:space="preserve"> commande la milice locale. Il nomme les </w:t>
      </w:r>
      <w:r w:rsidRPr="0004576F">
        <w:rPr>
          <w:i/>
        </w:rPr>
        <w:t>Deputy Lieutenants</w:t>
      </w:r>
      <w:r w:rsidRPr="0004576F">
        <w:t>, mais est lui-même désigné par la Couronne et normal</w:t>
      </w:r>
      <w:r w:rsidRPr="0004576F">
        <w:t>e</w:t>
      </w:r>
      <w:r w:rsidRPr="0004576F">
        <w:t>ment ne choisit un adjoint qu’en accord avec celle-ci.</w:t>
      </w:r>
    </w:p>
  </w:footnote>
  <w:footnote w:id="526">
    <w:p w14:paraId="34A76C0C" w14:textId="77777777" w:rsidR="00B01930" w:rsidRDefault="00B01930">
      <w:pPr>
        <w:pStyle w:val="Notedebasdepage"/>
      </w:pPr>
      <w:r>
        <w:rPr>
          <w:rStyle w:val="Appelnotedebasdep"/>
        </w:rPr>
        <w:footnoteRef/>
      </w:r>
      <w:r>
        <w:t xml:space="preserve"> </w:t>
      </w:r>
      <w:r>
        <w:tab/>
      </w:r>
      <w:r w:rsidRPr="0004576F">
        <w:rPr>
          <w:i/>
        </w:rPr>
        <w:t>Parliaments and English Politics</w:t>
      </w:r>
      <w:r w:rsidRPr="0004576F">
        <w:t>…, p. 6. Cela  est  remarquablement  montré  dans Th</w:t>
      </w:r>
      <w:r w:rsidRPr="0004576F">
        <w:t>o</w:t>
      </w:r>
      <w:r w:rsidRPr="0004576F">
        <w:t xml:space="preserve">mas Garden Barnes, </w:t>
      </w:r>
      <w:r w:rsidRPr="0004576F">
        <w:rPr>
          <w:i/>
        </w:rPr>
        <w:t>Somerset 1625-1640 : A County’s Government during the “Personal Rule”</w:t>
      </w:r>
      <w:r w:rsidRPr="0004576F">
        <w:t>, Cambridge (Mass.), Harvard Un</w:t>
      </w:r>
      <w:r w:rsidRPr="0004576F">
        <w:t>i</w:t>
      </w:r>
      <w:r w:rsidRPr="0004576F">
        <w:t>versity Press, 1961.</w:t>
      </w:r>
    </w:p>
  </w:footnote>
  <w:footnote w:id="527">
    <w:p w14:paraId="15E8C847" w14:textId="77777777" w:rsidR="00B01930" w:rsidRDefault="00B01930">
      <w:pPr>
        <w:pStyle w:val="Notedebasdepage"/>
      </w:pPr>
      <w:r>
        <w:rPr>
          <w:rStyle w:val="Appelnotedebasdep"/>
        </w:rPr>
        <w:footnoteRef/>
      </w:r>
      <w:r>
        <w:t xml:space="preserve"> </w:t>
      </w:r>
      <w:r>
        <w:tab/>
      </w:r>
      <w:r w:rsidRPr="0004576F">
        <w:t xml:space="preserve">Il s’agit du fameux débat sur la montée ou le déclin de la </w:t>
      </w:r>
      <w:r w:rsidRPr="0004576F">
        <w:rPr>
          <w:i/>
        </w:rPr>
        <w:t>gentry</w:t>
      </w:r>
      <w:r w:rsidRPr="0004576F">
        <w:t>. Il a été à l’origine d’un nombre très important d’études économiques et sociales de l’Angleterre entre le milieu du XVI</w:t>
      </w:r>
      <w:r w:rsidRPr="0004576F">
        <w:rPr>
          <w:vertAlign w:val="superscript"/>
        </w:rPr>
        <w:t>e</w:t>
      </w:r>
      <w:r w:rsidRPr="0004576F">
        <w:t xml:space="preserve"> et le milieu du XVII</w:t>
      </w:r>
      <w:r w:rsidRPr="0004576F">
        <w:rPr>
          <w:vertAlign w:val="superscript"/>
        </w:rPr>
        <w:t>e</w:t>
      </w:r>
      <w:r w:rsidRPr="0004576F">
        <w:t xml:space="preserve"> siècle, aux apports très féconds, mais l’objectif de départ pr</w:t>
      </w:r>
      <w:r w:rsidRPr="0004576F">
        <w:t>o</w:t>
      </w:r>
      <w:r w:rsidRPr="0004576F">
        <w:t>posé par R.H.Tawney : expliquer la révolution et la guerre civile par des transformations économiques et sociales n’a jamais été atteint. J’ai abordé la question dans « Religion, économie et Révolution. La Révolution de 1640 en Angleterre : retour à Guizot et à Gard</w:t>
      </w:r>
      <w:r w:rsidRPr="0004576F">
        <w:t>i</w:t>
      </w:r>
      <w:r w:rsidRPr="0004576F">
        <w:t xml:space="preserve">ner ? », dans Jean-Pierre Bardet et Madeleine Foisil (dir.), </w:t>
      </w:r>
      <w:r w:rsidRPr="0004576F">
        <w:rPr>
          <w:i/>
        </w:rPr>
        <w:t>La Vie, la mort, la foi, le temps. Mélanges offerts à Pierre Chaunu</w:t>
      </w:r>
      <w:r w:rsidRPr="0004576F">
        <w:t>, P</w:t>
      </w:r>
      <w:r w:rsidRPr="0004576F">
        <w:t>a</w:t>
      </w:r>
      <w:r w:rsidRPr="0004576F">
        <w:t>ris, P</w:t>
      </w:r>
      <w:r w:rsidRPr="0004576F">
        <w:rPr>
          <w:smallCaps/>
        </w:rPr>
        <w:t>uf</w:t>
      </w:r>
      <w:r w:rsidRPr="0004576F">
        <w:t>, 1993, p. 745-758.</w:t>
      </w:r>
    </w:p>
  </w:footnote>
  <w:footnote w:id="528">
    <w:p w14:paraId="1E57FCF3" w14:textId="77777777" w:rsidR="00B01930" w:rsidRDefault="00B01930">
      <w:pPr>
        <w:pStyle w:val="Notedebasdepage"/>
      </w:pPr>
      <w:r>
        <w:rPr>
          <w:rStyle w:val="Appelnotedebasdep"/>
        </w:rPr>
        <w:footnoteRef/>
      </w:r>
      <w:r>
        <w:t xml:space="preserve"> </w:t>
      </w:r>
      <w:r>
        <w:tab/>
      </w:r>
      <w:r w:rsidRPr="0004576F">
        <w:t>Cela amène Conrad Russell à souligner le caractère extraordina</w:t>
      </w:r>
      <w:r w:rsidRPr="0004576F">
        <w:t>i</w:t>
      </w:r>
      <w:r w:rsidRPr="0004576F">
        <w:t>re et tout à fait contingent des événements de 1640 et des années su</w:t>
      </w:r>
      <w:r w:rsidRPr="0004576F">
        <w:t>i</w:t>
      </w:r>
      <w:r w:rsidRPr="0004576F">
        <w:t>vantes.</w:t>
      </w:r>
    </w:p>
  </w:footnote>
  <w:footnote w:id="529">
    <w:p w14:paraId="308FAFC0" w14:textId="77777777" w:rsidR="00B01930" w:rsidRDefault="00B01930">
      <w:pPr>
        <w:pStyle w:val="Notedebasdepage"/>
      </w:pPr>
      <w:r>
        <w:rPr>
          <w:rStyle w:val="Appelnotedebasdep"/>
        </w:rPr>
        <w:footnoteRef/>
      </w:r>
      <w:r>
        <w:t xml:space="preserve"> </w:t>
      </w:r>
      <w:r>
        <w:tab/>
      </w:r>
      <w:r w:rsidRPr="0004576F">
        <w:t xml:space="preserve">John Robert Maddicott, </w:t>
      </w:r>
      <w:r w:rsidRPr="0004576F">
        <w:rPr>
          <w:i/>
        </w:rPr>
        <w:t>The Origins of the English Parliament 924-1327</w:t>
      </w:r>
      <w:r w:rsidRPr="0004576F">
        <w:t>, O</w:t>
      </w:r>
      <w:r w:rsidRPr="0004576F">
        <w:t>x</w:t>
      </w:r>
      <w:r w:rsidRPr="0004576F">
        <w:t>ford, Oxford University Press, 2010, p. VII.</w:t>
      </w:r>
    </w:p>
  </w:footnote>
  <w:footnote w:id="530">
    <w:p w14:paraId="13561871" w14:textId="77777777" w:rsidR="00B01930" w:rsidRDefault="00B01930">
      <w:pPr>
        <w:pStyle w:val="Notedebasdepage"/>
      </w:pPr>
      <w:r>
        <w:rPr>
          <w:rStyle w:val="Appelnotedebasdep"/>
        </w:rPr>
        <w:footnoteRef/>
      </w:r>
      <w:r>
        <w:t xml:space="preserve"> </w:t>
      </w:r>
      <w:r>
        <w:tab/>
      </w:r>
      <w:r w:rsidRPr="0004576F">
        <w:rPr>
          <w:i/>
        </w:rPr>
        <w:t xml:space="preserve">Ibidem, </w:t>
      </w:r>
      <w:r w:rsidRPr="0004576F">
        <w:t>p. 1.</w:t>
      </w:r>
    </w:p>
  </w:footnote>
  <w:footnote w:id="531">
    <w:p w14:paraId="68F469A9" w14:textId="77777777" w:rsidR="00B01930" w:rsidRDefault="00B01930">
      <w:pPr>
        <w:pStyle w:val="Notedebasdepage"/>
      </w:pPr>
      <w:r>
        <w:rPr>
          <w:rStyle w:val="Appelnotedebasdep"/>
        </w:rPr>
        <w:footnoteRef/>
      </w:r>
      <w:r>
        <w:t xml:space="preserve"> </w:t>
      </w:r>
      <w:r>
        <w:tab/>
      </w:r>
      <w:r w:rsidRPr="0004576F">
        <w:rPr>
          <w:i/>
        </w:rPr>
        <w:t xml:space="preserve">Ibidem, </w:t>
      </w:r>
      <w:r w:rsidRPr="0004576F">
        <w:t>p. 49.</w:t>
      </w:r>
    </w:p>
  </w:footnote>
  <w:footnote w:id="532">
    <w:p w14:paraId="03866498" w14:textId="77777777" w:rsidR="00B01930" w:rsidRDefault="00B01930">
      <w:pPr>
        <w:pStyle w:val="Notedebasdepage"/>
      </w:pPr>
      <w:r>
        <w:rPr>
          <w:rStyle w:val="Appelnotedebasdep"/>
        </w:rPr>
        <w:footnoteRef/>
      </w:r>
      <w:r>
        <w:t xml:space="preserve"> </w:t>
      </w:r>
      <w:r>
        <w:tab/>
      </w:r>
      <w:r w:rsidRPr="0004576F">
        <w:rPr>
          <w:i/>
        </w:rPr>
        <w:t>Ibidem,</w:t>
      </w:r>
      <w:r w:rsidRPr="0004576F">
        <w:t xml:space="preserve"> p. 393.</w:t>
      </w:r>
    </w:p>
  </w:footnote>
  <w:footnote w:id="533">
    <w:p w14:paraId="55CDD9C8" w14:textId="77777777" w:rsidR="00B01930" w:rsidRDefault="00B01930">
      <w:pPr>
        <w:pStyle w:val="Notedebasdepage"/>
      </w:pPr>
      <w:r>
        <w:rPr>
          <w:rStyle w:val="Appelnotedebasdep"/>
        </w:rPr>
        <w:footnoteRef/>
      </w:r>
      <w:r>
        <w:t xml:space="preserve"> </w:t>
      </w:r>
      <w:r>
        <w:tab/>
      </w:r>
      <w:r w:rsidRPr="0004576F">
        <w:rPr>
          <w:i/>
        </w:rPr>
        <w:t>Ibidem,</w:t>
      </w:r>
      <w:r w:rsidRPr="0004576F">
        <w:t xml:space="preserve"> p. VIII.</w:t>
      </w:r>
    </w:p>
  </w:footnote>
  <w:footnote w:id="534">
    <w:p w14:paraId="5528C132" w14:textId="77777777" w:rsidR="00B01930" w:rsidRDefault="00B01930">
      <w:pPr>
        <w:pStyle w:val="Notedebasdepage"/>
      </w:pPr>
      <w:r>
        <w:rPr>
          <w:rStyle w:val="Appelnotedebasdep"/>
        </w:rPr>
        <w:footnoteRef/>
      </w:r>
      <w:r>
        <w:t xml:space="preserve"> </w:t>
      </w:r>
      <w:r>
        <w:tab/>
      </w:r>
      <w:r w:rsidRPr="0004576F">
        <w:rPr>
          <w:i/>
        </w:rPr>
        <w:t>Ibidem,</w:t>
      </w:r>
      <w:r w:rsidRPr="0004576F">
        <w:t xml:space="preserve"> p. 417.</w:t>
      </w:r>
    </w:p>
  </w:footnote>
  <w:footnote w:id="535">
    <w:p w14:paraId="17887874" w14:textId="77777777" w:rsidR="00B01930" w:rsidRDefault="00B01930">
      <w:pPr>
        <w:pStyle w:val="Notedebasdepage"/>
      </w:pPr>
      <w:r>
        <w:rPr>
          <w:rStyle w:val="Appelnotedebasdep"/>
        </w:rPr>
        <w:footnoteRef/>
      </w:r>
      <w:r>
        <w:t xml:space="preserve"> </w:t>
      </w:r>
      <w:r>
        <w:tab/>
      </w:r>
      <w:r w:rsidRPr="0004576F">
        <w:t>Sur cette question et sur la manière dont Simon de Montfort  transforma les structures et le rôle du Parlement entre 1258 et 1264, on partira de l’excellente mise au point de Nigel Saul, « Simon de Montfort and the Origins of Parli</w:t>
      </w:r>
      <w:r w:rsidRPr="0004576F">
        <w:t>a</w:t>
      </w:r>
      <w:r w:rsidRPr="0004576F">
        <w:t xml:space="preserve">ment », dans </w:t>
      </w:r>
      <w:r w:rsidRPr="0004576F">
        <w:rPr>
          <w:i/>
        </w:rPr>
        <w:t>History Today</w:t>
      </w:r>
      <w:r w:rsidRPr="0004576F">
        <w:t>, juillet 2015, p.18-30.-L’ouvrage de référence re</w:t>
      </w:r>
      <w:r w:rsidRPr="0004576F">
        <w:t>s</w:t>
      </w:r>
      <w:r w:rsidRPr="0004576F">
        <w:t xml:space="preserve">te J. R. Maddicott, </w:t>
      </w:r>
      <w:r w:rsidRPr="0004576F">
        <w:rPr>
          <w:i/>
        </w:rPr>
        <w:t>The Or</w:t>
      </w:r>
      <w:r w:rsidRPr="0004576F">
        <w:rPr>
          <w:i/>
        </w:rPr>
        <w:t>i</w:t>
      </w:r>
      <w:r w:rsidRPr="0004576F">
        <w:rPr>
          <w:i/>
        </w:rPr>
        <w:t>gins of the English Parliament, op. cit</w:t>
      </w:r>
      <w:r w:rsidRPr="0004576F">
        <w:t>.</w:t>
      </w:r>
    </w:p>
  </w:footnote>
  <w:footnote w:id="536">
    <w:p w14:paraId="6981B315" w14:textId="77777777" w:rsidR="00B01930" w:rsidRDefault="00B01930">
      <w:pPr>
        <w:pStyle w:val="Notedebasdepage"/>
      </w:pPr>
      <w:r>
        <w:rPr>
          <w:rStyle w:val="Appelnotedebasdep"/>
        </w:rPr>
        <w:footnoteRef/>
      </w:r>
      <w:r>
        <w:t xml:space="preserve"> </w:t>
      </w:r>
      <w:r>
        <w:tab/>
      </w:r>
      <w:r w:rsidRPr="0004576F">
        <w:t xml:space="preserve">Ils appartiennent à la </w:t>
      </w:r>
      <w:r w:rsidRPr="0004576F">
        <w:rPr>
          <w:i/>
        </w:rPr>
        <w:t>gentry</w:t>
      </w:r>
      <w:r w:rsidRPr="0004576F">
        <w:t>.</w:t>
      </w:r>
    </w:p>
  </w:footnote>
  <w:footnote w:id="537">
    <w:p w14:paraId="2FC02EA1" w14:textId="77777777" w:rsidR="00B01930" w:rsidRDefault="00B01930">
      <w:pPr>
        <w:pStyle w:val="Notedebasdepage"/>
      </w:pPr>
      <w:r>
        <w:rPr>
          <w:rStyle w:val="Appelnotedebasdep"/>
        </w:rPr>
        <w:footnoteRef/>
      </w:r>
      <w:r>
        <w:t xml:space="preserve"> </w:t>
      </w:r>
      <w:r>
        <w:tab/>
      </w:r>
      <w:r w:rsidRPr="0004576F">
        <w:rPr>
          <w:i/>
        </w:rPr>
        <w:t>The Origins of the English Parliament</w:t>
      </w:r>
      <w:r w:rsidRPr="0004576F">
        <w:t>, p. 378.</w:t>
      </w:r>
    </w:p>
  </w:footnote>
  <w:footnote w:id="538">
    <w:p w14:paraId="7AC9B5F2" w14:textId="77777777" w:rsidR="00B01930" w:rsidRDefault="00B01930">
      <w:pPr>
        <w:pStyle w:val="Notedebasdepage"/>
      </w:pPr>
      <w:r>
        <w:rPr>
          <w:rStyle w:val="Appelnotedebasdep"/>
        </w:rPr>
        <w:footnoteRef/>
      </w:r>
      <w:r>
        <w:t xml:space="preserve"> </w:t>
      </w:r>
      <w:r>
        <w:tab/>
      </w:r>
      <w:r w:rsidRPr="0004576F">
        <w:t>J. R. Maddicott emploie cette expression – p. 382-383 – pour d</w:t>
      </w:r>
      <w:r w:rsidRPr="0004576F">
        <w:t>é</w:t>
      </w:r>
      <w:r w:rsidRPr="0004576F">
        <w:t>signer l’existence dans le royaume de France de grands pouvoirs féodaux provi</w:t>
      </w:r>
      <w:r w:rsidRPr="0004576F">
        <w:t>n</w:t>
      </w:r>
      <w:r w:rsidRPr="0004576F">
        <w:t>ciaux. Il est clair que les grands aristocrates anglais n’ont pas à la fin du XV</w:t>
      </w:r>
      <w:r w:rsidRPr="0004576F">
        <w:rPr>
          <w:vertAlign w:val="superscript"/>
        </w:rPr>
        <w:t>e</w:t>
      </w:r>
      <w:r w:rsidRPr="0004576F">
        <w:t xml:space="preserve"> et au début du XVI</w:t>
      </w:r>
      <w:r w:rsidRPr="0004576F">
        <w:rPr>
          <w:vertAlign w:val="superscript"/>
        </w:rPr>
        <w:t>e</w:t>
      </w:r>
      <w:r w:rsidRPr="0004576F">
        <w:t xml:space="preserve"> siècle l’assise territoriale qu’ont les « grands magnats français » dont le pouvoir reste encore considérable au début du XVII</w:t>
      </w:r>
      <w:r w:rsidRPr="0004576F">
        <w:rPr>
          <w:vertAlign w:val="superscript"/>
        </w:rPr>
        <w:t>e</w:t>
      </w:r>
      <w:r w:rsidRPr="0004576F">
        <w:t xml:space="preserve"> siècle, ce qui explique la lutte de R</w:t>
      </w:r>
      <w:r w:rsidRPr="0004576F">
        <w:t>i</w:t>
      </w:r>
      <w:r w:rsidRPr="0004576F">
        <w:t xml:space="preserve">chelieu et de </w:t>
      </w:r>
      <w:r>
        <w:t>Louis X</w:t>
      </w:r>
      <w:r w:rsidRPr="0004576F">
        <w:t xml:space="preserve">III contre les « Grands », mais aussi la Fronde nobiliaire. La différence est bien soulignée par Penry Williams dans </w:t>
      </w:r>
      <w:r w:rsidRPr="0004576F">
        <w:rPr>
          <w:i/>
        </w:rPr>
        <w:t>The Tudor</w:t>
      </w:r>
      <w:r w:rsidRPr="0004576F">
        <w:t xml:space="preserve"> </w:t>
      </w:r>
      <w:r w:rsidRPr="0004576F">
        <w:rPr>
          <w:i/>
        </w:rPr>
        <w:t>Regime</w:t>
      </w:r>
      <w:r w:rsidRPr="0004576F">
        <w:t>, Oxford, Clarendon Press, 1979, p. 4-6.</w:t>
      </w:r>
    </w:p>
  </w:footnote>
  <w:footnote w:id="539">
    <w:p w14:paraId="2755EE7D" w14:textId="77777777" w:rsidR="00B01930" w:rsidRDefault="00B01930">
      <w:pPr>
        <w:pStyle w:val="Notedebasdepage"/>
      </w:pPr>
      <w:r>
        <w:rPr>
          <w:rStyle w:val="Appelnotedebasdep"/>
        </w:rPr>
        <w:footnoteRef/>
      </w:r>
      <w:r>
        <w:t xml:space="preserve"> </w:t>
      </w:r>
      <w:r>
        <w:tab/>
      </w:r>
      <w:r w:rsidRPr="0004576F">
        <w:t xml:space="preserve">D. Loades, </w:t>
      </w:r>
      <w:r w:rsidRPr="0004576F">
        <w:rPr>
          <w:i/>
        </w:rPr>
        <w:t>Power in Tudor England</w:t>
      </w:r>
      <w:r w:rsidRPr="0004576F">
        <w:t>,  Basingstoke and London,  Macmillan Press, 1997, p. 1.</w:t>
      </w:r>
    </w:p>
  </w:footnote>
  <w:footnote w:id="540">
    <w:p w14:paraId="26AB08B4" w14:textId="77777777" w:rsidR="00B01930" w:rsidRDefault="00B01930">
      <w:pPr>
        <w:pStyle w:val="Notedebasdepage"/>
      </w:pPr>
      <w:r>
        <w:rPr>
          <w:rStyle w:val="Appelnotedebasdep"/>
        </w:rPr>
        <w:footnoteRef/>
      </w:r>
      <w:r>
        <w:t xml:space="preserve"> </w:t>
      </w:r>
      <w:r>
        <w:tab/>
      </w:r>
      <w:r w:rsidRPr="0004576F">
        <w:t xml:space="preserve">La bibliographie concernant la Grande Charte est considérable. L’ouvrage de référence reste James C. Holt, </w:t>
      </w:r>
      <w:r w:rsidRPr="0004576F">
        <w:rPr>
          <w:i/>
        </w:rPr>
        <w:t>Magna Carta</w:t>
      </w:r>
      <w:r w:rsidRPr="0004576F">
        <w:t>, Cambridge, Cambridge Unive</w:t>
      </w:r>
      <w:r w:rsidRPr="0004576F">
        <w:t>r</w:t>
      </w:r>
      <w:r w:rsidRPr="0004576F">
        <w:t xml:space="preserve">sity Press, 1992. On peut le compléter par l’ouvrage richement illustré, avec les différentes versions du texte, de David Starkey, </w:t>
      </w:r>
      <w:r w:rsidRPr="0004576F">
        <w:rPr>
          <w:i/>
        </w:rPr>
        <w:t>Magna Carta : The M</w:t>
      </w:r>
      <w:r w:rsidRPr="0004576F">
        <w:rPr>
          <w:i/>
        </w:rPr>
        <w:t>e</w:t>
      </w:r>
      <w:r w:rsidRPr="0004576F">
        <w:rPr>
          <w:i/>
        </w:rPr>
        <w:t>dieval  Roots of Modern</w:t>
      </w:r>
      <w:r w:rsidRPr="0004576F">
        <w:t xml:space="preserve"> </w:t>
      </w:r>
      <w:r w:rsidRPr="0004576F">
        <w:rPr>
          <w:i/>
        </w:rPr>
        <w:t>Pol</w:t>
      </w:r>
      <w:r w:rsidRPr="0004576F">
        <w:rPr>
          <w:i/>
        </w:rPr>
        <w:t>i</w:t>
      </w:r>
      <w:r w:rsidRPr="0004576F">
        <w:rPr>
          <w:i/>
        </w:rPr>
        <w:t>tics</w:t>
      </w:r>
      <w:r w:rsidRPr="0004576F">
        <w:t xml:space="preserve">, New York-London, Quercus,2015, et surtout par Claire Breay and Julian Harrison (dir.), </w:t>
      </w:r>
      <w:r w:rsidRPr="0004576F">
        <w:rPr>
          <w:i/>
        </w:rPr>
        <w:t>Magna Carta </w:t>
      </w:r>
      <w:r w:rsidRPr="0004576F">
        <w:t xml:space="preserve">: </w:t>
      </w:r>
      <w:r w:rsidRPr="0004576F">
        <w:rPr>
          <w:i/>
        </w:rPr>
        <w:t>Law,</w:t>
      </w:r>
      <w:r w:rsidRPr="0004576F">
        <w:t xml:space="preserve"> </w:t>
      </w:r>
      <w:r w:rsidRPr="0004576F">
        <w:rPr>
          <w:i/>
        </w:rPr>
        <w:t>Liberty, L</w:t>
      </w:r>
      <w:r w:rsidRPr="0004576F">
        <w:rPr>
          <w:i/>
        </w:rPr>
        <w:t>e</w:t>
      </w:r>
      <w:r w:rsidRPr="0004576F">
        <w:rPr>
          <w:i/>
        </w:rPr>
        <w:t>gacy</w:t>
      </w:r>
      <w:r w:rsidRPr="0004576F">
        <w:t>, Londres, The British Library, 2015 ; ce dernier ouvrage constitue le c</w:t>
      </w:r>
      <w:r w:rsidRPr="0004576F">
        <w:t>a</w:t>
      </w:r>
      <w:r w:rsidRPr="0004576F">
        <w:t xml:space="preserve">talogue, augmenté de plusieurs contributions, de l’exposition organisée par la </w:t>
      </w:r>
      <w:r w:rsidRPr="0004576F">
        <w:rPr>
          <w:i/>
        </w:rPr>
        <w:t>Br</w:t>
      </w:r>
      <w:r w:rsidRPr="0004576F">
        <w:rPr>
          <w:i/>
        </w:rPr>
        <w:t>i</w:t>
      </w:r>
      <w:r w:rsidRPr="0004576F">
        <w:rPr>
          <w:i/>
        </w:rPr>
        <w:t>tish Library</w:t>
      </w:r>
      <w:r w:rsidRPr="0004576F">
        <w:t xml:space="preserve"> à l’occasion du huitième centenaire de la </w:t>
      </w:r>
      <w:r w:rsidRPr="0004576F">
        <w:rPr>
          <w:i/>
        </w:rPr>
        <w:t>Magna Carta</w:t>
      </w:r>
      <w:r w:rsidRPr="0004576F">
        <w:t>.</w:t>
      </w:r>
    </w:p>
  </w:footnote>
  <w:footnote w:id="541">
    <w:p w14:paraId="0A79AC53" w14:textId="77777777" w:rsidR="00B01930" w:rsidRDefault="00B01930">
      <w:pPr>
        <w:pStyle w:val="Notedebasdepage"/>
      </w:pPr>
      <w:r>
        <w:rPr>
          <w:rStyle w:val="Appelnotedebasdep"/>
        </w:rPr>
        <w:footnoteRef/>
      </w:r>
      <w:r>
        <w:t xml:space="preserve"> </w:t>
      </w:r>
      <w:r>
        <w:tab/>
      </w:r>
      <w:r w:rsidRPr="0004576F">
        <w:t>Ce n’est pas l’existence d’une assemblée nationale auprès du souverain qui est originale mais la participation étroite à l’administration, voire au gouvern</w:t>
      </w:r>
      <w:r w:rsidRPr="0004576F">
        <w:t>e</w:t>
      </w:r>
      <w:r w:rsidRPr="0004576F">
        <w:t>ment du royaume. Vision très nuancée et très complète, peut-être néanmoins insuffisamment sens</w:t>
      </w:r>
      <w:r w:rsidRPr="0004576F">
        <w:t>i</w:t>
      </w:r>
      <w:r w:rsidRPr="0004576F">
        <w:t xml:space="preserve">ble à l’originalité anglaise, ce qui surprend, dans Michaël A.R.Graves, </w:t>
      </w:r>
      <w:r w:rsidRPr="0004576F">
        <w:rPr>
          <w:i/>
        </w:rPr>
        <w:t>The</w:t>
      </w:r>
      <w:r w:rsidRPr="0004576F">
        <w:t xml:space="preserve"> </w:t>
      </w:r>
      <w:r w:rsidRPr="0004576F">
        <w:rPr>
          <w:i/>
        </w:rPr>
        <w:t>Parliaments of Early Modern Europe</w:t>
      </w:r>
      <w:r w:rsidRPr="0004576F">
        <w:t>, London, Longman, 2001.</w:t>
      </w:r>
    </w:p>
  </w:footnote>
  <w:footnote w:id="542">
    <w:p w14:paraId="78D491D7" w14:textId="77777777" w:rsidR="00B01930" w:rsidRDefault="00B01930">
      <w:pPr>
        <w:pStyle w:val="Notedebasdepage"/>
      </w:pPr>
      <w:r>
        <w:rPr>
          <w:rStyle w:val="Appelnotedebasdep"/>
        </w:rPr>
        <w:footnoteRef/>
      </w:r>
      <w:r>
        <w:t xml:space="preserve"> </w:t>
      </w:r>
      <w:r>
        <w:tab/>
      </w:r>
      <w:r w:rsidRPr="0004576F">
        <w:t>Sir John Fortescue (vers 1394-vers 1480) fut un des grands off</w:t>
      </w:r>
      <w:r w:rsidRPr="0004576F">
        <w:t>i</w:t>
      </w:r>
      <w:r w:rsidRPr="0004576F">
        <w:t>ciers royaux de l’Angleterre durant  la seconde moitié du XIV</w:t>
      </w:r>
      <w:r w:rsidRPr="0004576F">
        <w:rPr>
          <w:vertAlign w:val="superscript"/>
        </w:rPr>
        <w:t>e</w:t>
      </w:r>
      <w:r w:rsidRPr="0004576F">
        <w:t xml:space="preserve"> siècle puisqu’il fut à la fois </w:t>
      </w:r>
      <w:r w:rsidRPr="0004576F">
        <w:rPr>
          <w:i/>
        </w:rPr>
        <w:t>Lord Chief Justice</w:t>
      </w:r>
      <w:r w:rsidRPr="0004576F">
        <w:t xml:space="preserve"> et </w:t>
      </w:r>
      <w:r w:rsidRPr="0004576F">
        <w:rPr>
          <w:i/>
        </w:rPr>
        <w:t>Lord Chancelier</w:t>
      </w:r>
      <w:r w:rsidRPr="0004576F">
        <w:t>. D’abord au service des La</w:t>
      </w:r>
      <w:r w:rsidRPr="0004576F">
        <w:t>n</w:t>
      </w:r>
      <w:r w:rsidRPr="0004576F">
        <w:t>castre, il le fut après 1471 à celui d’Edouard IV d’York. Ses travaux furent très impo</w:t>
      </w:r>
      <w:r w:rsidRPr="0004576F">
        <w:t>r</w:t>
      </w:r>
      <w:r w:rsidRPr="0004576F">
        <w:t>tants puisque d’une part il définit l’Angleterre comme un « </w:t>
      </w:r>
      <w:r w:rsidRPr="0004576F">
        <w:rPr>
          <w:i/>
        </w:rPr>
        <w:t>dominium polit</w:t>
      </w:r>
      <w:r w:rsidRPr="0004576F">
        <w:rPr>
          <w:i/>
        </w:rPr>
        <w:t>i</w:t>
      </w:r>
      <w:r w:rsidRPr="0004576F">
        <w:rPr>
          <w:i/>
        </w:rPr>
        <w:t>cum et regale</w:t>
      </w:r>
      <w:r w:rsidRPr="0004576F">
        <w:t xml:space="preserve"> », c’est-à-dire sans autre pouvoir au-dessus de son souverain, et que d’autre part il souligna  qu’elle était une </w:t>
      </w:r>
      <w:r w:rsidRPr="0004576F">
        <w:rPr>
          <w:i/>
        </w:rPr>
        <w:t>mixed mona</w:t>
      </w:r>
      <w:r w:rsidRPr="0004576F">
        <w:rPr>
          <w:i/>
        </w:rPr>
        <w:t>r</w:t>
      </w:r>
      <w:r w:rsidRPr="0004576F">
        <w:rPr>
          <w:i/>
        </w:rPr>
        <w:t>chy</w:t>
      </w:r>
      <w:r w:rsidRPr="0004576F">
        <w:t>, autrement dit une « monarchie mixte », le roi gouvernant avec l’aide du Grand Conseil et du Parlement.</w:t>
      </w:r>
    </w:p>
  </w:footnote>
  <w:footnote w:id="543">
    <w:p w14:paraId="0DEBCCF6" w14:textId="77777777" w:rsidR="00B01930" w:rsidRDefault="00B01930">
      <w:pPr>
        <w:pStyle w:val="Notedebasdepage"/>
      </w:pPr>
      <w:r>
        <w:rPr>
          <w:rStyle w:val="Appelnotedebasdep"/>
        </w:rPr>
        <w:footnoteRef/>
      </w:r>
      <w:r>
        <w:t xml:space="preserve"> </w:t>
      </w:r>
      <w:r>
        <w:tab/>
      </w:r>
      <w:r w:rsidRPr="0004576F">
        <w:t xml:space="preserve">Cette analyse de l’ouvrage de Fortescue est  tirée de John Guy, </w:t>
      </w:r>
      <w:r w:rsidRPr="0004576F">
        <w:rPr>
          <w:i/>
        </w:rPr>
        <w:t>Tudor E</w:t>
      </w:r>
      <w:r w:rsidRPr="0004576F">
        <w:rPr>
          <w:i/>
        </w:rPr>
        <w:t>n</w:t>
      </w:r>
      <w:r w:rsidRPr="0004576F">
        <w:rPr>
          <w:i/>
        </w:rPr>
        <w:t>gland</w:t>
      </w:r>
      <w:r w:rsidRPr="0004576F">
        <w:t>, Oxford, Oxford University Press, 2</w:t>
      </w:r>
      <w:r w:rsidRPr="0004576F">
        <w:rPr>
          <w:vertAlign w:val="superscript"/>
        </w:rPr>
        <w:t>e</w:t>
      </w:r>
      <w:r w:rsidRPr="0004576F">
        <w:t xml:space="preserve"> éd., 1990, p. 4-5, et p. 28.</w:t>
      </w:r>
    </w:p>
  </w:footnote>
  <w:footnote w:id="544">
    <w:p w14:paraId="2A22A38E" w14:textId="77777777" w:rsidR="00B01930" w:rsidRDefault="00B01930">
      <w:pPr>
        <w:pStyle w:val="Notedebasdepage"/>
      </w:pPr>
      <w:r>
        <w:rPr>
          <w:rStyle w:val="Appelnotedebasdep"/>
        </w:rPr>
        <w:footnoteRef/>
      </w:r>
      <w:r>
        <w:t xml:space="preserve"> </w:t>
      </w:r>
      <w:r>
        <w:tab/>
      </w:r>
      <w:r w:rsidRPr="0004576F">
        <w:t xml:space="preserve">Sir John Fortescue, </w:t>
      </w:r>
      <w:r w:rsidRPr="0004576F">
        <w:rPr>
          <w:i/>
        </w:rPr>
        <w:t>The Governance of England</w:t>
      </w:r>
      <w:r w:rsidRPr="0004576F">
        <w:t>, Charles Plummer éd., Lo</w:t>
      </w:r>
      <w:r w:rsidRPr="0004576F">
        <w:t>n</w:t>
      </w:r>
      <w:r w:rsidRPr="0004576F">
        <w:t>don, Oxford University Press, 1885.</w:t>
      </w:r>
    </w:p>
  </w:footnote>
  <w:footnote w:id="545">
    <w:p w14:paraId="0DE93C2E" w14:textId="77777777" w:rsidR="00B01930" w:rsidRDefault="00B01930">
      <w:pPr>
        <w:pStyle w:val="Notedebasdepage"/>
      </w:pPr>
      <w:r>
        <w:rPr>
          <w:rStyle w:val="Appelnotedebasdep"/>
        </w:rPr>
        <w:footnoteRef/>
      </w:r>
      <w:r>
        <w:t xml:space="preserve"> </w:t>
      </w:r>
      <w:r>
        <w:tab/>
      </w:r>
      <w:r w:rsidRPr="0004576F">
        <w:t xml:space="preserve">Michael A.R.Graves, </w:t>
      </w:r>
      <w:r w:rsidRPr="0004576F">
        <w:rPr>
          <w:i/>
        </w:rPr>
        <w:t>The Tudors Parliaments : Crown, Lords and Commons 1485-1603</w:t>
      </w:r>
      <w:r w:rsidRPr="0004576F">
        <w:t>, London and New York, Longman, 1985, p. 7.</w:t>
      </w:r>
    </w:p>
  </w:footnote>
  <w:footnote w:id="546">
    <w:p w14:paraId="47B67006" w14:textId="77777777" w:rsidR="00B01930" w:rsidRDefault="00B01930">
      <w:pPr>
        <w:pStyle w:val="Notedebasdepage"/>
      </w:pPr>
      <w:r>
        <w:rPr>
          <w:rStyle w:val="Appelnotedebasdep"/>
        </w:rPr>
        <w:footnoteRef/>
      </w:r>
      <w:r>
        <w:t xml:space="preserve"> </w:t>
      </w:r>
      <w:r>
        <w:tab/>
      </w:r>
      <w:r w:rsidRPr="0004576F">
        <w:t xml:space="preserve">Derek Hirst, </w:t>
      </w:r>
      <w:r w:rsidRPr="0004576F">
        <w:rPr>
          <w:i/>
        </w:rPr>
        <w:t>Authority and Conflict : England 1603-1658</w:t>
      </w:r>
      <w:r w:rsidRPr="0004576F">
        <w:t>, Lo</w:t>
      </w:r>
      <w:r w:rsidRPr="0004576F">
        <w:t>n</w:t>
      </w:r>
      <w:r w:rsidRPr="0004576F">
        <w:t>don, Edward Arnold, 1986, p. 26-27.</w:t>
      </w:r>
    </w:p>
  </w:footnote>
  <w:footnote w:id="547">
    <w:p w14:paraId="3CF482AD" w14:textId="77777777" w:rsidR="00B01930" w:rsidRDefault="00B01930">
      <w:pPr>
        <w:pStyle w:val="Notedebasdepage"/>
      </w:pPr>
      <w:r>
        <w:rPr>
          <w:rStyle w:val="Appelnotedebasdep"/>
        </w:rPr>
        <w:footnoteRef/>
      </w:r>
      <w:r>
        <w:t xml:space="preserve"> </w:t>
      </w:r>
      <w:r>
        <w:tab/>
      </w:r>
      <w:r w:rsidRPr="0004576F">
        <w:t xml:space="preserve">Ce terme est ce que l’on appelle un faux ami : la </w:t>
      </w:r>
      <w:r w:rsidRPr="0004576F">
        <w:rPr>
          <w:i/>
        </w:rPr>
        <w:t>nobility</w:t>
      </w:r>
      <w:r w:rsidRPr="0004576F">
        <w:t xml:space="preserve"> anglaise, ce sont les Pairs, autrement dit les </w:t>
      </w:r>
      <w:r w:rsidRPr="0004576F">
        <w:rPr>
          <w:i/>
        </w:rPr>
        <w:t>Lords</w:t>
      </w:r>
      <w:r w:rsidRPr="0004576F">
        <w:t>, et eux seuls, qui constituent donc une aristocr</w:t>
      </w:r>
      <w:r w:rsidRPr="0004576F">
        <w:t>a</w:t>
      </w:r>
      <w:r w:rsidRPr="0004576F">
        <w:t>tie. En dessous se s</w:t>
      </w:r>
      <w:r w:rsidRPr="0004576F">
        <w:t>i</w:t>
      </w:r>
      <w:r w:rsidRPr="0004576F">
        <w:t xml:space="preserve">tue la </w:t>
      </w:r>
      <w:r w:rsidRPr="0004576F">
        <w:rPr>
          <w:i/>
        </w:rPr>
        <w:t xml:space="preserve">gentry </w:t>
      </w:r>
      <w:r w:rsidRPr="0004576F">
        <w:t>dont les membres sont nobles eux aussi ; dans une famille de pairs, seul le tit</w:t>
      </w:r>
      <w:r w:rsidRPr="0004576F">
        <w:t>u</w:t>
      </w:r>
      <w:r w:rsidRPr="0004576F">
        <w:t xml:space="preserve">laire est </w:t>
      </w:r>
      <w:r w:rsidRPr="0004576F">
        <w:rPr>
          <w:i/>
        </w:rPr>
        <w:t>Lord</w:t>
      </w:r>
      <w:r w:rsidRPr="0004576F">
        <w:t xml:space="preserve">, même le fils aîné n’est du vivant de son père qu’un </w:t>
      </w:r>
      <w:r w:rsidRPr="0004576F">
        <w:rPr>
          <w:i/>
        </w:rPr>
        <w:t>gentleman</w:t>
      </w:r>
      <w:r w:rsidRPr="0004576F">
        <w:t xml:space="preserve">. Voir K.B. Mc Farlane, </w:t>
      </w:r>
      <w:r w:rsidRPr="0004576F">
        <w:rPr>
          <w:i/>
        </w:rPr>
        <w:t>The Nobility of Later Medieval E</w:t>
      </w:r>
      <w:r w:rsidRPr="0004576F">
        <w:rPr>
          <w:i/>
        </w:rPr>
        <w:t>n</w:t>
      </w:r>
      <w:r w:rsidRPr="0004576F">
        <w:rPr>
          <w:i/>
        </w:rPr>
        <w:t>gland,</w:t>
      </w:r>
      <w:r w:rsidRPr="0004576F">
        <w:t xml:space="preserve"> Oxford, Clarendon Press, 1973.</w:t>
      </w:r>
    </w:p>
  </w:footnote>
  <w:footnote w:id="548">
    <w:p w14:paraId="0B46014A" w14:textId="77777777" w:rsidR="00B01930" w:rsidRDefault="00B01930">
      <w:pPr>
        <w:pStyle w:val="Notedebasdepage"/>
      </w:pPr>
      <w:r>
        <w:rPr>
          <w:rStyle w:val="Appelnotedebasdep"/>
        </w:rPr>
        <w:footnoteRef/>
      </w:r>
      <w:r>
        <w:t xml:space="preserve"> </w:t>
      </w:r>
      <w:r>
        <w:tab/>
      </w:r>
      <w:r w:rsidRPr="0004576F">
        <w:t>Encore ne faut-il pas exagérer l’importance de ces liens de clie</w:t>
      </w:r>
      <w:r w:rsidRPr="0004576F">
        <w:t>n</w:t>
      </w:r>
      <w:r w:rsidRPr="0004576F">
        <w:t xml:space="preserve">tèle : d’une part, dans chaque comté la </w:t>
      </w:r>
      <w:r w:rsidRPr="0004576F">
        <w:rPr>
          <w:i/>
        </w:rPr>
        <w:t>gentry</w:t>
      </w:r>
      <w:r w:rsidRPr="0004576F">
        <w:t xml:space="preserve"> est nombreuse ; d’autre part, il y a toujours  dans chacun non pas une mais plusieurs familles dominantes, dont certaines appa</w:t>
      </w:r>
      <w:r w:rsidRPr="0004576F">
        <w:t>r</w:t>
      </w:r>
      <w:r w:rsidRPr="0004576F">
        <w:t xml:space="preserve">tiennent à la </w:t>
      </w:r>
      <w:r w:rsidRPr="0004576F">
        <w:rPr>
          <w:i/>
        </w:rPr>
        <w:t>gentry</w:t>
      </w:r>
      <w:r w:rsidRPr="0004576F">
        <w:t xml:space="preserve"> et non pas à la </w:t>
      </w:r>
      <w:r w:rsidRPr="0004576F">
        <w:rPr>
          <w:i/>
        </w:rPr>
        <w:t>nobility</w:t>
      </w:r>
      <w:r w:rsidRPr="0004576F">
        <w:t xml:space="preserve">, ce qui réduit la force des clientèles des aristocrates : voir à ce sujet l’article très suggestif de Simon Walker, « Autorité des magnats et pouvoir de la </w:t>
      </w:r>
      <w:r w:rsidRPr="0004576F">
        <w:rPr>
          <w:i/>
        </w:rPr>
        <w:t>gentry</w:t>
      </w:r>
      <w:r w:rsidRPr="0004576F">
        <w:t xml:space="preserve"> en Angleterre à la fin du Moyen Age », dans Philippe Contamine (dir.), </w:t>
      </w:r>
      <w:r w:rsidRPr="0004576F">
        <w:rPr>
          <w:i/>
        </w:rPr>
        <w:t>L’État et les</w:t>
      </w:r>
      <w:r w:rsidRPr="0004576F">
        <w:t xml:space="preserve"> </w:t>
      </w:r>
      <w:r w:rsidRPr="0004576F">
        <w:rPr>
          <w:i/>
        </w:rPr>
        <w:t>arist</w:t>
      </w:r>
      <w:r w:rsidRPr="0004576F">
        <w:rPr>
          <w:i/>
        </w:rPr>
        <w:t>o</w:t>
      </w:r>
      <w:r w:rsidRPr="0004576F">
        <w:rPr>
          <w:i/>
        </w:rPr>
        <w:t>craties XII</w:t>
      </w:r>
      <w:r w:rsidRPr="0004576F">
        <w:rPr>
          <w:i/>
          <w:vertAlign w:val="superscript"/>
        </w:rPr>
        <w:t>e</w:t>
      </w:r>
      <w:r w:rsidRPr="0004576F">
        <w:rPr>
          <w:i/>
        </w:rPr>
        <w:t>-XVII</w:t>
      </w:r>
      <w:r w:rsidRPr="0004576F">
        <w:rPr>
          <w:i/>
          <w:vertAlign w:val="superscript"/>
        </w:rPr>
        <w:t>e</w:t>
      </w:r>
      <w:r w:rsidRPr="0004576F">
        <w:rPr>
          <w:i/>
        </w:rPr>
        <w:t xml:space="preserve"> siècle, France, Angleterre, Écosse</w:t>
      </w:r>
      <w:r w:rsidRPr="0004576F">
        <w:t>, Paris, Presses de l’Ecole norm</w:t>
      </w:r>
      <w:r w:rsidRPr="0004576F">
        <w:t>a</w:t>
      </w:r>
      <w:r w:rsidRPr="0004576F">
        <w:t>le sup</w:t>
      </w:r>
      <w:r w:rsidRPr="0004576F">
        <w:t>é</w:t>
      </w:r>
      <w:r w:rsidRPr="0004576F">
        <w:t>rieure,1989, p. 189-212.</w:t>
      </w:r>
    </w:p>
  </w:footnote>
  <w:footnote w:id="549">
    <w:p w14:paraId="17AC3094" w14:textId="77777777" w:rsidR="00B01930" w:rsidRDefault="00B01930">
      <w:pPr>
        <w:pStyle w:val="Notedebasdepage"/>
      </w:pPr>
      <w:r>
        <w:rPr>
          <w:rStyle w:val="Appelnotedebasdep"/>
        </w:rPr>
        <w:footnoteRef/>
      </w:r>
      <w:r>
        <w:t xml:space="preserve"> </w:t>
      </w:r>
      <w:r>
        <w:tab/>
      </w:r>
      <w:r w:rsidRPr="0004576F">
        <w:t xml:space="preserve">P. Williams, </w:t>
      </w:r>
      <w:r w:rsidRPr="0004576F">
        <w:rPr>
          <w:i/>
        </w:rPr>
        <w:t>The Tudor Regime</w:t>
      </w:r>
      <w:r w:rsidRPr="0004576F">
        <w:t>, Oxford, Oxford University Press, 1979, p. 33-34.</w:t>
      </w:r>
    </w:p>
  </w:footnote>
  <w:footnote w:id="550">
    <w:p w14:paraId="43D05630" w14:textId="77777777" w:rsidR="00B01930" w:rsidRDefault="00B01930">
      <w:pPr>
        <w:pStyle w:val="Notedebasdepage"/>
      </w:pPr>
      <w:r>
        <w:rPr>
          <w:rStyle w:val="Appelnotedebasdep"/>
        </w:rPr>
        <w:footnoteRef/>
      </w:r>
      <w:r>
        <w:t xml:space="preserve"> </w:t>
      </w:r>
      <w:r>
        <w:tab/>
      </w:r>
      <w:r w:rsidRPr="0004576F">
        <w:t xml:space="preserve">Les lois votées par le Parlement et  promulguées par le souverain sont des </w:t>
      </w:r>
      <w:r w:rsidRPr="0004576F">
        <w:rPr>
          <w:i/>
        </w:rPr>
        <w:t>Acts</w:t>
      </w:r>
      <w:r w:rsidRPr="0004576F">
        <w:t xml:space="preserve">. Mais le mot </w:t>
      </w:r>
      <w:r w:rsidRPr="0004576F">
        <w:rPr>
          <w:i/>
        </w:rPr>
        <w:t>Statute</w:t>
      </w:r>
      <w:r w:rsidRPr="0004576F">
        <w:t xml:space="preserve"> peut également être employé ; il est en fait plus fr</w:t>
      </w:r>
      <w:r w:rsidRPr="0004576F">
        <w:t>é</w:t>
      </w:r>
      <w:r w:rsidRPr="0004576F">
        <w:t>quent avant le XVII</w:t>
      </w:r>
      <w:r w:rsidRPr="0004576F">
        <w:rPr>
          <w:vertAlign w:val="superscript"/>
        </w:rPr>
        <w:t>e</w:t>
      </w:r>
      <w:r w:rsidRPr="0004576F">
        <w:t xml:space="preserve"> siècle, notamment au Moyen Age.</w:t>
      </w:r>
    </w:p>
  </w:footnote>
  <w:footnote w:id="551">
    <w:p w14:paraId="2A8740A9" w14:textId="77777777" w:rsidR="00B01930" w:rsidRDefault="00B01930">
      <w:pPr>
        <w:pStyle w:val="Notedebasdepage"/>
      </w:pPr>
      <w:r>
        <w:rPr>
          <w:rStyle w:val="Appelnotedebasdep"/>
        </w:rPr>
        <w:footnoteRef/>
      </w:r>
      <w:r>
        <w:t xml:space="preserve"> </w:t>
      </w:r>
      <w:r>
        <w:tab/>
      </w:r>
      <w:r w:rsidRPr="0004576F">
        <w:t xml:space="preserve">Les « Six Articles » fixent la doctrine de l’Église d’Angleterre que vient d’établir </w:t>
      </w:r>
      <w:r>
        <w:t>He</w:t>
      </w:r>
      <w:r>
        <w:t>n</w:t>
      </w:r>
      <w:r>
        <w:t>ry V</w:t>
      </w:r>
      <w:r w:rsidRPr="0004576F">
        <w:t>III. Loin d’adopter le calvinisme, ils sont marqués par un maintien doctrinal sans rupture avec l’Église médiév</w:t>
      </w:r>
      <w:r w:rsidRPr="0004576F">
        <w:t>a</w:t>
      </w:r>
      <w:r w:rsidRPr="0004576F">
        <w:t>le : par exemple, l’article 1 garde la transsubstantiation.</w:t>
      </w:r>
    </w:p>
  </w:footnote>
  <w:footnote w:id="552">
    <w:p w14:paraId="21C86957" w14:textId="77777777" w:rsidR="00B01930" w:rsidRDefault="00B01930">
      <w:pPr>
        <w:pStyle w:val="Notedebasdepage"/>
      </w:pPr>
      <w:r>
        <w:rPr>
          <w:rStyle w:val="Appelnotedebasdep"/>
        </w:rPr>
        <w:footnoteRef/>
      </w:r>
      <w:r>
        <w:t xml:space="preserve"> </w:t>
      </w:r>
      <w:r>
        <w:tab/>
      </w:r>
      <w:r w:rsidRPr="0004576F">
        <w:t xml:space="preserve">Le </w:t>
      </w:r>
      <w:r w:rsidRPr="0004576F">
        <w:rPr>
          <w:i/>
        </w:rPr>
        <w:t>Prayer Book</w:t>
      </w:r>
      <w:r w:rsidRPr="0004576F">
        <w:t xml:space="preserve">, en fait </w:t>
      </w:r>
      <w:r w:rsidRPr="0004576F">
        <w:rPr>
          <w:i/>
        </w:rPr>
        <w:t>Book of Common Prayer</w:t>
      </w:r>
      <w:r w:rsidRPr="0004576F">
        <w:t>, est « le livre de prière commune » de l’Église d’Angleterre, où l’on trouve en partic</w:t>
      </w:r>
      <w:r w:rsidRPr="0004576F">
        <w:t>u</w:t>
      </w:r>
      <w:r w:rsidRPr="0004576F">
        <w:t>lier la liturgie officielle de celle-ci. C’est donc à la fois un catéchisme et un rituel. Le pr</w:t>
      </w:r>
      <w:r w:rsidRPr="0004576F">
        <w:t>e</w:t>
      </w:r>
      <w:r w:rsidRPr="0004576F">
        <w:t>mier, qui date de 1549, est dû à Cranmer, archev</w:t>
      </w:r>
      <w:r w:rsidRPr="0004576F">
        <w:t>ê</w:t>
      </w:r>
      <w:r w:rsidRPr="0004576F">
        <w:t>que de Cantorbery, qui a joué un grand rôle dans l’instauration en Angleterre de la Réforme protesta</w:t>
      </w:r>
      <w:r w:rsidRPr="0004576F">
        <w:t>n</w:t>
      </w:r>
      <w:r w:rsidRPr="0004576F">
        <w:t xml:space="preserve">te ; dès 1552, un second </w:t>
      </w:r>
      <w:r w:rsidRPr="0004576F">
        <w:rPr>
          <w:i/>
        </w:rPr>
        <w:t>Prayer Book</w:t>
      </w:r>
      <w:r w:rsidRPr="0004576F">
        <w:t>, nettement calviniste, a remplacé le premier.</w:t>
      </w:r>
    </w:p>
  </w:footnote>
  <w:footnote w:id="553">
    <w:p w14:paraId="207DEF32" w14:textId="77777777" w:rsidR="00B01930" w:rsidRDefault="00B01930">
      <w:pPr>
        <w:pStyle w:val="Notedebasdepage"/>
      </w:pPr>
      <w:r>
        <w:rPr>
          <w:rStyle w:val="Appelnotedebasdep"/>
        </w:rPr>
        <w:footnoteRef/>
      </w:r>
      <w:r>
        <w:t xml:space="preserve"> </w:t>
      </w:r>
      <w:r>
        <w:tab/>
      </w:r>
      <w:r w:rsidRPr="0004576F">
        <w:t xml:space="preserve">Un </w:t>
      </w:r>
      <w:r w:rsidRPr="0004576F">
        <w:rPr>
          <w:i/>
        </w:rPr>
        <w:t>settlement</w:t>
      </w:r>
      <w:r w:rsidRPr="0004576F">
        <w:t xml:space="preserve"> est le règlement d’une question. En l’espèce, il s’agit pour Él</w:t>
      </w:r>
      <w:r w:rsidRPr="0004576F">
        <w:t>i</w:t>
      </w:r>
      <w:r w:rsidRPr="0004576F">
        <w:t>sabeth d’imposer le règlement d’ensemble de la question religieuse en Anglete</w:t>
      </w:r>
      <w:r w:rsidRPr="0004576F">
        <w:t>r</w:t>
      </w:r>
      <w:r w:rsidRPr="0004576F">
        <w:t>re en fonction de ses choix.</w:t>
      </w:r>
    </w:p>
  </w:footnote>
  <w:footnote w:id="554">
    <w:p w14:paraId="1A4E1AAC" w14:textId="77777777" w:rsidR="00B01930" w:rsidRDefault="00B01930">
      <w:pPr>
        <w:pStyle w:val="Notedebasdepage"/>
      </w:pPr>
      <w:r>
        <w:rPr>
          <w:rStyle w:val="Appelnotedebasdep"/>
        </w:rPr>
        <w:footnoteRef/>
      </w:r>
      <w:r>
        <w:t xml:space="preserve"> </w:t>
      </w:r>
      <w:r>
        <w:tab/>
      </w:r>
      <w:r w:rsidRPr="0004576F">
        <w:t xml:space="preserve">M.A.R. Graves, </w:t>
      </w:r>
      <w:r w:rsidRPr="0004576F">
        <w:rPr>
          <w:i/>
        </w:rPr>
        <w:t>The Tudor Parliaments</w:t>
      </w:r>
      <w:r w:rsidRPr="0004576F">
        <w:t xml:space="preserve">…, </w:t>
      </w:r>
      <w:r w:rsidRPr="0004576F">
        <w:rPr>
          <w:i/>
        </w:rPr>
        <w:t>op. cit</w:t>
      </w:r>
      <w:r w:rsidRPr="0004576F">
        <w:t>., p. 78-79.</w:t>
      </w:r>
    </w:p>
  </w:footnote>
  <w:footnote w:id="555">
    <w:p w14:paraId="4161F33A" w14:textId="77777777" w:rsidR="00B01930" w:rsidRDefault="00B01930">
      <w:pPr>
        <w:pStyle w:val="Notedebasdepage"/>
      </w:pPr>
      <w:r>
        <w:rPr>
          <w:rStyle w:val="Appelnotedebasdep"/>
        </w:rPr>
        <w:footnoteRef/>
      </w:r>
      <w:r>
        <w:t xml:space="preserve"> </w:t>
      </w:r>
      <w:r>
        <w:tab/>
      </w:r>
      <w:r w:rsidRPr="0004576F">
        <w:t xml:space="preserve">G. Elton, </w:t>
      </w:r>
      <w:r w:rsidRPr="0004576F">
        <w:rPr>
          <w:i/>
        </w:rPr>
        <w:t xml:space="preserve">The Tudor Revolution in Government. Administrative Changes in the reign of </w:t>
      </w:r>
      <w:r>
        <w:rPr>
          <w:i/>
        </w:rPr>
        <w:t>Henry V</w:t>
      </w:r>
      <w:r w:rsidRPr="0004576F">
        <w:rPr>
          <w:i/>
        </w:rPr>
        <w:t>III</w:t>
      </w:r>
      <w:r w:rsidRPr="0004576F">
        <w:t>,  Cambridge, Cambridge Univers</w:t>
      </w:r>
      <w:r w:rsidRPr="0004576F">
        <w:t>i</w:t>
      </w:r>
      <w:r w:rsidRPr="0004576F">
        <w:t>ty Press, 1953.</w:t>
      </w:r>
    </w:p>
  </w:footnote>
  <w:footnote w:id="556">
    <w:p w14:paraId="65BCE17E" w14:textId="77777777" w:rsidR="00B01930" w:rsidRDefault="00B01930">
      <w:pPr>
        <w:pStyle w:val="Notedebasdepage"/>
      </w:pPr>
      <w:r>
        <w:rPr>
          <w:rStyle w:val="Appelnotedebasdep"/>
        </w:rPr>
        <w:footnoteRef/>
      </w:r>
      <w:r>
        <w:t xml:space="preserve"> </w:t>
      </w:r>
      <w:r>
        <w:tab/>
      </w:r>
      <w:r w:rsidRPr="0004576F">
        <w:t>L’emploi de ce  terme  a donné lieu à des discussions et contr</w:t>
      </w:r>
      <w:r w:rsidRPr="0004576F">
        <w:t>o</w:t>
      </w:r>
      <w:r w:rsidRPr="0004576F">
        <w:t>verses. Il n’y a cependant aucune raison fondamentale de ne pas l’employer, comme l’a d’ailleurs fait le grand sp</w:t>
      </w:r>
      <w:r w:rsidRPr="0004576F">
        <w:t>é</w:t>
      </w:r>
      <w:r w:rsidRPr="0004576F">
        <w:t xml:space="preserve">cialiste de ce mouvement qu’a été Patrick Collinson, par exemple dans son ouvrage de référence, </w:t>
      </w:r>
      <w:r w:rsidRPr="0004576F">
        <w:rPr>
          <w:i/>
        </w:rPr>
        <w:t>The Elizabethan Puritan Mov</w:t>
      </w:r>
      <w:r w:rsidRPr="0004576F">
        <w:rPr>
          <w:i/>
        </w:rPr>
        <w:t>e</w:t>
      </w:r>
      <w:r w:rsidRPr="0004576F">
        <w:rPr>
          <w:i/>
        </w:rPr>
        <w:t>ment</w:t>
      </w:r>
      <w:r w:rsidRPr="0004576F">
        <w:t>, Oxford, Clarendon Press, 1967. Les Pur</w:t>
      </w:r>
      <w:r w:rsidRPr="0004576F">
        <w:t>i</w:t>
      </w:r>
      <w:r w:rsidRPr="0004576F">
        <w:t xml:space="preserve">tains  veulent en particulier que la liturgie soit réellement calviniste, refusent le maintien d’une hiérarchie de la </w:t>
      </w:r>
      <w:r w:rsidRPr="0004576F">
        <w:rPr>
          <w:i/>
        </w:rPr>
        <w:t>Church of England</w:t>
      </w:r>
      <w:r w:rsidRPr="0004576F">
        <w:t xml:space="preserve"> telle qu’elle existait avant l’instauration de la Réforme a</w:t>
      </w:r>
      <w:r w:rsidRPr="0004576F">
        <w:t>n</w:t>
      </w:r>
      <w:r w:rsidRPr="0004576F">
        <w:t>glaise, et veulent donc que l’Église d’Angleterre fonctionne comme une vér</w:t>
      </w:r>
      <w:r w:rsidRPr="0004576F">
        <w:t>i</w:t>
      </w:r>
      <w:r w:rsidRPr="0004576F">
        <w:t>table église calviniste, beaucoup d’entre eux prop</w:t>
      </w:r>
      <w:r w:rsidRPr="0004576F">
        <w:t>o</w:t>
      </w:r>
      <w:r w:rsidRPr="0004576F">
        <w:t>sant à cet égard d’adopter le modèle écossais, autrement dit le presbytérianisme. En français, voir A</w:t>
      </w:r>
      <w:r w:rsidRPr="0004576F">
        <w:t>r</w:t>
      </w:r>
      <w:r w:rsidRPr="0004576F">
        <w:t xml:space="preserve">mand Himy, </w:t>
      </w:r>
      <w:r w:rsidRPr="0004576F">
        <w:rPr>
          <w:i/>
        </w:rPr>
        <w:t>Le Purit</w:t>
      </w:r>
      <w:r w:rsidRPr="0004576F">
        <w:rPr>
          <w:i/>
        </w:rPr>
        <w:t>a</w:t>
      </w:r>
      <w:r w:rsidRPr="0004576F">
        <w:rPr>
          <w:i/>
        </w:rPr>
        <w:t>nisme</w:t>
      </w:r>
      <w:r w:rsidRPr="0004576F">
        <w:t>, Paris, P</w:t>
      </w:r>
      <w:r w:rsidRPr="0004576F">
        <w:rPr>
          <w:smallCaps/>
        </w:rPr>
        <w:t>uf</w:t>
      </w:r>
      <w:r w:rsidRPr="0004576F">
        <w:t>, col. « Que-sais-je », 1987.</w:t>
      </w:r>
    </w:p>
  </w:footnote>
  <w:footnote w:id="557">
    <w:p w14:paraId="1A238E6B" w14:textId="77777777" w:rsidR="00B01930" w:rsidRDefault="00B01930">
      <w:pPr>
        <w:pStyle w:val="Notedebasdepage"/>
      </w:pPr>
      <w:r>
        <w:rPr>
          <w:rStyle w:val="Appelnotedebasdep"/>
        </w:rPr>
        <w:footnoteRef/>
      </w:r>
      <w:r>
        <w:t xml:space="preserve"> </w:t>
      </w:r>
      <w:r>
        <w:tab/>
      </w:r>
      <w:r w:rsidRPr="0004576F">
        <w:t>Voir ma mise au point : « Politique et religion en Angleterre aux XVI</w:t>
      </w:r>
      <w:r w:rsidRPr="0004576F">
        <w:rPr>
          <w:vertAlign w:val="superscript"/>
        </w:rPr>
        <w:t>e</w:t>
      </w:r>
      <w:r w:rsidRPr="0004576F">
        <w:t xml:space="preserve"> et XVII</w:t>
      </w:r>
      <w:r w:rsidRPr="0004576F">
        <w:rPr>
          <w:vertAlign w:val="superscript"/>
        </w:rPr>
        <w:t>e</w:t>
      </w:r>
      <w:r w:rsidRPr="0004576F">
        <w:t xml:space="preserve"> siècles », dans  Nicolas Champ et Eric Suire (dir.), </w:t>
      </w:r>
      <w:r w:rsidRPr="0004576F">
        <w:rPr>
          <w:i/>
        </w:rPr>
        <w:t>Les Appartenances religieuses : Confessions, sensibilités et particularismes dans l’histoire du</w:t>
      </w:r>
      <w:r w:rsidRPr="0004576F">
        <w:t xml:space="preserve"> </w:t>
      </w:r>
      <w:r w:rsidRPr="0004576F">
        <w:rPr>
          <w:i/>
        </w:rPr>
        <w:t>Sud-Ouest</w:t>
      </w:r>
      <w:r w:rsidRPr="0004576F">
        <w:t>, Bordeaux, Fédération histor</w:t>
      </w:r>
      <w:r w:rsidRPr="0004576F">
        <w:t>i</w:t>
      </w:r>
      <w:r w:rsidRPr="0004576F">
        <w:t>que du Sud –Ouest / Fédération des Soci</w:t>
      </w:r>
      <w:r w:rsidRPr="0004576F">
        <w:t>é</w:t>
      </w:r>
      <w:r w:rsidRPr="0004576F">
        <w:t>tés savantes de la Charente-Maritime, 2012, p. 261-282.</w:t>
      </w:r>
    </w:p>
  </w:footnote>
  <w:footnote w:id="558">
    <w:p w14:paraId="611B6B12" w14:textId="77777777" w:rsidR="00B01930" w:rsidRDefault="00B01930">
      <w:pPr>
        <w:pStyle w:val="Notedebasdepage"/>
      </w:pPr>
      <w:r>
        <w:rPr>
          <w:rStyle w:val="Appelnotedebasdep"/>
        </w:rPr>
        <w:footnoteRef/>
      </w:r>
      <w:r>
        <w:t xml:space="preserve"> </w:t>
      </w:r>
      <w:r>
        <w:tab/>
      </w:r>
      <w:r w:rsidRPr="0004576F">
        <w:t xml:space="preserve">Christopher Hill, </w:t>
      </w:r>
      <w:r w:rsidRPr="0004576F">
        <w:rPr>
          <w:i/>
        </w:rPr>
        <w:t>Intellectual Origins of the English Revolution</w:t>
      </w:r>
      <w:r w:rsidRPr="0004576F">
        <w:t>, Oxford, Cl</w:t>
      </w:r>
      <w:r w:rsidRPr="0004576F">
        <w:t>a</w:t>
      </w:r>
      <w:r w:rsidRPr="0004576F">
        <w:t>rendon Press,</w:t>
      </w:r>
      <w:r>
        <w:t xml:space="preserve"> </w:t>
      </w:r>
      <w:r w:rsidRPr="0004576F">
        <w:t>1965. Pour l’explosion  des sectes, cf. Mu</w:t>
      </w:r>
      <w:r w:rsidRPr="0004576F">
        <w:t>r</w:t>
      </w:r>
      <w:r w:rsidRPr="0004576F">
        <w:t xml:space="preserve">ray Tolmie, </w:t>
      </w:r>
      <w:r w:rsidRPr="0004576F">
        <w:rPr>
          <w:i/>
        </w:rPr>
        <w:t>The Triumph of the Saints : The Separate Churches of London 1616 -1649</w:t>
      </w:r>
      <w:r w:rsidRPr="0004576F">
        <w:t>, Ca</w:t>
      </w:r>
      <w:r w:rsidRPr="0004576F">
        <w:t>m</w:t>
      </w:r>
      <w:r w:rsidRPr="0004576F">
        <w:t>bridge, Cambridge University Press, 1977.</w:t>
      </w:r>
    </w:p>
  </w:footnote>
  <w:footnote w:id="559">
    <w:p w14:paraId="73E78753" w14:textId="77777777" w:rsidR="00B01930" w:rsidRDefault="00B01930">
      <w:pPr>
        <w:pStyle w:val="Notedebasdepage"/>
      </w:pPr>
      <w:r>
        <w:rPr>
          <w:rStyle w:val="Appelnotedebasdep"/>
        </w:rPr>
        <w:footnoteRef/>
      </w:r>
      <w:r>
        <w:t xml:space="preserve"> </w:t>
      </w:r>
      <w:r>
        <w:tab/>
      </w:r>
      <w:r w:rsidRPr="0004576F">
        <w:t>« Au cours de ces deux années,  des membres des Communes commencent à exposer leurs griefs d’une manière relativement nouvelle, qui menace la cap</w:t>
      </w:r>
      <w:r w:rsidRPr="0004576F">
        <w:t>a</w:t>
      </w:r>
      <w:r w:rsidRPr="0004576F">
        <w:t>cité du Parlement à remplir sa fonction », c’est-à-dire collaborer avec le so</w:t>
      </w:r>
      <w:r w:rsidRPr="0004576F">
        <w:t>u</w:t>
      </w:r>
      <w:r w:rsidRPr="0004576F">
        <w:t xml:space="preserve">verain. Cf. Stephen D.White, </w:t>
      </w:r>
      <w:r w:rsidRPr="0004576F">
        <w:rPr>
          <w:i/>
        </w:rPr>
        <w:t>Sir Edward Coke and « The Grievances of the Commonwealth », 1621-1628,</w:t>
      </w:r>
      <w:r w:rsidRPr="0004576F">
        <w:t xml:space="preserve"> Manchester-Chapel Hill, Manchester Univers</w:t>
      </w:r>
      <w:r w:rsidRPr="0004576F">
        <w:t>i</w:t>
      </w:r>
      <w:r w:rsidRPr="0004576F">
        <w:t>ty Press, The University of North Carolina Press, 1979, p. 28.</w:t>
      </w:r>
    </w:p>
  </w:footnote>
  <w:footnote w:id="560">
    <w:p w14:paraId="143F69AD" w14:textId="77777777" w:rsidR="00B01930" w:rsidRDefault="00B01930">
      <w:pPr>
        <w:pStyle w:val="Notedebasdepage"/>
      </w:pPr>
      <w:r>
        <w:rPr>
          <w:rStyle w:val="Appelnotedebasdep"/>
        </w:rPr>
        <w:footnoteRef/>
      </w:r>
      <w:r>
        <w:t xml:space="preserve"> </w:t>
      </w:r>
      <w:r>
        <w:tab/>
      </w:r>
      <w:r w:rsidRPr="0004576F">
        <w:t xml:space="preserve">S.D. White l’expose avec beaucoup de pertinence dans </w:t>
      </w:r>
      <w:r w:rsidRPr="0004576F">
        <w:rPr>
          <w:i/>
        </w:rPr>
        <w:t>Sir E</w:t>
      </w:r>
      <w:r w:rsidRPr="0004576F">
        <w:rPr>
          <w:i/>
        </w:rPr>
        <w:t>d</w:t>
      </w:r>
      <w:r w:rsidRPr="0004576F">
        <w:rPr>
          <w:i/>
        </w:rPr>
        <w:t xml:space="preserve">ward Coke…., </w:t>
      </w:r>
      <w:r w:rsidRPr="0004576F">
        <w:t>op. cit., p. 20-46.</w:t>
      </w:r>
    </w:p>
  </w:footnote>
  <w:footnote w:id="561">
    <w:p w14:paraId="5FC5C253" w14:textId="77777777" w:rsidR="00B01930" w:rsidRDefault="00B01930">
      <w:pPr>
        <w:pStyle w:val="Notedebasdepage"/>
      </w:pPr>
      <w:r>
        <w:rPr>
          <w:rStyle w:val="Appelnotedebasdep"/>
        </w:rPr>
        <w:footnoteRef/>
      </w:r>
      <w:r>
        <w:t xml:space="preserve"> </w:t>
      </w:r>
      <w:r>
        <w:tab/>
      </w:r>
      <w:r w:rsidRPr="0004576F">
        <w:t xml:space="preserve">L’ouvrage  de référence est Roger Lockyer, </w:t>
      </w:r>
      <w:r w:rsidRPr="0004576F">
        <w:rPr>
          <w:i/>
        </w:rPr>
        <w:t>Buckingham : The Life and Pol</w:t>
      </w:r>
      <w:r w:rsidRPr="0004576F">
        <w:rPr>
          <w:i/>
        </w:rPr>
        <w:t>i</w:t>
      </w:r>
      <w:r w:rsidRPr="0004576F">
        <w:rPr>
          <w:i/>
        </w:rPr>
        <w:t>tical Career of George Villiers, First Duke of Buckingham, 1592-1628</w:t>
      </w:r>
      <w:r w:rsidRPr="0004576F">
        <w:t>, Lo</w:t>
      </w:r>
      <w:r w:rsidRPr="0004576F">
        <w:t>n</w:t>
      </w:r>
      <w:r w:rsidRPr="0004576F">
        <w:t>don and New York, Lon</w:t>
      </w:r>
      <w:r w:rsidRPr="0004576F">
        <w:t>g</w:t>
      </w:r>
      <w:r w:rsidRPr="0004576F">
        <w:t>man, 1981.</w:t>
      </w:r>
    </w:p>
  </w:footnote>
  <w:footnote w:id="562">
    <w:p w14:paraId="40BCD7FF" w14:textId="77777777" w:rsidR="00B01930" w:rsidRDefault="00B01930">
      <w:pPr>
        <w:pStyle w:val="Notedebasdepage"/>
      </w:pPr>
      <w:r>
        <w:rPr>
          <w:rStyle w:val="Appelnotedebasdep"/>
        </w:rPr>
        <w:footnoteRef/>
      </w:r>
      <w:r>
        <w:t xml:space="preserve"> </w:t>
      </w:r>
      <w:r>
        <w:tab/>
      </w:r>
      <w:r w:rsidRPr="0004576F">
        <w:t>« On appelait ainsi une requête adressée au roi par les particuliers qui croyaient avoir à se plaindre d’actes ou de décisions arbitraires, et en sollic</w:t>
      </w:r>
      <w:r w:rsidRPr="0004576F">
        <w:t>i</w:t>
      </w:r>
      <w:r w:rsidRPr="0004576F">
        <w:t>taient l’annulation… Ces recours offraient un cadre comm</w:t>
      </w:r>
      <w:r w:rsidRPr="0004576F">
        <w:t>o</w:t>
      </w:r>
      <w:r w:rsidRPr="0004576F">
        <w:t>de pour l’énoncé des griefs et la définition du droit… Par leur caract</w:t>
      </w:r>
      <w:r w:rsidRPr="0004576F">
        <w:t>è</w:t>
      </w:r>
      <w:r w:rsidRPr="0004576F">
        <w:t>re respectueux, ils étaient de nature à emporter l’adhésion de modérés comme les Lords ; enfin, le roi était obligé de leur répondre par écrit et son approbation transformait ses pr</w:t>
      </w:r>
      <w:r w:rsidRPr="0004576F">
        <w:t>o</w:t>
      </w:r>
      <w:r w:rsidRPr="0004576F">
        <w:t>me</w:t>
      </w:r>
      <w:r w:rsidRPr="0004576F">
        <w:t>s</w:t>
      </w:r>
      <w:r w:rsidRPr="0004576F">
        <w:t xml:space="preserve">ses vagues en garanties positives ». Cf. Léon Cahen et Maurice Braure, </w:t>
      </w:r>
      <w:r w:rsidRPr="0004576F">
        <w:rPr>
          <w:i/>
        </w:rPr>
        <w:t>L’Évolution politique de l’Angleterre moderne 1485-1660</w:t>
      </w:r>
      <w:r w:rsidRPr="0004576F">
        <w:t>, Paris, Albin M</w:t>
      </w:r>
      <w:r w:rsidRPr="0004576F">
        <w:t>i</w:t>
      </w:r>
      <w:r w:rsidRPr="0004576F">
        <w:t>chel, coll. « L’Évolution de l’Humanité », 1960, p. 400.</w:t>
      </w:r>
    </w:p>
  </w:footnote>
  <w:footnote w:id="563">
    <w:p w14:paraId="27B7366B" w14:textId="77777777" w:rsidR="00B01930" w:rsidRDefault="00B01930">
      <w:pPr>
        <w:pStyle w:val="Notedebasdepage"/>
      </w:pPr>
      <w:r>
        <w:rPr>
          <w:rStyle w:val="Appelnotedebasdep"/>
        </w:rPr>
        <w:footnoteRef/>
      </w:r>
      <w:r>
        <w:t xml:space="preserve"> </w:t>
      </w:r>
      <w:r>
        <w:tab/>
      </w:r>
      <w:r w:rsidRPr="0004576F">
        <w:t>Conrad Russell a parfaitement montré comment la deuxième moitié des a</w:t>
      </w:r>
      <w:r w:rsidRPr="0004576F">
        <w:t>n</w:t>
      </w:r>
      <w:r w:rsidRPr="0004576F">
        <w:t>nées 1620 a été marquée par des divisions religieuses et politiques telles que les structures du pouvoir et le fonctionnement des institutions  en ont été pr</w:t>
      </w:r>
      <w:r w:rsidRPr="0004576F">
        <w:t>o</w:t>
      </w:r>
      <w:r w:rsidRPr="0004576F">
        <w:t xml:space="preserve">fondément affectées : voir son ouvrage </w:t>
      </w:r>
      <w:r w:rsidRPr="0004576F">
        <w:rPr>
          <w:i/>
        </w:rPr>
        <w:t>Pa</w:t>
      </w:r>
      <w:r w:rsidRPr="0004576F">
        <w:rPr>
          <w:i/>
        </w:rPr>
        <w:t>r</w:t>
      </w:r>
      <w:r w:rsidRPr="0004576F">
        <w:rPr>
          <w:i/>
        </w:rPr>
        <w:t>liaments and English Politics 1621-1629</w:t>
      </w:r>
      <w:r w:rsidRPr="0004576F">
        <w:t xml:space="preserve">, op.cit.- Voir également  L J. Reeve, </w:t>
      </w:r>
      <w:r>
        <w:rPr>
          <w:i/>
        </w:rPr>
        <w:t>Charles I</w:t>
      </w:r>
      <w:r w:rsidRPr="0004576F">
        <w:rPr>
          <w:i/>
        </w:rPr>
        <w:t xml:space="preserve"> and the road to the personal rule</w:t>
      </w:r>
      <w:r w:rsidRPr="0004576F">
        <w:t>, Cambridge, Ca</w:t>
      </w:r>
      <w:r w:rsidRPr="0004576F">
        <w:t>m</w:t>
      </w:r>
      <w:r w:rsidRPr="0004576F">
        <w:t>bridge University Press, 1989.</w:t>
      </w:r>
    </w:p>
  </w:footnote>
  <w:footnote w:id="564">
    <w:p w14:paraId="3AAF661C" w14:textId="77777777" w:rsidR="00B01930" w:rsidRDefault="00B01930">
      <w:pPr>
        <w:pStyle w:val="Notedebasdepage"/>
      </w:pPr>
      <w:r>
        <w:rPr>
          <w:rStyle w:val="Appelnotedebasdep"/>
        </w:rPr>
        <w:footnoteRef/>
      </w:r>
      <w:r>
        <w:t xml:space="preserve"> </w:t>
      </w:r>
      <w:r>
        <w:tab/>
      </w:r>
      <w:r w:rsidRPr="0004576F">
        <w:t xml:space="preserve">Esther S.Cope, </w:t>
      </w:r>
      <w:r w:rsidRPr="0004576F">
        <w:rPr>
          <w:i/>
        </w:rPr>
        <w:t>Politics without Parliaments 1629-1640</w:t>
      </w:r>
      <w:r w:rsidRPr="0004576F">
        <w:t>, London,  Allen and Unwin, 1987, p. 2.</w:t>
      </w:r>
    </w:p>
  </w:footnote>
  <w:footnote w:id="565">
    <w:p w14:paraId="75ED25B2" w14:textId="77777777" w:rsidR="00B01930" w:rsidRDefault="00B01930">
      <w:pPr>
        <w:pStyle w:val="Notedebasdepage"/>
      </w:pPr>
      <w:r>
        <w:rPr>
          <w:rStyle w:val="Appelnotedebasdep"/>
        </w:rPr>
        <w:footnoteRef/>
      </w:r>
      <w:r>
        <w:t xml:space="preserve"> </w:t>
      </w:r>
      <w:r>
        <w:tab/>
      </w:r>
      <w:r w:rsidRPr="0004576F">
        <w:rPr>
          <w:i/>
        </w:rPr>
        <w:t>Ibidem,</w:t>
      </w:r>
      <w:r w:rsidRPr="0004576F">
        <w:t xml:space="preserve"> p. 30.</w:t>
      </w:r>
    </w:p>
  </w:footnote>
  <w:footnote w:id="566">
    <w:p w14:paraId="25CC2297" w14:textId="77777777" w:rsidR="00B01930" w:rsidRDefault="00B01930">
      <w:pPr>
        <w:pStyle w:val="Notedebasdepage"/>
      </w:pPr>
      <w:r>
        <w:rPr>
          <w:rStyle w:val="Appelnotedebasdep"/>
        </w:rPr>
        <w:footnoteRef/>
      </w:r>
      <w:r>
        <w:t xml:space="preserve"> </w:t>
      </w:r>
      <w:r>
        <w:tab/>
      </w:r>
      <w:r w:rsidRPr="0004576F">
        <w:t xml:space="preserve">D. Hirst, </w:t>
      </w:r>
      <w:r w:rsidRPr="0004576F">
        <w:rPr>
          <w:i/>
        </w:rPr>
        <w:t>Authority and Conflict</w:t>
      </w:r>
      <w:r w:rsidRPr="0004576F">
        <w:t xml:space="preserve">…, </w:t>
      </w:r>
      <w:r w:rsidRPr="0004576F">
        <w:rPr>
          <w:i/>
        </w:rPr>
        <w:t>op. cit.</w:t>
      </w:r>
      <w:r w:rsidRPr="0004576F">
        <w:t>, p. 27-28.</w:t>
      </w:r>
    </w:p>
  </w:footnote>
  <w:footnote w:id="567">
    <w:p w14:paraId="2357B753" w14:textId="77777777" w:rsidR="00B01930" w:rsidRDefault="00B01930">
      <w:pPr>
        <w:pStyle w:val="Notedebasdepage"/>
      </w:pPr>
      <w:r>
        <w:rPr>
          <w:rStyle w:val="Appelnotedebasdep"/>
        </w:rPr>
        <w:footnoteRef/>
      </w:r>
      <w:r>
        <w:t xml:space="preserve"> </w:t>
      </w:r>
      <w:r>
        <w:tab/>
      </w:r>
      <w:r w:rsidRPr="0004576F">
        <w:t>L’arminianisme est issu des idées développées par le théologien protestant ho</w:t>
      </w:r>
      <w:r w:rsidRPr="0004576F">
        <w:t>l</w:t>
      </w:r>
      <w:r w:rsidRPr="0004576F">
        <w:t>landais, Jacobus Arminius (1560-1609) qui estimait, à l’encontre de Jean Calvin, que la détermin</w:t>
      </w:r>
      <w:r w:rsidRPr="0004576F">
        <w:t>a</w:t>
      </w:r>
      <w:r w:rsidRPr="0004576F">
        <w:t>tion de la destinée de l’homme par Dieu n’était pas abs</w:t>
      </w:r>
      <w:r w:rsidRPr="0004576F">
        <w:t>o</w:t>
      </w:r>
      <w:r w:rsidRPr="0004576F">
        <w:t>lue, et qu’il pouvait donc accepter ou refuser la grâce. L’arminianisme prit en Angleterre une tonalité particulière : il fut beaucoup moins doctrinal qu’aux Provinces-Unies, beaucoup plus attaché aux traditions de l’Église : les arm</w:t>
      </w:r>
      <w:r w:rsidRPr="0004576F">
        <w:t>i</w:t>
      </w:r>
      <w:r w:rsidRPr="0004576F">
        <w:t>niens anglais mirent avant tout l’accent sur la nécessité et le rôle de la hiéra</w:t>
      </w:r>
      <w:r w:rsidRPr="0004576F">
        <w:t>r</w:t>
      </w:r>
      <w:r w:rsidRPr="0004576F">
        <w:t xml:space="preserve">chie ecclésiastique, et sur le maintien d’un rituel liturgique. Les livres de référence  sont ceux de Nicholas Tyacke, </w:t>
      </w:r>
      <w:r w:rsidRPr="0004576F">
        <w:rPr>
          <w:i/>
        </w:rPr>
        <w:t>Anti-Calvinists : The Rise of the E</w:t>
      </w:r>
      <w:r w:rsidRPr="0004576F">
        <w:rPr>
          <w:i/>
        </w:rPr>
        <w:t>n</w:t>
      </w:r>
      <w:r w:rsidRPr="0004576F">
        <w:rPr>
          <w:i/>
        </w:rPr>
        <w:t>glish Arminianism c.1590-1640</w:t>
      </w:r>
      <w:r w:rsidRPr="0004576F">
        <w:t xml:space="preserve">, Oxford, Clarendon Press, 1987 ; </w:t>
      </w:r>
      <w:r w:rsidRPr="0004576F">
        <w:rPr>
          <w:i/>
        </w:rPr>
        <w:t>Aspects of</w:t>
      </w:r>
      <w:r w:rsidRPr="0004576F">
        <w:t xml:space="preserve"> </w:t>
      </w:r>
      <w:r w:rsidRPr="0004576F">
        <w:rPr>
          <w:i/>
        </w:rPr>
        <w:t>E</w:t>
      </w:r>
      <w:r w:rsidRPr="0004576F">
        <w:rPr>
          <w:i/>
        </w:rPr>
        <w:t>n</w:t>
      </w:r>
      <w:r w:rsidRPr="0004576F">
        <w:rPr>
          <w:i/>
        </w:rPr>
        <w:t>glish Protestantism c. 1530-1700</w:t>
      </w:r>
      <w:r w:rsidRPr="0004576F">
        <w:t>, Manchester, Manchester University Press, 2001. Dans ce dernier ouvrage, N.Tyacke met particulièrement en v</w:t>
      </w:r>
      <w:r w:rsidRPr="0004576F">
        <w:t>a</w:t>
      </w:r>
      <w:r w:rsidRPr="0004576F">
        <w:t>leur  le fait que les puritains croient fondamental</w:t>
      </w:r>
      <w:r w:rsidRPr="0004576F">
        <w:t>e</w:t>
      </w:r>
      <w:r w:rsidRPr="0004576F">
        <w:t>ment à la prédestination alors que les arminiens croient « à la grâce universelle de Dieu »  et « à la l</w:t>
      </w:r>
      <w:r w:rsidRPr="0004576F">
        <w:t>i</w:t>
      </w:r>
      <w:r w:rsidRPr="0004576F">
        <w:t>berté qu’ont tous les hommes d’obtenir leur salut » (p.132-133).</w:t>
      </w:r>
    </w:p>
  </w:footnote>
  <w:footnote w:id="568">
    <w:p w14:paraId="7720B507" w14:textId="77777777" w:rsidR="00B01930" w:rsidRDefault="00B01930">
      <w:pPr>
        <w:pStyle w:val="Notedebasdepage"/>
      </w:pPr>
      <w:r>
        <w:rPr>
          <w:rStyle w:val="Appelnotedebasdep"/>
        </w:rPr>
        <w:footnoteRef/>
      </w:r>
      <w:r>
        <w:t xml:space="preserve"> </w:t>
      </w:r>
      <w:r>
        <w:tab/>
      </w:r>
      <w:r w:rsidRPr="0004576F">
        <w:t xml:space="preserve">Sur Laud et le </w:t>
      </w:r>
      <w:r w:rsidRPr="0004576F">
        <w:rPr>
          <w:i/>
        </w:rPr>
        <w:t>Laudianism</w:t>
      </w:r>
      <w:r w:rsidRPr="0004576F">
        <w:t>, voir deux articles importants : Peter Lake, « The Laudian st</w:t>
      </w:r>
      <w:r w:rsidRPr="0004576F">
        <w:t>y</w:t>
      </w:r>
      <w:r w:rsidRPr="0004576F">
        <w:t xml:space="preserve">le » dans Kenneth Fincham (dir.), </w:t>
      </w:r>
      <w:r w:rsidRPr="0004576F">
        <w:rPr>
          <w:i/>
        </w:rPr>
        <w:t>Early Stuart Church 1603-1642</w:t>
      </w:r>
      <w:r w:rsidRPr="0004576F">
        <w:t xml:space="preserve">, Stanford, Stanford University Press,1993, p.161-185 ; Anthony Milton, « The creation of Laudianism : a new approach », dans </w:t>
      </w:r>
      <w:r w:rsidRPr="0004576F">
        <w:rPr>
          <w:i/>
        </w:rPr>
        <w:t>Politics, Religion and pop</w:t>
      </w:r>
      <w:r w:rsidRPr="0004576F">
        <w:rPr>
          <w:i/>
        </w:rPr>
        <w:t>u</w:t>
      </w:r>
      <w:r w:rsidRPr="0004576F">
        <w:rPr>
          <w:i/>
        </w:rPr>
        <w:t xml:space="preserve">larity : Early Stuart Essays in honour of Conrad Russell, </w:t>
      </w:r>
      <w:r w:rsidRPr="0004576F">
        <w:t>Cambridge, Ca</w:t>
      </w:r>
      <w:r w:rsidRPr="0004576F">
        <w:t>m</w:t>
      </w:r>
      <w:r w:rsidRPr="0004576F">
        <w:t xml:space="preserve">bridge University Press, 2002 </w:t>
      </w:r>
      <w:r w:rsidRPr="0004576F">
        <w:rPr>
          <w:i/>
        </w:rPr>
        <w:t>,</w:t>
      </w:r>
      <w:r w:rsidRPr="0004576F">
        <w:t>p. 161-184 ; et bien  sûr les biographies du pr</w:t>
      </w:r>
      <w:r w:rsidRPr="0004576F">
        <w:t>é</w:t>
      </w:r>
      <w:r w:rsidRPr="0004576F">
        <w:t xml:space="preserve">lat : Hugh Trevor-Roper, </w:t>
      </w:r>
      <w:r w:rsidRPr="0004576F">
        <w:rPr>
          <w:i/>
        </w:rPr>
        <w:t>Archbishop Laud 1573-1645</w:t>
      </w:r>
      <w:r w:rsidRPr="0004576F">
        <w:t>, Lo</w:t>
      </w:r>
      <w:r w:rsidRPr="0004576F">
        <w:t>n</w:t>
      </w:r>
      <w:r w:rsidRPr="0004576F">
        <w:t xml:space="preserve">don,Phoenix Press,1940 ; Charles Carlton, </w:t>
      </w:r>
      <w:r w:rsidRPr="0004576F">
        <w:rPr>
          <w:i/>
        </w:rPr>
        <w:t>Archbishop William Laud</w:t>
      </w:r>
      <w:r w:rsidRPr="0004576F">
        <w:t>, London/New York, Routledge and Kegan Paul, 1987.</w:t>
      </w:r>
    </w:p>
  </w:footnote>
  <w:footnote w:id="569">
    <w:p w14:paraId="3CCDD17E" w14:textId="77777777" w:rsidR="00B01930" w:rsidRDefault="00B01930">
      <w:pPr>
        <w:pStyle w:val="Notedebasdepage"/>
      </w:pPr>
      <w:r>
        <w:rPr>
          <w:rStyle w:val="Appelnotedebasdep"/>
        </w:rPr>
        <w:footnoteRef/>
      </w:r>
      <w:r>
        <w:t xml:space="preserve"> </w:t>
      </w:r>
      <w:r>
        <w:tab/>
      </w:r>
      <w:r w:rsidRPr="0004576F">
        <w:t xml:space="preserve">Il s’agit de la </w:t>
      </w:r>
      <w:r w:rsidRPr="0004576F">
        <w:rPr>
          <w:i/>
        </w:rPr>
        <w:t>Pétition Millénaire</w:t>
      </w:r>
      <w:r w:rsidRPr="0004576F">
        <w:t xml:space="preserve">, signée par environ un millier de ministres puritains, remise en avril 1603 à </w:t>
      </w:r>
      <w:r>
        <w:t>Jacques I</w:t>
      </w:r>
      <w:r w:rsidRPr="0004576F">
        <w:rPr>
          <w:vertAlign w:val="superscript"/>
        </w:rPr>
        <w:t>er</w:t>
      </w:r>
      <w:r w:rsidRPr="0004576F">
        <w:t xml:space="preserve"> qui vient de monter sur le trône d’Angleterre. En janvier 1604, le roi réunit à Hampton Court une conférence au cours de laquelle les puritains p</w:t>
      </w:r>
      <w:r w:rsidRPr="0004576F">
        <w:t>u</w:t>
      </w:r>
      <w:r w:rsidRPr="0004576F">
        <w:t>rent exposer leurs demandes mais il se garda bien de les satisfa</w:t>
      </w:r>
      <w:r w:rsidRPr="0004576F">
        <w:t>i</w:t>
      </w:r>
      <w:r w:rsidRPr="0004576F">
        <w:t>re.</w:t>
      </w:r>
    </w:p>
  </w:footnote>
  <w:footnote w:id="570">
    <w:p w14:paraId="3EEAA3AB" w14:textId="77777777" w:rsidR="00B01930" w:rsidRDefault="00B01930">
      <w:pPr>
        <w:pStyle w:val="Notedebasdepage"/>
      </w:pPr>
      <w:r>
        <w:rPr>
          <w:rStyle w:val="Appelnotedebasdep"/>
        </w:rPr>
        <w:footnoteRef/>
      </w:r>
      <w:r>
        <w:t xml:space="preserve"> </w:t>
      </w:r>
      <w:r>
        <w:tab/>
      </w:r>
      <w:r w:rsidRPr="0004576F">
        <w:rPr>
          <w:i/>
        </w:rPr>
        <w:t>Anti-Calvinists</w:t>
      </w:r>
      <w:r w:rsidRPr="0004576F">
        <w:t xml:space="preserve">…, </w:t>
      </w:r>
      <w:r w:rsidRPr="0004576F">
        <w:rPr>
          <w:i/>
        </w:rPr>
        <w:t>op. cit</w:t>
      </w:r>
      <w:r w:rsidRPr="0004576F">
        <w:t xml:space="preserve">. ; voir aussi William Lamont, </w:t>
      </w:r>
      <w:r w:rsidRPr="0004576F">
        <w:rPr>
          <w:i/>
        </w:rPr>
        <w:t xml:space="preserve">Marginal Prynne, 1600-1669, </w:t>
      </w:r>
      <w:r w:rsidRPr="0004576F">
        <w:t>London, Routledge and</w:t>
      </w:r>
      <w:r w:rsidRPr="0004576F">
        <w:rPr>
          <w:i/>
        </w:rPr>
        <w:t xml:space="preserve"> </w:t>
      </w:r>
      <w:r w:rsidRPr="0004576F">
        <w:t>Kegan Paul, 1963</w:t>
      </w:r>
      <w:r w:rsidRPr="0004576F">
        <w:rPr>
          <w:i/>
        </w:rPr>
        <w:t xml:space="preserve">. </w:t>
      </w:r>
      <w:r w:rsidRPr="0004576F">
        <w:t>Pry</w:t>
      </w:r>
      <w:r w:rsidRPr="0004576F">
        <w:t>n</w:t>
      </w:r>
      <w:r w:rsidRPr="0004576F">
        <w:t>ne est avant tout en lutte contre « la clique des Arminiens et des Papi</w:t>
      </w:r>
      <w:r w:rsidRPr="0004576F">
        <w:t>s</w:t>
      </w:r>
      <w:r w:rsidRPr="0004576F">
        <w:t>tes ».</w:t>
      </w:r>
    </w:p>
  </w:footnote>
  <w:footnote w:id="571">
    <w:p w14:paraId="4A95A93E" w14:textId="77777777" w:rsidR="00B01930" w:rsidRDefault="00B01930">
      <w:pPr>
        <w:pStyle w:val="Notedebasdepage"/>
      </w:pPr>
      <w:r>
        <w:rPr>
          <w:rStyle w:val="Appelnotedebasdep"/>
        </w:rPr>
        <w:footnoteRef/>
      </w:r>
      <w:r>
        <w:t xml:space="preserve"> </w:t>
      </w:r>
      <w:r>
        <w:tab/>
      </w:r>
      <w:r w:rsidRPr="0004576F">
        <w:t>Thomas Cogswell, Richard Cust and Peter Lake, « Revisionnism and its leg</w:t>
      </w:r>
      <w:r w:rsidRPr="0004576F">
        <w:t>a</w:t>
      </w:r>
      <w:r w:rsidRPr="0004576F">
        <w:t>cies : the work of Conrad Ru</w:t>
      </w:r>
      <w:r w:rsidRPr="0004576F">
        <w:t>s</w:t>
      </w:r>
      <w:r w:rsidRPr="0004576F">
        <w:t xml:space="preserve">sell », dans </w:t>
      </w:r>
      <w:r w:rsidRPr="0004576F">
        <w:rPr>
          <w:i/>
        </w:rPr>
        <w:t>Politics, Religion and Popularity…</w:t>
      </w:r>
      <w:r w:rsidRPr="0004576F">
        <w:t xml:space="preserve">, </w:t>
      </w:r>
      <w:r w:rsidRPr="0004576F">
        <w:rPr>
          <w:i/>
        </w:rPr>
        <w:t>op. cit</w:t>
      </w:r>
      <w:r w:rsidRPr="0004576F">
        <w:t xml:space="preserve">., p. 1-17, </w:t>
      </w:r>
      <w:r w:rsidRPr="0004576F">
        <w:rPr>
          <w:i/>
        </w:rPr>
        <w:t>loc. cit</w:t>
      </w:r>
      <w:r w:rsidRPr="0004576F">
        <w:t>., p. 12.</w:t>
      </w:r>
    </w:p>
  </w:footnote>
  <w:footnote w:id="572">
    <w:p w14:paraId="6A8A8C5B" w14:textId="77777777" w:rsidR="00B01930" w:rsidRDefault="00B01930">
      <w:pPr>
        <w:pStyle w:val="Notedebasdepage"/>
      </w:pPr>
      <w:r>
        <w:rPr>
          <w:rStyle w:val="Appelnotedebasdep"/>
        </w:rPr>
        <w:footnoteRef/>
      </w:r>
      <w:r>
        <w:t xml:space="preserve"> </w:t>
      </w:r>
      <w:r>
        <w:tab/>
      </w:r>
      <w:r w:rsidRPr="0004576F">
        <w:t xml:space="preserve">Sur les radicaux, voir Robert J.Acheson, </w:t>
      </w:r>
      <w:r w:rsidRPr="0004576F">
        <w:rPr>
          <w:i/>
        </w:rPr>
        <w:t>Radical Puritans in E</w:t>
      </w:r>
      <w:r w:rsidRPr="0004576F">
        <w:rPr>
          <w:i/>
        </w:rPr>
        <w:t>n</w:t>
      </w:r>
      <w:r w:rsidRPr="0004576F">
        <w:rPr>
          <w:i/>
        </w:rPr>
        <w:t>gland 1550-1660</w:t>
      </w:r>
      <w:r w:rsidRPr="0004576F">
        <w:t xml:space="preserve">, London / New York, Longman, 1990 ; John F.Mc Gregor and Barry Reay, </w:t>
      </w:r>
      <w:r w:rsidRPr="0004576F">
        <w:rPr>
          <w:i/>
        </w:rPr>
        <w:t>Radical Religion in the English Revolution</w:t>
      </w:r>
      <w:r w:rsidRPr="0004576F">
        <w:t>, Oxford, O</w:t>
      </w:r>
      <w:r w:rsidRPr="0004576F">
        <w:t>x</w:t>
      </w:r>
      <w:r w:rsidRPr="0004576F">
        <w:t>ford University Press,1989 ; en français, mon texte « Les idées  républicaines en Angleterre au XVII</w:t>
      </w:r>
      <w:r w:rsidRPr="0004576F">
        <w:rPr>
          <w:vertAlign w:val="superscript"/>
        </w:rPr>
        <w:t>e</w:t>
      </w:r>
      <w:r w:rsidRPr="0004576F">
        <w:t xml:space="preserve"> siècle : racines et influe</w:t>
      </w:r>
      <w:r w:rsidRPr="0004576F">
        <w:t>n</w:t>
      </w:r>
      <w:r w:rsidRPr="0004576F">
        <w:t xml:space="preserve">ces », dans Hubert Bonin, Françoise Taliano-Des Garets et Mathieu Trouvé (dir.), </w:t>
      </w:r>
      <w:r w:rsidRPr="0004576F">
        <w:rPr>
          <w:i/>
        </w:rPr>
        <w:t>Le Royaume-Uni,</w:t>
      </w:r>
      <w:r w:rsidRPr="0004576F">
        <w:t xml:space="preserve"> </w:t>
      </w:r>
      <w:r w:rsidRPr="0004576F">
        <w:rPr>
          <w:i/>
        </w:rPr>
        <w:t>l’Europe et le monde</w:t>
      </w:r>
      <w:r w:rsidRPr="0004576F">
        <w:t xml:space="preserve"> , Villeneuve d’Ascq, Presses Universitaires du Septentrion, 2015, p. 35-66.</w:t>
      </w:r>
    </w:p>
  </w:footnote>
  <w:footnote w:id="573">
    <w:p w14:paraId="60378148" w14:textId="77777777" w:rsidR="00B01930" w:rsidRDefault="00B01930">
      <w:pPr>
        <w:pStyle w:val="Notedebasdepage"/>
      </w:pPr>
      <w:r>
        <w:rPr>
          <w:rStyle w:val="Appelnotedebasdep"/>
        </w:rPr>
        <w:footnoteRef/>
      </w:r>
      <w:r>
        <w:t xml:space="preserve"> </w:t>
      </w:r>
      <w:r>
        <w:tab/>
      </w:r>
      <w:r w:rsidRPr="0004576F">
        <w:t xml:space="preserve">N.Tyacke, « Puritans politicians and King James VI and I 1587-1604 », dans </w:t>
      </w:r>
      <w:r w:rsidRPr="0004576F">
        <w:rPr>
          <w:i/>
        </w:rPr>
        <w:t>Politics, Religion and Popular</w:t>
      </w:r>
      <w:r w:rsidRPr="0004576F">
        <w:rPr>
          <w:i/>
        </w:rPr>
        <w:t>i</w:t>
      </w:r>
      <w:r w:rsidRPr="0004576F">
        <w:rPr>
          <w:i/>
        </w:rPr>
        <w:t>ty,</w:t>
      </w:r>
      <w:r w:rsidRPr="0004576F">
        <w:t xml:space="preserve"> </w:t>
      </w:r>
      <w:r w:rsidRPr="0004576F">
        <w:rPr>
          <w:i/>
        </w:rPr>
        <w:t>op. cit</w:t>
      </w:r>
      <w:r w:rsidRPr="0004576F">
        <w:t>., p. 21-44, loc. cit., p. 44.</w:t>
      </w:r>
    </w:p>
  </w:footnote>
  <w:footnote w:id="574">
    <w:p w14:paraId="4C679B85" w14:textId="77777777" w:rsidR="00B01930" w:rsidRDefault="00B01930">
      <w:pPr>
        <w:pStyle w:val="Notedebasdepage"/>
      </w:pPr>
      <w:r>
        <w:rPr>
          <w:rStyle w:val="Appelnotedebasdep"/>
        </w:rPr>
        <w:footnoteRef/>
      </w:r>
      <w:r>
        <w:t xml:space="preserve"> </w:t>
      </w:r>
      <w:r>
        <w:tab/>
        <w:t xml:space="preserve">C’est </w:t>
      </w:r>
      <w:r w:rsidRPr="0004576F">
        <w:t>la municipalité.</w:t>
      </w:r>
    </w:p>
  </w:footnote>
  <w:footnote w:id="575">
    <w:p w14:paraId="3DC61A87" w14:textId="77777777" w:rsidR="00B01930" w:rsidRDefault="00B01930">
      <w:pPr>
        <w:pStyle w:val="Notedebasdepage"/>
      </w:pPr>
      <w:r>
        <w:rPr>
          <w:rStyle w:val="Appelnotedebasdep"/>
        </w:rPr>
        <w:footnoteRef/>
      </w:r>
      <w:r>
        <w:t xml:space="preserve"> </w:t>
      </w:r>
      <w:r>
        <w:tab/>
      </w:r>
      <w:r w:rsidRPr="0004576F">
        <w:t xml:space="preserve">Le sens normal de </w:t>
      </w:r>
      <w:r w:rsidRPr="0004576F">
        <w:rPr>
          <w:i/>
        </w:rPr>
        <w:t>lecture</w:t>
      </w:r>
      <w:r w:rsidRPr="0004576F">
        <w:t xml:space="preserve"> est conférence mais en l’espèce il s’agit de réunir les fidèles pour qu’ils écoutent soit un sermon – autre sens du mot – soit le commentaire d’une lect</w:t>
      </w:r>
      <w:r w:rsidRPr="0004576F">
        <w:t>u</w:t>
      </w:r>
      <w:r w:rsidRPr="0004576F">
        <w:t>re pieuse ou édifiante.</w:t>
      </w:r>
    </w:p>
  </w:footnote>
  <w:footnote w:id="576">
    <w:p w14:paraId="73F48561" w14:textId="77777777" w:rsidR="00B01930" w:rsidRDefault="00B01930">
      <w:pPr>
        <w:pStyle w:val="Notedebasdepage"/>
      </w:pPr>
      <w:r>
        <w:rPr>
          <w:rStyle w:val="Appelnotedebasdep"/>
        </w:rPr>
        <w:footnoteRef/>
      </w:r>
      <w:r>
        <w:t xml:space="preserve"> </w:t>
      </w:r>
      <w:r>
        <w:tab/>
      </w:r>
      <w:r w:rsidRPr="0004576F">
        <w:t>John Wroughton, « Puritanism and traditionalism : cultural and political div</w:t>
      </w:r>
      <w:r w:rsidRPr="0004576F">
        <w:t>i</w:t>
      </w:r>
      <w:r w:rsidRPr="0004576F">
        <w:t xml:space="preserve">sion in Bath 1620-1662 », </w:t>
      </w:r>
      <w:r w:rsidRPr="0004576F">
        <w:rPr>
          <w:i/>
        </w:rPr>
        <w:t>Bath</w:t>
      </w:r>
      <w:r w:rsidRPr="0004576F">
        <w:t xml:space="preserve"> </w:t>
      </w:r>
      <w:r w:rsidRPr="0004576F">
        <w:rPr>
          <w:i/>
        </w:rPr>
        <w:t>History Journal</w:t>
      </w:r>
      <w:r w:rsidRPr="0004576F">
        <w:t>, vol. IV, 2004, p. 52-70.</w:t>
      </w:r>
    </w:p>
  </w:footnote>
  <w:footnote w:id="577">
    <w:p w14:paraId="06ADE05D" w14:textId="77777777" w:rsidR="00B01930" w:rsidRDefault="00B01930">
      <w:pPr>
        <w:pStyle w:val="Notedebasdepage"/>
      </w:pPr>
      <w:r>
        <w:rPr>
          <w:rStyle w:val="Appelnotedebasdep"/>
        </w:rPr>
        <w:footnoteRef/>
      </w:r>
      <w:r>
        <w:t xml:space="preserve"> </w:t>
      </w:r>
      <w:r>
        <w:tab/>
      </w:r>
      <w:r w:rsidRPr="0004576F">
        <w:t xml:space="preserve">Le refus de </w:t>
      </w:r>
      <w:r>
        <w:t>Jacques I</w:t>
      </w:r>
      <w:r w:rsidRPr="0004576F">
        <w:rPr>
          <w:vertAlign w:val="superscript"/>
        </w:rPr>
        <w:t>er</w:t>
      </w:r>
      <w:r w:rsidRPr="0004576F">
        <w:t xml:space="preserve"> d’aider son gendre l’Électeur Palatin, le vaincu de la Montagne Blanche (8 novembre 1620), fut très mal perçu par la plupart des protestants anglais, d’autant plus qu’au même moment le roi che</w:t>
      </w:r>
      <w:r w:rsidRPr="0004576F">
        <w:t>r</w:t>
      </w:r>
      <w:r w:rsidRPr="0004576F">
        <w:t>chait à s’allier avec l’Espagne et envisageait même de marier le prince de Galles à une infante pour sceller une alliance.</w:t>
      </w:r>
    </w:p>
  </w:footnote>
  <w:footnote w:id="578">
    <w:p w14:paraId="578508A8" w14:textId="77777777" w:rsidR="00B01930" w:rsidRDefault="00B01930">
      <w:pPr>
        <w:pStyle w:val="Notedebasdepage"/>
      </w:pPr>
      <w:r>
        <w:rPr>
          <w:rStyle w:val="Appelnotedebasdep"/>
        </w:rPr>
        <w:footnoteRef/>
      </w:r>
      <w:r>
        <w:t xml:space="preserve"> </w:t>
      </w:r>
      <w:r>
        <w:tab/>
      </w:r>
      <w:r w:rsidRPr="0004576F">
        <w:t>John Coffey, « The Impact of Apocalypticism during the Puritans Revol</w:t>
      </w:r>
      <w:r w:rsidRPr="0004576F">
        <w:t>u</w:t>
      </w:r>
      <w:r w:rsidRPr="0004576F">
        <w:t xml:space="preserve">tions », </w:t>
      </w:r>
      <w:r w:rsidRPr="0004576F">
        <w:rPr>
          <w:i/>
        </w:rPr>
        <w:t>Perich</w:t>
      </w:r>
      <w:r w:rsidRPr="0004576F">
        <w:rPr>
          <w:i/>
        </w:rPr>
        <w:t>o</w:t>
      </w:r>
      <w:r w:rsidRPr="0004576F">
        <w:rPr>
          <w:i/>
        </w:rPr>
        <w:t>resis</w:t>
      </w:r>
      <w:r w:rsidRPr="0004576F">
        <w:t>, IV, 2, 2006, p. 117-147.</w:t>
      </w:r>
    </w:p>
  </w:footnote>
  <w:footnote w:id="579">
    <w:p w14:paraId="25A9E9B4" w14:textId="77777777" w:rsidR="00B01930" w:rsidRDefault="00B01930">
      <w:pPr>
        <w:pStyle w:val="Notedebasdepage"/>
      </w:pPr>
      <w:r>
        <w:rPr>
          <w:rStyle w:val="Appelnotedebasdep"/>
        </w:rPr>
        <w:footnoteRef/>
      </w:r>
      <w:r>
        <w:t xml:space="preserve"> </w:t>
      </w:r>
      <w:r>
        <w:tab/>
      </w:r>
      <w:r w:rsidRPr="0004576F">
        <w:t xml:space="preserve">Jean Beauté, </w:t>
      </w:r>
      <w:r w:rsidRPr="0004576F">
        <w:rPr>
          <w:i/>
        </w:rPr>
        <w:t>Un Grand Juriste anglais : Sir Edward Coke 1552-1634. Ses idées politiques et constitutionnelles</w:t>
      </w:r>
      <w:r w:rsidRPr="0004576F">
        <w:t>, Paris, P</w:t>
      </w:r>
      <w:r w:rsidRPr="0004576F">
        <w:rPr>
          <w:smallCaps/>
        </w:rPr>
        <w:t>uf</w:t>
      </w:r>
      <w:r w:rsidRPr="0004576F">
        <w:t xml:space="preserve">, 1975 ; Allen D. Boyer (dir.), </w:t>
      </w:r>
      <w:r w:rsidRPr="0004576F">
        <w:rPr>
          <w:i/>
        </w:rPr>
        <w:t>Law, Liberty and Parli</w:t>
      </w:r>
      <w:r w:rsidRPr="0004576F">
        <w:rPr>
          <w:i/>
        </w:rPr>
        <w:t>a</w:t>
      </w:r>
      <w:r w:rsidRPr="0004576F">
        <w:rPr>
          <w:i/>
        </w:rPr>
        <w:t>ment : Selected Essays on the Writings of Sir</w:t>
      </w:r>
      <w:r w:rsidRPr="0004576F">
        <w:t xml:space="preserve"> </w:t>
      </w:r>
      <w:r w:rsidRPr="0004576F">
        <w:rPr>
          <w:i/>
        </w:rPr>
        <w:t>Edward Coke</w:t>
      </w:r>
      <w:r w:rsidRPr="0004576F">
        <w:t>, Indianapolis, Liberty Fund, 2004.</w:t>
      </w:r>
    </w:p>
  </w:footnote>
  <w:footnote w:id="580">
    <w:p w14:paraId="02775B9C" w14:textId="77777777" w:rsidR="00B01930" w:rsidRDefault="00B01930">
      <w:pPr>
        <w:pStyle w:val="Notedebasdepage"/>
      </w:pPr>
      <w:r>
        <w:rPr>
          <w:rStyle w:val="Appelnotedebasdep"/>
        </w:rPr>
        <w:footnoteRef/>
      </w:r>
      <w:r>
        <w:t xml:space="preserve"> </w:t>
      </w:r>
      <w:r>
        <w:tab/>
      </w:r>
      <w:r w:rsidRPr="0004576F">
        <w:t xml:space="preserve">Voir Christopher Hill, « Francis Bacon and the Parlementarians », dans </w:t>
      </w:r>
      <w:r w:rsidRPr="0004576F">
        <w:rPr>
          <w:i/>
        </w:rPr>
        <w:t>Inte</w:t>
      </w:r>
      <w:r w:rsidRPr="0004576F">
        <w:rPr>
          <w:i/>
        </w:rPr>
        <w:t>l</w:t>
      </w:r>
      <w:r w:rsidRPr="0004576F">
        <w:rPr>
          <w:i/>
        </w:rPr>
        <w:t>lectuals Or</w:t>
      </w:r>
      <w:r w:rsidRPr="0004576F">
        <w:rPr>
          <w:i/>
        </w:rPr>
        <w:t>i</w:t>
      </w:r>
      <w:r w:rsidRPr="0004576F">
        <w:rPr>
          <w:i/>
        </w:rPr>
        <w:t>gins of the English</w:t>
      </w:r>
      <w:r w:rsidRPr="0004576F">
        <w:t xml:space="preserve"> </w:t>
      </w:r>
      <w:r w:rsidRPr="0004576F">
        <w:rPr>
          <w:i/>
        </w:rPr>
        <w:t>Revolution</w:t>
      </w:r>
      <w:r w:rsidRPr="0004576F">
        <w:t xml:space="preserve">, </w:t>
      </w:r>
      <w:r w:rsidRPr="0004576F">
        <w:rPr>
          <w:i/>
        </w:rPr>
        <w:t>op. cit.</w:t>
      </w:r>
      <w:r w:rsidRPr="0004576F">
        <w:t>, p. 85-130.</w:t>
      </w:r>
    </w:p>
  </w:footnote>
  <w:footnote w:id="581">
    <w:p w14:paraId="38023282" w14:textId="77777777" w:rsidR="00B01930" w:rsidRDefault="00B01930">
      <w:pPr>
        <w:pStyle w:val="Notedebasdepage"/>
      </w:pPr>
      <w:r>
        <w:rPr>
          <w:rStyle w:val="Appelnotedebasdep"/>
        </w:rPr>
        <w:footnoteRef/>
      </w:r>
      <w:r>
        <w:t xml:space="preserve"> </w:t>
      </w:r>
      <w:r>
        <w:tab/>
      </w:r>
      <w:r w:rsidRPr="0004576F">
        <w:t>Au sommet de la hiérarchie judiciaire anglaise depuis le règne de Marie T</w:t>
      </w:r>
      <w:r w:rsidRPr="0004576F">
        <w:t>u</w:t>
      </w:r>
      <w:r w:rsidRPr="0004576F">
        <w:t>dor, il est chargé de représenter les intérêts de la couronne en matière de just</w:t>
      </w:r>
      <w:r w:rsidRPr="0004576F">
        <w:t>i</w:t>
      </w:r>
      <w:r w:rsidRPr="0004576F">
        <w:t xml:space="preserve">ce civile ou criminelle. Cf. Philippe Chassaigne, </w:t>
      </w:r>
      <w:r w:rsidRPr="0004576F">
        <w:rPr>
          <w:i/>
        </w:rPr>
        <w:t>Lexique d’histoire et</w:t>
      </w:r>
      <w:r w:rsidRPr="0004576F">
        <w:t xml:space="preserve"> </w:t>
      </w:r>
      <w:r w:rsidRPr="0004576F">
        <w:rPr>
          <w:i/>
        </w:rPr>
        <w:t>de civ</w:t>
      </w:r>
      <w:r w:rsidRPr="0004576F">
        <w:rPr>
          <w:i/>
        </w:rPr>
        <w:t>i</w:t>
      </w:r>
      <w:r w:rsidRPr="0004576F">
        <w:rPr>
          <w:i/>
        </w:rPr>
        <w:t>lis</w:t>
      </w:r>
      <w:r w:rsidRPr="0004576F">
        <w:rPr>
          <w:i/>
        </w:rPr>
        <w:t>a</w:t>
      </w:r>
      <w:r w:rsidRPr="0004576F">
        <w:rPr>
          <w:i/>
        </w:rPr>
        <w:t>tion britanniques</w:t>
      </w:r>
      <w:r w:rsidRPr="0004576F">
        <w:t>, Paris, Ellipses, 1997, p. 23.</w:t>
      </w:r>
    </w:p>
  </w:footnote>
  <w:footnote w:id="582">
    <w:p w14:paraId="47587FF8" w14:textId="77777777" w:rsidR="00B01930" w:rsidRDefault="00B01930">
      <w:pPr>
        <w:pStyle w:val="Notedebasdepage"/>
      </w:pPr>
      <w:r>
        <w:rPr>
          <w:rStyle w:val="Appelnotedebasdep"/>
        </w:rPr>
        <w:footnoteRef/>
      </w:r>
      <w:r>
        <w:t xml:space="preserve"> </w:t>
      </w:r>
      <w:r>
        <w:tab/>
      </w:r>
      <w:r w:rsidRPr="0004576F">
        <w:t xml:space="preserve">Le </w:t>
      </w:r>
      <w:r w:rsidRPr="0004576F">
        <w:rPr>
          <w:i/>
        </w:rPr>
        <w:t>Lord Chief Justice of England</w:t>
      </w:r>
      <w:r w:rsidRPr="0004576F">
        <w:t xml:space="preserve"> vient dans la hiérarchie jud</w:t>
      </w:r>
      <w:r w:rsidRPr="0004576F">
        <w:t>i</w:t>
      </w:r>
      <w:r w:rsidRPr="0004576F">
        <w:t xml:space="preserve">ciaire anglaise au deuxième rang, après le </w:t>
      </w:r>
      <w:r w:rsidRPr="0004576F">
        <w:rPr>
          <w:i/>
        </w:rPr>
        <w:t>Lord Chancellor</w:t>
      </w:r>
      <w:r w:rsidRPr="0004576F">
        <w:t>, ministre de la Justice.</w:t>
      </w:r>
    </w:p>
  </w:footnote>
  <w:footnote w:id="583">
    <w:p w14:paraId="2932164D" w14:textId="77777777" w:rsidR="00B01930" w:rsidRDefault="00B01930">
      <w:pPr>
        <w:pStyle w:val="Notedebasdepage"/>
      </w:pPr>
      <w:r>
        <w:rPr>
          <w:rStyle w:val="Appelnotedebasdep"/>
        </w:rPr>
        <w:footnoteRef/>
      </w:r>
      <w:r>
        <w:t xml:space="preserve"> </w:t>
      </w:r>
      <w:r>
        <w:tab/>
      </w:r>
      <w:r w:rsidRPr="0004576F">
        <w:t xml:space="preserve">Coke publie, à partir de 1600, 11 volumes, plus 2 posthumes, de </w:t>
      </w:r>
      <w:r w:rsidRPr="0004576F">
        <w:rPr>
          <w:i/>
        </w:rPr>
        <w:t>Law Reports</w:t>
      </w:r>
      <w:r w:rsidRPr="0004576F">
        <w:t xml:space="preserve">, puis les 4 volumes de ses </w:t>
      </w:r>
      <w:r w:rsidRPr="0004576F">
        <w:rPr>
          <w:i/>
        </w:rPr>
        <w:t>Institutes of the Lawes of E</w:t>
      </w:r>
      <w:r w:rsidRPr="0004576F">
        <w:rPr>
          <w:i/>
        </w:rPr>
        <w:t>n</w:t>
      </w:r>
      <w:r w:rsidRPr="0004576F">
        <w:rPr>
          <w:i/>
        </w:rPr>
        <w:t>gland</w:t>
      </w:r>
      <w:r w:rsidRPr="0004576F">
        <w:t>.</w:t>
      </w:r>
      <w:r w:rsidRPr="0004576F">
        <w:rPr>
          <w:i/>
        </w:rPr>
        <w:t xml:space="preserve"> </w:t>
      </w:r>
      <w:r w:rsidRPr="0004576F">
        <w:t>Il s’agit d’une œuvre juridique tout à fait considérable dont l’importance continue à être r</w:t>
      </w:r>
      <w:r w:rsidRPr="0004576F">
        <w:t>e</w:t>
      </w:r>
      <w:r w:rsidRPr="0004576F">
        <w:t>connue même si l’on sait que, par exemple, « il supprimait les préc</w:t>
      </w:r>
      <w:r w:rsidRPr="0004576F">
        <w:t>é</w:t>
      </w:r>
      <w:r w:rsidRPr="0004576F">
        <w:t xml:space="preserve">dents qui ne lui plaisaient pas » (C.Hill, </w:t>
      </w:r>
      <w:r w:rsidRPr="0004576F">
        <w:rPr>
          <w:i/>
        </w:rPr>
        <w:t>Intellectuals Origins of English Rev</w:t>
      </w:r>
      <w:r w:rsidRPr="0004576F">
        <w:rPr>
          <w:i/>
        </w:rPr>
        <w:t>o</w:t>
      </w:r>
      <w:r w:rsidRPr="0004576F">
        <w:rPr>
          <w:i/>
        </w:rPr>
        <w:t>lution</w:t>
      </w:r>
      <w:r w:rsidRPr="0004576F">
        <w:t xml:space="preserve">, </w:t>
      </w:r>
      <w:r w:rsidRPr="0004576F">
        <w:rPr>
          <w:i/>
        </w:rPr>
        <w:t>op. cit</w:t>
      </w:r>
      <w:r w:rsidRPr="0004576F">
        <w:t>., p. 255).</w:t>
      </w:r>
    </w:p>
  </w:footnote>
  <w:footnote w:id="584">
    <w:p w14:paraId="018E4D36" w14:textId="77777777" w:rsidR="00B01930" w:rsidRDefault="00B01930">
      <w:pPr>
        <w:pStyle w:val="Notedebasdepage"/>
      </w:pPr>
      <w:r>
        <w:rPr>
          <w:rStyle w:val="Appelnotedebasdep"/>
        </w:rPr>
        <w:footnoteRef/>
      </w:r>
      <w:r>
        <w:t xml:space="preserve"> </w:t>
      </w:r>
      <w:r>
        <w:tab/>
      </w:r>
      <w:r w:rsidRPr="0004576F">
        <w:t>Le droit anglais est un droit coutumier qui repose « sur des décisions jurispr</w:t>
      </w:r>
      <w:r w:rsidRPr="0004576F">
        <w:t>u</w:t>
      </w:r>
      <w:r w:rsidRPr="0004576F">
        <w:t>dentielles transcrites par des juges et sur toutes règles légales reconnues conformes à des usages immémoriaux ». Le souci du précédent en est une b</w:t>
      </w:r>
      <w:r w:rsidRPr="0004576F">
        <w:t>a</w:t>
      </w:r>
      <w:r w:rsidRPr="0004576F">
        <w:t xml:space="preserve">se fondamentale. Roland Marx, </w:t>
      </w:r>
      <w:r w:rsidRPr="0004576F">
        <w:rPr>
          <w:i/>
        </w:rPr>
        <w:t>Lex</w:t>
      </w:r>
      <w:r w:rsidRPr="0004576F">
        <w:rPr>
          <w:i/>
        </w:rPr>
        <w:t>i</w:t>
      </w:r>
      <w:r w:rsidRPr="0004576F">
        <w:rPr>
          <w:i/>
        </w:rPr>
        <w:t>que historique de la Grande-Bretagne</w:t>
      </w:r>
      <w:r w:rsidRPr="0004576F">
        <w:t xml:space="preserve">, Paris, Armand Colin, 1976, p. 57. Pour aller plus loin, Paul Brand, </w:t>
      </w:r>
      <w:r w:rsidRPr="0004576F">
        <w:rPr>
          <w:i/>
        </w:rPr>
        <w:t>The m</w:t>
      </w:r>
      <w:r w:rsidRPr="0004576F">
        <w:rPr>
          <w:i/>
        </w:rPr>
        <w:t>a</w:t>
      </w:r>
      <w:r w:rsidRPr="0004576F">
        <w:rPr>
          <w:i/>
        </w:rPr>
        <w:t>king of the Common Law</w:t>
      </w:r>
      <w:r w:rsidRPr="0004576F">
        <w:t>,</w:t>
      </w:r>
      <w:r w:rsidRPr="0004576F">
        <w:rPr>
          <w:i/>
        </w:rPr>
        <w:t xml:space="preserve"> </w:t>
      </w:r>
      <w:r w:rsidRPr="0004576F">
        <w:t>London, The Hambledon Press, 1992.</w:t>
      </w:r>
    </w:p>
  </w:footnote>
  <w:footnote w:id="585">
    <w:p w14:paraId="4B34BDCC" w14:textId="77777777" w:rsidR="00B01930" w:rsidRDefault="00B01930">
      <w:pPr>
        <w:pStyle w:val="Notedebasdepage"/>
      </w:pPr>
      <w:r>
        <w:rPr>
          <w:rStyle w:val="Appelnotedebasdep"/>
        </w:rPr>
        <w:footnoteRef/>
      </w:r>
      <w:r>
        <w:t xml:space="preserve"> </w:t>
      </w:r>
      <w:r>
        <w:tab/>
      </w:r>
      <w:r w:rsidRPr="0004576F">
        <w:t xml:space="preserve">Justin Champion and Alexander Lock, « English Liberties », dans </w:t>
      </w:r>
      <w:r w:rsidRPr="0004576F">
        <w:rPr>
          <w:i/>
        </w:rPr>
        <w:t>Magna Ca</w:t>
      </w:r>
      <w:r w:rsidRPr="0004576F">
        <w:rPr>
          <w:i/>
        </w:rPr>
        <w:t>r</w:t>
      </w:r>
      <w:r w:rsidRPr="0004576F">
        <w:rPr>
          <w:i/>
        </w:rPr>
        <w:t>ta</w:t>
      </w:r>
      <w:r w:rsidRPr="0004576F">
        <w:t xml:space="preserve">, </w:t>
      </w:r>
      <w:r w:rsidRPr="0004576F">
        <w:rPr>
          <w:i/>
        </w:rPr>
        <w:t>Law, Liberty, Legacy</w:t>
      </w:r>
      <w:r w:rsidRPr="0004576F">
        <w:t xml:space="preserve">, </w:t>
      </w:r>
      <w:r w:rsidRPr="0004576F">
        <w:rPr>
          <w:i/>
        </w:rPr>
        <w:t>op. cit</w:t>
      </w:r>
      <w:r w:rsidRPr="0004576F">
        <w:t xml:space="preserve">., p. 107-111, </w:t>
      </w:r>
      <w:r w:rsidRPr="0004576F">
        <w:rPr>
          <w:i/>
        </w:rPr>
        <w:t>loc. cit</w:t>
      </w:r>
      <w:r w:rsidRPr="0004576F">
        <w:t>., p. 108.</w:t>
      </w:r>
    </w:p>
  </w:footnote>
  <w:footnote w:id="586">
    <w:p w14:paraId="41622941" w14:textId="77777777" w:rsidR="00B01930" w:rsidRDefault="00B01930">
      <w:pPr>
        <w:pStyle w:val="Notedebasdepage"/>
      </w:pPr>
      <w:r>
        <w:rPr>
          <w:rStyle w:val="Appelnotedebasdep"/>
        </w:rPr>
        <w:footnoteRef/>
      </w:r>
      <w:r>
        <w:t xml:space="preserve"> </w:t>
      </w:r>
      <w:r>
        <w:tab/>
      </w:r>
      <w:r w:rsidRPr="0004576F">
        <w:t xml:space="preserve">Richard W. Hoyle, </w:t>
      </w:r>
      <w:r w:rsidRPr="0004576F">
        <w:rPr>
          <w:i/>
        </w:rPr>
        <w:t>The Pilgrimage of Grace and the Politics of the 1530s</w:t>
      </w:r>
      <w:r w:rsidRPr="0004576F">
        <w:t>, O</w:t>
      </w:r>
      <w:r w:rsidRPr="0004576F">
        <w:t>x</w:t>
      </w:r>
      <w:r w:rsidRPr="0004576F">
        <w:t>ford, Oxford  University Press, 2001.</w:t>
      </w:r>
    </w:p>
  </w:footnote>
  <w:footnote w:id="587">
    <w:p w14:paraId="6DD5885D" w14:textId="77777777" w:rsidR="00B01930" w:rsidRDefault="00B01930">
      <w:pPr>
        <w:pStyle w:val="Notedebasdepage"/>
      </w:pPr>
      <w:r>
        <w:rPr>
          <w:rStyle w:val="Appelnotedebasdep"/>
        </w:rPr>
        <w:footnoteRef/>
      </w:r>
      <w:r>
        <w:t xml:space="preserve"> </w:t>
      </w:r>
      <w:r>
        <w:tab/>
      </w:r>
      <w:r w:rsidRPr="0004576F">
        <w:t>Geraldine Van Bueren  écrit même  que « durant le XVI</w:t>
      </w:r>
      <w:r w:rsidRPr="0004576F">
        <w:rPr>
          <w:vertAlign w:val="superscript"/>
        </w:rPr>
        <w:t>e</w:t>
      </w:r>
      <w:r w:rsidRPr="0004576F">
        <w:t xml:space="preserve"> siècle, la Charte semble avoir été oubliée », dans son article « More Magna Than Magna Ca</w:t>
      </w:r>
      <w:r w:rsidRPr="0004576F">
        <w:t>r</w:t>
      </w:r>
      <w:r w:rsidRPr="0004576F">
        <w:t xml:space="preserve">ta : Magna Carta Sister – the Charter of the Forest », dans Robert Hazell and James Melton, </w:t>
      </w:r>
      <w:r w:rsidRPr="0004576F">
        <w:rPr>
          <w:i/>
        </w:rPr>
        <w:t>Magna Carta and Its M</w:t>
      </w:r>
      <w:r w:rsidRPr="0004576F">
        <w:rPr>
          <w:i/>
        </w:rPr>
        <w:t>o</w:t>
      </w:r>
      <w:r w:rsidRPr="0004576F">
        <w:rPr>
          <w:i/>
        </w:rPr>
        <w:t>dern Legacy</w:t>
      </w:r>
      <w:r w:rsidRPr="0004576F">
        <w:t xml:space="preserve">, New York, Cambridge University Press, 2015, p. 194-211, </w:t>
      </w:r>
      <w:r w:rsidRPr="0004576F">
        <w:rPr>
          <w:i/>
        </w:rPr>
        <w:t>loc. cit</w:t>
      </w:r>
      <w:r w:rsidRPr="0004576F">
        <w:t>., p. 202.</w:t>
      </w:r>
    </w:p>
  </w:footnote>
  <w:footnote w:id="588">
    <w:p w14:paraId="33DD4B40" w14:textId="77777777" w:rsidR="00B01930" w:rsidRDefault="00B01930">
      <w:pPr>
        <w:pStyle w:val="Notedebasdepage"/>
      </w:pPr>
      <w:r>
        <w:rPr>
          <w:rStyle w:val="Appelnotedebasdep"/>
        </w:rPr>
        <w:footnoteRef/>
      </w:r>
      <w:r>
        <w:t xml:space="preserve"> </w:t>
      </w:r>
      <w:r>
        <w:tab/>
      </w:r>
      <w:r w:rsidRPr="0004576F">
        <w:t>En particulier d’empêcher que le roi ne puisse saisir leurs biens : voir James Melton and Robert Hazell, « </w:t>
      </w:r>
      <w:r w:rsidRPr="0004576F">
        <w:rPr>
          <w:i/>
        </w:rPr>
        <w:t>Magna Carta</w:t>
      </w:r>
      <w:r w:rsidRPr="0004576F">
        <w:t xml:space="preserve">… Holy Grail ? », dans </w:t>
      </w:r>
      <w:r w:rsidRPr="0004576F">
        <w:rPr>
          <w:i/>
        </w:rPr>
        <w:t>Magna Carta and Its Modern L</w:t>
      </w:r>
      <w:r w:rsidRPr="0004576F">
        <w:rPr>
          <w:i/>
        </w:rPr>
        <w:t>e</w:t>
      </w:r>
      <w:r w:rsidRPr="0004576F">
        <w:rPr>
          <w:i/>
        </w:rPr>
        <w:t>gacy</w:t>
      </w:r>
      <w:r w:rsidRPr="0004576F">
        <w:t xml:space="preserve">, </w:t>
      </w:r>
      <w:r w:rsidRPr="0004576F">
        <w:rPr>
          <w:i/>
        </w:rPr>
        <w:t>op. cit</w:t>
      </w:r>
      <w:r w:rsidRPr="0004576F">
        <w:t xml:space="preserve">., p. 3-22, </w:t>
      </w:r>
      <w:r w:rsidRPr="0004576F">
        <w:rPr>
          <w:i/>
        </w:rPr>
        <w:t>loc. cit</w:t>
      </w:r>
      <w:r w:rsidRPr="0004576F">
        <w:t>., p. 7.</w:t>
      </w:r>
    </w:p>
  </w:footnote>
  <w:footnote w:id="589">
    <w:p w14:paraId="4B9CACA4" w14:textId="77777777" w:rsidR="00B01930" w:rsidRDefault="00B01930">
      <w:pPr>
        <w:pStyle w:val="Notedebasdepage"/>
      </w:pPr>
      <w:r>
        <w:rPr>
          <w:rStyle w:val="Appelnotedebasdep"/>
        </w:rPr>
        <w:footnoteRef/>
      </w:r>
      <w:r>
        <w:t xml:space="preserve"> </w:t>
      </w:r>
      <w:r>
        <w:tab/>
      </w:r>
      <w:r w:rsidRPr="0004576F">
        <w:t>On peut aussi écrire plus brièvement  mais moins littéralement : « ni déposs</w:t>
      </w:r>
      <w:r w:rsidRPr="0004576F">
        <w:t>é</w:t>
      </w:r>
      <w:r w:rsidRPr="0004576F">
        <w:t>dé de ses biens ».</w:t>
      </w:r>
    </w:p>
  </w:footnote>
  <w:footnote w:id="590">
    <w:p w14:paraId="5497F9FA" w14:textId="77777777" w:rsidR="00B01930" w:rsidRDefault="00B01930">
      <w:pPr>
        <w:pStyle w:val="Notedebasdepage"/>
      </w:pPr>
      <w:r>
        <w:rPr>
          <w:rStyle w:val="Appelnotedebasdep"/>
        </w:rPr>
        <w:footnoteRef/>
      </w:r>
      <w:r>
        <w:t xml:space="preserve"> </w:t>
      </w:r>
      <w:r>
        <w:tab/>
      </w:r>
      <w:r w:rsidRPr="0004576F">
        <w:t>En réalité, il s’agissait pour les barons d’éviter qu’à l’occasion de leurs disp</w:t>
      </w:r>
      <w:r w:rsidRPr="0004576F">
        <w:t>u</w:t>
      </w:r>
      <w:r w:rsidRPr="0004576F">
        <w:t xml:space="preserve">tes, comme cela avait été fait sous </w:t>
      </w:r>
      <w:r>
        <w:t>Henri I</w:t>
      </w:r>
      <w:r w:rsidRPr="0004576F">
        <w:t>I, Richard Cœur de Lion ou Jean sans Terre, le roi n’utilise des procédures criminelles pour se saisir d’une pa</w:t>
      </w:r>
      <w:r w:rsidRPr="0004576F">
        <w:t>r</w:t>
      </w:r>
      <w:r w:rsidRPr="0004576F">
        <w:t>tie de leurs biens : voir « </w:t>
      </w:r>
      <w:r w:rsidRPr="0004576F">
        <w:rPr>
          <w:i/>
        </w:rPr>
        <w:t>Magna Ca</w:t>
      </w:r>
      <w:r w:rsidRPr="0004576F">
        <w:rPr>
          <w:i/>
        </w:rPr>
        <w:t>r</w:t>
      </w:r>
      <w:r w:rsidRPr="0004576F">
        <w:rPr>
          <w:i/>
        </w:rPr>
        <w:t>ta</w:t>
      </w:r>
      <w:r w:rsidRPr="0004576F">
        <w:t>… Holy Grail ? », art. cit., p. 7.</w:t>
      </w:r>
    </w:p>
  </w:footnote>
  <w:footnote w:id="591">
    <w:p w14:paraId="655DC2F6" w14:textId="77777777" w:rsidR="00B01930" w:rsidRDefault="00B01930">
      <w:pPr>
        <w:pStyle w:val="Notedebasdepage"/>
      </w:pPr>
      <w:r>
        <w:rPr>
          <w:rStyle w:val="Appelnotedebasdep"/>
        </w:rPr>
        <w:footnoteRef/>
      </w:r>
      <w:r>
        <w:t xml:space="preserve"> </w:t>
      </w:r>
      <w:r>
        <w:tab/>
      </w:r>
      <w:r w:rsidRPr="0004576F">
        <w:t>Vernon Bogdanor, « </w:t>
      </w:r>
      <w:r w:rsidRPr="0004576F">
        <w:rPr>
          <w:i/>
        </w:rPr>
        <w:t>Magna Carta</w:t>
      </w:r>
      <w:r w:rsidRPr="0004576F">
        <w:t xml:space="preserve">, the Rule of the Law and the Reform of the Constitution », dans </w:t>
      </w:r>
      <w:r w:rsidRPr="0004576F">
        <w:rPr>
          <w:i/>
        </w:rPr>
        <w:t>Magna</w:t>
      </w:r>
      <w:r w:rsidRPr="0004576F">
        <w:t xml:space="preserve"> </w:t>
      </w:r>
      <w:r w:rsidRPr="0004576F">
        <w:rPr>
          <w:i/>
        </w:rPr>
        <w:t>Carta and Its Modern L</w:t>
      </w:r>
      <w:r w:rsidRPr="0004576F">
        <w:rPr>
          <w:i/>
        </w:rPr>
        <w:t>e</w:t>
      </w:r>
      <w:r w:rsidRPr="0004576F">
        <w:rPr>
          <w:i/>
        </w:rPr>
        <w:t>gacy</w:t>
      </w:r>
      <w:r w:rsidRPr="0004576F">
        <w:t xml:space="preserve">, </w:t>
      </w:r>
      <w:r w:rsidRPr="0004576F">
        <w:rPr>
          <w:i/>
        </w:rPr>
        <w:t>op. cit</w:t>
      </w:r>
      <w:r w:rsidRPr="0004576F">
        <w:t xml:space="preserve">., p. 23-41, </w:t>
      </w:r>
      <w:r w:rsidRPr="0004576F">
        <w:rPr>
          <w:i/>
        </w:rPr>
        <w:t>loc. cit</w:t>
      </w:r>
      <w:r w:rsidRPr="0004576F">
        <w:t>., p. 24.</w:t>
      </w:r>
    </w:p>
  </w:footnote>
  <w:footnote w:id="592">
    <w:p w14:paraId="590D3AB9" w14:textId="77777777" w:rsidR="00B01930" w:rsidRDefault="00B01930">
      <w:pPr>
        <w:pStyle w:val="Notedebasdepage"/>
      </w:pPr>
      <w:r>
        <w:rPr>
          <w:rStyle w:val="Appelnotedebasdep"/>
        </w:rPr>
        <w:footnoteRef/>
      </w:r>
      <w:r>
        <w:t xml:space="preserve"> </w:t>
      </w:r>
      <w:r>
        <w:tab/>
      </w:r>
      <w:r w:rsidRPr="0004576F">
        <w:t xml:space="preserve">Voir l’analyse de J.G.A. Pocock, dans </w:t>
      </w:r>
      <w:r w:rsidRPr="0004576F">
        <w:rPr>
          <w:i/>
        </w:rPr>
        <w:t>The Ancient Constitution and the feudal law : a study of english histor</w:t>
      </w:r>
      <w:r w:rsidRPr="0004576F">
        <w:rPr>
          <w:i/>
        </w:rPr>
        <w:t>i</w:t>
      </w:r>
      <w:r w:rsidRPr="0004576F">
        <w:rPr>
          <w:i/>
        </w:rPr>
        <w:t>cal</w:t>
      </w:r>
      <w:r w:rsidRPr="0004576F">
        <w:t xml:space="preserve"> </w:t>
      </w:r>
      <w:r w:rsidRPr="0004576F">
        <w:rPr>
          <w:i/>
        </w:rPr>
        <w:t>thought in the 17 th century</w:t>
      </w:r>
      <w:r w:rsidRPr="0004576F">
        <w:t xml:space="preserve">, Cambridge, Cambridge University Press, 1957,  trad. Française : </w:t>
      </w:r>
      <w:r w:rsidRPr="0004576F">
        <w:rPr>
          <w:i/>
        </w:rPr>
        <w:t>L’Ancienne</w:t>
      </w:r>
      <w:r w:rsidRPr="0004576F">
        <w:t xml:space="preserve"> </w:t>
      </w:r>
      <w:r w:rsidRPr="0004576F">
        <w:rPr>
          <w:i/>
        </w:rPr>
        <w:t>Constitution et le droit féodal</w:t>
      </w:r>
      <w:r w:rsidRPr="0004576F">
        <w:t>, Paris, P</w:t>
      </w:r>
      <w:r w:rsidRPr="0004576F">
        <w:rPr>
          <w:smallCaps/>
        </w:rPr>
        <w:t>uf</w:t>
      </w:r>
      <w:r w:rsidRPr="0004576F">
        <w:t xml:space="preserve">, 2000, chap. II : « L’esprit du </w:t>
      </w:r>
      <w:r w:rsidRPr="0004576F">
        <w:rPr>
          <w:i/>
        </w:rPr>
        <w:t>common law </w:t>
      </w:r>
      <w:r w:rsidRPr="0004576F">
        <w:t>: la coutume et l’immémorial », p. 49-79.</w:t>
      </w:r>
    </w:p>
  </w:footnote>
  <w:footnote w:id="593">
    <w:p w14:paraId="6B929F80" w14:textId="77777777" w:rsidR="00B01930" w:rsidRDefault="00B01930">
      <w:pPr>
        <w:pStyle w:val="Notedebasdepage"/>
      </w:pPr>
      <w:r>
        <w:rPr>
          <w:rStyle w:val="Appelnotedebasdep"/>
        </w:rPr>
        <w:footnoteRef/>
      </w:r>
      <w:r>
        <w:t xml:space="preserve"> </w:t>
      </w:r>
      <w:r>
        <w:tab/>
      </w:r>
      <w:r w:rsidRPr="0004576F">
        <w:rPr>
          <w:i/>
        </w:rPr>
        <w:t>Ibidem,</w:t>
      </w:r>
      <w:r w:rsidRPr="0004576F">
        <w:t xml:space="preserve"> p. 25. Christopher Hill écrit à ce propos : « … ses éno</w:t>
      </w:r>
      <w:r w:rsidRPr="0004576F">
        <w:t>r</w:t>
      </w:r>
      <w:r w:rsidRPr="0004576F">
        <w:t>mes travaux  achevèrent [de] donner aux Anglais une histoire myth</w:t>
      </w:r>
      <w:r w:rsidRPr="0004576F">
        <w:t>i</w:t>
      </w:r>
      <w:r w:rsidRPr="0004576F">
        <w:t xml:space="preserve">que de la Constitution anglaise… Ainsi, la lutte des </w:t>
      </w:r>
      <w:r w:rsidRPr="0004576F">
        <w:rPr>
          <w:i/>
        </w:rPr>
        <w:t>Common lawyers</w:t>
      </w:r>
      <w:r w:rsidRPr="0004576F">
        <w:t xml:space="preserve"> et des Parlementa</w:t>
      </w:r>
      <w:r w:rsidRPr="0004576F">
        <w:t>i</w:t>
      </w:r>
      <w:r w:rsidRPr="0004576F">
        <w:t xml:space="preserve">res recevait la signification historique, l’auréole et le prestige d’une tradition millénaire ». Cf. </w:t>
      </w:r>
      <w:r w:rsidRPr="0004576F">
        <w:rPr>
          <w:i/>
        </w:rPr>
        <w:t>Intellectual Or</w:t>
      </w:r>
      <w:r w:rsidRPr="0004576F">
        <w:rPr>
          <w:i/>
        </w:rPr>
        <w:t>i</w:t>
      </w:r>
      <w:r w:rsidRPr="0004576F">
        <w:rPr>
          <w:i/>
        </w:rPr>
        <w:t>gins of</w:t>
      </w:r>
      <w:r w:rsidRPr="0004576F">
        <w:t xml:space="preserve"> </w:t>
      </w:r>
      <w:r w:rsidRPr="0004576F">
        <w:rPr>
          <w:i/>
        </w:rPr>
        <w:t>the English Revolution</w:t>
      </w:r>
      <w:r w:rsidRPr="0004576F">
        <w:t xml:space="preserve">, </w:t>
      </w:r>
      <w:r w:rsidRPr="0004576F">
        <w:rPr>
          <w:i/>
        </w:rPr>
        <w:t>op. cit</w:t>
      </w:r>
      <w:r w:rsidRPr="0004576F">
        <w:t>., p. 257.</w:t>
      </w:r>
    </w:p>
  </w:footnote>
  <w:footnote w:id="594">
    <w:p w14:paraId="72FDD899" w14:textId="77777777" w:rsidR="00B01930" w:rsidRDefault="00B01930">
      <w:pPr>
        <w:pStyle w:val="Notedebasdepage"/>
      </w:pPr>
      <w:r>
        <w:rPr>
          <w:rStyle w:val="Appelnotedebasdep"/>
        </w:rPr>
        <w:footnoteRef/>
      </w:r>
      <w:r>
        <w:t xml:space="preserve"> </w:t>
      </w:r>
      <w:r>
        <w:tab/>
      </w:r>
      <w:r w:rsidRPr="0004576F">
        <w:t>Coke écrivit à ce sujet : « la liberté du commerce est la cause de la prospérité des Pays-Bas ils ne supportent pas le fardeau des impos</w:t>
      </w:r>
      <w:r w:rsidRPr="0004576F">
        <w:t>i</w:t>
      </w:r>
      <w:r w:rsidRPr="0004576F">
        <w:t xml:space="preserve">tions sur le commerce ni les monopoles destinés à les restreindre ». Cité par C.Hill, dans </w:t>
      </w:r>
      <w:r w:rsidRPr="0004576F">
        <w:rPr>
          <w:i/>
        </w:rPr>
        <w:t>Intelle</w:t>
      </w:r>
      <w:r w:rsidRPr="0004576F">
        <w:rPr>
          <w:i/>
        </w:rPr>
        <w:t>c</w:t>
      </w:r>
      <w:r w:rsidRPr="0004576F">
        <w:rPr>
          <w:i/>
        </w:rPr>
        <w:t>tuals Origins of English Revol</w:t>
      </w:r>
      <w:r w:rsidRPr="0004576F">
        <w:rPr>
          <w:i/>
        </w:rPr>
        <w:t>u</w:t>
      </w:r>
      <w:r w:rsidRPr="0004576F">
        <w:rPr>
          <w:i/>
        </w:rPr>
        <w:t>tion</w:t>
      </w:r>
      <w:r w:rsidRPr="0004576F">
        <w:t xml:space="preserve">, </w:t>
      </w:r>
      <w:r w:rsidRPr="0004576F">
        <w:rPr>
          <w:i/>
        </w:rPr>
        <w:t>op. cit</w:t>
      </w:r>
      <w:r w:rsidRPr="0004576F">
        <w:t>., p. 234-235.</w:t>
      </w:r>
    </w:p>
  </w:footnote>
  <w:footnote w:id="595">
    <w:p w14:paraId="0F6B6364" w14:textId="77777777" w:rsidR="00B01930" w:rsidRDefault="00B01930">
      <w:pPr>
        <w:pStyle w:val="Notedebasdepage"/>
      </w:pPr>
      <w:r>
        <w:rPr>
          <w:rStyle w:val="Appelnotedebasdep"/>
        </w:rPr>
        <w:footnoteRef/>
      </w:r>
      <w:r>
        <w:t xml:space="preserve"> </w:t>
      </w:r>
      <w:r>
        <w:tab/>
      </w:r>
      <w:r w:rsidRPr="0004576F">
        <w:t xml:space="preserve">J.G.A. Pocock, </w:t>
      </w:r>
      <w:r w:rsidRPr="0004576F">
        <w:rPr>
          <w:i/>
        </w:rPr>
        <w:t>L’Ancienne Constitution et le droit féodal…</w:t>
      </w:r>
      <w:r w:rsidRPr="0004576F">
        <w:t xml:space="preserve">,  </w:t>
      </w:r>
      <w:r w:rsidRPr="0004576F">
        <w:rPr>
          <w:i/>
        </w:rPr>
        <w:t>op. cit</w:t>
      </w:r>
      <w:r w:rsidRPr="0004576F">
        <w:t>., p. 51.</w:t>
      </w:r>
    </w:p>
  </w:footnote>
  <w:footnote w:id="596">
    <w:p w14:paraId="25D0A5E8" w14:textId="77777777" w:rsidR="00B01930" w:rsidRDefault="00B01930">
      <w:pPr>
        <w:pStyle w:val="Notedebasdepage"/>
      </w:pPr>
      <w:r>
        <w:rPr>
          <w:rStyle w:val="Appelnotedebasdep"/>
        </w:rPr>
        <w:footnoteRef/>
      </w:r>
      <w:r>
        <w:t xml:space="preserve"> </w:t>
      </w:r>
      <w:r>
        <w:tab/>
      </w:r>
      <w:r w:rsidRPr="0004576F">
        <w:t>Depuis  1624 avec l’Espagne ; à partir du début de 1626 avec la France.</w:t>
      </w:r>
    </w:p>
  </w:footnote>
  <w:footnote w:id="597">
    <w:p w14:paraId="5079800F" w14:textId="77777777" w:rsidR="00B01930" w:rsidRDefault="00B01930">
      <w:pPr>
        <w:pStyle w:val="Notedebasdepage"/>
      </w:pPr>
      <w:r>
        <w:rPr>
          <w:rStyle w:val="Appelnotedebasdep"/>
        </w:rPr>
        <w:footnoteRef/>
      </w:r>
      <w:r>
        <w:t xml:space="preserve"> </w:t>
      </w:r>
      <w:r>
        <w:tab/>
      </w:r>
      <w:r w:rsidRPr="0004576F">
        <w:t>Légalement, l’</w:t>
      </w:r>
      <w:r w:rsidRPr="0004576F">
        <w:rPr>
          <w:i/>
        </w:rPr>
        <w:t>Habeas Corpus</w:t>
      </w:r>
      <w:r w:rsidRPr="0004576F">
        <w:t xml:space="preserve"> ne fut institué par le Parlement qu’en 1679 au cours des difficultés de la Crise de l’</w:t>
      </w:r>
      <w:r w:rsidRPr="0004576F">
        <w:rPr>
          <w:i/>
        </w:rPr>
        <w:t xml:space="preserve">Exclusion </w:t>
      </w:r>
      <w:r w:rsidRPr="0004576F">
        <w:t xml:space="preserve">qui dura de 1678 à 1681 (il s’agissait d’exclure de la succession au trône parce que catholique le frère du roi </w:t>
      </w:r>
      <w:r>
        <w:t>Charles I</w:t>
      </w:r>
      <w:r w:rsidRPr="0004576F">
        <w:t xml:space="preserve">I, Jacques, duc d’York, le futur </w:t>
      </w:r>
      <w:r>
        <w:t>Jacques I</w:t>
      </w:r>
      <w:r w:rsidRPr="0004576F">
        <w:t>I), mais le principe en a été énoncé beaucoup plus tôt, à pa</w:t>
      </w:r>
      <w:r w:rsidRPr="0004576F">
        <w:t>r</w:t>
      </w:r>
      <w:r w:rsidRPr="0004576F">
        <w:t>tir de l’article 39 de la Grande Charte, dont les dispositions qui en fait étaient de nature différente, co</w:t>
      </w:r>
      <w:r w:rsidRPr="0004576F">
        <w:t>m</w:t>
      </w:r>
      <w:r w:rsidRPr="0004576F">
        <w:t xml:space="preserve">me nous l’avons vu, furent reprises dans la </w:t>
      </w:r>
      <w:r w:rsidRPr="0004576F">
        <w:rPr>
          <w:i/>
        </w:rPr>
        <w:t>Pétition du Droit</w:t>
      </w:r>
      <w:r w:rsidRPr="0004576F">
        <w:t xml:space="preserve"> de 1628. L’Acte de 1679 st</w:t>
      </w:r>
      <w:r w:rsidRPr="0004576F">
        <w:t>i</w:t>
      </w:r>
      <w:r w:rsidRPr="0004576F">
        <w:t>pule que personne ne peut être emprisonné plus de trois jours sans qu’une inculp</w:t>
      </w:r>
      <w:r w:rsidRPr="0004576F">
        <w:t>a</w:t>
      </w:r>
      <w:r w:rsidRPr="0004576F">
        <w:t>tion précise ne soit portée contre lui. Coke a été le grand défenseur de ce pri</w:t>
      </w:r>
      <w:r w:rsidRPr="0004576F">
        <w:t>n</w:t>
      </w:r>
      <w:r w:rsidRPr="0004576F">
        <w:t xml:space="preserve">cipe contre </w:t>
      </w:r>
      <w:r>
        <w:t>Ja</w:t>
      </w:r>
      <w:r>
        <w:t>c</w:t>
      </w:r>
      <w:r>
        <w:t>ques I</w:t>
      </w:r>
      <w:r w:rsidRPr="0004576F">
        <w:t xml:space="preserve">e et </w:t>
      </w:r>
      <w:r>
        <w:t>Charles I</w:t>
      </w:r>
      <w:r w:rsidRPr="0004576F">
        <w:t>e  qui affirmaient que la prérogative royale rendait possible une arre</w:t>
      </w:r>
      <w:r w:rsidRPr="0004576F">
        <w:t>s</w:t>
      </w:r>
      <w:r w:rsidRPr="0004576F">
        <w:t>tation et un emprisonnement sur simple décision du souverain.</w:t>
      </w:r>
    </w:p>
  </w:footnote>
  <w:footnote w:id="598">
    <w:p w14:paraId="6032A3ED" w14:textId="77777777" w:rsidR="00B01930" w:rsidRDefault="00B01930">
      <w:pPr>
        <w:pStyle w:val="Notedebasdepage"/>
      </w:pPr>
      <w:r>
        <w:rPr>
          <w:rStyle w:val="Appelnotedebasdep"/>
        </w:rPr>
        <w:footnoteRef/>
      </w:r>
      <w:r>
        <w:t xml:space="preserve"> </w:t>
      </w:r>
      <w:r>
        <w:tab/>
      </w:r>
      <w:r w:rsidRPr="0004576F">
        <w:rPr>
          <w:i/>
        </w:rPr>
        <w:t>L’évolution politique de l’Angleterre moderne</w:t>
      </w:r>
      <w:r w:rsidRPr="0004576F">
        <w:t xml:space="preserve">…, </w:t>
      </w:r>
      <w:r w:rsidRPr="0004576F">
        <w:rPr>
          <w:i/>
        </w:rPr>
        <w:t>op. cit</w:t>
      </w:r>
      <w:r w:rsidRPr="0004576F">
        <w:t>., p. 394-395.</w:t>
      </w:r>
    </w:p>
  </w:footnote>
  <w:footnote w:id="599">
    <w:p w14:paraId="11C7AB32" w14:textId="77777777" w:rsidR="00B01930" w:rsidRDefault="00B01930">
      <w:pPr>
        <w:pStyle w:val="Notedebasdepage"/>
      </w:pPr>
      <w:r>
        <w:rPr>
          <w:rStyle w:val="Appelnotedebasdep"/>
        </w:rPr>
        <w:footnoteRef/>
      </w:r>
      <w:r>
        <w:t xml:space="preserve"> </w:t>
      </w:r>
      <w:r>
        <w:tab/>
      </w:r>
      <w:r w:rsidRPr="0004576F">
        <w:t>John Selden (1584-1654), né dans une famille de petits fermiers, fut l’un des plus grands juristes anglais de la première moitié du XVII</w:t>
      </w:r>
      <w:r w:rsidRPr="0004576F">
        <w:rPr>
          <w:vertAlign w:val="superscript"/>
        </w:rPr>
        <w:t>e</w:t>
      </w:r>
      <w:r w:rsidRPr="0004576F">
        <w:t xml:space="preserve"> siècle. Dès 1621, il fut emprisonné pour avoir conseillé les opposants aux Communes où il fut lui-même élu en 1623, puis à nouveau aux trois premiers parlements de </w:t>
      </w:r>
      <w:r>
        <w:t>Cha</w:t>
      </w:r>
      <w:r>
        <w:t>r</w:t>
      </w:r>
      <w:r>
        <w:t>les I</w:t>
      </w:r>
      <w:r w:rsidRPr="0004576F">
        <w:rPr>
          <w:vertAlign w:val="superscript"/>
        </w:rPr>
        <w:t>er</w:t>
      </w:r>
      <w:r w:rsidRPr="0004576F">
        <w:t xml:space="preserve">. Il fut encore élu au </w:t>
      </w:r>
      <w:r w:rsidRPr="0004576F">
        <w:rPr>
          <w:i/>
        </w:rPr>
        <w:t>Long Pa</w:t>
      </w:r>
      <w:r w:rsidRPr="0004576F">
        <w:rPr>
          <w:i/>
        </w:rPr>
        <w:t>r</w:t>
      </w:r>
      <w:r w:rsidRPr="0004576F">
        <w:rPr>
          <w:i/>
        </w:rPr>
        <w:t>liament</w:t>
      </w:r>
      <w:r w:rsidRPr="0004576F">
        <w:t>. Protestant convaincu, il se rangea dans le camp parlementa</w:t>
      </w:r>
      <w:r w:rsidRPr="0004576F">
        <w:t>i</w:t>
      </w:r>
      <w:r w:rsidRPr="0004576F">
        <w:t xml:space="preserve">re. Son œuvre pour l’histoire et les antiquités de l’Angleterre fut très importante, mais il est surtout connu pour le concept de </w:t>
      </w:r>
      <w:r w:rsidRPr="0004576F">
        <w:rPr>
          <w:i/>
        </w:rPr>
        <w:t>Mare clausum</w:t>
      </w:r>
      <w:r w:rsidRPr="0004576F">
        <w:t>, ouvr</w:t>
      </w:r>
      <w:r w:rsidRPr="0004576F">
        <w:t>a</w:t>
      </w:r>
      <w:r w:rsidRPr="0004576F">
        <w:t xml:space="preserve">ge publié en 1635 et dédié à </w:t>
      </w:r>
      <w:r>
        <w:t>Charles I</w:t>
      </w:r>
      <w:r w:rsidRPr="0004576F">
        <w:rPr>
          <w:vertAlign w:val="superscript"/>
        </w:rPr>
        <w:t>er</w:t>
      </w:r>
      <w:r w:rsidRPr="0004576F">
        <w:t xml:space="preserve">, dans lequel il s’opposait  au traité du Hollandais Grotius, </w:t>
      </w:r>
      <w:r w:rsidRPr="0004576F">
        <w:rPr>
          <w:i/>
        </w:rPr>
        <w:t>Mare Liberum</w:t>
      </w:r>
      <w:r w:rsidRPr="0004576F">
        <w:t xml:space="preserve"> (1609). Voir « La question des pêcheries de harengs », dans mon ouvrage, </w:t>
      </w:r>
      <w:r w:rsidRPr="0004576F">
        <w:rPr>
          <w:i/>
        </w:rPr>
        <w:t>Les Îles Britanniques, les</w:t>
      </w:r>
      <w:r w:rsidRPr="0004576F">
        <w:t xml:space="preserve"> </w:t>
      </w:r>
      <w:r w:rsidRPr="0004576F">
        <w:rPr>
          <w:i/>
        </w:rPr>
        <w:t>Provinces-Unies, la guerre et la paix au XVII</w:t>
      </w:r>
      <w:r w:rsidRPr="0004576F">
        <w:rPr>
          <w:i/>
          <w:vertAlign w:val="superscript"/>
        </w:rPr>
        <w:t>e</w:t>
      </w:r>
      <w:r w:rsidRPr="0004576F">
        <w:rPr>
          <w:i/>
        </w:rPr>
        <w:t xml:space="preserve"> siècle</w:t>
      </w:r>
      <w:r w:rsidRPr="0004576F">
        <w:t>, Paris, Économica, 1991, p. 50-54.</w:t>
      </w:r>
    </w:p>
  </w:footnote>
  <w:footnote w:id="600">
    <w:p w14:paraId="33FF4673" w14:textId="77777777" w:rsidR="00B01930" w:rsidRDefault="00B01930">
      <w:pPr>
        <w:pStyle w:val="Notedebasdepage"/>
      </w:pPr>
      <w:r>
        <w:rPr>
          <w:rStyle w:val="Appelnotedebasdep"/>
        </w:rPr>
        <w:footnoteRef/>
      </w:r>
      <w:r>
        <w:t xml:space="preserve"> </w:t>
      </w:r>
      <w:r>
        <w:tab/>
      </w:r>
      <w:r w:rsidRPr="0004576F">
        <w:t>John A.Guy, « The Origins of the Petition of Right Reconsid</w:t>
      </w:r>
      <w:r w:rsidRPr="0004576F">
        <w:t>e</w:t>
      </w:r>
      <w:r w:rsidRPr="0004576F">
        <w:t xml:space="preserve">red », dans </w:t>
      </w:r>
      <w:r w:rsidRPr="0004576F">
        <w:rPr>
          <w:i/>
        </w:rPr>
        <w:t>Law, Liberty and</w:t>
      </w:r>
      <w:r w:rsidRPr="0004576F">
        <w:t xml:space="preserve"> </w:t>
      </w:r>
      <w:r w:rsidRPr="0004576F">
        <w:rPr>
          <w:i/>
        </w:rPr>
        <w:t>Parliament</w:t>
      </w:r>
      <w:r w:rsidRPr="0004576F">
        <w:t xml:space="preserve">…, </w:t>
      </w:r>
      <w:r w:rsidRPr="0004576F">
        <w:rPr>
          <w:i/>
        </w:rPr>
        <w:t>op. cit</w:t>
      </w:r>
      <w:r w:rsidRPr="0004576F">
        <w:t>., p. 328-356.</w:t>
      </w:r>
    </w:p>
  </w:footnote>
  <w:footnote w:id="601">
    <w:p w14:paraId="633E86D6" w14:textId="77777777" w:rsidR="00B01930" w:rsidRDefault="00B01930">
      <w:pPr>
        <w:pStyle w:val="Notedebasdepage"/>
      </w:pPr>
      <w:r>
        <w:rPr>
          <w:rStyle w:val="Appelnotedebasdep"/>
        </w:rPr>
        <w:footnoteRef/>
      </w:r>
      <w:r>
        <w:t xml:space="preserve"> </w:t>
      </w:r>
      <w:r>
        <w:tab/>
      </w:r>
      <w:r w:rsidRPr="0004576F">
        <w:t xml:space="preserve">Elle avait été instaurée en 1627, </w:t>
      </w:r>
      <w:r>
        <w:t>Charles I</w:t>
      </w:r>
      <w:r w:rsidRPr="0004576F">
        <w:t>er tirant parti de la guerre extérie</w:t>
      </w:r>
      <w:r w:rsidRPr="0004576F">
        <w:t>u</w:t>
      </w:r>
      <w:r w:rsidRPr="0004576F">
        <w:t>re ; elle  avait notamment deux conséquences : rendre possibles des arrest</w:t>
      </w:r>
      <w:r w:rsidRPr="0004576F">
        <w:t>a</w:t>
      </w:r>
      <w:r w:rsidRPr="0004576F">
        <w:t xml:space="preserve">tions sans décision judiciaire préalable ; permettre d’utiliser le </w:t>
      </w:r>
      <w:r w:rsidRPr="0004576F">
        <w:rPr>
          <w:i/>
        </w:rPr>
        <w:t>billeting</w:t>
      </w:r>
      <w:r w:rsidRPr="0004576F">
        <w:t>, c’est-à-dire de loger des soldats chez des part</w:t>
      </w:r>
      <w:r w:rsidRPr="0004576F">
        <w:t>i</w:t>
      </w:r>
      <w:r w:rsidRPr="0004576F">
        <w:t>culiers, ce qui à la fois diminuait les dépenses militaires dues et permettait de faire pression sur ceux qui se mo</w:t>
      </w:r>
      <w:r w:rsidRPr="0004576F">
        <w:t>n</w:t>
      </w:r>
      <w:r w:rsidRPr="0004576F">
        <w:t>traient récalcitrants à l’égard des emprunts forcés, et égal</w:t>
      </w:r>
      <w:r w:rsidRPr="0004576F">
        <w:t>e</w:t>
      </w:r>
      <w:r w:rsidRPr="0004576F">
        <w:t>ment de les punir.</w:t>
      </w:r>
    </w:p>
  </w:footnote>
  <w:footnote w:id="602">
    <w:p w14:paraId="70C7B082" w14:textId="77777777" w:rsidR="00B01930" w:rsidRDefault="00B01930">
      <w:pPr>
        <w:pStyle w:val="Notedebasdepage"/>
      </w:pPr>
      <w:r>
        <w:rPr>
          <w:rStyle w:val="Appelnotedebasdep"/>
        </w:rPr>
        <w:footnoteRef/>
      </w:r>
      <w:r>
        <w:t xml:space="preserve"> </w:t>
      </w:r>
      <w:r>
        <w:tab/>
      </w:r>
      <w:r w:rsidRPr="0004576F">
        <w:t>En fait, l’interprétation  historique réelle de la Grande Charte te</w:t>
      </w:r>
      <w:r w:rsidRPr="0004576F">
        <w:t>l</w:t>
      </w:r>
      <w:r w:rsidRPr="0004576F">
        <w:t xml:space="preserve">le qu’elle fut concédée sous Jean sans Terre et </w:t>
      </w:r>
      <w:r>
        <w:t>Henri I</w:t>
      </w:r>
      <w:r w:rsidRPr="0004576F">
        <w:t>II ne correspond nullement à celle de Coke, qui a ainsi fabriqué une sorte de mythe hi</w:t>
      </w:r>
      <w:r w:rsidRPr="0004576F">
        <w:t>s</w:t>
      </w:r>
      <w:r w:rsidRPr="0004576F">
        <w:t>torique et politique. Notons au passage que Coke lui a consacré le t</w:t>
      </w:r>
      <w:r w:rsidRPr="0004576F">
        <w:t>o</w:t>
      </w:r>
      <w:r w:rsidRPr="0004576F">
        <w:t xml:space="preserve">me II de ses </w:t>
      </w:r>
      <w:r w:rsidRPr="0004576F">
        <w:rPr>
          <w:i/>
        </w:rPr>
        <w:t>Institutes</w:t>
      </w:r>
      <w:r w:rsidRPr="0004576F">
        <w:t>.</w:t>
      </w:r>
    </w:p>
  </w:footnote>
  <w:footnote w:id="603">
    <w:p w14:paraId="37CB533A" w14:textId="77777777" w:rsidR="00B01930" w:rsidRDefault="00B01930">
      <w:pPr>
        <w:pStyle w:val="Notedebasdepage"/>
      </w:pPr>
      <w:r>
        <w:rPr>
          <w:rStyle w:val="Appelnotedebasdep"/>
        </w:rPr>
        <w:footnoteRef/>
      </w:r>
      <w:r>
        <w:t xml:space="preserve"> </w:t>
      </w:r>
      <w:r>
        <w:tab/>
      </w:r>
      <w:r w:rsidRPr="0004576F">
        <w:t xml:space="preserve">D. Hirst, </w:t>
      </w:r>
      <w:r w:rsidRPr="0004576F">
        <w:rPr>
          <w:i/>
        </w:rPr>
        <w:t>Authority and Conflict</w:t>
      </w:r>
      <w:r w:rsidRPr="0004576F">
        <w:t xml:space="preserve">…, </w:t>
      </w:r>
      <w:r w:rsidRPr="0004576F">
        <w:rPr>
          <w:i/>
        </w:rPr>
        <w:t>op. cit</w:t>
      </w:r>
      <w:r w:rsidRPr="0004576F">
        <w:t>., p. 27.</w:t>
      </w:r>
    </w:p>
  </w:footnote>
  <w:footnote w:id="604">
    <w:p w14:paraId="0E44B669" w14:textId="77777777" w:rsidR="00B01930" w:rsidRDefault="00B01930">
      <w:pPr>
        <w:pStyle w:val="Notedebasdepage"/>
      </w:pPr>
      <w:r>
        <w:rPr>
          <w:rStyle w:val="Appelnotedebasdep"/>
        </w:rPr>
        <w:footnoteRef/>
      </w:r>
      <w:r>
        <w:t xml:space="preserve"> </w:t>
      </w:r>
      <w:r>
        <w:tab/>
      </w:r>
      <w:r w:rsidRPr="0004576F">
        <w:rPr>
          <w:i/>
        </w:rPr>
        <w:t>Parliaments and English politics 1621-1629</w:t>
      </w:r>
      <w:r w:rsidRPr="0004576F">
        <w:t xml:space="preserve">, </w:t>
      </w:r>
      <w:r w:rsidRPr="0004576F">
        <w:rPr>
          <w:i/>
        </w:rPr>
        <w:t>op. cit</w:t>
      </w:r>
      <w:r w:rsidRPr="0004576F">
        <w:t>., p. 423.</w:t>
      </w:r>
    </w:p>
  </w:footnote>
  <w:footnote w:id="605">
    <w:p w14:paraId="7D16818E" w14:textId="77777777" w:rsidR="00B01930" w:rsidRDefault="00B01930">
      <w:pPr>
        <w:pStyle w:val="Notedebasdepage"/>
      </w:pPr>
      <w:r>
        <w:rPr>
          <w:rStyle w:val="Appelnotedebasdep"/>
        </w:rPr>
        <w:footnoteRef/>
      </w:r>
      <w:r>
        <w:t xml:space="preserve"> </w:t>
      </w:r>
      <w:r>
        <w:tab/>
      </w:r>
      <w:r w:rsidRPr="0004576F">
        <w:t>Plus que tout autre Conrad Russell a beaucoup insisté sur la faiblesse financi</w:t>
      </w:r>
      <w:r w:rsidRPr="0004576F">
        <w:t>è</w:t>
      </w:r>
      <w:r w:rsidRPr="0004576F">
        <w:t xml:space="preserve">re de la monarchie anglaise  dans laquelle il voit le talon d’Achille de </w:t>
      </w:r>
      <w:r>
        <w:t>Cha</w:t>
      </w:r>
      <w:r>
        <w:t>r</w:t>
      </w:r>
      <w:r>
        <w:t>les I</w:t>
      </w:r>
      <w:r w:rsidRPr="0004576F">
        <w:rPr>
          <w:vertAlign w:val="superscript"/>
        </w:rPr>
        <w:t xml:space="preserve">er </w:t>
      </w:r>
      <w:r w:rsidRPr="0004576F">
        <w:t>qui se trouvait inc</w:t>
      </w:r>
      <w:r w:rsidRPr="0004576F">
        <w:t>a</w:t>
      </w:r>
      <w:r w:rsidRPr="0004576F">
        <w:t>pable pour cette raison de mener une guerre. Il crut néa</w:t>
      </w:r>
      <w:r w:rsidRPr="0004576F">
        <w:t>n</w:t>
      </w:r>
      <w:r w:rsidRPr="0004576F">
        <w:t>moins pouvoir se lancer dans un conflit armé avec ses sujets écossais en m</w:t>
      </w:r>
      <w:r w:rsidRPr="0004576F">
        <w:t>i</w:t>
      </w:r>
      <w:r w:rsidRPr="0004576F">
        <w:t>sant sur un élan patriotique des Anglais mais il se trompa totalement et fut pour cela obligé de convoquer, en 1640, un premier puis un deuxième Parl</w:t>
      </w:r>
      <w:r w:rsidRPr="0004576F">
        <w:t>e</w:t>
      </w:r>
      <w:r w:rsidRPr="0004576F">
        <w:t>ment comme nous l’avons vu. Réuni, ce deuxième Parlement entra en conflit ouvert avec le souverain, lequel se trouva aussi bien incapable de le soume</w:t>
      </w:r>
      <w:r w:rsidRPr="0004576F">
        <w:t>t</w:t>
      </w:r>
      <w:r w:rsidRPr="0004576F">
        <w:t>tre que de le renvoyer, et ce fut la Révolution. Le problème, néanmoins, n’était pas seulement financier : les monarques français et espagnols étaient eux au</w:t>
      </w:r>
      <w:r w:rsidRPr="0004576F">
        <w:t>s</w:t>
      </w:r>
      <w:r w:rsidRPr="0004576F">
        <w:t>si, au même moment, dans une situation fina</w:t>
      </w:r>
      <w:r w:rsidRPr="0004576F">
        <w:t>n</w:t>
      </w:r>
      <w:r w:rsidRPr="0004576F">
        <w:t>cière inextricable, et il n’y eut pas de Révolution, même si à certains égard la Fronde aurait pu le devenir. On est donc ramené à la perso</w:t>
      </w:r>
      <w:r w:rsidRPr="0004576F">
        <w:t>n</w:t>
      </w:r>
      <w:r w:rsidRPr="0004576F">
        <w:t>nalité du monarque, aux oppositions religieuses et à la structure pol</w:t>
      </w:r>
      <w:r w:rsidRPr="0004576F">
        <w:t>i</w:t>
      </w:r>
      <w:r w:rsidRPr="0004576F">
        <w:t>tique de l’Angleterre qui était la seule à avoir une assemblée nation</w:t>
      </w:r>
      <w:r w:rsidRPr="0004576F">
        <w:t>a</w:t>
      </w:r>
      <w:r w:rsidRPr="0004576F">
        <w:t>le.</w:t>
      </w:r>
    </w:p>
  </w:footnote>
  <w:footnote w:id="606">
    <w:p w14:paraId="63751341" w14:textId="77777777" w:rsidR="00B01930" w:rsidRDefault="00B01930">
      <w:pPr>
        <w:pStyle w:val="Notedebasdepage"/>
      </w:pPr>
      <w:r>
        <w:rPr>
          <w:rStyle w:val="Appelnotedebasdep"/>
        </w:rPr>
        <w:footnoteRef/>
      </w:r>
      <w:r>
        <w:t xml:space="preserve"> </w:t>
      </w:r>
      <w:r>
        <w:tab/>
      </w:r>
      <w:r w:rsidRPr="0004576F">
        <w:rPr>
          <w:i/>
        </w:rPr>
        <w:t>L’Évolution politique de l’Angleterre moderne</w:t>
      </w:r>
      <w:r w:rsidRPr="0004576F">
        <w:t xml:space="preserve">…, </w:t>
      </w:r>
      <w:r w:rsidRPr="0004576F">
        <w:rPr>
          <w:i/>
        </w:rPr>
        <w:t>op. cit</w:t>
      </w:r>
      <w:r w:rsidRPr="0004576F">
        <w:t>., p. 401.</w:t>
      </w:r>
    </w:p>
  </w:footnote>
  <w:footnote w:id="607">
    <w:p w14:paraId="1D708965" w14:textId="77777777" w:rsidR="00B01930" w:rsidRDefault="00B01930">
      <w:pPr>
        <w:pStyle w:val="Notedebasdepage"/>
      </w:pPr>
      <w:r>
        <w:rPr>
          <w:rStyle w:val="Appelnotedebasdep"/>
        </w:rPr>
        <w:footnoteRef/>
      </w:r>
      <w:r>
        <w:t xml:space="preserve"> </w:t>
      </w:r>
      <w:r>
        <w:tab/>
      </w:r>
      <w:r w:rsidRPr="0004576F">
        <w:t>Dès mai 1626 il avait exprimé ses sentiments cet égard comme il le manifesta en s’adressant aux deux cha</w:t>
      </w:r>
      <w:r w:rsidRPr="0004576F">
        <w:t>m</w:t>
      </w:r>
      <w:r w:rsidRPr="0004576F">
        <w:t>bres : « Rappelez-vous que les Parlements sont  entièrement dans mon pouvoir pour leur convocation, leur session et leur di</w:t>
      </w:r>
      <w:r w:rsidRPr="0004576F">
        <w:t>s</w:t>
      </w:r>
      <w:r w:rsidRPr="0004576F">
        <w:t>solution ; c’est pourquoi, selon que je trouve les fruits de leurs délibérations bons ou mauvais, ils peuvent continuer ou ne plus siéger ». Son point de vue était effectivement tout à fait conforme à la tradition du Royaume.</w:t>
      </w:r>
    </w:p>
  </w:footnote>
  <w:footnote w:id="608">
    <w:p w14:paraId="0153A6EF" w14:textId="77777777" w:rsidR="00B01930" w:rsidRDefault="00B01930">
      <w:pPr>
        <w:pStyle w:val="Notedebasdepage"/>
      </w:pPr>
      <w:r>
        <w:rPr>
          <w:rStyle w:val="Appelnotedebasdep"/>
        </w:rPr>
        <w:footnoteRef/>
      </w:r>
      <w:r>
        <w:t xml:space="preserve"> </w:t>
      </w:r>
      <w:r>
        <w:tab/>
      </w:r>
      <w:r w:rsidRPr="0004576F">
        <w:t>On l’appelle ainsi parce que réuni le 13 avril 1628, il fut renvoyé le 5 mai su</w:t>
      </w:r>
      <w:r w:rsidRPr="0004576F">
        <w:t>i</w:t>
      </w:r>
      <w:r w:rsidRPr="0004576F">
        <w:t>vant. Au contraire, le Parlement qui se réunit le 3 nove</w:t>
      </w:r>
      <w:r w:rsidRPr="0004576F">
        <w:t>m</w:t>
      </w:r>
      <w:r w:rsidRPr="0004576F">
        <w:t xml:space="preserve">bre suivant fut appelé le </w:t>
      </w:r>
      <w:r w:rsidRPr="0004576F">
        <w:rPr>
          <w:i/>
        </w:rPr>
        <w:t>Long Parliament</w:t>
      </w:r>
      <w:r w:rsidRPr="0004576F">
        <w:t xml:space="preserve"> par suite de son extraordinaire durée puisqu’il siégea sans discontinuer, malgré des épur</w:t>
      </w:r>
      <w:r w:rsidRPr="0004576F">
        <w:t>a</w:t>
      </w:r>
      <w:r w:rsidRPr="0004576F">
        <w:t>tions, jusqu’en 1653, et fut rappelé par Monck pour clore l’Interrègne, ce qui veut dire qu’il ne fut dissous que le 16 mars 1660.</w:t>
      </w:r>
    </w:p>
  </w:footnote>
  <w:footnote w:id="609">
    <w:p w14:paraId="0137DDFE" w14:textId="77777777" w:rsidR="00B01930" w:rsidRDefault="00B01930">
      <w:pPr>
        <w:pStyle w:val="Notedebasdepage"/>
      </w:pPr>
      <w:r>
        <w:rPr>
          <w:rStyle w:val="Appelnotedebasdep"/>
        </w:rPr>
        <w:footnoteRef/>
      </w:r>
      <w:r>
        <w:t xml:space="preserve"> </w:t>
      </w:r>
      <w:r>
        <w:tab/>
      </w:r>
      <w:r w:rsidRPr="0004576F">
        <w:t xml:space="preserve">Clive Holmes, « Why Did </w:t>
      </w:r>
      <w:r>
        <w:t>Charles I</w:t>
      </w:r>
      <w:r w:rsidRPr="0004576F">
        <w:t xml:space="preserve"> Call the Long Parli</w:t>
      </w:r>
      <w:r w:rsidRPr="0004576F">
        <w:t>a</w:t>
      </w:r>
      <w:r w:rsidRPr="0004576F">
        <w:t xml:space="preserve">ment ? »,  dans C.Holmes, </w:t>
      </w:r>
      <w:r w:rsidRPr="0004576F">
        <w:rPr>
          <w:i/>
        </w:rPr>
        <w:t xml:space="preserve">Why Was </w:t>
      </w:r>
      <w:r>
        <w:rPr>
          <w:i/>
        </w:rPr>
        <w:t>Charles I</w:t>
      </w:r>
      <w:r w:rsidRPr="0004576F">
        <w:rPr>
          <w:i/>
        </w:rPr>
        <w:t xml:space="preserve"> Exec</w:t>
      </w:r>
      <w:r w:rsidRPr="0004576F">
        <w:rPr>
          <w:i/>
        </w:rPr>
        <w:t>u</w:t>
      </w:r>
      <w:r w:rsidRPr="0004576F">
        <w:rPr>
          <w:i/>
        </w:rPr>
        <w:t>ted ?,</w:t>
      </w:r>
      <w:r w:rsidRPr="0004576F">
        <w:t xml:space="preserve"> London-New York,  Hambledon Continuum, 2006, p. 1-34.</w:t>
      </w:r>
    </w:p>
  </w:footnote>
  <w:footnote w:id="610">
    <w:p w14:paraId="574C1178" w14:textId="77777777" w:rsidR="00B01930" w:rsidRDefault="00B01930">
      <w:pPr>
        <w:pStyle w:val="Notedebasdepage"/>
      </w:pPr>
      <w:r>
        <w:rPr>
          <w:rStyle w:val="Appelnotedebasdep"/>
        </w:rPr>
        <w:footnoteRef/>
      </w:r>
      <w:r>
        <w:t xml:space="preserve"> </w:t>
      </w:r>
      <w:r>
        <w:tab/>
      </w:r>
      <w:r w:rsidRPr="0004576F">
        <w:t xml:space="preserve">À partir de la réunion du </w:t>
      </w:r>
      <w:r w:rsidRPr="0004576F">
        <w:rPr>
          <w:i/>
        </w:rPr>
        <w:t>Long Parliament</w:t>
      </w:r>
      <w:r w:rsidRPr="0004576F">
        <w:t xml:space="preserve">, le 3 novembre 1640, </w:t>
      </w:r>
      <w:r>
        <w:t>Charles I</w:t>
      </w:r>
      <w:r w:rsidRPr="0004576F">
        <w:rPr>
          <w:vertAlign w:val="superscript"/>
        </w:rPr>
        <w:t>er</w:t>
      </w:r>
      <w:r w:rsidRPr="0004576F">
        <w:t>, qui s’était trouvé aux prises avec une opposition très large, misa toute sa pol</w:t>
      </w:r>
      <w:r w:rsidRPr="0004576F">
        <w:t>i</w:t>
      </w:r>
      <w:r w:rsidRPr="0004576F">
        <w:t>tique sur les excès au</w:t>
      </w:r>
      <w:r w:rsidRPr="0004576F">
        <w:t>x</w:t>
      </w:r>
      <w:r w:rsidRPr="0004576F">
        <w:t>quels ne manqueraient pas  de se livrer, à son avis, les parl</w:t>
      </w:r>
      <w:r w:rsidRPr="0004576F">
        <w:t>e</w:t>
      </w:r>
      <w:r w:rsidRPr="0004576F">
        <w:t>mentaires qui s’étaient rebellés contre lui. Effectivement, le nombre de ses partisans ne cessa de s’accroître. Le janvier 1642, il quitta Londres pour retrouver sa liberté de mouvement, et regroupa  progressiv</w:t>
      </w:r>
      <w:r w:rsidRPr="0004576F">
        <w:t>e</w:t>
      </w:r>
      <w:r w:rsidRPr="0004576F">
        <w:t>ment ses partisans ainsi qu’une force armée. Le 12 juillet 1642, le Parlement décida la l</w:t>
      </w:r>
      <w:r w:rsidRPr="0004576F">
        <w:t>e</w:t>
      </w:r>
      <w:r w:rsidRPr="0004576F">
        <w:t>vée d’une armée. Un peu plus d’un mois plus tard, le 22 août, le roi déploya son éte</w:t>
      </w:r>
      <w:r w:rsidRPr="0004576F">
        <w:t>n</w:t>
      </w:r>
      <w:r w:rsidRPr="0004576F">
        <w:t>dard à Nottingham : la guerre civile commençait.</w:t>
      </w:r>
    </w:p>
  </w:footnote>
  <w:footnote w:id="611">
    <w:p w14:paraId="1C4716C7" w14:textId="77777777" w:rsidR="00B01930" w:rsidRDefault="00B01930">
      <w:pPr>
        <w:pStyle w:val="Notedebasdepage"/>
      </w:pPr>
      <w:r>
        <w:rPr>
          <w:rStyle w:val="Appelnotedebasdep"/>
        </w:rPr>
        <w:footnoteRef/>
      </w:r>
      <w:r>
        <w:t xml:space="preserve"> </w:t>
      </w:r>
      <w:r>
        <w:tab/>
      </w:r>
      <w:r w:rsidRPr="0004576F">
        <w:t xml:space="preserve">C.Carlton, </w:t>
      </w:r>
      <w:r w:rsidRPr="0004576F">
        <w:rPr>
          <w:i/>
        </w:rPr>
        <w:t>Archbishop William Laud</w:t>
      </w:r>
      <w:r w:rsidRPr="0004576F">
        <w:t xml:space="preserve">, </w:t>
      </w:r>
      <w:r w:rsidRPr="0004576F">
        <w:rPr>
          <w:i/>
        </w:rPr>
        <w:t>op. cit</w:t>
      </w:r>
      <w:r w:rsidRPr="0004576F">
        <w:t>.</w:t>
      </w:r>
    </w:p>
  </w:footnote>
  <w:footnote w:id="612">
    <w:p w14:paraId="6E4183EB" w14:textId="77777777" w:rsidR="00B01930" w:rsidRDefault="00B01930">
      <w:pPr>
        <w:pStyle w:val="Notedebasdepage"/>
      </w:pPr>
      <w:r>
        <w:rPr>
          <w:rStyle w:val="Appelnotedebasdep"/>
        </w:rPr>
        <w:footnoteRef/>
      </w:r>
      <w:r>
        <w:t xml:space="preserve"> </w:t>
      </w:r>
      <w:r>
        <w:tab/>
      </w:r>
      <w:r w:rsidRPr="0004576F">
        <w:t>Sans oublier de nombreux noyaux provinciaux, comme nous l’avons vu pour Bath.</w:t>
      </w:r>
    </w:p>
  </w:footnote>
  <w:footnote w:id="613">
    <w:p w14:paraId="626EADFA" w14:textId="77777777" w:rsidR="00B01930" w:rsidRDefault="00B01930">
      <w:pPr>
        <w:pStyle w:val="Notedebasdepage"/>
      </w:pPr>
      <w:r>
        <w:rPr>
          <w:rStyle w:val="Appelnotedebasdep"/>
        </w:rPr>
        <w:footnoteRef/>
      </w:r>
      <w:r>
        <w:t xml:space="preserve"> </w:t>
      </w:r>
      <w:r>
        <w:tab/>
      </w:r>
      <w:r w:rsidRPr="0004576F">
        <w:t xml:space="preserve">« Capital life : members of parliament outside the House », dans </w:t>
      </w:r>
      <w:r w:rsidRPr="0004576F">
        <w:rPr>
          <w:i/>
        </w:rPr>
        <w:t>Politics, R</w:t>
      </w:r>
      <w:r w:rsidRPr="0004576F">
        <w:rPr>
          <w:i/>
        </w:rPr>
        <w:t>e</w:t>
      </w:r>
      <w:r w:rsidRPr="0004576F">
        <w:rPr>
          <w:i/>
        </w:rPr>
        <w:t>ligion and Popularity, op. cit</w:t>
      </w:r>
      <w:r w:rsidRPr="0004576F">
        <w:t xml:space="preserve">., p. 64-83, </w:t>
      </w:r>
      <w:r w:rsidRPr="0004576F">
        <w:rPr>
          <w:i/>
        </w:rPr>
        <w:t>loc. cit</w:t>
      </w:r>
      <w:r w:rsidRPr="0004576F">
        <w:t>., p. 83.</w:t>
      </w:r>
    </w:p>
  </w:footnote>
  <w:footnote w:id="614">
    <w:p w14:paraId="4B154755" w14:textId="77777777" w:rsidR="00B01930" w:rsidRDefault="00B01930">
      <w:pPr>
        <w:pStyle w:val="Notedebasdepage"/>
      </w:pPr>
      <w:r>
        <w:rPr>
          <w:rStyle w:val="Appelnotedebasdep"/>
        </w:rPr>
        <w:footnoteRef/>
      </w:r>
      <w:r>
        <w:t xml:space="preserve"> </w:t>
      </w:r>
      <w:r>
        <w:tab/>
      </w:r>
      <w:r w:rsidRPr="0004576F">
        <w:t>D.</w:t>
      </w:r>
      <w:r>
        <w:t xml:space="preserve"> </w:t>
      </w:r>
      <w:r w:rsidRPr="0004576F">
        <w:t xml:space="preserve">Hirst, </w:t>
      </w:r>
      <w:r w:rsidRPr="0004576F">
        <w:rPr>
          <w:i/>
        </w:rPr>
        <w:t>Autority and Conflict</w:t>
      </w:r>
      <w:r w:rsidRPr="0004576F">
        <w:t xml:space="preserve">…, </w:t>
      </w:r>
      <w:r w:rsidRPr="0004576F">
        <w:rPr>
          <w:i/>
        </w:rPr>
        <w:t>op. cit</w:t>
      </w:r>
      <w:r w:rsidRPr="0004576F">
        <w:t>., p. 26.</w:t>
      </w:r>
    </w:p>
  </w:footnote>
  <w:footnote w:id="615">
    <w:p w14:paraId="0A5E56DB" w14:textId="77777777" w:rsidR="00B01930" w:rsidRDefault="00B01930">
      <w:pPr>
        <w:pStyle w:val="Notedebasdepage"/>
      </w:pPr>
      <w:r>
        <w:rPr>
          <w:rStyle w:val="Appelnotedebasdep"/>
        </w:rPr>
        <w:footnoteRef/>
      </w:r>
      <w:r>
        <w:t xml:space="preserve"> </w:t>
      </w:r>
      <w:r>
        <w:tab/>
      </w:r>
      <w:r w:rsidRPr="0004576F">
        <w:t xml:space="preserve">M. A. R. Graves, </w:t>
      </w:r>
      <w:r w:rsidRPr="0004576F">
        <w:rPr>
          <w:i/>
        </w:rPr>
        <w:t>The Tudor Parliaments : Crown, Lords and Commons</w:t>
      </w:r>
      <w:r w:rsidRPr="0004576F">
        <w:t xml:space="preserve"> …, </w:t>
      </w:r>
      <w:r w:rsidRPr="0004576F">
        <w:rPr>
          <w:i/>
        </w:rPr>
        <w:t>op. cit</w:t>
      </w:r>
      <w:r w:rsidRPr="0004576F">
        <w:t>., p. 7.</w:t>
      </w:r>
    </w:p>
  </w:footnote>
  <w:footnote w:id="616">
    <w:p w14:paraId="6036D444" w14:textId="77777777" w:rsidR="00B01930" w:rsidRDefault="00B01930">
      <w:pPr>
        <w:pStyle w:val="Notedebasdepage"/>
      </w:pPr>
      <w:r>
        <w:rPr>
          <w:rStyle w:val="Appelnotedebasdep"/>
        </w:rPr>
        <w:footnoteRef/>
      </w:r>
      <w:r>
        <w:t xml:space="preserve"> </w:t>
      </w:r>
      <w:r>
        <w:tab/>
      </w:r>
      <w:r w:rsidRPr="0004576F">
        <w:t>C’est pourquoi la Grande Charte eut une très grande importance dans les Tre</w:t>
      </w:r>
      <w:r w:rsidRPr="0004576F">
        <w:t>i</w:t>
      </w:r>
      <w:r w:rsidRPr="0004576F">
        <w:t>ze colonies anglaises d’Amérique, et elle reste aujourd’hui encore un texte fo</w:t>
      </w:r>
      <w:r w:rsidRPr="0004576F">
        <w:t>n</w:t>
      </w:r>
      <w:r w:rsidRPr="0004576F">
        <w:t>damental aux États-Unis.</w:t>
      </w:r>
    </w:p>
  </w:footnote>
  <w:footnote w:id="617">
    <w:p w14:paraId="327A2433" w14:textId="77777777" w:rsidR="00B01930" w:rsidRDefault="00B01930">
      <w:pPr>
        <w:pStyle w:val="Notedebasdepage"/>
      </w:pPr>
      <w:r>
        <w:rPr>
          <w:rStyle w:val="Appelnotedebasdep"/>
        </w:rPr>
        <w:footnoteRef/>
      </w:r>
      <w:r>
        <w:t xml:space="preserve"> </w:t>
      </w:r>
      <w:r>
        <w:tab/>
      </w:r>
      <w:r w:rsidRPr="0004576F">
        <w:rPr>
          <w:i/>
        </w:rPr>
        <w:t xml:space="preserve">The Community of Kent and the Great Rebellion 1640-1660, </w:t>
      </w:r>
      <w:r w:rsidRPr="0004576F">
        <w:t xml:space="preserve">London, The Prometheus Books, 1966. Un autre exemple : Thomas Garden Barnes, </w:t>
      </w:r>
      <w:r w:rsidRPr="0004576F">
        <w:rPr>
          <w:i/>
        </w:rPr>
        <w:t>Some</w:t>
      </w:r>
      <w:r w:rsidRPr="0004576F">
        <w:rPr>
          <w:i/>
        </w:rPr>
        <w:t>r</w:t>
      </w:r>
      <w:r w:rsidRPr="0004576F">
        <w:rPr>
          <w:i/>
        </w:rPr>
        <w:t>set 1625-1640 : A County’s Government During the “Personal Rule”,</w:t>
      </w:r>
      <w:r w:rsidRPr="0004576F">
        <w:t xml:space="preserve"> Ca</w:t>
      </w:r>
      <w:r w:rsidRPr="0004576F">
        <w:t>m</w:t>
      </w:r>
      <w:r w:rsidRPr="0004576F">
        <w:t>bridge (Mass.), Harvard University Press, 1961.</w:t>
      </w:r>
    </w:p>
  </w:footnote>
  <w:footnote w:id="618">
    <w:p w14:paraId="12CB76CC" w14:textId="77777777" w:rsidR="00B01930" w:rsidRDefault="00B01930">
      <w:pPr>
        <w:pStyle w:val="Notedebasdepage"/>
      </w:pPr>
      <w:r>
        <w:rPr>
          <w:rStyle w:val="Appelnotedebasdep"/>
        </w:rPr>
        <w:footnoteRef/>
      </w:r>
      <w:r>
        <w:t xml:space="preserve"> </w:t>
      </w:r>
      <w:r>
        <w:tab/>
      </w:r>
      <w:r w:rsidRPr="0004576F">
        <w:t xml:space="preserve">Il s’agit de la période qui va de l’exécution de </w:t>
      </w:r>
      <w:r>
        <w:t>Charles I</w:t>
      </w:r>
      <w:r w:rsidRPr="0004576F">
        <w:rPr>
          <w:vertAlign w:val="superscript"/>
        </w:rPr>
        <w:t>er</w:t>
      </w:r>
      <w:r w:rsidRPr="0004576F">
        <w:t xml:space="preserve"> à la montée sur le trône de </w:t>
      </w:r>
      <w:r>
        <w:t>Cha</w:t>
      </w:r>
      <w:r>
        <w:t>r</w:t>
      </w:r>
      <w:r>
        <w:t>les I</w:t>
      </w:r>
      <w:r w:rsidRPr="0004576F">
        <w:t>I (janvier 1649 à mai 1660).</w:t>
      </w:r>
    </w:p>
  </w:footnote>
  <w:footnote w:id="619">
    <w:p w14:paraId="2299216A" w14:textId="77777777" w:rsidR="00B01930" w:rsidRDefault="00B01930">
      <w:pPr>
        <w:pStyle w:val="Notedebasdepage"/>
      </w:pPr>
      <w:r>
        <w:rPr>
          <w:rStyle w:val="Appelnotedebasdep"/>
        </w:rPr>
        <w:footnoteRef/>
      </w:r>
      <w:r>
        <w:t xml:space="preserve"> </w:t>
      </w:r>
      <w:r>
        <w:tab/>
      </w:r>
      <w:r w:rsidRPr="0004576F">
        <w:t>Le Parlement Barebone, réuni le 4 juillet 1653, fut renvoyé le 12 décembre ; un second parlement, réuni le 3 septembre 1654, fut di</w:t>
      </w:r>
      <w:r w:rsidRPr="0004576F">
        <w:t>s</w:t>
      </w:r>
      <w:r w:rsidRPr="0004576F">
        <w:t xml:space="preserve">sous le 22 janvier 1655. Voir mon ouvrage, </w:t>
      </w:r>
      <w:r w:rsidRPr="0004576F">
        <w:rPr>
          <w:i/>
        </w:rPr>
        <w:t>Cromwell, la révolution d’Angleterre et la</w:t>
      </w:r>
      <w:r w:rsidRPr="0004576F">
        <w:t xml:space="preserve"> </w:t>
      </w:r>
      <w:r w:rsidRPr="0004576F">
        <w:rPr>
          <w:i/>
        </w:rPr>
        <w:t>guerre civile</w:t>
      </w:r>
      <w:r w:rsidRPr="0004576F">
        <w:t>, coll. « Que-sais-je », Paris, P</w:t>
      </w:r>
      <w:r w:rsidRPr="0004576F">
        <w:rPr>
          <w:smallCaps/>
        </w:rPr>
        <w:t>uf</w:t>
      </w:r>
      <w:r w:rsidRPr="0004576F">
        <w:t>, 1991, p. 85-97.</w:t>
      </w:r>
    </w:p>
  </w:footnote>
  <w:footnote w:id="620">
    <w:p w14:paraId="67A3A6EA" w14:textId="77777777" w:rsidR="00B01930" w:rsidRDefault="00B01930">
      <w:pPr>
        <w:pStyle w:val="Notedebasdepage"/>
      </w:pPr>
      <w:r>
        <w:rPr>
          <w:rStyle w:val="Appelnotedebasdep"/>
        </w:rPr>
        <w:footnoteRef/>
      </w:r>
      <w:r>
        <w:t xml:space="preserve"> </w:t>
      </w:r>
      <w:r>
        <w:tab/>
      </w:r>
      <w:r w:rsidRPr="0004576F">
        <w:t xml:space="preserve">Même si ce fut sous la contrainte, </w:t>
      </w:r>
      <w:r>
        <w:t>Charles I</w:t>
      </w:r>
      <w:r w:rsidRPr="0004576F">
        <w:rPr>
          <w:vertAlign w:val="superscript"/>
        </w:rPr>
        <w:t>er</w:t>
      </w:r>
      <w:r w:rsidRPr="0004576F">
        <w:t xml:space="preserve"> avait accepté de réformer la m</w:t>
      </w:r>
      <w:r w:rsidRPr="0004576F">
        <w:t>o</w:t>
      </w:r>
      <w:r w:rsidRPr="0004576F">
        <w:t xml:space="preserve">narchie conformément aux souhaits des parlementaires qui furent regroupés dans la </w:t>
      </w:r>
      <w:r w:rsidRPr="0004576F">
        <w:rPr>
          <w:i/>
        </w:rPr>
        <w:t>Grande Remontrance</w:t>
      </w:r>
      <w:r w:rsidRPr="0004576F">
        <w:t xml:space="preserve"> ; </w:t>
      </w:r>
      <w:r>
        <w:t>Charles I</w:t>
      </w:r>
      <w:r w:rsidRPr="0004576F">
        <w:t>I « confirma  la plupart des réfo</w:t>
      </w:r>
      <w:r w:rsidRPr="0004576F">
        <w:t>r</w:t>
      </w:r>
      <w:r w:rsidRPr="0004576F">
        <w:t xml:space="preserve">mes de 1640-41 » : Ronald Hutton, </w:t>
      </w:r>
      <w:r w:rsidRPr="0004576F">
        <w:rPr>
          <w:i/>
        </w:rPr>
        <w:t>The Restoration : A political and religious hi</w:t>
      </w:r>
      <w:r w:rsidRPr="0004576F">
        <w:rPr>
          <w:i/>
        </w:rPr>
        <w:t>s</w:t>
      </w:r>
      <w:r w:rsidRPr="0004576F">
        <w:rPr>
          <w:i/>
        </w:rPr>
        <w:t>tory of</w:t>
      </w:r>
      <w:r w:rsidRPr="0004576F">
        <w:t xml:space="preserve">  </w:t>
      </w:r>
      <w:r w:rsidRPr="0004576F">
        <w:rPr>
          <w:i/>
        </w:rPr>
        <w:t>England and Wales 1658-1667</w:t>
      </w:r>
      <w:r w:rsidRPr="0004576F">
        <w:t>, Oxford/ New York, Oxford Univers</w:t>
      </w:r>
      <w:r w:rsidRPr="0004576F">
        <w:t>i</w:t>
      </w:r>
      <w:r w:rsidRPr="0004576F">
        <w:t>ty Press, 1985, p. 182.</w:t>
      </w:r>
    </w:p>
  </w:footnote>
  <w:footnote w:id="621">
    <w:p w14:paraId="0C473CD2" w14:textId="77777777" w:rsidR="00B01930" w:rsidRDefault="00B01930">
      <w:pPr>
        <w:pStyle w:val="Notedebasdepage"/>
      </w:pPr>
      <w:r>
        <w:rPr>
          <w:rStyle w:val="Appelnotedebasdep"/>
        </w:rPr>
        <w:footnoteRef/>
      </w:r>
      <w:r>
        <w:t xml:space="preserve"> </w:t>
      </w:r>
      <w:r>
        <w:tab/>
      </w:r>
      <w:r w:rsidRPr="0004576F">
        <w:t xml:space="preserve">En français, partir de Bernard Cottret, </w:t>
      </w:r>
      <w:r w:rsidRPr="0004576F">
        <w:rPr>
          <w:i/>
        </w:rPr>
        <w:t>La Glorieuse Révolution d’Angleterre</w:t>
      </w:r>
      <w:r w:rsidRPr="0004576F">
        <w:t>, Paris, Ga</w:t>
      </w:r>
      <w:r w:rsidRPr="0004576F">
        <w:t>l</w:t>
      </w:r>
      <w:r w:rsidRPr="0004576F">
        <w:t xml:space="preserve">limard/Julliard, coll. « Archives », 1988. Les ouvrages de référence sont John Miller, </w:t>
      </w:r>
      <w:r w:rsidRPr="0004576F">
        <w:rPr>
          <w:i/>
        </w:rPr>
        <w:t>J</w:t>
      </w:r>
      <w:r w:rsidRPr="0004576F">
        <w:rPr>
          <w:i/>
        </w:rPr>
        <w:t>a</w:t>
      </w:r>
      <w:r w:rsidRPr="0004576F">
        <w:rPr>
          <w:i/>
        </w:rPr>
        <w:t>mes II : A study in  Kingship</w:t>
      </w:r>
      <w:r w:rsidRPr="0004576F">
        <w:t xml:space="preserve">, London, Methuen, 1989, nouv. éd. New Haven, Yale University Press, 2000 ; William A.Speck, </w:t>
      </w:r>
      <w:r w:rsidRPr="0004576F">
        <w:rPr>
          <w:i/>
        </w:rPr>
        <w:t>Relu</w:t>
      </w:r>
      <w:r w:rsidRPr="0004576F">
        <w:rPr>
          <w:i/>
        </w:rPr>
        <w:t>c</w:t>
      </w:r>
      <w:r w:rsidRPr="0004576F">
        <w:rPr>
          <w:i/>
        </w:rPr>
        <w:t>tant Revolutionaries : Englis</w:t>
      </w:r>
      <w:r w:rsidRPr="0004576F">
        <w:rPr>
          <w:i/>
        </w:rPr>
        <w:t>h</w:t>
      </w:r>
      <w:r w:rsidRPr="0004576F">
        <w:rPr>
          <w:i/>
        </w:rPr>
        <w:t>men and the Revolution of 1688</w:t>
      </w:r>
      <w:r w:rsidRPr="0004576F">
        <w:t>, Oxford/New York, Oxford University Press, 1989 ; Eveline Cruic</w:t>
      </w:r>
      <w:r w:rsidRPr="0004576F">
        <w:t>k</w:t>
      </w:r>
      <w:r w:rsidRPr="0004576F">
        <w:t xml:space="preserve">shanks (dir.), </w:t>
      </w:r>
      <w:r w:rsidRPr="0004576F">
        <w:rPr>
          <w:i/>
        </w:rPr>
        <w:t>By Force or By Default ? The Revolution of 1688-89</w:t>
      </w:r>
      <w:r w:rsidRPr="0004576F">
        <w:t>, Edinburgh, John D</w:t>
      </w:r>
      <w:r w:rsidRPr="0004576F">
        <w:t>o</w:t>
      </w:r>
      <w:r w:rsidRPr="0004576F">
        <w:t>nald, 1989.</w:t>
      </w:r>
    </w:p>
  </w:footnote>
  <w:footnote w:id="622">
    <w:p w14:paraId="23F507A7" w14:textId="77777777" w:rsidR="00B01930" w:rsidRDefault="00B01930">
      <w:pPr>
        <w:pStyle w:val="Notedebasdepage"/>
      </w:pPr>
      <w:r>
        <w:rPr>
          <w:rStyle w:val="Appelnotedebasdep"/>
        </w:rPr>
        <w:footnoteRef/>
      </w:r>
      <w:r>
        <w:t xml:space="preserve"> </w:t>
      </w:r>
      <w:r>
        <w:tab/>
      </w:r>
      <w:r w:rsidRPr="0004576F">
        <w:t xml:space="preserve">M.A.R. Graves, </w:t>
      </w:r>
      <w:r w:rsidRPr="0004576F">
        <w:rPr>
          <w:i/>
        </w:rPr>
        <w:t>The Parliaments of Early Modern Europe</w:t>
      </w:r>
      <w:r w:rsidRPr="0004576F">
        <w:t xml:space="preserve">, </w:t>
      </w:r>
      <w:r w:rsidRPr="0004576F">
        <w:rPr>
          <w:i/>
        </w:rPr>
        <w:t>op. cit</w:t>
      </w:r>
      <w:r w:rsidRPr="0004576F">
        <w:t>., p. 151.</w:t>
      </w:r>
    </w:p>
  </w:footnote>
  <w:footnote w:id="623">
    <w:p w14:paraId="0A335076" w14:textId="77777777" w:rsidR="00B01930" w:rsidRDefault="00B01930">
      <w:pPr>
        <w:pStyle w:val="Notedebasdepage"/>
      </w:pPr>
      <w:r>
        <w:rPr>
          <w:rStyle w:val="Appelnotedebasdep"/>
        </w:rPr>
        <w:footnoteRef/>
      </w:r>
      <w:r>
        <w:t xml:space="preserve"> </w:t>
      </w:r>
      <w:r>
        <w:tab/>
      </w:r>
      <w:r w:rsidRPr="0004576F">
        <w:t>J’ai commencé à aborder cela au début du présent texte.</w:t>
      </w:r>
    </w:p>
  </w:footnote>
  <w:footnote w:id="624">
    <w:p w14:paraId="6DA27A95" w14:textId="77777777" w:rsidR="00B01930" w:rsidRDefault="00B01930">
      <w:pPr>
        <w:pStyle w:val="Notedebasdepage"/>
      </w:pPr>
      <w:r>
        <w:rPr>
          <w:rStyle w:val="Appelnotedebasdep"/>
        </w:rPr>
        <w:footnoteRef/>
      </w:r>
      <w:r>
        <w:t xml:space="preserve"> </w:t>
      </w:r>
      <w:r>
        <w:tab/>
      </w:r>
      <w:r w:rsidRPr="0004576F">
        <w:t>Pour prendre une vue générale de leurs  premiers apports, voir  Mary Fu</w:t>
      </w:r>
      <w:r w:rsidRPr="0004576F">
        <w:t>l</w:t>
      </w:r>
      <w:r w:rsidRPr="0004576F">
        <w:t xml:space="preserve">brook, « The English Revolution and the Revisionist Revolt », dans Peter Gaunt (dir.), </w:t>
      </w:r>
      <w:r w:rsidRPr="0004576F">
        <w:rPr>
          <w:i/>
        </w:rPr>
        <w:t>The English C</w:t>
      </w:r>
      <w:r w:rsidRPr="0004576F">
        <w:rPr>
          <w:i/>
        </w:rPr>
        <w:t>i</w:t>
      </w:r>
      <w:r w:rsidRPr="0004576F">
        <w:rPr>
          <w:i/>
        </w:rPr>
        <w:t>vil War</w:t>
      </w:r>
      <w:r w:rsidRPr="0004576F">
        <w:t>, Oxford, Blackwell, 2000, p. 59-78 ; ainsi que T.Cogswell, R. Cust and P. L</w:t>
      </w:r>
      <w:r w:rsidRPr="0004576F">
        <w:t>a</w:t>
      </w:r>
      <w:r w:rsidRPr="0004576F">
        <w:t xml:space="preserve">ke, « Revisionism and its legacies: the work of Conrad Russell », dans  </w:t>
      </w:r>
      <w:r w:rsidRPr="0004576F">
        <w:rPr>
          <w:i/>
        </w:rPr>
        <w:t>Politics, Religion and Popularity…., op. cit</w:t>
      </w:r>
      <w:r w:rsidRPr="0004576F">
        <w:t>., p. 1-17.</w:t>
      </w:r>
    </w:p>
  </w:footnote>
  <w:footnote w:id="625">
    <w:p w14:paraId="0D459D6B" w14:textId="77777777" w:rsidR="00B01930" w:rsidRDefault="00B01930">
      <w:pPr>
        <w:pStyle w:val="Notedebasdepage"/>
      </w:pPr>
      <w:r>
        <w:rPr>
          <w:rStyle w:val="Appelnotedebasdep"/>
        </w:rPr>
        <w:footnoteRef/>
      </w:r>
      <w:r>
        <w:t xml:space="preserve"> </w:t>
      </w:r>
      <w:r>
        <w:tab/>
      </w:r>
      <w:r w:rsidRPr="0004576F">
        <w:t xml:space="preserve">Voir l’excellente mise au point de Kevin Sharpe, « Rewriting the history of parliament in seventeenth-century England », dans K.Sharpe, </w:t>
      </w:r>
      <w:r w:rsidRPr="0004576F">
        <w:rPr>
          <w:i/>
        </w:rPr>
        <w:t>Remapping Ea</w:t>
      </w:r>
      <w:r w:rsidRPr="0004576F">
        <w:rPr>
          <w:i/>
        </w:rPr>
        <w:t>r</w:t>
      </w:r>
      <w:r w:rsidRPr="0004576F">
        <w:rPr>
          <w:i/>
        </w:rPr>
        <w:t>ly Modern England : The Culture of Seventeenth-Century Politics,</w:t>
      </w:r>
      <w:r w:rsidRPr="0004576F">
        <w:t xml:space="preserve"> Cambri</w:t>
      </w:r>
      <w:r w:rsidRPr="0004576F">
        <w:t>d</w:t>
      </w:r>
      <w:r w:rsidRPr="0004576F">
        <w:t>ge, Cambridge University Press, 2000, p. 269-293. Pour sa part, Michaël A.R. Graves nous a donné une excellente mise au point  sur l’historiographie des Parlements durant la période Tudor et balayé une grande pa</w:t>
      </w:r>
      <w:r w:rsidRPr="0004576F">
        <w:t>r</w:t>
      </w:r>
      <w:r w:rsidRPr="0004576F">
        <w:t>tie de ce qui avait été écrit à leur sujet, notamment dans la perspective d’une démarche histor</w:t>
      </w:r>
      <w:r w:rsidRPr="0004576F">
        <w:t>i</w:t>
      </w:r>
      <w:r w:rsidRPr="0004576F">
        <w:t>que rétrospective qui cherche moins à examiner objectivement les réalités de la première moitié du XVI</w:t>
      </w:r>
      <w:r w:rsidRPr="0004576F">
        <w:rPr>
          <w:vertAlign w:val="superscript"/>
        </w:rPr>
        <w:t>e</w:t>
      </w:r>
      <w:r w:rsidRPr="0004576F">
        <w:t xml:space="preserve"> siècle qu’à expliquer la montée des Communes au XVII</w:t>
      </w:r>
      <w:r w:rsidRPr="0004576F">
        <w:rPr>
          <w:vertAlign w:val="superscript"/>
        </w:rPr>
        <w:t>e</w:t>
      </w:r>
      <w:r w:rsidRPr="0004576F">
        <w:t xml:space="preserve"> siècle, à l’exemple du grand historien de celles-ci que fut John E. Neale : voir </w:t>
      </w:r>
      <w:r w:rsidRPr="0004576F">
        <w:rPr>
          <w:i/>
        </w:rPr>
        <w:t>The Tudor Parli</w:t>
      </w:r>
      <w:r w:rsidRPr="0004576F">
        <w:rPr>
          <w:i/>
        </w:rPr>
        <w:t>a</w:t>
      </w:r>
      <w:r w:rsidRPr="0004576F">
        <w:rPr>
          <w:i/>
        </w:rPr>
        <w:t>ments</w:t>
      </w:r>
      <w:r w:rsidRPr="0004576F">
        <w:t xml:space="preserve">…, </w:t>
      </w:r>
      <w:r w:rsidRPr="0004576F">
        <w:rPr>
          <w:i/>
        </w:rPr>
        <w:t>op. cit</w:t>
      </w:r>
      <w:r w:rsidRPr="0004576F">
        <w:t xml:space="preserve">., p. 1-18. Voir également Geoffrey R.Elton, </w:t>
      </w:r>
      <w:r w:rsidRPr="0004576F">
        <w:rPr>
          <w:i/>
        </w:rPr>
        <w:t>The Parliament of</w:t>
      </w:r>
      <w:r w:rsidRPr="0004576F">
        <w:t xml:space="preserve"> </w:t>
      </w:r>
      <w:r w:rsidRPr="0004576F">
        <w:rPr>
          <w:i/>
        </w:rPr>
        <w:t>England 1559-1581</w:t>
      </w:r>
      <w:r w:rsidRPr="0004576F">
        <w:t>, Cambridge, Ca</w:t>
      </w:r>
      <w:r w:rsidRPr="0004576F">
        <w:t>m</w:t>
      </w:r>
      <w:r w:rsidRPr="0004576F">
        <w:t>bridge University Press, 1986. Dans cet ouvrage, qui montre de manière très approfondie le fonctionnement du Parlement au début du règne d’Élisabeth I</w:t>
      </w:r>
      <w:r w:rsidRPr="0004576F">
        <w:rPr>
          <w:vertAlign w:val="superscript"/>
        </w:rPr>
        <w:t>ère</w:t>
      </w:r>
      <w:r w:rsidRPr="0004576F">
        <w:t xml:space="preserve"> et constitue à cet égard un livre de référence, G.E. Elton souligne nota</w:t>
      </w:r>
      <w:r w:rsidRPr="0004576F">
        <w:t>m</w:t>
      </w:r>
      <w:r w:rsidRPr="0004576F">
        <w:t>ment que l’idée d’une opposition puritaine structurée au sein du Parlement est « un m</w:t>
      </w:r>
      <w:r w:rsidRPr="0004576F">
        <w:t>y</w:t>
      </w:r>
      <w:r w:rsidRPr="0004576F">
        <w:t>the », p. 350-355.</w:t>
      </w:r>
    </w:p>
  </w:footnote>
  <w:footnote w:id="626">
    <w:p w14:paraId="42B4CBF1" w14:textId="77777777" w:rsidR="00B01930" w:rsidRDefault="00B01930">
      <w:pPr>
        <w:pStyle w:val="Notedebasdepage"/>
      </w:pPr>
      <w:r>
        <w:rPr>
          <w:rStyle w:val="Appelnotedebasdep"/>
        </w:rPr>
        <w:footnoteRef/>
      </w:r>
      <w:r>
        <w:t xml:space="preserve"> </w:t>
      </w:r>
      <w:r>
        <w:tab/>
      </w:r>
      <w:r w:rsidRPr="0004576F">
        <w:t>C. Roberts, « The Earl of Bedford and the Coming of the English Revol</w:t>
      </w:r>
      <w:r w:rsidRPr="0004576F">
        <w:t>u</w:t>
      </w:r>
      <w:r w:rsidRPr="0004576F">
        <w:t xml:space="preserve">tion », </w:t>
      </w:r>
      <w:r w:rsidRPr="0004576F">
        <w:rPr>
          <w:i/>
        </w:rPr>
        <w:t>Journal of Modern History</w:t>
      </w:r>
      <w:r w:rsidRPr="0004576F">
        <w:t xml:space="preserve">, t. 49, 1977, p. 600-616 ; Kevin Sharpe, </w:t>
      </w:r>
      <w:r w:rsidRPr="0004576F">
        <w:rPr>
          <w:i/>
        </w:rPr>
        <w:t>The Pe</w:t>
      </w:r>
      <w:r w:rsidRPr="0004576F">
        <w:rPr>
          <w:i/>
        </w:rPr>
        <w:t>r</w:t>
      </w:r>
      <w:r w:rsidRPr="0004576F">
        <w:rPr>
          <w:i/>
        </w:rPr>
        <w:t xml:space="preserve">sonal Rule of </w:t>
      </w:r>
      <w:r>
        <w:rPr>
          <w:i/>
        </w:rPr>
        <w:t>Charles I</w:t>
      </w:r>
      <w:r w:rsidRPr="0004576F">
        <w:t>, New Haven (Conn.), Yale University Press, 1992, p. 946-949 ; John Adamson, « The B</w:t>
      </w:r>
      <w:r w:rsidRPr="0004576F">
        <w:t>a</w:t>
      </w:r>
      <w:r w:rsidRPr="0004576F">
        <w:t xml:space="preserve">ronial Context of the English Civil War », </w:t>
      </w:r>
      <w:r w:rsidRPr="0004576F">
        <w:rPr>
          <w:i/>
        </w:rPr>
        <w:t>Transactions of the Royal Historical</w:t>
      </w:r>
      <w:r w:rsidRPr="0004576F">
        <w:t xml:space="preserve"> </w:t>
      </w:r>
      <w:r w:rsidRPr="0004576F">
        <w:rPr>
          <w:i/>
        </w:rPr>
        <w:t>Society</w:t>
      </w:r>
      <w:r w:rsidRPr="0004576F">
        <w:t>, 5</w:t>
      </w:r>
      <w:r w:rsidRPr="0004576F">
        <w:rPr>
          <w:vertAlign w:val="superscript"/>
        </w:rPr>
        <w:t>e</w:t>
      </w:r>
      <w:r w:rsidRPr="0004576F">
        <w:t xml:space="preserve"> série, t. 40, 1990.</w:t>
      </w:r>
    </w:p>
  </w:footnote>
  <w:footnote w:id="627">
    <w:p w14:paraId="2D00ADA0" w14:textId="77777777" w:rsidR="00B01930" w:rsidRDefault="00B01930">
      <w:pPr>
        <w:pStyle w:val="Notedebasdepage"/>
      </w:pPr>
      <w:r>
        <w:rPr>
          <w:rStyle w:val="Appelnotedebasdep"/>
        </w:rPr>
        <w:footnoteRef/>
      </w:r>
      <w:r>
        <w:t xml:space="preserve"> </w:t>
      </w:r>
      <w:r>
        <w:tab/>
      </w:r>
      <w:r w:rsidRPr="0004576F">
        <w:t>Voir mon texte, « Les révolutions anglaises du XVII</w:t>
      </w:r>
      <w:r w:rsidRPr="0004576F">
        <w:rPr>
          <w:vertAlign w:val="superscript"/>
        </w:rPr>
        <w:t>e</w:t>
      </w:r>
      <w:r w:rsidRPr="0004576F">
        <w:t xml:space="preserve"> siècle, ou des conserv</w:t>
      </w:r>
      <w:r w:rsidRPr="0004576F">
        <w:t>a</w:t>
      </w:r>
      <w:r w:rsidRPr="0004576F">
        <w:t>teurs révol</w:t>
      </w:r>
      <w:r w:rsidRPr="0004576F">
        <w:t>u</w:t>
      </w:r>
      <w:r w:rsidRPr="0004576F">
        <w:t xml:space="preserve">tionnaires », </w:t>
      </w:r>
      <w:r w:rsidRPr="0004576F">
        <w:rPr>
          <w:i/>
        </w:rPr>
        <w:t>Actes de</w:t>
      </w:r>
      <w:r w:rsidRPr="0004576F">
        <w:t xml:space="preserve"> </w:t>
      </w:r>
      <w:r w:rsidRPr="0004576F">
        <w:rPr>
          <w:i/>
        </w:rPr>
        <w:t>l’Académie nationale de Bordeaux</w:t>
      </w:r>
      <w:r w:rsidRPr="0004576F">
        <w:t>, t. XXXV, 2010, p. 131-149.</w:t>
      </w:r>
    </w:p>
  </w:footnote>
  <w:footnote w:id="628">
    <w:p w14:paraId="0E119B22" w14:textId="77777777" w:rsidR="00B01930" w:rsidRDefault="00B01930">
      <w:pPr>
        <w:pStyle w:val="Notedebasdepage"/>
      </w:pPr>
      <w:r>
        <w:rPr>
          <w:rStyle w:val="Appelnotedebasdep"/>
        </w:rPr>
        <w:footnoteRef/>
      </w:r>
      <w:r>
        <w:t xml:space="preserve"> </w:t>
      </w:r>
      <w:r>
        <w:tab/>
      </w:r>
      <w:r w:rsidRPr="0004576F">
        <w:rPr>
          <w:i/>
        </w:rPr>
        <w:t>The Fall of the British Monarchies 1637-42</w:t>
      </w:r>
      <w:r w:rsidRPr="0004576F">
        <w:t>, Oxford, Clarendon Press, 1991.</w:t>
      </w:r>
    </w:p>
  </w:footnote>
  <w:footnote w:id="629">
    <w:p w14:paraId="5479302E" w14:textId="77777777" w:rsidR="00B01930" w:rsidRDefault="00B01930">
      <w:pPr>
        <w:pStyle w:val="Notedebasdepage"/>
      </w:pPr>
      <w:r>
        <w:rPr>
          <w:rStyle w:val="Appelnotedebasdep"/>
        </w:rPr>
        <w:footnoteRef/>
      </w:r>
      <w:r>
        <w:t xml:space="preserve"> </w:t>
      </w:r>
      <w:r>
        <w:tab/>
      </w:r>
      <w:r w:rsidRPr="0004576F">
        <w:t xml:space="preserve">Conrad Russell « Introduction », dans Conrad Russell (dir.), </w:t>
      </w:r>
      <w:r w:rsidRPr="0004576F">
        <w:rPr>
          <w:i/>
        </w:rPr>
        <w:t>The Origins of the English Civil War</w:t>
      </w:r>
      <w:r w:rsidRPr="0004576F">
        <w:t>, London, Macmillan, 1973, p. 1-31. Geoffrey Elton avait déjà écrit qu’aucune autoroute n’avait été ouve</w:t>
      </w:r>
      <w:r w:rsidRPr="0004576F">
        <w:t>r</w:t>
      </w:r>
      <w:r w:rsidRPr="0004576F">
        <w:t xml:space="preserve">te pour la guerre civile », ce qui signifie que celle-ci n’avait rien d’inévitable et que l’ouverture du conflit ne s’était vraiment produite qu’au dernier moment : « A High Road to Civil War », dans G.R.Elton, </w:t>
      </w:r>
      <w:r w:rsidRPr="0004576F">
        <w:rPr>
          <w:i/>
        </w:rPr>
        <w:t>Studies in Tudor and Stuart Politics and G</w:t>
      </w:r>
      <w:r w:rsidRPr="0004576F">
        <w:rPr>
          <w:i/>
        </w:rPr>
        <w:t>o</w:t>
      </w:r>
      <w:r w:rsidRPr="0004576F">
        <w:rPr>
          <w:i/>
        </w:rPr>
        <w:t>vernment</w:t>
      </w:r>
      <w:r w:rsidRPr="0004576F">
        <w:t>, Cambridge, Cambridge University Press, 1974, p. 174-192.</w:t>
      </w:r>
    </w:p>
  </w:footnote>
  <w:footnote w:id="630">
    <w:p w14:paraId="483A43D4" w14:textId="77777777" w:rsidR="00B01930" w:rsidRDefault="00B01930">
      <w:pPr>
        <w:pStyle w:val="Notedebasdepage"/>
      </w:pPr>
      <w:r>
        <w:rPr>
          <w:rStyle w:val="Appelnotedebasdep"/>
        </w:rPr>
        <w:footnoteRef/>
      </w:r>
      <w:r>
        <w:t xml:space="preserve"> </w:t>
      </w:r>
      <w:r>
        <w:tab/>
      </w:r>
      <w:r w:rsidRPr="0004576F">
        <w:t xml:space="preserve">Ann Hughes, </w:t>
      </w:r>
      <w:r w:rsidRPr="0004576F">
        <w:rPr>
          <w:i/>
        </w:rPr>
        <w:t>The Causes of the English Civil War</w:t>
      </w:r>
      <w:r w:rsidRPr="0004576F">
        <w:t>, Basingstoke and London, Macmillan Press, 1981, p. 8.</w:t>
      </w:r>
    </w:p>
  </w:footnote>
  <w:footnote w:id="631">
    <w:p w14:paraId="7E49042A" w14:textId="77777777" w:rsidR="00B01930" w:rsidRDefault="00B01930">
      <w:pPr>
        <w:pStyle w:val="Notedebasdepage"/>
      </w:pPr>
      <w:r>
        <w:rPr>
          <w:rStyle w:val="Appelnotedebasdep"/>
        </w:rPr>
        <w:footnoteRef/>
      </w:r>
      <w:r>
        <w:t xml:space="preserve"> </w:t>
      </w:r>
      <w:r>
        <w:tab/>
      </w:r>
      <w:r w:rsidRPr="0004576F">
        <w:t xml:space="preserve">Barry Cowan, </w:t>
      </w:r>
      <w:r w:rsidRPr="0004576F">
        <w:rPr>
          <w:i/>
        </w:rPr>
        <w:t>Stuart Age : England 1603-1714</w:t>
      </w:r>
      <w:r w:rsidRPr="0004576F">
        <w:t>, London, Lon</w:t>
      </w:r>
      <w:r w:rsidRPr="0004576F">
        <w:t>g</w:t>
      </w:r>
      <w:r w:rsidRPr="0004576F">
        <w:t>man, 3</w:t>
      </w:r>
      <w:r w:rsidRPr="0004576F">
        <w:rPr>
          <w:vertAlign w:val="superscript"/>
        </w:rPr>
        <w:t>e</w:t>
      </w:r>
      <w:r w:rsidRPr="0004576F">
        <w:t xml:space="preserve"> éd., 2003, p. 91.</w:t>
      </w:r>
    </w:p>
  </w:footnote>
  <w:footnote w:id="632">
    <w:p w14:paraId="5231AB87" w14:textId="77777777" w:rsidR="00B01930" w:rsidRDefault="00B01930">
      <w:pPr>
        <w:pStyle w:val="Notedebasdepage"/>
      </w:pPr>
      <w:r>
        <w:rPr>
          <w:rStyle w:val="Appelnotedebasdep"/>
        </w:rPr>
        <w:footnoteRef/>
      </w:r>
      <w:r>
        <w:t xml:space="preserve"> </w:t>
      </w:r>
      <w:r>
        <w:tab/>
      </w:r>
      <w:r w:rsidRPr="0004576F">
        <w:t>Comme nous l’avons vu plus haut, Nicholas Tyacke a montré qu’autour de Peter Wenworth s’était cristallisée une opposition polit</w:t>
      </w:r>
      <w:r w:rsidRPr="0004576F">
        <w:t>i</w:t>
      </w:r>
      <w:r w:rsidRPr="0004576F">
        <w:t xml:space="preserve">co-religieuse à l’égard du gouvernement des deux premiers Stuarts : voir </w:t>
      </w:r>
      <w:r w:rsidRPr="0004576F">
        <w:rPr>
          <w:i/>
        </w:rPr>
        <w:t>Puritans Polit</w:t>
      </w:r>
      <w:r w:rsidRPr="0004576F">
        <w:rPr>
          <w:i/>
        </w:rPr>
        <w:t>i</w:t>
      </w:r>
      <w:r w:rsidRPr="0004576F">
        <w:rPr>
          <w:i/>
        </w:rPr>
        <w:t>cians</w:t>
      </w:r>
      <w:r w:rsidRPr="0004576F">
        <w:t xml:space="preserve">…, </w:t>
      </w:r>
      <w:r w:rsidRPr="0004576F">
        <w:rPr>
          <w:i/>
        </w:rPr>
        <w:t>op. cit</w:t>
      </w:r>
      <w:r w:rsidRPr="0004576F">
        <w:t>.</w:t>
      </w:r>
    </w:p>
  </w:footnote>
  <w:footnote w:id="633">
    <w:p w14:paraId="568E4603" w14:textId="77777777" w:rsidR="00B01930" w:rsidRDefault="00B01930">
      <w:pPr>
        <w:pStyle w:val="Notedebasdepage"/>
      </w:pPr>
      <w:r>
        <w:rPr>
          <w:rStyle w:val="Appelnotedebasdep"/>
        </w:rPr>
        <w:footnoteRef/>
      </w:r>
      <w:r>
        <w:t xml:space="preserve"> </w:t>
      </w:r>
      <w:r>
        <w:tab/>
      </w:r>
      <w:r w:rsidRPr="0004576F">
        <w:t xml:space="preserve">E.S. Cope, </w:t>
      </w:r>
      <w:r w:rsidRPr="0004576F">
        <w:rPr>
          <w:i/>
        </w:rPr>
        <w:t>Politics without Parliaments</w:t>
      </w:r>
      <w:r w:rsidRPr="0004576F">
        <w:t xml:space="preserve">…., </w:t>
      </w:r>
      <w:r w:rsidRPr="0004576F">
        <w:rPr>
          <w:i/>
        </w:rPr>
        <w:t>op. cit</w:t>
      </w:r>
      <w:r w:rsidRPr="0004576F">
        <w:t>., p. 44.</w:t>
      </w:r>
    </w:p>
  </w:footnote>
  <w:footnote w:id="634">
    <w:p w14:paraId="2B20D77A" w14:textId="77777777" w:rsidR="00B01930" w:rsidRDefault="00B01930">
      <w:pPr>
        <w:pStyle w:val="Notedebasdepage"/>
      </w:pPr>
      <w:r>
        <w:rPr>
          <w:rStyle w:val="Appelnotedebasdep"/>
        </w:rPr>
        <w:footnoteRef/>
      </w:r>
      <w:r>
        <w:t xml:space="preserve"> </w:t>
      </w:r>
      <w:r>
        <w:tab/>
      </w:r>
      <w:r w:rsidRPr="0004576F">
        <w:rPr>
          <w:i/>
        </w:rPr>
        <w:t>The Nature of the English Revolution</w:t>
      </w:r>
      <w:r w:rsidRPr="0004576F">
        <w:t>, Harlow, 1993, chap. 3.</w:t>
      </w:r>
    </w:p>
  </w:footnote>
  <w:footnote w:id="635">
    <w:p w14:paraId="25F73CDD" w14:textId="77777777" w:rsidR="00B01930" w:rsidRDefault="00B01930">
      <w:pPr>
        <w:pStyle w:val="Notedebasdepage"/>
      </w:pPr>
      <w:r>
        <w:rPr>
          <w:rStyle w:val="Appelnotedebasdep"/>
        </w:rPr>
        <w:footnoteRef/>
      </w:r>
      <w:r>
        <w:t xml:space="preserve"> </w:t>
      </w:r>
      <w:r>
        <w:tab/>
      </w:r>
      <w:r w:rsidRPr="0004576F">
        <w:rPr>
          <w:i/>
        </w:rPr>
        <w:t>The Causes of the English Civil War</w:t>
      </w:r>
      <w:r w:rsidRPr="0004576F">
        <w:t>, London, Macmillan, 1991, p. 8.</w:t>
      </w:r>
    </w:p>
  </w:footnote>
  <w:footnote w:id="636">
    <w:p w14:paraId="18E6A016" w14:textId="77777777" w:rsidR="00B01930" w:rsidRDefault="00B01930">
      <w:pPr>
        <w:pStyle w:val="Notedebasdepage"/>
      </w:pPr>
      <w:r>
        <w:rPr>
          <w:rStyle w:val="Appelnotedebasdep"/>
        </w:rPr>
        <w:footnoteRef/>
      </w:r>
      <w:r>
        <w:t xml:space="preserve"> </w:t>
      </w:r>
      <w:r>
        <w:tab/>
      </w:r>
      <w:r w:rsidRPr="0004576F">
        <w:t xml:space="preserve">C. Russell, </w:t>
      </w:r>
      <w:r w:rsidRPr="0004576F">
        <w:rPr>
          <w:i/>
        </w:rPr>
        <w:t>The Crisis of Parliaments</w:t>
      </w:r>
      <w:r w:rsidRPr="0004576F">
        <w:t xml:space="preserve">…., </w:t>
      </w:r>
      <w:r w:rsidRPr="0004576F">
        <w:rPr>
          <w:i/>
        </w:rPr>
        <w:t>op. cit</w:t>
      </w:r>
      <w:r w:rsidRPr="0004576F">
        <w:t>., p. 341.</w:t>
      </w:r>
    </w:p>
  </w:footnote>
  <w:footnote w:id="637">
    <w:p w14:paraId="62982F80" w14:textId="77777777" w:rsidR="00B01930" w:rsidRDefault="00B01930">
      <w:pPr>
        <w:pStyle w:val="Notedebasdepage"/>
      </w:pPr>
      <w:r>
        <w:rPr>
          <w:rStyle w:val="Appelnotedebasdep"/>
        </w:rPr>
        <w:footnoteRef/>
      </w:r>
      <w:r>
        <w:t xml:space="preserve"> </w:t>
      </w:r>
      <w:r>
        <w:tab/>
      </w:r>
      <w:r w:rsidRPr="0004576F">
        <w:t xml:space="preserve">Raymond Aron, </w:t>
      </w:r>
      <w:r w:rsidRPr="0004576F">
        <w:rPr>
          <w:i/>
        </w:rPr>
        <w:t>Leçons sur l’histoire. Cours du Collège de France</w:t>
      </w:r>
      <w:r w:rsidRPr="0004576F">
        <w:t>, Paris, éd. du Fallois, 1989, p. 209.</w:t>
      </w:r>
    </w:p>
  </w:footnote>
  <w:footnote w:id="638">
    <w:p w14:paraId="03633498" w14:textId="77777777" w:rsidR="00B01930" w:rsidRDefault="00B01930">
      <w:pPr>
        <w:pStyle w:val="Notedebasdepage"/>
      </w:pPr>
      <w:r>
        <w:rPr>
          <w:rStyle w:val="Appelnotedebasdep"/>
        </w:rPr>
        <w:footnoteRef/>
      </w:r>
      <w:r>
        <w:t xml:space="preserve"> </w:t>
      </w:r>
      <w:r>
        <w:tab/>
      </w:r>
      <w:r w:rsidRPr="0004576F">
        <w:t xml:space="preserve">Comme Danton l’avait noté à propos de la Révolution française, à en croire le dramaturge Georg Buchner dans </w:t>
      </w:r>
      <w:r w:rsidRPr="0004576F">
        <w:rPr>
          <w:i/>
        </w:rPr>
        <w:t>La Mort de Danton</w:t>
      </w:r>
      <w:r w:rsidRPr="0004576F">
        <w:t xml:space="preserve"> (1835).</w:t>
      </w:r>
    </w:p>
  </w:footnote>
  <w:footnote w:id="639">
    <w:p w14:paraId="0FE55EB3" w14:textId="77777777" w:rsidR="00B01930" w:rsidRDefault="00B01930">
      <w:pPr>
        <w:pStyle w:val="Notedebasdepage"/>
      </w:pPr>
      <w:r>
        <w:rPr>
          <w:rStyle w:val="Appelnotedebasdep"/>
        </w:rPr>
        <w:footnoteRef/>
      </w:r>
      <w:r>
        <w:t xml:space="preserve"> </w:t>
      </w:r>
      <w:r>
        <w:tab/>
      </w:r>
      <w:r w:rsidRPr="0004576F">
        <w:t xml:space="preserve">Slobodan Milacic, dans « La Révolution française au miroir de la Révolution d’Octobre », in Jean-Louis Martres, </w:t>
      </w:r>
      <w:r w:rsidRPr="0004576F">
        <w:rPr>
          <w:i/>
        </w:rPr>
        <w:t>Le Discours sur les révolutions</w:t>
      </w:r>
      <w:r w:rsidRPr="0004576F">
        <w:t>, Paris, Économica, 1991, t. 1, p. 283.</w:t>
      </w:r>
    </w:p>
  </w:footnote>
  <w:footnote w:id="640">
    <w:p w14:paraId="6D6EA455" w14:textId="77777777" w:rsidR="00B01930" w:rsidRDefault="00B01930">
      <w:pPr>
        <w:pStyle w:val="Notedebasdepage"/>
      </w:pPr>
      <w:r>
        <w:rPr>
          <w:rStyle w:val="Appelnotedebasdep"/>
        </w:rPr>
        <w:footnoteRef/>
      </w:r>
      <w:r>
        <w:t xml:space="preserve"> </w:t>
      </w:r>
      <w:r>
        <w:tab/>
      </w:r>
      <w:r w:rsidRPr="0004576F">
        <w:t>Ce militaire finlandais est connu pour avoir organisé une efficace défense nati</w:t>
      </w:r>
      <w:r w:rsidRPr="0004576F">
        <w:t>o</w:t>
      </w:r>
      <w:r w:rsidRPr="0004576F">
        <w:t>nale : d’abord de 1931 à 1941 en perspective de l’invasion germano-russe de la Finlande, des pays baltes et de la Pologne ; puis de nouveau contre l’occupant russe entre 1941 et 1944.</w:t>
      </w:r>
    </w:p>
  </w:footnote>
  <w:footnote w:id="641">
    <w:p w14:paraId="48A350A2" w14:textId="77777777" w:rsidR="00B01930" w:rsidRDefault="00B01930">
      <w:pPr>
        <w:pStyle w:val="Notedebasdepage"/>
      </w:pPr>
      <w:r>
        <w:rPr>
          <w:rStyle w:val="Appelnotedebasdep"/>
        </w:rPr>
        <w:footnoteRef/>
      </w:r>
      <w:r>
        <w:t xml:space="preserve"> </w:t>
      </w:r>
      <w:r>
        <w:tab/>
      </w:r>
      <w:r w:rsidRPr="0004576F">
        <w:t>Staline attendra 1937 pour le faire arrêter, et 1938 pour le faire liquider…</w:t>
      </w:r>
    </w:p>
  </w:footnote>
  <w:footnote w:id="642">
    <w:p w14:paraId="3C592527" w14:textId="77777777" w:rsidR="00B01930" w:rsidRDefault="00B01930">
      <w:pPr>
        <w:pStyle w:val="Notedebasdepage"/>
      </w:pPr>
      <w:r>
        <w:rPr>
          <w:rStyle w:val="Appelnotedebasdep"/>
        </w:rPr>
        <w:footnoteRef/>
      </w:r>
      <w:r>
        <w:t xml:space="preserve"> </w:t>
      </w:r>
      <w:r>
        <w:tab/>
      </w:r>
      <w:r w:rsidRPr="0004576F">
        <w:t xml:space="preserve">À Paris ; cf. Henri Minczeles, </w:t>
      </w:r>
      <w:r w:rsidRPr="0004576F">
        <w:rPr>
          <w:i/>
        </w:rPr>
        <w:t>Histoire générale du Bund</w:t>
      </w:r>
      <w:r w:rsidRPr="0004576F">
        <w:t>, Paris, Denoël, 1999, p. 46.</w:t>
      </w:r>
    </w:p>
  </w:footnote>
  <w:footnote w:id="643">
    <w:p w14:paraId="42F31BE4" w14:textId="77777777" w:rsidR="00B01930" w:rsidRDefault="00B01930">
      <w:pPr>
        <w:pStyle w:val="Notedebasdepage"/>
      </w:pPr>
      <w:r>
        <w:rPr>
          <w:rStyle w:val="Appelnotedebasdep"/>
        </w:rPr>
        <w:footnoteRef/>
      </w:r>
      <w:r>
        <w:t xml:space="preserve"> </w:t>
      </w:r>
      <w:r>
        <w:tab/>
      </w:r>
      <w:r w:rsidRPr="0004576F">
        <w:t xml:space="preserve">Cité par Jean-François Colosimo dans </w:t>
      </w:r>
      <w:r w:rsidRPr="0004576F">
        <w:rPr>
          <w:i/>
        </w:rPr>
        <w:t>L’Apocalypse russe</w:t>
      </w:r>
      <w:r w:rsidRPr="0004576F">
        <w:t>, Paris, Fayard, 2008, p. 269.</w:t>
      </w:r>
    </w:p>
  </w:footnote>
  <w:footnote w:id="644">
    <w:p w14:paraId="0381C1B0" w14:textId="77777777" w:rsidR="00B01930" w:rsidRDefault="00B01930">
      <w:pPr>
        <w:pStyle w:val="Notedebasdepage"/>
      </w:pPr>
      <w:r>
        <w:rPr>
          <w:rStyle w:val="Appelnotedebasdep"/>
        </w:rPr>
        <w:footnoteRef/>
      </w:r>
      <w:r>
        <w:t xml:space="preserve"> </w:t>
      </w:r>
      <w:r>
        <w:tab/>
      </w:r>
      <w:r w:rsidRPr="0004576F">
        <w:t>Par les traités de Saint Germain et de Trianon.</w:t>
      </w:r>
    </w:p>
  </w:footnote>
  <w:footnote w:id="645">
    <w:p w14:paraId="23F037D5" w14:textId="77777777" w:rsidR="00B01930" w:rsidRDefault="00B01930">
      <w:pPr>
        <w:pStyle w:val="Notedebasdepage"/>
      </w:pPr>
      <w:r>
        <w:rPr>
          <w:rStyle w:val="Appelnotedebasdep"/>
        </w:rPr>
        <w:footnoteRef/>
      </w:r>
      <w:r>
        <w:t xml:space="preserve"> </w:t>
      </w:r>
      <w:r>
        <w:tab/>
      </w:r>
      <w:r w:rsidRPr="0004576F">
        <w:t xml:space="preserve">En Mai 1919, la seule ville de Vienne comptait 130 000 chômeurs (Max Adler, </w:t>
      </w:r>
      <w:r w:rsidRPr="0004576F">
        <w:rPr>
          <w:i/>
        </w:rPr>
        <w:t>Démocr</w:t>
      </w:r>
      <w:r w:rsidRPr="0004576F">
        <w:rPr>
          <w:i/>
        </w:rPr>
        <w:t>a</w:t>
      </w:r>
      <w:r w:rsidRPr="0004576F">
        <w:rPr>
          <w:i/>
        </w:rPr>
        <w:t xml:space="preserve">tie et conseils ouvriers, </w:t>
      </w:r>
      <w:r w:rsidRPr="0004576F">
        <w:t>Paris, Maspero, 1966, p. 31) ; et le jeune professeur Joseph Schumpeter y était soci</w:t>
      </w:r>
      <w:r w:rsidRPr="0004576F">
        <w:t>a</w:t>
      </w:r>
      <w:r w:rsidRPr="0004576F">
        <w:t>liste et ministre des Finances.</w:t>
      </w:r>
    </w:p>
  </w:footnote>
  <w:footnote w:id="646">
    <w:p w14:paraId="519AB760" w14:textId="77777777" w:rsidR="00B01930" w:rsidRDefault="00B01930">
      <w:pPr>
        <w:pStyle w:val="Notedebasdepage"/>
      </w:pPr>
      <w:r>
        <w:rPr>
          <w:rStyle w:val="Appelnotedebasdep"/>
        </w:rPr>
        <w:footnoteRef/>
      </w:r>
      <w:r>
        <w:t xml:space="preserve"> </w:t>
      </w:r>
      <w:r>
        <w:tab/>
      </w:r>
      <w:r w:rsidRPr="0004576F">
        <w:t xml:space="preserve">Cf. Luc Vincenti, </w:t>
      </w:r>
      <w:r w:rsidRPr="0004576F">
        <w:rPr>
          <w:i/>
        </w:rPr>
        <w:t>Contre l’identité : des croisements austro-marxistes à sa dénégation actuelle</w:t>
      </w:r>
      <w:r w:rsidRPr="0004576F">
        <w:t>, Colloque Identités sans frontières en Europe centrale, Un</w:t>
      </w:r>
      <w:r w:rsidRPr="0004576F">
        <w:t>i</w:t>
      </w:r>
      <w:r w:rsidRPr="0004576F">
        <w:t>versité Paul Valéry, Nov. 2007.</w:t>
      </w:r>
    </w:p>
  </w:footnote>
  <w:footnote w:id="647">
    <w:p w14:paraId="3779C547" w14:textId="77777777" w:rsidR="00B01930" w:rsidRDefault="00B01930">
      <w:pPr>
        <w:pStyle w:val="Notedebasdepage"/>
      </w:pPr>
      <w:r>
        <w:rPr>
          <w:rStyle w:val="Appelnotedebasdep"/>
        </w:rPr>
        <w:footnoteRef/>
      </w:r>
      <w:r>
        <w:t xml:space="preserve"> </w:t>
      </w:r>
      <w:r>
        <w:tab/>
      </w:r>
      <w:r w:rsidRPr="0004576F">
        <w:t xml:space="preserve">Cf.  Leo Valiani, </w:t>
      </w:r>
      <w:r w:rsidRPr="0004576F">
        <w:rPr>
          <w:i/>
        </w:rPr>
        <w:t>Histoire du socialisme au XX</w:t>
      </w:r>
      <w:r w:rsidRPr="0004576F">
        <w:rPr>
          <w:i/>
          <w:vertAlign w:val="superscript"/>
        </w:rPr>
        <w:t>e</w:t>
      </w:r>
      <w:r w:rsidRPr="0004576F">
        <w:rPr>
          <w:i/>
        </w:rPr>
        <w:t xml:space="preserve"> siècle</w:t>
      </w:r>
      <w:r w:rsidRPr="0004576F">
        <w:t>, Paris, N</w:t>
      </w:r>
      <w:r w:rsidRPr="0004576F">
        <w:t>a</w:t>
      </w:r>
      <w:r w:rsidRPr="0004576F">
        <w:t xml:space="preserve">gel, 1948, tr. fr., chap. 8, et Peter Gay, </w:t>
      </w:r>
      <w:r w:rsidRPr="0004576F">
        <w:rPr>
          <w:i/>
        </w:rPr>
        <w:t>Le Suicide d’une République : Weimar</w:t>
      </w:r>
      <w:r w:rsidRPr="0004576F">
        <w:t>, 1968, Paris, Calmann Lévy, tr. fr., 1993.</w:t>
      </w:r>
    </w:p>
  </w:footnote>
  <w:footnote w:id="648">
    <w:p w14:paraId="559201BE" w14:textId="77777777" w:rsidR="00B01930" w:rsidRDefault="00B01930">
      <w:pPr>
        <w:pStyle w:val="Notedebasdepage"/>
      </w:pPr>
      <w:r>
        <w:rPr>
          <w:rStyle w:val="Appelnotedebasdep"/>
        </w:rPr>
        <w:footnoteRef/>
      </w:r>
      <w:r>
        <w:t xml:space="preserve"> </w:t>
      </w:r>
      <w:r>
        <w:tab/>
      </w:r>
      <w:r w:rsidRPr="0004576F">
        <w:t>Luttant contre le napolitain Bordiga (comme Gramsci et Toglia</w:t>
      </w:r>
      <w:r w:rsidRPr="0004576F">
        <w:t>t</w:t>
      </w:r>
      <w:r w:rsidRPr="0004576F">
        <w:t>ti), et contre les hongrois Kun et Rakosi (comme Lukacs et Nagy), Radek adoptait sans le dire une critique pertine</w:t>
      </w:r>
      <w:r w:rsidRPr="0004576F">
        <w:t>n</w:t>
      </w:r>
      <w:r w:rsidRPr="0004576F">
        <w:t xml:space="preserve">te de l’ami et exécuteur testamentaire d’Engels, Eduard Bernstein, qui avait mis en lumière (cf. </w:t>
      </w:r>
      <w:r w:rsidRPr="0004576F">
        <w:rPr>
          <w:i/>
        </w:rPr>
        <w:t>Les Présupposés du sociali</w:t>
      </w:r>
      <w:r w:rsidRPr="0004576F">
        <w:rPr>
          <w:i/>
        </w:rPr>
        <w:t>s</w:t>
      </w:r>
      <w:r w:rsidRPr="0004576F">
        <w:rPr>
          <w:i/>
        </w:rPr>
        <w:t>me, 1898</w:t>
      </w:r>
      <w:r w:rsidRPr="0004576F">
        <w:t xml:space="preserve">, Paris, Seuil, 1974, tr.fr., p. 58 </w:t>
      </w:r>
      <w:r w:rsidRPr="0004576F">
        <w:rPr>
          <w:i/>
        </w:rPr>
        <w:t>sq</w:t>
      </w:r>
      <w:r w:rsidRPr="0004576F">
        <w:t>.) dans les œuvres de jeunesse de Marx et d’Engels ce qu’il appelait une « </w:t>
      </w:r>
      <w:r w:rsidRPr="0004576F">
        <w:rPr>
          <w:i/>
        </w:rPr>
        <w:t>erreur blanquiste </w:t>
      </w:r>
      <w:r w:rsidRPr="0004576F">
        <w:t>» : l’exaltation de la violence révol</w:t>
      </w:r>
      <w:r w:rsidRPr="0004576F">
        <w:t>u</w:t>
      </w:r>
      <w:r w:rsidRPr="0004576F">
        <w:t>tionnaire, du terrorisme prolétarien et des expropriations.</w:t>
      </w:r>
    </w:p>
  </w:footnote>
  <w:footnote w:id="649">
    <w:p w14:paraId="5D59C4C4" w14:textId="77777777" w:rsidR="00B01930" w:rsidRDefault="00B01930">
      <w:pPr>
        <w:pStyle w:val="Notedebasdepage"/>
      </w:pPr>
      <w:r>
        <w:rPr>
          <w:rStyle w:val="Appelnotedebasdep"/>
        </w:rPr>
        <w:footnoteRef/>
      </w:r>
      <w:r>
        <w:t xml:space="preserve"> </w:t>
      </w:r>
      <w:r>
        <w:tab/>
      </w:r>
      <w:r w:rsidRPr="0004576F">
        <w:t xml:space="preserve">Cf. le chapitre XLVI qui lui est consacré dans Pierre Broué, </w:t>
      </w:r>
      <w:r w:rsidRPr="0004576F">
        <w:rPr>
          <w:i/>
        </w:rPr>
        <w:t>Révolution en A</w:t>
      </w:r>
      <w:r w:rsidRPr="0004576F">
        <w:rPr>
          <w:i/>
        </w:rPr>
        <w:t>l</w:t>
      </w:r>
      <w:r w:rsidRPr="0004576F">
        <w:rPr>
          <w:i/>
        </w:rPr>
        <w:t>lemagne (1917-1923)</w:t>
      </w:r>
      <w:r w:rsidRPr="0004576F">
        <w:t>, Paris, éd. de Minuit, 1971.</w:t>
      </w:r>
    </w:p>
  </w:footnote>
  <w:footnote w:id="650">
    <w:p w14:paraId="57DE7EE0" w14:textId="77777777" w:rsidR="00B01930" w:rsidRDefault="00B01930">
      <w:pPr>
        <w:pStyle w:val="Notedebasdepage"/>
      </w:pPr>
      <w:r>
        <w:rPr>
          <w:rStyle w:val="Appelnotedebasdep"/>
        </w:rPr>
        <w:footnoteRef/>
      </w:r>
      <w:r>
        <w:t xml:space="preserve"> </w:t>
      </w:r>
      <w:r>
        <w:tab/>
      </w:r>
      <w:r w:rsidRPr="0004576F">
        <w:t xml:space="preserve">Cf. P. Broué, </w:t>
      </w:r>
      <w:r w:rsidRPr="0004576F">
        <w:rPr>
          <w:i/>
        </w:rPr>
        <w:t>ibidem</w:t>
      </w:r>
      <w:r w:rsidRPr="0004576F">
        <w:t>, chap XVIII.</w:t>
      </w:r>
    </w:p>
  </w:footnote>
  <w:footnote w:id="651">
    <w:p w14:paraId="0DB631E4" w14:textId="77777777" w:rsidR="00B01930" w:rsidRDefault="00B01930">
      <w:pPr>
        <w:pStyle w:val="Notedebasdepage"/>
      </w:pPr>
      <w:r>
        <w:rPr>
          <w:rStyle w:val="Appelnotedebasdep"/>
        </w:rPr>
        <w:footnoteRef/>
      </w:r>
      <w:r>
        <w:t xml:space="preserve"> </w:t>
      </w:r>
      <w:r>
        <w:tab/>
      </w:r>
      <w:r w:rsidRPr="0004576F">
        <w:t xml:space="preserve">Cf. Pierre Broué, chapitre XL, </w:t>
      </w:r>
      <w:r w:rsidRPr="0004576F">
        <w:rPr>
          <w:i/>
        </w:rPr>
        <w:t>ibidem.</w:t>
      </w:r>
    </w:p>
  </w:footnote>
  <w:footnote w:id="652">
    <w:p w14:paraId="21A4BB7E" w14:textId="77777777" w:rsidR="00B01930" w:rsidRDefault="00B01930">
      <w:pPr>
        <w:pStyle w:val="Notedebasdepage"/>
      </w:pPr>
      <w:r>
        <w:rPr>
          <w:rStyle w:val="Appelnotedebasdep"/>
        </w:rPr>
        <w:footnoteRef/>
      </w:r>
      <w:r>
        <w:t xml:space="preserve"> </w:t>
      </w:r>
      <w:r>
        <w:tab/>
      </w:r>
      <w:r w:rsidRPr="0004576F">
        <w:t>G. Zinoviev (1883-1936), bolchevik dés 1903, plus proche collaborateur de Lénine à pa</w:t>
      </w:r>
      <w:r w:rsidRPr="0004576F">
        <w:t>r</w:t>
      </w:r>
      <w:r w:rsidRPr="0004576F">
        <w:t xml:space="preserve">tir de 1907, président du </w:t>
      </w:r>
      <w:r w:rsidRPr="0004576F">
        <w:rPr>
          <w:i/>
        </w:rPr>
        <w:t>soviet</w:t>
      </w:r>
      <w:r w:rsidRPr="0004576F">
        <w:t xml:space="preserve"> de Petrograd en 1917, président du </w:t>
      </w:r>
      <w:r w:rsidRPr="0004576F">
        <w:rPr>
          <w:i/>
        </w:rPr>
        <w:t>Komintern</w:t>
      </w:r>
      <w:r w:rsidRPr="0004576F">
        <w:t xml:space="preserve"> de 1919 à 1926, sera exécuté en août 1936 à l’issue du premier des grands « procès de Moscou ». Boukh</w:t>
      </w:r>
      <w:r w:rsidRPr="0004576F">
        <w:t>a</w:t>
      </w:r>
      <w:r w:rsidRPr="0004576F">
        <w:t>rine lui avait succédé de 1926 à 1929. Lui aussi sera liquidé : en juin 1937, victime comme Toukatchevski du troisième procès de Moscou.</w:t>
      </w:r>
    </w:p>
  </w:footnote>
  <w:footnote w:id="653">
    <w:p w14:paraId="47B98513" w14:textId="77777777" w:rsidR="00B01930" w:rsidRDefault="00B01930">
      <w:pPr>
        <w:pStyle w:val="Notedebasdepage"/>
      </w:pPr>
      <w:r>
        <w:rPr>
          <w:rStyle w:val="Appelnotedebasdep"/>
        </w:rPr>
        <w:footnoteRef/>
      </w:r>
      <w:r>
        <w:t xml:space="preserve"> </w:t>
      </w:r>
      <w:r>
        <w:tab/>
      </w:r>
      <w:r w:rsidRPr="0004576F">
        <w:t xml:space="preserve">Cf. Pierre Broué, </w:t>
      </w:r>
      <w:r w:rsidRPr="0004576F">
        <w:rPr>
          <w:i/>
        </w:rPr>
        <w:t>ibidem</w:t>
      </w:r>
      <w:r w:rsidRPr="0004576F">
        <w:t>, ch. XXIV.</w:t>
      </w:r>
    </w:p>
  </w:footnote>
  <w:footnote w:id="654">
    <w:p w14:paraId="3332FB80" w14:textId="77777777" w:rsidR="00B01930" w:rsidRDefault="00B01930">
      <w:pPr>
        <w:pStyle w:val="Notedebasdepage"/>
      </w:pPr>
      <w:r>
        <w:rPr>
          <w:rStyle w:val="Appelnotedebasdep"/>
        </w:rPr>
        <w:footnoteRef/>
      </w:r>
      <w:r>
        <w:t xml:space="preserve"> </w:t>
      </w:r>
      <w:r>
        <w:tab/>
      </w:r>
      <w:r w:rsidRPr="0004576F">
        <w:t>« </w:t>
      </w:r>
      <w:r w:rsidRPr="0004576F">
        <w:rPr>
          <w:i/>
        </w:rPr>
        <w:t>Staline disait : l’homme, c’est notre capital le plus précieux. Hitler disait : s’il le faut, nous serons inhumains </w:t>
      </w:r>
      <w:r w:rsidRPr="0004576F">
        <w:t>», a remarqué Michel Heller, in Heller et N</w:t>
      </w:r>
      <w:r w:rsidRPr="0004576F">
        <w:t>e</w:t>
      </w:r>
      <w:r w:rsidRPr="0004576F">
        <w:t xml:space="preserve">krich, </w:t>
      </w:r>
      <w:r w:rsidRPr="0004576F">
        <w:rPr>
          <w:i/>
        </w:rPr>
        <w:t>L’Utopie au pouvoir</w:t>
      </w:r>
      <w:r w:rsidRPr="0004576F">
        <w:t>, Paris, Calmann-Lévy, 1982, tr. fr., p. 238.</w:t>
      </w:r>
    </w:p>
  </w:footnote>
  <w:footnote w:id="655">
    <w:p w14:paraId="45E72FEC" w14:textId="77777777" w:rsidR="00B01930" w:rsidRDefault="00B01930">
      <w:pPr>
        <w:pStyle w:val="Notedebasdepage"/>
      </w:pPr>
      <w:r>
        <w:rPr>
          <w:rStyle w:val="Appelnotedebasdep"/>
        </w:rPr>
        <w:footnoteRef/>
      </w:r>
      <w:r>
        <w:t xml:space="preserve"> </w:t>
      </w:r>
      <w:r>
        <w:tab/>
      </w:r>
      <w:hyperlink r:id="rId23" w:history="1">
        <w:r w:rsidRPr="00FC008A">
          <w:rPr>
            <w:rStyle w:val="Hyperlien"/>
            <w:i/>
          </w:rPr>
          <w:t>L’État et la Révolution</w:t>
        </w:r>
      </w:hyperlink>
      <w:r w:rsidRPr="0004576F">
        <w:t>, Moscou, 1917.</w:t>
      </w:r>
    </w:p>
  </w:footnote>
  <w:footnote w:id="656">
    <w:p w14:paraId="51264314" w14:textId="77777777" w:rsidR="00B01930" w:rsidRDefault="00B01930">
      <w:pPr>
        <w:pStyle w:val="Notedebasdepage"/>
      </w:pPr>
      <w:r>
        <w:rPr>
          <w:rStyle w:val="Appelnotedebasdep"/>
        </w:rPr>
        <w:footnoteRef/>
      </w:r>
      <w:r>
        <w:t xml:space="preserve"> </w:t>
      </w:r>
      <w:r>
        <w:tab/>
      </w:r>
      <w:hyperlink r:id="rId24" w:history="1">
        <w:r w:rsidRPr="00FC008A">
          <w:rPr>
            <w:rStyle w:val="Hyperlien"/>
            <w:i/>
          </w:rPr>
          <w:t>Le Gauchisme, maladie infantile du communisme</w:t>
        </w:r>
      </w:hyperlink>
      <w:r w:rsidRPr="0004576F">
        <w:t>, Moscou, 1920.</w:t>
      </w:r>
    </w:p>
  </w:footnote>
  <w:footnote w:id="657">
    <w:p w14:paraId="43E84802" w14:textId="77777777" w:rsidR="00B01930" w:rsidRDefault="00B01930">
      <w:pPr>
        <w:pStyle w:val="Notedebasdepage"/>
      </w:pPr>
      <w:r>
        <w:rPr>
          <w:rStyle w:val="Appelnotedebasdep"/>
        </w:rPr>
        <w:footnoteRef/>
      </w:r>
      <w:r>
        <w:t xml:space="preserve"> </w:t>
      </w:r>
      <w:r>
        <w:tab/>
      </w:r>
      <w:r w:rsidRPr="0004576F">
        <w:t>Insurrection attisée par les luttes de clans entre bolcheviks, mais déclenchée par le décret du 22 janvier 1921 réduisant d’un tiers la ration de pain des o</w:t>
      </w:r>
      <w:r w:rsidRPr="0004576F">
        <w:t>u</w:t>
      </w:r>
      <w:r w:rsidRPr="0004576F">
        <w:t>vriers. Sur l’Opposition ouvrière, cf. Arkadi Vak</w:t>
      </w:r>
      <w:r w:rsidRPr="0004576F">
        <w:t>s</w:t>
      </w:r>
      <w:r w:rsidRPr="0004576F">
        <w:t xml:space="preserve">berg, </w:t>
      </w:r>
      <w:r w:rsidRPr="0004576F">
        <w:rPr>
          <w:i/>
        </w:rPr>
        <w:t xml:space="preserve">Alexandra Kollontaï, </w:t>
      </w:r>
      <w:r w:rsidRPr="0004576F">
        <w:t>Paris,</w:t>
      </w:r>
      <w:r w:rsidRPr="0004576F">
        <w:rPr>
          <w:i/>
        </w:rPr>
        <w:t xml:space="preserve"> </w:t>
      </w:r>
      <w:r w:rsidRPr="0004576F">
        <w:t>tr. f. éd. Fayard, 1996, p. ex. p. 231-238.</w:t>
      </w:r>
    </w:p>
  </w:footnote>
  <w:footnote w:id="658">
    <w:p w14:paraId="411F443A" w14:textId="77777777" w:rsidR="00B01930" w:rsidRDefault="00B01930">
      <w:pPr>
        <w:pStyle w:val="Notedebasdepage"/>
      </w:pPr>
      <w:r>
        <w:rPr>
          <w:rStyle w:val="Appelnotedebasdep"/>
        </w:rPr>
        <w:footnoteRef/>
      </w:r>
      <w:r>
        <w:t xml:space="preserve"> </w:t>
      </w:r>
      <w:r>
        <w:tab/>
      </w:r>
      <w:r w:rsidRPr="0004576F">
        <w:t xml:space="preserve">Cf Pierre Naville, in E.Preobrajensky, </w:t>
      </w:r>
      <w:r w:rsidRPr="0004576F">
        <w:rPr>
          <w:i/>
        </w:rPr>
        <w:t>La Nouvelle économie</w:t>
      </w:r>
      <w:r w:rsidRPr="0004576F">
        <w:t>, P</w:t>
      </w:r>
      <w:r w:rsidRPr="0004576F">
        <w:t>a</w:t>
      </w:r>
      <w:r w:rsidRPr="0004576F">
        <w:t>ris, E</w:t>
      </w:r>
      <w:r w:rsidRPr="0004576F">
        <w:rPr>
          <w:smallCaps/>
        </w:rPr>
        <w:t>di</w:t>
      </w:r>
      <w:r w:rsidRPr="0004576F">
        <w:t>, 1966, tr. fr., p. 8.</w:t>
      </w:r>
    </w:p>
  </w:footnote>
  <w:footnote w:id="659">
    <w:p w14:paraId="67893431" w14:textId="77777777" w:rsidR="00B01930" w:rsidRDefault="00B01930">
      <w:pPr>
        <w:pStyle w:val="Notedebasdepage"/>
      </w:pPr>
      <w:r>
        <w:rPr>
          <w:rStyle w:val="Appelnotedebasdep"/>
        </w:rPr>
        <w:footnoteRef/>
      </w:r>
      <w:r>
        <w:t xml:space="preserve"> </w:t>
      </w:r>
      <w:r>
        <w:tab/>
      </w:r>
      <w:r w:rsidRPr="0004576F">
        <w:t xml:space="preserve">Selon M. Heller et A. Nekrich, </w:t>
      </w:r>
      <w:r w:rsidRPr="0004576F">
        <w:rPr>
          <w:i/>
        </w:rPr>
        <w:t>op. cit.</w:t>
      </w:r>
      <w:r w:rsidRPr="0004576F">
        <w:t>, p. 206. Des chiffres très voisins fig</w:t>
      </w:r>
      <w:r w:rsidRPr="0004576F">
        <w:t>u</w:t>
      </w:r>
      <w:r w:rsidRPr="0004576F">
        <w:t>rent dans d’autres ouvrages.</w:t>
      </w:r>
    </w:p>
  </w:footnote>
  <w:footnote w:id="660">
    <w:p w14:paraId="15A434D0" w14:textId="77777777" w:rsidR="00B01930" w:rsidRDefault="00B01930">
      <w:pPr>
        <w:pStyle w:val="Notedebasdepage"/>
      </w:pPr>
      <w:r>
        <w:rPr>
          <w:rStyle w:val="Appelnotedebasdep"/>
        </w:rPr>
        <w:footnoteRef/>
      </w:r>
      <w:r>
        <w:t xml:space="preserve"> </w:t>
      </w:r>
      <w:r>
        <w:tab/>
      </w:r>
      <w:r w:rsidRPr="0004576F">
        <w:t>Marx a beaucoup et durement parlé de « </w:t>
      </w:r>
      <w:r w:rsidRPr="0004576F">
        <w:rPr>
          <w:i/>
        </w:rPr>
        <w:t>l’idiotie de la vie paysanne</w:t>
      </w:r>
      <w:r w:rsidRPr="0004576F">
        <w:t xml:space="preserve"> », et sa postérité a largement ignoré nuances et richesse de ses écrits tardifs. Cf. dans le recueil </w:t>
      </w:r>
      <w:r w:rsidRPr="0004576F">
        <w:rPr>
          <w:i/>
        </w:rPr>
        <w:t>Rouge et rose, deux siècles de socialismes européens</w:t>
      </w:r>
      <w:r w:rsidRPr="0004576F">
        <w:t xml:space="preserve"> (dir. J. V</w:t>
      </w:r>
      <w:r w:rsidRPr="0004576F">
        <w:t>i</w:t>
      </w:r>
      <w:r w:rsidRPr="0004576F">
        <w:t>greux et S. Wolikow), Dijon, E</w:t>
      </w:r>
      <w:r w:rsidRPr="0004576F">
        <w:rPr>
          <w:smallCaps/>
        </w:rPr>
        <w:t>ud</w:t>
      </w:r>
      <w:r w:rsidRPr="0004576F">
        <w:t>, 2007, l’article d’Edouard Lynch : « Socialisme européen et question paysanne ».</w:t>
      </w:r>
    </w:p>
  </w:footnote>
  <w:footnote w:id="661">
    <w:p w14:paraId="578AD073" w14:textId="77777777" w:rsidR="00B01930" w:rsidRDefault="00B01930">
      <w:pPr>
        <w:pStyle w:val="Notedebasdepage"/>
      </w:pPr>
      <w:r>
        <w:rPr>
          <w:rStyle w:val="Appelnotedebasdep"/>
        </w:rPr>
        <w:footnoteRef/>
      </w:r>
      <w:r>
        <w:t xml:space="preserve"> </w:t>
      </w:r>
      <w:r>
        <w:tab/>
      </w:r>
      <w:r w:rsidRPr="0004576F">
        <w:t xml:space="preserve">Cf. Pr Didier Musiedlak, </w:t>
      </w:r>
      <w:r w:rsidRPr="0004576F">
        <w:rPr>
          <w:i/>
        </w:rPr>
        <w:t>Parlementaires en chemises noires</w:t>
      </w:r>
      <w:r w:rsidRPr="0004576F">
        <w:t>, It</w:t>
      </w:r>
      <w:r w:rsidRPr="0004576F">
        <w:t>a</w:t>
      </w:r>
      <w:r w:rsidRPr="0004576F">
        <w:t>lie 1922-1943, Besançon, Presses universita</w:t>
      </w:r>
      <w:r w:rsidRPr="0004576F">
        <w:t>i</w:t>
      </w:r>
      <w:r w:rsidRPr="0004576F">
        <w:t>res de Franche Comté, 2007, p. 37.</w:t>
      </w:r>
    </w:p>
  </w:footnote>
  <w:footnote w:id="662">
    <w:p w14:paraId="036BB129" w14:textId="77777777" w:rsidR="00B01930" w:rsidRDefault="00B01930">
      <w:pPr>
        <w:pStyle w:val="Notedebasdepage"/>
      </w:pPr>
      <w:r>
        <w:rPr>
          <w:rStyle w:val="Appelnotedebasdep"/>
        </w:rPr>
        <w:footnoteRef/>
      </w:r>
      <w:r>
        <w:t xml:space="preserve"> </w:t>
      </w:r>
      <w:r>
        <w:tab/>
      </w:r>
      <w:r w:rsidRPr="0004576F">
        <w:t xml:space="preserve">Cf. Roy McGregor Hastie, </w:t>
      </w:r>
      <w:r w:rsidRPr="0004576F">
        <w:rPr>
          <w:i/>
        </w:rPr>
        <w:t>Le Jour du lion</w:t>
      </w:r>
      <w:r w:rsidRPr="0004576F">
        <w:t>, Paris, Albin Michel, 1965, tr. fr., p. 115.</w:t>
      </w:r>
    </w:p>
  </w:footnote>
  <w:footnote w:id="663">
    <w:p w14:paraId="55781C27" w14:textId="77777777" w:rsidR="00B01930" w:rsidRDefault="00B01930">
      <w:pPr>
        <w:pStyle w:val="Notedebasdepage"/>
      </w:pPr>
      <w:r>
        <w:rPr>
          <w:rStyle w:val="Appelnotedebasdep"/>
        </w:rPr>
        <w:footnoteRef/>
      </w:r>
      <w:r>
        <w:t xml:space="preserve"> </w:t>
      </w:r>
      <w:r>
        <w:tab/>
      </w:r>
      <w:r w:rsidRPr="0004576F">
        <w:t xml:space="preserve">Sur tous ces points cf. D. Musiedlak, </w:t>
      </w:r>
      <w:r w:rsidRPr="0004576F">
        <w:rPr>
          <w:i/>
        </w:rPr>
        <w:t>op. cit.</w:t>
      </w:r>
      <w:r w:rsidRPr="0004576F">
        <w:t xml:space="preserve">, </w:t>
      </w:r>
      <w:r w:rsidRPr="0004576F">
        <w:rPr>
          <w:i/>
        </w:rPr>
        <w:t>passim</w:t>
      </w:r>
      <w:r w:rsidRPr="0004576F">
        <w:t>.</w:t>
      </w:r>
    </w:p>
  </w:footnote>
  <w:footnote w:id="664">
    <w:p w14:paraId="7BDCEF16" w14:textId="77777777" w:rsidR="00B01930" w:rsidRDefault="00B01930">
      <w:pPr>
        <w:pStyle w:val="Notedebasdepage"/>
      </w:pPr>
      <w:r>
        <w:rPr>
          <w:rStyle w:val="Appelnotedebasdep"/>
        </w:rPr>
        <w:footnoteRef/>
      </w:r>
      <w:r>
        <w:t xml:space="preserve"> </w:t>
      </w:r>
      <w:r>
        <w:tab/>
      </w:r>
      <w:r w:rsidRPr="0004576F">
        <w:t xml:space="preserve">Cf Pr Henri Burgelin, in </w:t>
      </w:r>
      <w:r w:rsidRPr="0004576F">
        <w:rPr>
          <w:i/>
        </w:rPr>
        <w:t>Dix leçons sur le nazisme</w:t>
      </w:r>
      <w:r w:rsidRPr="0004576F">
        <w:t>, Paris, Fayard, 1976.</w:t>
      </w:r>
    </w:p>
  </w:footnote>
  <w:footnote w:id="665">
    <w:p w14:paraId="65CD26E9" w14:textId="77777777" w:rsidR="00B01930" w:rsidRDefault="00B01930">
      <w:pPr>
        <w:pStyle w:val="Notedebasdepage"/>
      </w:pPr>
      <w:r>
        <w:rPr>
          <w:rStyle w:val="Appelnotedebasdep"/>
        </w:rPr>
        <w:footnoteRef/>
      </w:r>
      <w:r>
        <w:t xml:space="preserve"> </w:t>
      </w:r>
      <w:r>
        <w:tab/>
      </w:r>
      <w:r w:rsidRPr="0004576F">
        <w:t>Bilan des premières atrocités franquistes : la répression fera qu</w:t>
      </w:r>
      <w:r w:rsidRPr="0004576F">
        <w:t>a</w:t>
      </w:r>
      <w:r w:rsidRPr="0004576F">
        <w:t xml:space="preserve">tre mille morts dans la « république socialiste des Asturies », 210 morts dans l’armée (cf. Luis Ramirez, </w:t>
      </w:r>
      <w:r w:rsidRPr="0004576F">
        <w:rPr>
          <w:i/>
        </w:rPr>
        <w:t>Vie de Francisco Franco</w:t>
      </w:r>
      <w:r w:rsidRPr="0004576F">
        <w:t>, Paris, Maspero, 1965, tr. fr.). Rapp</w:t>
      </w:r>
      <w:r w:rsidRPr="0004576F">
        <w:t>e</w:t>
      </w:r>
      <w:r w:rsidRPr="0004576F">
        <w:t>lons que juste auparavant, en 1932-1933, 6 000 000 (six millions) de camp</w:t>
      </w:r>
      <w:r w:rsidRPr="0004576F">
        <w:t>a</w:t>
      </w:r>
      <w:r w:rsidRPr="0004576F">
        <w:t xml:space="preserve">gnards ukrainiens sont morts, victimes en </w:t>
      </w:r>
      <w:r w:rsidRPr="0004576F">
        <w:rPr>
          <w:smallCaps/>
        </w:rPr>
        <w:t>Urss</w:t>
      </w:r>
      <w:r w:rsidRPr="0004576F">
        <w:t xml:space="preserve"> des ordres donnés par Staline et Khrouchtchev, cf. p. ex. Z. Kowalewski, revue </w:t>
      </w:r>
      <w:r w:rsidRPr="0004576F">
        <w:rPr>
          <w:i/>
        </w:rPr>
        <w:t>H</w:t>
      </w:r>
      <w:r w:rsidRPr="0004576F">
        <w:rPr>
          <w:i/>
        </w:rPr>
        <w:t>é</w:t>
      </w:r>
      <w:r w:rsidRPr="0004576F">
        <w:rPr>
          <w:i/>
        </w:rPr>
        <w:t>rodote</w:t>
      </w:r>
      <w:r w:rsidRPr="0004576F">
        <w:t>, n° 54-55, Paris, La Découve</w:t>
      </w:r>
      <w:r w:rsidRPr="0004576F">
        <w:t>r</w:t>
      </w:r>
      <w:r w:rsidRPr="0004576F">
        <w:t>te, 1989, p. 107.</w:t>
      </w:r>
    </w:p>
  </w:footnote>
  <w:footnote w:id="666">
    <w:p w14:paraId="0A5AA5AB" w14:textId="77777777" w:rsidR="00B01930" w:rsidRDefault="00B01930">
      <w:pPr>
        <w:pStyle w:val="Notedebasdepage"/>
      </w:pPr>
      <w:r>
        <w:rPr>
          <w:rStyle w:val="Appelnotedebasdep"/>
        </w:rPr>
        <w:footnoteRef/>
      </w:r>
      <w:r>
        <w:t xml:space="preserve"> </w:t>
      </w:r>
      <w:r>
        <w:tab/>
      </w:r>
      <w:r w:rsidRPr="0004576F">
        <w:t>Fin 1934, le secrétaire général des Jeunesses socialistes a 20 ans et s’appelle Santiago Carrillo. Il dirigera le Parti communiste espagnol de 1960 à 1982, contribuant activement à la transition démocratique espagnole et au mouv</w:t>
      </w:r>
      <w:r w:rsidRPr="0004576F">
        <w:t>e</w:t>
      </w:r>
      <w:r w:rsidRPr="0004576F">
        <w:t>ment dit « euro-communiste ».</w:t>
      </w:r>
    </w:p>
  </w:footnote>
  <w:footnote w:id="667">
    <w:p w14:paraId="52924F9C" w14:textId="77777777" w:rsidR="00B01930" w:rsidRDefault="00B01930">
      <w:pPr>
        <w:pStyle w:val="Notedebasdepage"/>
      </w:pPr>
      <w:r>
        <w:rPr>
          <w:rStyle w:val="Appelnotedebasdep"/>
        </w:rPr>
        <w:footnoteRef/>
      </w:r>
      <w:r>
        <w:t xml:space="preserve"> </w:t>
      </w:r>
      <w:r>
        <w:tab/>
      </w:r>
      <w:r w:rsidRPr="0004576F">
        <w:rPr>
          <w:smallCaps/>
        </w:rPr>
        <w:t>Cnt-Fai</w:t>
      </w:r>
      <w:r w:rsidRPr="0004576F">
        <w:t>, Confédération nationale du travail-Fédération anarchi</w:t>
      </w:r>
      <w:r w:rsidRPr="0004576F">
        <w:t>s</w:t>
      </w:r>
      <w:r w:rsidRPr="0004576F">
        <w:t>te ibérique.</w:t>
      </w:r>
    </w:p>
  </w:footnote>
  <w:footnote w:id="668">
    <w:p w14:paraId="5205003E" w14:textId="77777777" w:rsidR="00B01930" w:rsidRDefault="00B01930">
      <w:pPr>
        <w:pStyle w:val="Notedebasdepage"/>
      </w:pPr>
      <w:r>
        <w:rPr>
          <w:rStyle w:val="Appelnotedebasdep"/>
        </w:rPr>
        <w:footnoteRef/>
      </w:r>
      <w:r>
        <w:t xml:space="preserve"> </w:t>
      </w:r>
      <w:r>
        <w:tab/>
      </w:r>
      <w:r w:rsidRPr="0004576F">
        <w:t xml:space="preserve">Acronyme expressif  du </w:t>
      </w:r>
      <w:r w:rsidRPr="0004576F">
        <w:rPr>
          <w:i/>
        </w:rPr>
        <w:t>Partido Obrero de Unificacion Marxista</w:t>
      </w:r>
      <w:r w:rsidRPr="0004576F">
        <w:t>, Parti o</w:t>
      </w:r>
      <w:r w:rsidRPr="0004576F">
        <w:t>u</w:t>
      </w:r>
      <w:r w:rsidRPr="0004576F">
        <w:t>vrier d’unification marxiste.</w:t>
      </w:r>
    </w:p>
  </w:footnote>
  <w:footnote w:id="669">
    <w:p w14:paraId="24E72BEF" w14:textId="77777777" w:rsidR="00B01930" w:rsidRDefault="00B01930">
      <w:pPr>
        <w:pStyle w:val="Notedebasdepage"/>
      </w:pPr>
      <w:r>
        <w:rPr>
          <w:rStyle w:val="Appelnotedebasdep"/>
        </w:rPr>
        <w:footnoteRef/>
      </w:r>
      <w:r>
        <w:t xml:space="preserve"> </w:t>
      </w:r>
      <w:r>
        <w:tab/>
      </w:r>
      <w:r w:rsidRPr="0004576F">
        <w:t xml:space="preserve">Cf. Daniel Guérin, </w:t>
      </w:r>
      <w:r w:rsidRPr="0004576F">
        <w:rPr>
          <w:i/>
        </w:rPr>
        <w:t>L’Anarchisme</w:t>
      </w:r>
      <w:r w:rsidRPr="0004576F">
        <w:t>, Paris, Gallimard, 1965, chapitre 5, pour le bagage do</w:t>
      </w:r>
      <w:r w:rsidRPr="0004576F">
        <w:t>c</w:t>
      </w:r>
      <w:r w:rsidRPr="0004576F">
        <w:t>trinal hétéroclite des anarchistes espagnols, partagés notamment entre communalistes a</w:t>
      </w:r>
      <w:r w:rsidRPr="0004576F">
        <w:t>n</w:t>
      </w:r>
      <w:r w:rsidRPr="0004576F">
        <w:t>dalous et syndicalistes catalans.</w:t>
      </w:r>
    </w:p>
  </w:footnote>
  <w:footnote w:id="670">
    <w:p w14:paraId="538D2865" w14:textId="77777777" w:rsidR="00B01930" w:rsidRDefault="00B01930">
      <w:pPr>
        <w:pStyle w:val="Notedebasdepage"/>
      </w:pPr>
      <w:r>
        <w:rPr>
          <w:rStyle w:val="Appelnotedebasdep"/>
        </w:rPr>
        <w:footnoteRef/>
      </w:r>
      <w:r>
        <w:t xml:space="preserve"> </w:t>
      </w:r>
      <w:r>
        <w:tab/>
      </w:r>
      <w:r w:rsidRPr="0004576F">
        <w:t>Hormis dans la flotte, où la résistance des marins à donné un répit à la Rép</w:t>
      </w:r>
      <w:r w:rsidRPr="0004576F">
        <w:t>u</w:t>
      </w:r>
      <w:r w:rsidRPr="0004576F">
        <w:t>blique en entravant quelque temps les transports de tro</w:t>
      </w:r>
      <w:r w:rsidRPr="0004576F">
        <w:t>u</w:t>
      </w:r>
      <w:r w:rsidRPr="0004576F">
        <w:t>pes prévus par Franco.</w:t>
      </w:r>
    </w:p>
  </w:footnote>
  <w:footnote w:id="671">
    <w:p w14:paraId="695389D9" w14:textId="77777777" w:rsidR="00B01930" w:rsidRDefault="00B01930">
      <w:pPr>
        <w:pStyle w:val="Notedebasdepage"/>
      </w:pPr>
      <w:r>
        <w:rPr>
          <w:rStyle w:val="Appelnotedebasdep"/>
        </w:rPr>
        <w:footnoteRef/>
      </w:r>
      <w:r>
        <w:t xml:space="preserve"> </w:t>
      </w:r>
      <w:r>
        <w:tab/>
      </w:r>
      <w:r w:rsidRPr="0004576F">
        <w:t xml:space="preserve">Cf. Pierre Broué et Émile Temime, </w:t>
      </w:r>
      <w:r w:rsidRPr="0004576F">
        <w:rPr>
          <w:i/>
        </w:rPr>
        <w:t>La Révolution et la guerre d’Espagne</w:t>
      </w:r>
      <w:r w:rsidRPr="0004576F">
        <w:t>, Paris, éd. de Minuit, 1961, chap</w:t>
      </w:r>
      <w:r w:rsidRPr="0004576F">
        <w:t>i</w:t>
      </w:r>
      <w:r w:rsidRPr="0004576F">
        <w:t>tre 2.</w:t>
      </w:r>
    </w:p>
  </w:footnote>
  <w:footnote w:id="672">
    <w:p w14:paraId="44DC3DE5" w14:textId="77777777" w:rsidR="00B01930" w:rsidRDefault="00B01930">
      <w:pPr>
        <w:pStyle w:val="Notedebasdepage"/>
      </w:pPr>
      <w:r>
        <w:rPr>
          <w:rStyle w:val="Appelnotedebasdep"/>
        </w:rPr>
        <w:footnoteRef/>
      </w:r>
      <w:r>
        <w:t xml:space="preserve"> </w:t>
      </w:r>
      <w:r>
        <w:tab/>
      </w:r>
      <w:r w:rsidRPr="0004576F">
        <w:rPr>
          <w:i/>
        </w:rPr>
        <w:t>Ibidem</w:t>
      </w:r>
      <w:r w:rsidRPr="0004576F">
        <w:t>, chapitre 5.</w:t>
      </w:r>
    </w:p>
  </w:footnote>
  <w:footnote w:id="673">
    <w:p w14:paraId="503F61E4" w14:textId="77777777" w:rsidR="00B01930" w:rsidRDefault="00B01930">
      <w:pPr>
        <w:pStyle w:val="Notedebasdepage"/>
      </w:pPr>
      <w:r>
        <w:rPr>
          <w:rStyle w:val="Appelnotedebasdep"/>
        </w:rPr>
        <w:footnoteRef/>
      </w:r>
      <w:r>
        <w:t xml:space="preserve"> </w:t>
      </w:r>
      <w:r>
        <w:tab/>
      </w:r>
      <w:r w:rsidRPr="0004576F">
        <w:t>Reste qu’une aide effective fut discrètement organisée à la demande perso</w:t>
      </w:r>
      <w:r w:rsidRPr="0004576F">
        <w:t>n</w:t>
      </w:r>
      <w:r w:rsidRPr="0004576F">
        <w:t>nelle de Léon Blum, secondé par Vincent Auriol (mini</w:t>
      </w:r>
      <w:r w:rsidRPr="0004576F">
        <w:t>s</w:t>
      </w:r>
      <w:r w:rsidRPr="0004576F">
        <w:t>tre des Finances) et Pierre Cot (ministre de l’Air). Le Pr. Michel Bergès me signale à cet égard que, de 1936 à 1939, un douanier sy</w:t>
      </w:r>
      <w:r w:rsidRPr="0004576F">
        <w:t>n</w:t>
      </w:r>
      <w:r w:rsidRPr="0004576F">
        <w:t>dicaliste assuma le secret des transferts : le s</w:t>
      </w:r>
      <w:r w:rsidRPr="0004576F">
        <w:t>o</w:t>
      </w:r>
      <w:r w:rsidRPr="0004576F">
        <w:t>cialiste Gaston Cusin. Il était ami de Jean Moulin qui participait lui aussi, autrement, à cet engagement militaire. Cusin sera commissaire de la Républ</w:t>
      </w:r>
      <w:r w:rsidRPr="0004576F">
        <w:t>i</w:t>
      </w:r>
      <w:r w:rsidRPr="0004576F">
        <w:t xml:space="preserve">que à Bordeaux en 1944. Sur ces points, cf. notamment Pierre Péan, </w:t>
      </w:r>
      <w:r w:rsidRPr="0004576F">
        <w:rPr>
          <w:i/>
        </w:rPr>
        <w:t>Vies et morts de Jean Moulin</w:t>
      </w:r>
      <w:r w:rsidRPr="0004576F">
        <w:t>, Paris, Fayard, 1998.</w:t>
      </w:r>
    </w:p>
  </w:footnote>
  <w:footnote w:id="674">
    <w:p w14:paraId="2A9B50A8" w14:textId="77777777" w:rsidR="00B01930" w:rsidRDefault="00B01930">
      <w:pPr>
        <w:pStyle w:val="Notedebasdepage"/>
      </w:pPr>
      <w:r>
        <w:rPr>
          <w:rStyle w:val="Appelnotedebasdep"/>
        </w:rPr>
        <w:footnoteRef/>
      </w:r>
      <w:r>
        <w:t xml:space="preserve"> </w:t>
      </w:r>
      <w:r>
        <w:tab/>
      </w:r>
      <w:r w:rsidRPr="0004576F">
        <w:t>Devenue siège du gouvernement en octobre 1937, après Valence qui l’était depuis n</w:t>
      </w:r>
      <w:r w:rsidRPr="0004576F">
        <w:t>o</w:t>
      </w:r>
      <w:r w:rsidRPr="0004576F">
        <w:t>vembre 1936, Madrid étant sur la ligne de front.</w:t>
      </w:r>
    </w:p>
  </w:footnote>
  <w:footnote w:id="675">
    <w:p w14:paraId="2371F4EE" w14:textId="77777777" w:rsidR="00B01930" w:rsidRDefault="00B01930">
      <w:pPr>
        <w:pStyle w:val="Notedebasdepage"/>
      </w:pPr>
      <w:r>
        <w:rPr>
          <w:rStyle w:val="Appelnotedebasdep"/>
        </w:rPr>
        <w:footnoteRef/>
      </w:r>
      <w:r>
        <w:t xml:space="preserve"> </w:t>
      </w:r>
      <w:r>
        <w:tab/>
      </w:r>
      <w:r w:rsidRPr="0004576F">
        <w:t>Grâce au tiers mondisme et à des trotskystes français tels Michel Raptis, leur modèle fut transposé en Algérie au cours des premières années de l’indépendance, sur d’anciens d</w:t>
      </w:r>
      <w:r w:rsidRPr="0004576F">
        <w:t>o</w:t>
      </w:r>
      <w:r w:rsidRPr="0004576F">
        <w:t>maines agricoles d’européens rapatriés.</w:t>
      </w:r>
    </w:p>
  </w:footnote>
  <w:footnote w:id="676">
    <w:p w14:paraId="65CE1544" w14:textId="77777777" w:rsidR="00B01930" w:rsidRDefault="00B01930">
      <w:pPr>
        <w:pStyle w:val="Notedebasdepage"/>
      </w:pPr>
      <w:r>
        <w:rPr>
          <w:rStyle w:val="Appelnotedebasdep"/>
        </w:rPr>
        <w:footnoteRef/>
      </w:r>
      <w:r>
        <w:t xml:space="preserve"> </w:t>
      </w:r>
      <w:r>
        <w:tab/>
      </w:r>
      <w:r w:rsidRPr="0004576F">
        <w:t>Depuis la mort du maréchal Tito, après 45 ans d’une société prétendument aut</w:t>
      </w:r>
      <w:r w:rsidRPr="0004576F">
        <w:t>o</w:t>
      </w:r>
      <w:r w:rsidRPr="0004576F">
        <w:t>gérée, les Balkans ont été fragmentés en micro États nationalistes.</w:t>
      </w:r>
    </w:p>
  </w:footnote>
  <w:footnote w:id="677">
    <w:p w14:paraId="2E12C47F" w14:textId="77777777" w:rsidR="00B01930" w:rsidRDefault="00B01930">
      <w:pPr>
        <w:pStyle w:val="Notedebasdepage"/>
      </w:pPr>
      <w:r>
        <w:rPr>
          <w:rStyle w:val="Appelnotedebasdep"/>
        </w:rPr>
        <w:footnoteRef/>
      </w:r>
      <w:r>
        <w:t xml:space="preserve"> </w:t>
      </w:r>
      <w:r>
        <w:tab/>
      </w:r>
      <w:r w:rsidRPr="0004576F">
        <w:t xml:space="preserve">Dans un article de la </w:t>
      </w:r>
      <w:r w:rsidRPr="0004576F">
        <w:rPr>
          <w:i/>
        </w:rPr>
        <w:t>Pravda</w:t>
      </w:r>
      <w:r w:rsidRPr="0004576F">
        <w:t xml:space="preserve"> du 8 novembre 1956.</w:t>
      </w:r>
    </w:p>
  </w:footnote>
  <w:footnote w:id="678">
    <w:p w14:paraId="2108FA1B" w14:textId="77777777" w:rsidR="00B01930" w:rsidRDefault="00B01930">
      <w:pPr>
        <w:pStyle w:val="Notedebasdepage"/>
      </w:pPr>
      <w:r>
        <w:rPr>
          <w:rStyle w:val="Appelnotedebasdep"/>
        </w:rPr>
        <w:footnoteRef/>
      </w:r>
      <w:r>
        <w:t xml:space="preserve"> </w:t>
      </w:r>
      <w:r>
        <w:tab/>
      </w:r>
      <w:r w:rsidRPr="0004576F">
        <w:t xml:space="preserve">Cf. </w:t>
      </w:r>
      <w:r w:rsidRPr="0004576F">
        <w:rPr>
          <w:i/>
        </w:rPr>
        <w:t>La Vérité sur l’affaire Nagy</w:t>
      </w:r>
      <w:r w:rsidRPr="0004576F">
        <w:t>, dossier préfacé par Albert C</w:t>
      </w:r>
      <w:r w:rsidRPr="0004576F">
        <w:t>a</w:t>
      </w:r>
      <w:r w:rsidRPr="0004576F">
        <w:t xml:space="preserve">mus, Paris, Plon, 1958, et </w:t>
      </w:r>
      <w:r w:rsidRPr="0004576F">
        <w:rPr>
          <w:i/>
        </w:rPr>
        <w:t>Budapest 56</w:t>
      </w:r>
      <w:r w:rsidRPr="0004576F">
        <w:t>, de François Fejtö, Paris, Ju</w:t>
      </w:r>
      <w:r w:rsidRPr="0004576F">
        <w:t>l</w:t>
      </w:r>
      <w:r w:rsidRPr="0004576F">
        <w:t>liard, 1966.</w:t>
      </w:r>
    </w:p>
  </w:footnote>
  <w:footnote w:id="679">
    <w:p w14:paraId="706F9999" w14:textId="77777777" w:rsidR="00B01930" w:rsidRDefault="00B01930">
      <w:pPr>
        <w:pStyle w:val="Notedebasdepage"/>
      </w:pPr>
      <w:r>
        <w:rPr>
          <w:rStyle w:val="Appelnotedebasdep"/>
        </w:rPr>
        <w:footnoteRef/>
      </w:r>
      <w:r>
        <w:t xml:space="preserve"> </w:t>
      </w:r>
      <w:r>
        <w:tab/>
      </w:r>
      <w:r w:rsidRPr="0004576F">
        <w:t>L’Allemagne de l’Est avait connu un large mouvement d’agitation sociale en 1953. Le 17 juin, des comités de grève furent constitués dans plusieurs villes industrielles (Halle, Bitterfeld et Me</w:t>
      </w:r>
      <w:r w:rsidRPr="0004576F">
        <w:t>r</w:t>
      </w:r>
      <w:r w:rsidRPr="0004576F">
        <w:t>sebourg). Ils reçurent même un appui au sein du Comité central du Parti communiste. Mais une purge intervint dés le 24 juillet et, dans les trois mois suivants, on revint à l’unanimité de façade dans les r</w:t>
      </w:r>
      <w:r w:rsidRPr="0004576F">
        <w:t>é</w:t>
      </w:r>
      <w:r w:rsidRPr="0004576F">
        <w:t>unions politiques et syndicales.</w:t>
      </w:r>
    </w:p>
  </w:footnote>
  <w:footnote w:id="680">
    <w:p w14:paraId="046480D7" w14:textId="77777777" w:rsidR="00B01930" w:rsidRDefault="00B01930">
      <w:pPr>
        <w:pStyle w:val="Notedebasdepage"/>
      </w:pPr>
      <w:r>
        <w:rPr>
          <w:rStyle w:val="Appelnotedebasdep"/>
        </w:rPr>
        <w:footnoteRef/>
      </w:r>
      <w:r>
        <w:t xml:space="preserve"> </w:t>
      </w:r>
      <w:r>
        <w:tab/>
      </w:r>
      <w:r w:rsidRPr="0004576F">
        <w:t xml:space="preserve">Dans une préface pour la thèse de doctorat de M. Xu Zhen Zhou sur </w:t>
      </w:r>
      <w:r w:rsidRPr="0004576F">
        <w:rPr>
          <w:i/>
        </w:rPr>
        <w:t>L’Art de la politique chez les légistes chinois </w:t>
      </w:r>
      <w:r w:rsidRPr="0004576F">
        <w:t>: la protection de la vie privée par le droit (document édité dans le Site de la Bibliothèque numérique de l’Université de Chicoutimi au Québec, « </w:t>
      </w:r>
      <w:r w:rsidRPr="0004576F">
        <w:rPr>
          <w:i/>
        </w:rPr>
        <w:t>Classiques des Sciences sociales </w:t>
      </w:r>
      <w:r w:rsidRPr="0004576F">
        <w:t>», fondé et dirigé par le sociologue Jean-Marie Tremblay, en libre accès et téléchargeable).</w:t>
      </w:r>
    </w:p>
  </w:footnote>
  <w:footnote w:id="681">
    <w:p w14:paraId="1EAF6E22" w14:textId="77777777" w:rsidR="00B01930" w:rsidRDefault="00B01930">
      <w:pPr>
        <w:pStyle w:val="Notedebasdepage"/>
      </w:pPr>
      <w:r>
        <w:rPr>
          <w:rStyle w:val="Appelnotedebasdep"/>
        </w:rPr>
        <w:footnoteRef/>
      </w:r>
      <w:r>
        <w:t xml:space="preserve"> </w:t>
      </w:r>
      <w:r>
        <w:tab/>
      </w:r>
      <w:r w:rsidRPr="0004576F">
        <w:rPr>
          <w:i/>
        </w:rPr>
        <w:t>Nowe Drogi</w:t>
      </w:r>
      <w:r w:rsidRPr="0004576F">
        <w:t xml:space="preserve">, nov.-déc.1956 ; cf André Babeau, </w:t>
      </w:r>
      <w:r w:rsidRPr="0004576F">
        <w:rPr>
          <w:i/>
        </w:rPr>
        <w:t>Les Conseils ouvriers en P</w:t>
      </w:r>
      <w:r w:rsidRPr="0004576F">
        <w:rPr>
          <w:i/>
        </w:rPr>
        <w:t>o</w:t>
      </w:r>
      <w:r w:rsidRPr="0004576F">
        <w:rPr>
          <w:i/>
        </w:rPr>
        <w:t>logne</w:t>
      </w:r>
      <w:r w:rsidRPr="0004576F">
        <w:t>, Paris, Armand Colin, 1959, p. 70. Les collègues et amis d’O. Lange s’appellent : Kalecki, Brus, Bobrowski.</w:t>
      </w:r>
    </w:p>
  </w:footnote>
  <w:footnote w:id="682">
    <w:p w14:paraId="4B20C067" w14:textId="77777777" w:rsidR="00B01930" w:rsidRDefault="00B01930">
      <w:pPr>
        <w:pStyle w:val="Notedebasdepage"/>
      </w:pPr>
      <w:r>
        <w:rPr>
          <w:rStyle w:val="Appelnotedebasdep"/>
        </w:rPr>
        <w:footnoteRef/>
      </w:r>
      <w:r>
        <w:t xml:space="preserve"> </w:t>
      </w:r>
      <w:r>
        <w:tab/>
      </w:r>
      <w:r w:rsidRPr="0004576F">
        <w:t>Premier secrétaire du Parti communiste de 43 à 48, Gomulka sera exclu en  49 pour « antistalinisme ». Il sera de nouveau destitué, en 1970. Rokossovski fut ministre de la Défense en Pologne de 1949 à 1956, puis sera, de 1956 à 1958, vice ministre de la Défe</w:t>
      </w:r>
      <w:r w:rsidRPr="0004576F">
        <w:t>n</w:t>
      </w:r>
      <w:r w:rsidRPr="0004576F">
        <w:t>se de l’</w:t>
      </w:r>
      <w:r w:rsidRPr="0004576F">
        <w:rPr>
          <w:smallCaps/>
        </w:rPr>
        <w:t>Urss</w:t>
      </w:r>
      <w:r w:rsidRPr="0004576F">
        <w:t>.</w:t>
      </w:r>
    </w:p>
  </w:footnote>
  <w:footnote w:id="683">
    <w:p w14:paraId="42821625" w14:textId="77777777" w:rsidR="00B01930" w:rsidRDefault="00B01930">
      <w:pPr>
        <w:pStyle w:val="Notedebasdepage"/>
      </w:pPr>
      <w:r>
        <w:rPr>
          <w:rStyle w:val="Appelnotedebasdep"/>
        </w:rPr>
        <w:footnoteRef/>
      </w:r>
      <w:r>
        <w:t xml:space="preserve"> </w:t>
      </w:r>
      <w:r>
        <w:tab/>
      </w:r>
      <w:r w:rsidRPr="0004576F">
        <w:t xml:space="preserve">Cf G. Lukacs, </w:t>
      </w:r>
      <w:hyperlink r:id="rId25" w:history="1">
        <w:r w:rsidRPr="00481B98">
          <w:rPr>
            <w:rStyle w:val="Hyperlien"/>
            <w:i/>
          </w:rPr>
          <w:t>Histoire et conscience de classe</w:t>
        </w:r>
      </w:hyperlink>
      <w:r w:rsidRPr="0004576F">
        <w:t>, Paris, éd. de M</w:t>
      </w:r>
      <w:r w:rsidRPr="0004576F">
        <w:t>i</w:t>
      </w:r>
      <w:r w:rsidRPr="0004576F">
        <w:t>nuit, 1960, tr. fr., édition originale, 1923.</w:t>
      </w:r>
    </w:p>
  </w:footnote>
  <w:footnote w:id="684">
    <w:p w14:paraId="13986468" w14:textId="77777777" w:rsidR="00B01930" w:rsidRDefault="00B01930">
      <w:pPr>
        <w:pStyle w:val="Notedebasdepage"/>
      </w:pPr>
      <w:r>
        <w:rPr>
          <w:rStyle w:val="Appelnotedebasdep"/>
        </w:rPr>
        <w:footnoteRef/>
      </w:r>
      <w:r>
        <w:t xml:space="preserve"> </w:t>
      </w:r>
      <w:r>
        <w:tab/>
      </w:r>
      <w:r w:rsidRPr="0004576F">
        <w:t>Sans renier franchement ni la violence ni Blanqui, Régis Debray, qui côtoya très vite « les Grands » de ce monde, comparant en 2009 sa « </w:t>
      </w:r>
      <w:r w:rsidRPr="0004576F">
        <w:rPr>
          <w:i/>
        </w:rPr>
        <w:t>petite boutique</w:t>
      </w:r>
      <w:r w:rsidRPr="0004576F">
        <w:t xml:space="preserve"> [de publication d’idées à] </w:t>
      </w:r>
      <w:r w:rsidRPr="0004576F">
        <w:rPr>
          <w:i/>
        </w:rPr>
        <w:t>de grandes revues comme</w:t>
      </w:r>
      <w:r w:rsidRPr="0004576F">
        <w:t xml:space="preserve"> Commentaire </w:t>
      </w:r>
      <w:r w:rsidRPr="0004576F">
        <w:rPr>
          <w:i/>
        </w:rPr>
        <w:t>et</w:t>
      </w:r>
      <w:r w:rsidRPr="0004576F">
        <w:t xml:space="preserve"> Le D</w:t>
      </w:r>
      <w:r w:rsidRPr="0004576F">
        <w:t>é</w:t>
      </w:r>
      <w:r w:rsidRPr="0004576F">
        <w:t>bat », concédait drôlement à un ancien camarade : nous ne sommes pas une institution et peut être n’aspirons-nous pas à le dev</w:t>
      </w:r>
      <w:r w:rsidRPr="0004576F">
        <w:t>e</w:t>
      </w:r>
      <w:r w:rsidRPr="0004576F">
        <w:t xml:space="preserve">nir, cf. </w:t>
      </w:r>
      <w:r w:rsidRPr="0004576F">
        <w:rPr>
          <w:i/>
        </w:rPr>
        <w:t>Entretiens d’un été</w:t>
      </w:r>
      <w:r w:rsidRPr="0004576F">
        <w:t>, Paris, éd. France Cult</w:t>
      </w:r>
      <w:r w:rsidRPr="0004576F">
        <w:t>u</w:t>
      </w:r>
      <w:r w:rsidRPr="0004576F">
        <w:t>re/Desclée de Brouwer, 2010, p. 103.</w:t>
      </w:r>
    </w:p>
  </w:footnote>
  <w:footnote w:id="685">
    <w:p w14:paraId="5850B0E3" w14:textId="77777777" w:rsidR="00B01930" w:rsidRDefault="00B01930">
      <w:pPr>
        <w:pStyle w:val="Notedebasdepage"/>
      </w:pPr>
      <w:r>
        <w:rPr>
          <w:rStyle w:val="Appelnotedebasdep"/>
        </w:rPr>
        <w:footnoteRef/>
      </w:r>
      <w:r>
        <w:t xml:space="preserve"> </w:t>
      </w:r>
      <w:r>
        <w:tab/>
      </w:r>
      <w:hyperlink r:id="rId26" w:history="1">
        <w:r w:rsidRPr="00481B98">
          <w:rPr>
            <w:rStyle w:val="Hyperlien"/>
            <w:i/>
          </w:rPr>
          <w:t>Actuelles</w:t>
        </w:r>
      </w:hyperlink>
      <w:r w:rsidRPr="0004576F">
        <w:t xml:space="preserve">, dans </w:t>
      </w:r>
      <w:r w:rsidRPr="0004576F">
        <w:rPr>
          <w:i/>
        </w:rPr>
        <w:t>Œuvres</w:t>
      </w:r>
      <w:r w:rsidRPr="0004576F">
        <w:t xml:space="preserve"> complètes, Paris, Gallimard, éd. N</w:t>
      </w:r>
      <w:r w:rsidRPr="0004576F">
        <w:rPr>
          <w:smallCaps/>
        </w:rPr>
        <w:t>rf</w:t>
      </w:r>
      <w:r w:rsidRPr="0004576F">
        <w:t>, La Pléïade, 2008, t. II, p. 457.</w:t>
      </w:r>
    </w:p>
  </w:footnote>
  <w:footnote w:id="686">
    <w:p w14:paraId="2A9EDCC4" w14:textId="77777777" w:rsidR="00B01930" w:rsidRDefault="00B01930">
      <w:pPr>
        <w:pStyle w:val="Notedebasdepage"/>
      </w:pPr>
      <w:r>
        <w:rPr>
          <w:rStyle w:val="Appelnotedebasdep"/>
        </w:rPr>
        <w:footnoteRef/>
      </w:r>
      <w:r>
        <w:t xml:space="preserve"> </w:t>
      </w:r>
      <w:r>
        <w:tab/>
      </w:r>
      <w:r w:rsidRPr="0004576F">
        <w:t xml:space="preserve">Cf. le Pr Eugène Kouchkine, « Notice et notes concernant Les Justes », in </w:t>
      </w:r>
      <w:r w:rsidRPr="0004576F">
        <w:rPr>
          <w:i/>
        </w:rPr>
        <w:t>Œuvres</w:t>
      </w:r>
      <w:r w:rsidRPr="0004576F">
        <w:t xml:space="preserve"> complètes, Paris, Gall</w:t>
      </w:r>
      <w:r w:rsidRPr="0004576F">
        <w:t>i</w:t>
      </w:r>
      <w:r w:rsidRPr="0004576F">
        <w:t xml:space="preserve">mard, La Pléïade, 2008, t. III, p. 1177 </w:t>
      </w:r>
      <w:r w:rsidRPr="0004576F">
        <w:rPr>
          <w:i/>
        </w:rPr>
        <w:t>sq</w:t>
      </w:r>
      <w:r w:rsidRPr="0004576F">
        <w:t>.</w:t>
      </w:r>
    </w:p>
  </w:footnote>
  <w:footnote w:id="687">
    <w:p w14:paraId="2B881F0D" w14:textId="77777777" w:rsidR="00B01930" w:rsidRDefault="00B01930">
      <w:pPr>
        <w:pStyle w:val="Notedebasdepage"/>
      </w:pPr>
      <w:r>
        <w:rPr>
          <w:rStyle w:val="Appelnotedebasdep"/>
        </w:rPr>
        <w:footnoteRef/>
      </w:r>
      <w:r>
        <w:t xml:space="preserve"> </w:t>
      </w:r>
      <w:r>
        <w:tab/>
      </w:r>
      <w:r w:rsidRPr="0004576F">
        <w:t>Sur le déclin rapide de la minutie délicate des terroristes « S. R. » (socialistes révolutio</w:t>
      </w:r>
      <w:r w:rsidRPr="0004576F">
        <w:t>n</w:t>
      </w:r>
      <w:r w:rsidRPr="0004576F">
        <w:t xml:space="preserve">naires) dans le choix de leurs victimes,  voir exemples et chiffres dans J.-F. Colosimo, </w:t>
      </w:r>
      <w:r w:rsidRPr="0004576F">
        <w:rPr>
          <w:i/>
        </w:rPr>
        <w:t>op cit</w:t>
      </w:r>
      <w:r w:rsidRPr="0004576F">
        <w:t>., p. 257-269.</w:t>
      </w:r>
    </w:p>
  </w:footnote>
  <w:footnote w:id="688">
    <w:p w14:paraId="201BF304" w14:textId="77777777" w:rsidR="00B01930" w:rsidRDefault="00B01930">
      <w:pPr>
        <w:pStyle w:val="Notedebasdepage"/>
      </w:pPr>
      <w:r>
        <w:rPr>
          <w:rStyle w:val="Appelnotedebasdep"/>
        </w:rPr>
        <w:footnoteRef/>
      </w:r>
      <w:r>
        <w:t xml:space="preserve"> </w:t>
      </w:r>
      <w:r>
        <w:tab/>
      </w:r>
      <w:r w:rsidRPr="0004576F">
        <w:rPr>
          <w:szCs w:val="28"/>
        </w:rPr>
        <w:t>James Madison (1751-1836), cité par</w:t>
      </w:r>
      <w:r w:rsidRPr="0004576F">
        <w:t xml:space="preserve"> le Pr Jean-Louis Seurin, « À propos de la compara</w:t>
      </w:r>
      <w:r w:rsidRPr="0004576F">
        <w:t>i</w:t>
      </w:r>
      <w:r w:rsidRPr="0004576F">
        <w:t xml:space="preserve">son des déclarations de droit en Amérique et en France », in </w:t>
      </w:r>
      <w:r w:rsidRPr="0004576F">
        <w:rPr>
          <w:i/>
        </w:rPr>
        <w:t>Le Discours sur les révol</w:t>
      </w:r>
      <w:r w:rsidRPr="0004576F">
        <w:rPr>
          <w:i/>
        </w:rPr>
        <w:t>u</w:t>
      </w:r>
      <w:r w:rsidRPr="0004576F">
        <w:rPr>
          <w:i/>
        </w:rPr>
        <w:t>tions</w:t>
      </w:r>
      <w:r w:rsidRPr="0004576F">
        <w:t>, Paris, Économica, 1991, t. 2, p. 89.</w:t>
      </w:r>
    </w:p>
  </w:footnote>
  <w:footnote w:id="689">
    <w:p w14:paraId="6B46AA41" w14:textId="77777777" w:rsidR="00B01930" w:rsidRDefault="00B01930">
      <w:pPr>
        <w:pStyle w:val="Notedebasdepage"/>
      </w:pPr>
      <w:r>
        <w:rPr>
          <w:rStyle w:val="Appelnotedebasdep"/>
        </w:rPr>
        <w:footnoteRef/>
      </w:r>
      <w:r>
        <w:t xml:space="preserve"> </w:t>
      </w:r>
      <w:r>
        <w:tab/>
      </w:r>
      <w:r w:rsidRPr="0004576F">
        <w:rPr>
          <w:szCs w:val="28"/>
        </w:rPr>
        <w:t>La perspective redoutable d’une modernisation des despotismes bureaucrat</w:t>
      </w:r>
      <w:r w:rsidRPr="0004576F">
        <w:rPr>
          <w:szCs w:val="28"/>
        </w:rPr>
        <w:t>i</w:t>
      </w:r>
      <w:r w:rsidRPr="0004576F">
        <w:rPr>
          <w:szCs w:val="28"/>
        </w:rPr>
        <w:t>ques n’avait pas échappé à Karl Marx. Après Montesquieu, Adam Smith et Stuart Mill, entre autres, il s’est vivement intéressé à l’énorme importance c</w:t>
      </w:r>
      <w:r w:rsidRPr="0004576F">
        <w:rPr>
          <w:szCs w:val="28"/>
        </w:rPr>
        <w:t>i</w:t>
      </w:r>
      <w:r w:rsidRPr="0004576F">
        <w:rPr>
          <w:szCs w:val="28"/>
        </w:rPr>
        <w:t>vilisationnelle et à la résilience de ce qu’il appelle le mode de production asi</w:t>
      </w:r>
      <w:r w:rsidRPr="0004576F">
        <w:rPr>
          <w:szCs w:val="28"/>
        </w:rPr>
        <w:t>a</w:t>
      </w:r>
      <w:r w:rsidRPr="0004576F">
        <w:rPr>
          <w:szCs w:val="28"/>
        </w:rPr>
        <w:t>tique ; celui de l’Égypte et de la Mésopotamie a</w:t>
      </w:r>
      <w:r w:rsidRPr="0004576F">
        <w:rPr>
          <w:szCs w:val="28"/>
        </w:rPr>
        <w:t>n</w:t>
      </w:r>
      <w:r w:rsidRPr="0004576F">
        <w:rPr>
          <w:szCs w:val="28"/>
        </w:rPr>
        <w:t>tiques, de la Chine impériale et des grands empires i</w:t>
      </w:r>
      <w:r w:rsidRPr="0004576F">
        <w:rPr>
          <w:szCs w:val="28"/>
        </w:rPr>
        <w:t>n</w:t>
      </w:r>
      <w:r w:rsidRPr="0004576F">
        <w:rPr>
          <w:szCs w:val="28"/>
        </w:rPr>
        <w:t>diens à réseau hydraulique en Asie et en Amérique du Sud. Mais après  le milieu des années 1860, les démêlés avec Proudhon puis avec B</w:t>
      </w:r>
      <w:r w:rsidRPr="0004576F">
        <w:rPr>
          <w:szCs w:val="28"/>
        </w:rPr>
        <w:t>a</w:t>
      </w:r>
      <w:r w:rsidRPr="0004576F">
        <w:rPr>
          <w:szCs w:val="28"/>
        </w:rPr>
        <w:t>kounine au sujet du socialisme étatique conduisent Marx et Engels (comme ensuite Lénine) à passer sous silence cette per</w:t>
      </w:r>
      <w:r w:rsidRPr="0004576F">
        <w:rPr>
          <w:szCs w:val="28"/>
        </w:rPr>
        <w:t>s</w:t>
      </w:r>
      <w:r w:rsidRPr="0004576F">
        <w:rPr>
          <w:szCs w:val="28"/>
        </w:rPr>
        <w:t>pective, pour ne pas faire le jeu de leurs adversaires. Le Pr. Karl A. Wittfogel a r</w:t>
      </w:r>
      <w:r w:rsidRPr="0004576F">
        <w:rPr>
          <w:szCs w:val="28"/>
        </w:rPr>
        <w:t>i</w:t>
      </w:r>
      <w:r w:rsidRPr="0004576F">
        <w:rPr>
          <w:szCs w:val="28"/>
        </w:rPr>
        <w:t>goureusement exposé l’adoption, puis l’étouffement d’un schéma g</w:t>
      </w:r>
      <w:r w:rsidRPr="0004576F">
        <w:rPr>
          <w:szCs w:val="28"/>
        </w:rPr>
        <w:t>é</w:t>
      </w:r>
      <w:r w:rsidRPr="0004576F">
        <w:rPr>
          <w:szCs w:val="28"/>
        </w:rPr>
        <w:t>néral multilinéaire par les historiens du développement du co</w:t>
      </w:r>
      <w:r w:rsidRPr="0004576F">
        <w:rPr>
          <w:szCs w:val="28"/>
        </w:rPr>
        <w:t>m</w:t>
      </w:r>
      <w:r w:rsidRPr="0004576F">
        <w:rPr>
          <w:szCs w:val="28"/>
        </w:rPr>
        <w:t>merce et de la production. Un schéma qui fait une large place parmi divers types de civilisation aux sociétés despot</w:t>
      </w:r>
      <w:r w:rsidRPr="0004576F">
        <w:rPr>
          <w:szCs w:val="28"/>
        </w:rPr>
        <w:t>i</w:t>
      </w:r>
      <w:r w:rsidRPr="0004576F">
        <w:rPr>
          <w:szCs w:val="28"/>
        </w:rPr>
        <w:t>ques au lieu de généraliser les stades de développement de l’extrême ouest e</w:t>
      </w:r>
      <w:r w:rsidRPr="0004576F">
        <w:rPr>
          <w:szCs w:val="28"/>
        </w:rPr>
        <w:t>u</w:t>
      </w:r>
      <w:r w:rsidRPr="0004576F">
        <w:rPr>
          <w:szCs w:val="28"/>
        </w:rPr>
        <w:t>rasiat</w:t>
      </w:r>
      <w:r w:rsidRPr="0004576F">
        <w:rPr>
          <w:szCs w:val="28"/>
        </w:rPr>
        <w:t>i</w:t>
      </w:r>
      <w:r w:rsidRPr="0004576F">
        <w:rPr>
          <w:szCs w:val="28"/>
        </w:rPr>
        <w:t>que comme s’il existait une sorte de parcours obligé pour  l’humanité. Cf. n</w:t>
      </w:r>
      <w:r w:rsidRPr="0004576F">
        <w:rPr>
          <w:szCs w:val="28"/>
        </w:rPr>
        <w:t>o</w:t>
      </w:r>
      <w:r w:rsidRPr="0004576F">
        <w:rPr>
          <w:szCs w:val="28"/>
        </w:rPr>
        <w:t xml:space="preserve">tamment le chapitre IX de son ouvrage, </w:t>
      </w:r>
      <w:r w:rsidRPr="0004576F">
        <w:rPr>
          <w:i/>
          <w:szCs w:val="28"/>
        </w:rPr>
        <w:t>Le Despotisme oriental</w:t>
      </w:r>
      <w:r w:rsidRPr="0004576F">
        <w:rPr>
          <w:szCs w:val="28"/>
        </w:rPr>
        <w:t>, Yale Univers</w:t>
      </w:r>
      <w:r w:rsidRPr="0004576F">
        <w:rPr>
          <w:szCs w:val="28"/>
        </w:rPr>
        <w:t>i</w:t>
      </w:r>
      <w:r w:rsidRPr="0004576F">
        <w:rPr>
          <w:szCs w:val="28"/>
        </w:rPr>
        <w:t>ty Press, 1957, Paris, tr. fr., éd. de Minuit, 1964.</w:t>
      </w:r>
    </w:p>
  </w:footnote>
  <w:footnote w:id="690">
    <w:p w14:paraId="10FE7C99" w14:textId="77777777" w:rsidR="00B01930" w:rsidRDefault="00B01930">
      <w:pPr>
        <w:pStyle w:val="Notedebasdepage"/>
      </w:pPr>
      <w:r>
        <w:rPr>
          <w:rStyle w:val="Appelnotedebasdep"/>
        </w:rPr>
        <w:footnoteRef/>
      </w:r>
      <w:r>
        <w:t xml:space="preserve"> </w:t>
      </w:r>
      <w:r>
        <w:tab/>
      </w:r>
      <w:r w:rsidRPr="0004576F">
        <w:t xml:space="preserve">Cf. Jean-François Kervégan, </w:t>
      </w:r>
      <w:r w:rsidRPr="0004576F">
        <w:rPr>
          <w:i/>
        </w:rPr>
        <w:t>Que faire de Carl Schmitt ?</w:t>
      </w:r>
      <w:r w:rsidRPr="0004576F">
        <w:t>, Paris, Gallimard, col. « Tel », 2011.</w:t>
      </w:r>
    </w:p>
  </w:footnote>
  <w:footnote w:id="691">
    <w:p w14:paraId="0DFEAC29" w14:textId="77777777" w:rsidR="00B01930" w:rsidRDefault="00B01930">
      <w:pPr>
        <w:pStyle w:val="Notedebasdepage"/>
      </w:pPr>
      <w:r>
        <w:rPr>
          <w:rStyle w:val="Appelnotedebasdep"/>
        </w:rPr>
        <w:footnoteRef/>
      </w:r>
      <w:r>
        <w:t xml:space="preserve"> </w:t>
      </w:r>
      <w:r>
        <w:tab/>
      </w:r>
      <w:r w:rsidRPr="0004576F">
        <w:t xml:space="preserve">Olivier Jouanjan, « Et si on ne faisait rien de Carl Schmitt ? », </w:t>
      </w:r>
      <w:r w:rsidRPr="0004576F">
        <w:rPr>
          <w:i/>
        </w:rPr>
        <w:t>Revue philos</w:t>
      </w:r>
      <w:r w:rsidRPr="0004576F">
        <w:rPr>
          <w:i/>
        </w:rPr>
        <w:t>o</w:t>
      </w:r>
      <w:r w:rsidRPr="0004576F">
        <w:rPr>
          <w:i/>
        </w:rPr>
        <w:t>phique</w:t>
      </w:r>
      <w:r w:rsidRPr="0004576F">
        <w:t>, vol. 39, n° 2, 2012, sur le site http://www.erudit.com</w:t>
      </w:r>
    </w:p>
  </w:footnote>
  <w:footnote w:id="692">
    <w:p w14:paraId="7E1F6BAB" w14:textId="77777777" w:rsidR="00B01930" w:rsidRDefault="00B01930">
      <w:pPr>
        <w:pStyle w:val="Notedebasdepage"/>
      </w:pPr>
      <w:r>
        <w:rPr>
          <w:rStyle w:val="Appelnotedebasdep"/>
        </w:rPr>
        <w:footnoteRef/>
      </w:r>
      <w:r>
        <w:t xml:space="preserve"> </w:t>
      </w:r>
      <w:r>
        <w:tab/>
      </w:r>
      <w:r w:rsidRPr="0004576F">
        <w:t xml:space="preserve">Jean Werner Müller, </w:t>
      </w:r>
      <w:r w:rsidRPr="0004576F">
        <w:rPr>
          <w:i/>
        </w:rPr>
        <w:t>Carl Schmitt, un esprit dangereux</w:t>
      </w:r>
      <w:r w:rsidRPr="0004576F">
        <w:t>, Paris, Armand Colin, 2007.</w:t>
      </w:r>
    </w:p>
  </w:footnote>
  <w:footnote w:id="693">
    <w:p w14:paraId="167289F7" w14:textId="77777777" w:rsidR="00B01930" w:rsidRDefault="00B01930">
      <w:pPr>
        <w:pStyle w:val="Notedebasdepage"/>
      </w:pPr>
      <w:r>
        <w:rPr>
          <w:rStyle w:val="Appelnotedebasdep"/>
        </w:rPr>
        <w:footnoteRef/>
      </w:r>
      <w:r>
        <w:t xml:space="preserve"> </w:t>
      </w:r>
      <w:r>
        <w:tab/>
      </w:r>
      <w:r w:rsidRPr="0004576F">
        <w:t xml:space="preserve">Jochen Hook, « Carl Schmitt, une réception controversée dans l’Allemagne d’aujourd’hui », in Serge Sur, </w:t>
      </w:r>
      <w:r w:rsidRPr="0004576F">
        <w:rPr>
          <w:i/>
        </w:rPr>
        <w:t>Carl Schmitt, concepts et usages</w:t>
      </w:r>
      <w:r w:rsidRPr="0004576F">
        <w:t>, Paris, C</w:t>
      </w:r>
      <w:r w:rsidRPr="0004576F">
        <w:rPr>
          <w:smallCaps/>
        </w:rPr>
        <w:t>nrs</w:t>
      </w:r>
      <w:r w:rsidRPr="0004576F">
        <w:t>, Biblis, in</w:t>
      </w:r>
      <w:r w:rsidRPr="0004576F">
        <w:t>é</w:t>
      </w:r>
      <w:r w:rsidRPr="0004576F">
        <w:t>dit, 2014, p. 191.</w:t>
      </w:r>
    </w:p>
  </w:footnote>
  <w:footnote w:id="694">
    <w:p w14:paraId="43239289" w14:textId="77777777" w:rsidR="00B01930" w:rsidRDefault="00B01930">
      <w:pPr>
        <w:pStyle w:val="Notedebasdepage"/>
      </w:pPr>
      <w:r>
        <w:rPr>
          <w:rStyle w:val="Appelnotedebasdep"/>
        </w:rPr>
        <w:footnoteRef/>
      </w:r>
      <w:r>
        <w:t xml:space="preserve"> </w:t>
      </w:r>
      <w:r>
        <w:tab/>
      </w:r>
      <w:r w:rsidRPr="0004576F">
        <w:rPr>
          <w:i/>
        </w:rPr>
        <w:t>Idem</w:t>
      </w:r>
      <w:r w:rsidRPr="0004576F">
        <w:t>.</w:t>
      </w:r>
    </w:p>
  </w:footnote>
  <w:footnote w:id="695">
    <w:p w14:paraId="46B96863" w14:textId="77777777" w:rsidR="00B01930" w:rsidRDefault="00B01930">
      <w:pPr>
        <w:pStyle w:val="Notedebasdepage"/>
      </w:pPr>
      <w:r>
        <w:rPr>
          <w:rStyle w:val="Appelnotedebasdep"/>
        </w:rPr>
        <w:footnoteRef/>
      </w:r>
      <w:r>
        <w:t xml:space="preserve"> </w:t>
      </w:r>
      <w:r>
        <w:tab/>
      </w:r>
      <w:r w:rsidRPr="0004576F">
        <w:t xml:space="preserve">Cf. notre contribution </w:t>
      </w:r>
      <w:r w:rsidRPr="0004576F">
        <w:rPr>
          <w:i/>
        </w:rPr>
        <w:t>supra</w:t>
      </w:r>
      <w:r w:rsidRPr="0004576F">
        <w:t>, « Introduction critique à la pensée martrienne des idées pol</w:t>
      </w:r>
      <w:r w:rsidRPr="0004576F">
        <w:t>i</w:t>
      </w:r>
      <w:r w:rsidRPr="0004576F">
        <w:t>tiques ».</w:t>
      </w:r>
    </w:p>
  </w:footnote>
  <w:footnote w:id="696">
    <w:p w14:paraId="51E676E7" w14:textId="77777777" w:rsidR="00B01930" w:rsidRDefault="00B01930">
      <w:pPr>
        <w:pStyle w:val="Notedebasdepage"/>
      </w:pPr>
      <w:r>
        <w:rPr>
          <w:rStyle w:val="Appelnotedebasdep"/>
        </w:rPr>
        <w:footnoteRef/>
      </w:r>
      <w:r>
        <w:t xml:space="preserve"> </w:t>
      </w:r>
      <w:r>
        <w:tab/>
      </w:r>
      <w:r w:rsidRPr="0004576F">
        <w:t xml:space="preserve">L’expression est de Jean-Pierre Faye, dans </w:t>
      </w:r>
      <w:r w:rsidRPr="0004576F">
        <w:rPr>
          <w:i/>
        </w:rPr>
        <w:t>Langages totalitaires</w:t>
      </w:r>
      <w:r w:rsidRPr="0004576F">
        <w:t>, Paris, He</w:t>
      </w:r>
      <w:r w:rsidRPr="0004576F">
        <w:t>r</w:t>
      </w:r>
      <w:r w:rsidRPr="0004576F">
        <w:t>mann, 1972.</w:t>
      </w:r>
    </w:p>
  </w:footnote>
  <w:footnote w:id="697">
    <w:p w14:paraId="116C6D10" w14:textId="77777777" w:rsidR="00B01930" w:rsidRDefault="00B01930">
      <w:pPr>
        <w:pStyle w:val="Notedebasdepage"/>
      </w:pPr>
      <w:r>
        <w:rPr>
          <w:rStyle w:val="Appelnotedebasdep"/>
        </w:rPr>
        <w:footnoteRef/>
      </w:r>
      <w:r>
        <w:t xml:space="preserve"> </w:t>
      </w:r>
      <w:r>
        <w:tab/>
      </w:r>
      <w:r w:rsidRPr="0004576F">
        <w:t xml:space="preserve">Cf. Olivier Beaud, Préface à l’ouvrage de Carl Schmitt, </w:t>
      </w:r>
      <w:r w:rsidRPr="0004576F">
        <w:rPr>
          <w:i/>
        </w:rPr>
        <w:t>Théorie de la Const</w:t>
      </w:r>
      <w:r w:rsidRPr="0004576F">
        <w:rPr>
          <w:i/>
        </w:rPr>
        <w:t>i</w:t>
      </w:r>
      <w:r w:rsidRPr="0004576F">
        <w:rPr>
          <w:i/>
        </w:rPr>
        <w:t>tution</w:t>
      </w:r>
      <w:r w:rsidRPr="0004576F">
        <w:t>, Paris, P</w:t>
      </w:r>
      <w:r w:rsidRPr="0004576F">
        <w:rPr>
          <w:smallCaps/>
        </w:rPr>
        <w:t>uf</w:t>
      </w:r>
      <w:r w:rsidRPr="0004576F">
        <w:t>, col. « Quadrige », 2</w:t>
      </w:r>
      <w:r w:rsidRPr="0004576F">
        <w:rPr>
          <w:vertAlign w:val="superscript"/>
        </w:rPr>
        <w:t>ème</w:t>
      </w:r>
      <w:r w:rsidRPr="0004576F">
        <w:t xml:space="preserve"> édition, 2013, p. 7 et note </w:t>
      </w:r>
      <w:r w:rsidRPr="0004576F">
        <w:rPr>
          <w:vertAlign w:val="superscript"/>
        </w:rPr>
        <w:t>6</w:t>
      </w:r>
      <w:r w:rsidRPr="0004576F">
        <w:t>.</w:t>
      </w:r>
    </w:p>
  </w:footnote>
  <w:footnote w:id="698">
    <w:p w14:paraId="07A0BCEF" w14:textId="77777777" w:rsidR="00B01930" w:rsidRDefault="00B01930">
      <w:pPr>
        <w:pStyle w:val="Notedebasdepage"/>
      </w:pPr>
      <w:r>
        <w:rPr>
          <w:rStyle w:val="Appelnotedebasdep"/>
        </w:rPr>
        <w:footnoteRef/>
      </w:r>
      <w:r>
        <w:t xml:space="preserve"> </w:t>
      </w:r>
      <w:r>
        <w:tab/>
      </w:r>
      <w:r w:rsidRPr="0004576F">
        <w:t xml:space="preserve">Vincent Holczhäuser, cité par Olivier Beaud, </w:t>
      </w:r>
      <w:r w:rsidRPr="0004576F">
        <w:rPr>
          <w:i/>
        </w:rPr>
        <w:t>idem</w:t>
      </w:r>
      <w:r w:rsidRPr="0004576F">
        <w:t>.</w:t>
      </w:r>
    </w:p>
  </w:footnote>
  <w:footnote w:id="699">
    <w:p w14:paraId="3C7CC031" w14:textId="77777777" w:rsidR="00B01930" w:rsidRDefault="00B01930">
      <w:pPr>
        <w:pStyle w:val="Notedebasdepage"/>
      </w:pPr>
      <w:r>
        <w:rPr>
          <w:rStyle w:val="Appelnotedebasdep"/>
        </w:rPr>
        <w:footnoteRef/>
      </w:r>
      <w:r>
        <w:t xml:space="preserve"> </w:t>
      </w:r>
      <w:r>
        <w:tab/>
      </w:r>
      <w:r w:rsidRPr="0004576F">
        <w:t xml:space="preserve">Cf. Dominique Séglard, présentation du texte de Carl Schmitt, </w:t>
      </w:r>
      <w:r w:rsidRPr="0004576F">
        <w:rPr>
          <w:i/>
        </w:rPr>
        <w:t>Les Trois types de pensée jur</w:t>
      </w:r>
      <w:r w:rsidRPr="0004576F">
        <w:rPr>
          <w:i/>
        </w:rPr>
        <w:t>i</w:t>
      </w:r>
      <w:r w:rsidRPr="0004576F">
        <w:rPr>
          <w:i/>
        </w:rPr>
        <w:t>dique</w:t>
      </w:r>
      <w:r w:rsidRPr="0004576F">
        <w:t xml:space="preserve">, </w:t>
      </w:r>
      <w:r w:rsidRPr="0004576F">
        <w:rPr>
          <w:smallCaps/>
        </w:rPr>
        <w:t>Puf</w:t>
      </w:r>
      <w:r w:rsidRPr="0004576F">
        <w:t>, col. « Quadrige », 2015, p. 87.</w:t>
      </w:r>
    </w:p>
  </w:footnote>
  <w:footnote w:id="700">
    <w:p w14:paraId="18E5E774" w14:textId="77777777" w:rsidR="00B01930" w:rsidRDefault="00B01930">
      <w:pPr>
        <w:pStyle w:val="Notedebasdepage"/>
      </w:pPr>
      <w:r>
        <w:rPr>
          <w:rStyle w:val="Appelnotedebasdep"/>
        </w:rPr>
        <w:footnoteRef/>
      </w:r>
      <w:r>
        <w:t xml:space="preserve"> </w:t>
      </w:r>
      <w:r>
        <w:tab/>
      </w:r>
      <w:r w:rsidRPr="0004576F">
        <w:t xml:space="preserve">Serge Sur, « Ami, ennemi, le politique selon Carl Schmitt, Formule simple, idée fausse », in Serge Sur (dir.), </w:t>
      </w:r>
      <w:r w:rsidRPr="0004576F">
        <w:rPr>
          <w:i/>
        </w:rPr>
        <w:t>Carl Schmitt, concepts et usages</w:t>
      </w:r>
      <w:r w:rsidRPr="0004576F">
        <w:t xml:space="preserve">, </w:t>
      </w:r>
      <w:r w:rsidRPr="0004576F">
        <w:rPr>
          <w:i/>
        </w:rPr>
        <w:t>op. cit</w:t>
      </w:r>
      <w:r w:rsidRPr="0004576F">
        <w:t>., p. 23.</w:t>
      </w:r>
    </w:p>
  </w:footnote>
  <w:footnote w:id="701">
    <w:p w14:paraId="46ED03D7" w14:textId="77777777" w:rsidR="00B01930" w:rsidRDefault="00B01930">
      <w:pPr>
        <w:pStyle w:val="Notedebasdepage"/>
      </w:pPr>
      <w:r>
        <w:rPr>
          <w:rStyle w:val="Appelnotedebasdep"/>
        </w:rPr>
        <w:footnoteRef/>
      </w:r>
      <w:r>
        <w:t xml:space="preserve"> </w:t>
      </w:r>
      <w:r>
        <w:tab/>
      </w:r>
      <w:r w:rsidRPr="0004576F">
        <w:t xml:space="preserve">Jacqky Hummel, </w:t>
      </w:r>
      <w:r w:rsidRPr="0004576F">
        <w:rPr>
          <w:i/>
        </w:rPr>
        <w:t>Carl Schmitt. L’irréductible réalité du politique</w:t>
      </w:r>
      <w:r w:rsidRPr="0004576F">
        <w:t>, Paris, Mich</w:t>
      </w:r>
      <w:r w:rsidRPr="0004576F">
        <w:t>a</w:t>
      </w:r>
      <w:r w:rsidRPr="0004576F">
        <w:t>lon, 2005.</w:t>
      </w:r>
    </w:p>
  </w:footnote>
  <w:footnote w:id="702">
    <w:p w14:paraId="0DB91983" w14:textId="77777777" w:rsidR="00B01930" w:rsidRDefault="00B01930">
      <w:pPr>
        <w:pStyle w:val="Notedebasdepage"/>
      </w:pPr>
      <w:r>
        <w:rPr>
          <w:rStyle w:val="Appelnotedebasdep"/>
        </w:rPr>
        <w:footnoteRef/>
      </w:r>
      <w:r>
        <w:t xml:space="preserve"> </w:t>
      </w:r>
      <w:r>
        <w:tab/>
      </w:r>
      <w:r w:rsidRPr="0004576F">
        <w:t xml:space="preserve">Cf. Henrich Meier, </w:t>
      </w:r>
      <w:r w:rsidRPr="0004576F">
        <w:rPr>
          <w:i/>
        </w:rPr>
        <w:t>La Leçon de Carl Schmitt</w:t>
      </w:r>
      <w:r w:rsidRPr="0004576F">
        <w:t>, Paris, Cerf, 2014, p. 14.</w:t>
      </w:r>
    </w:p>
  </w:footnote>
  <w:footnote w:id="703">
    <w:p w14:paraId="1114783B" w14:textId="77777777" w:rsidR="00B01930" w:rsidRDefault="00B01930">
      <w:pPr>
        <w:pStyle w:val="Notedebasdepage"/>
      </w:pPr>
      <w:r>
        <w:rPr>
          <w:rStyle w:val="Appelnotedebasdep"/>
        </w:rPr>
        <w:footnoteRef/>
      </w:r>
      <w:r>
        <w:t xml:space="preserve"> </w:t>
      </w:r>
      <w:r>
        <w:tab/>
      </w:r>
      <w:r w:rsidRPr="0004576F">
        <w:t xml:space="preserve">Cf. </w:t>
      </w:r>
      <w:r w:rsidRPr="0004576F">
        <w:rPr>
          <w:i/>
        </w:rPr>
        <w:t>infra</w:t>
      </w:r>
      <w:r w:rsidRPr="0004576F">
        <w:t>, p. …, « II. Le code de valeur : le contenu caché (ou primaire) ».</w:t>
      </w:r>
    </w:p>
  </w:footnote>
  <w:footnote w:id="704">
    <w:p w14:paraId="59552767" w14:textId="77777777" w:rsidR="00B01930" w:rsidRDefault="00B01930">
      <w:pPr>
        <w:pStyle w:val="Notedebasdepage"/>
      </w:pPr>
      <w:r>
        <w:rPr>
          <w:rStyle w:val="Appelnotedebasdep"/>
        </w:rPr>
        <w:footnoteRef/>
      </w:r>
      <w:r>
        <w:t xml:space="preserve"> </w:t>
      </w:r>
      <w:r>
        <w:tab/>
      </w:r>
      <w:r w:rsidRPr="0004576F">
        <w:t xml:space="preserve">Comme le fait par exemple Raymond Aron, dans </w:t>
      </w:r>
      <w:r w:rsidRPr="0004576F">
        <w:rPr>
          <w:i/>
        </w:rPr>
        <w:t>Introduction à la philos</w:t>
      </w:r>
      <w:r w:rsidRPr="0004576F">
        <w:rPr>
          <w:i/>
        </w:rPr>
        <w:t>o</w:t>
      </w:r>
      <w:r w:rsidRPr="0004576F">
        <w:rPr>
          <w:i/>
        </w:rPr>
        <w:t>phie politique, Démocratie et Rév</w:t>
      </w:r>
      <w:r w:rsidRPr="0004576F">
        <w:rPr>
          <w:i/>
        </w:rPr>
        <w:t>o</w:t>
      </w:r>
      <w:r w:rsidRPr="0004576F">
        <w:rPr>
          <w:i/>
        </w:rPr>
        <w:t>lution,</w:t>
      </w:r>
      <w:r w:rsidRPr="0004576F">
        <w:t xml:space="preserve"> conférences à l’E</w:t>
      </w:r>
      <w:r w:rsidRPr="0004576F">
        <w:rPr>
          <w:smallCaps/>
        </w:rPr>
        <w:t>na</w:t>
      </w:r>
      <w:r w:rsidRPr="0004576F">
        <w:t xml:space="preserve"> de 1952, Paris, Le Livre de Poche, inédit, 1997.</w:t>
      </w:r>
    </w:p>
  </w:footnote>
  <w:footnote w:id="705">
    <w:p w14:paraId="32D58E8F" w14:textId="77777777" w:rsidR="00B01930" w:rsidRDefault="00B01930">
      <w:pPr>
        <w:pStyle w:val="Notedebasdepage"/>
      </w:pPr>
      <w:r>
        <w:rPr>
          <w:rStyle w:val="Appelnotedebasdep"/>
        </w:rPr>
        <w:footnoteRef/>
      </w:r>
      <w:r>
        <w:t xml:space="preserve"> </w:t>
      </w:r>
      <w:r>
        <w:tab/>
      </w:r>
      <w:r w:rsidRPr="0004576F">
        <w:t xml:space="preserve">Augustin Simard, </w:t>
      </w:r>
      <w:r w:rsidRPr="0004576F">
        <w:rPr>
          <w:i/>
        </w:rPr>
        <w:t>La Loi désarmée. Carl Schmitt et la controverse légal</w:t>
      </w:r>
      <w:r w:rsidRPr="0004576F">
        <w:rPr>
          <w:i/>
        </w:rPr>
        <w:t>i</w:t>
      </w:r>
      <w:r w:rsidRPr="0004576F">
        <w:rPr>
          <w:i/>
        </w:rPr>
        <w:t>té/légitimité sous Weimar</w:t>
      </w:r>
      <w:r w:rsidRPr="0004576F">
        <w:t>, Paris, édition de la Maison des Sciences de l’Homme, col. « Philia », et Univers</w:t>
      </w:r>
      <w:r w:rsidRPr="0004576F">
        <w:t>i</w:t>
      </w:r>
      <w:r w:rsidRPr="0004576F">
        <w:t>té de Laval, Canada, p. 74, 2009.</w:t>
      </w:r>
    </w:p>
  </w:footnote>
  <w:footnote w:id="706">
    <w:p w14:paraId="45CACC41" w14:textId="77777777" w:rsidR="00B01930" w:rsidRDefault="00B01930">
      <w:pPr>
        <w:pStyle w:val="Notedebasdepage"/>
      </w:pPr>
      <w:r>
        <w:rPr>
          <w:rStyle w:val="Appelnotedebasdep"/>
        </w:rPr>
        <w:footnoteRef/>
      </w:r>
      <w:r>
        <w:t xml:space="preserve"> </w:t>
      </w:r>
      <w:r>
        <w:tab/>
      </w:r>
      <w:r w:rsidRPr="0004576F">
        <w:t>Se référant à Juan Donoso Cortès qui disait : « Le libéralisme s’efforce […] de répondre à question : Christ ou Barrabas ? par une motion d’ajournement ou par l’institution d’une commission d’enquête » – cité par Jean-François Ke</w:t>
      </w:r>
      <w:r w:rsidRPr="0004576F">
        <w:t>r</w:t>
      </w:r>
      <w:r w:rsidRPr="0004576F">
        <w:t xml:space="preserve">végan, </w:t>
      </w:r>
      <w:r w:rsidRPr="0004576F">
        <w:rPr>
          <w:i/>
        </w:rPr>
        <w:t>Hegel, Carl Schmitt, le politique, entre spéc</w:t>
      </w:r>
      <w:r w:rsidRPr="0004576F">
        <w:rPr>
          <w:i/>
        </w:rPr>
        <w:t>u</w:t>
      </w:r>
      <w:r w:rsidRPr="0004576F">
        <w:rPr>
          <w:i/>
        </w:rPr>
        <w:t>lation et positivité</w:t>
      </w:r>
      <w:r w:rsidRPr="0004576F">
        <w:t xml:space="preserve">, Paris, </w:t>
      </w:r>
      <w:r w:rsidRPr="0004576F">
        <w:rPr>
          <w:smallCaps/>
        </w:rPr>
        <w:t>Puf</w:t>
      </w:r>
      <w:r w:rsidRPr="0004576F">
        <w:t>, col. « Quadrige », 2005. On ne peut s’empêcher de penser à la politique étrangère européenne, voire occidentale, face aux périls de ces dernières a</w:t>
      </w:r>
      <w:r w:rsidRPr="0004576F">
        <w:t>n</w:t>
      </w:r>
      <w:r w:rsidRPr="0004576F">
        <w:t>nées, sans o</w:t>
      </w:r>
      <w:r w:rsidRPr="0004576F">
        <w:t>u</w:t>
      </w:r>
      <w:r w:rsidRPr="0004576F">
        <w:t>blier le gouvernement de la France depuis quelques décennies…</w:t>
      </w:r>
    </w:p>
  </w:footnote>
  <w:footnote w:id="707">
    <w:p w14:paraId="100ABE52" w14:textId="77777777" w:rsidR="00B01930" w:rsidRDefault="00B01930">
      <w:pPr>
        <w:pStyle w:val="Notedebasdepage"/>
      </w:pPr>
      <w:r>
        <w:rPr>
          <w:rStyle w:val="Appelnotedebasdep"/>
        </w:rPr>
        <w:footnoteRef/>
      </w:r>
      <w:r>
        <w:t xml:space="preserve"> </w:t>
      </w:r>
      <w:r>
        <w:tab/>
      </w:r>
      <w:r w:rsidRPr="0004576F">
        <w:t xml:space="preserve">Cf. Carl Schmitt, </w:t>
      </w:r>
      <w:r w:rsidRPr="0004576F">
        <w:rPr>
          <w:i/>
        </w:rPr>
        <w:t>L’Ère des neutralisations et des dépolitisations. La Notion de politique et Théorie du part</w:t>
      </w:r>
      <w:r w:rsidRPr="0004576F">
        <w:rPr>
          <w:i/>
        </w:rPr>
        <w:t>i</w:t>
      </w:r>
      <w:r w:rsidRPr="0004576F">
        <w:rPr>
          <w:i/>
        </w:rPr>
        <w:t>san</w:t>
      </w:r>
      <w:r w:rsidRPr="0004576F">
        <w:t>, Préface de Julien Freund, Paris, Calmann-Lévy, p. 138, 1972. Cf aussi Maya Hertig Randall, « La signification de la doctrine de Carl Schmitt aujourd’hui, le point de vue d’une constitutionnali</w:t>
      </w:r>
      <w:r w:rsidRPr="0004576F">
        <w:t>s</w:t>
      </w:r>
      <w:r w:rsidRPr="0004576F">
        <w:t xml:space="preserve">te », in Serge Sur (dir.), </w:t>
      </w:r>
      <w:r w:rsidRPr="0004576F">
        <w:rPr>
          <w:i/>
        </w:rPr>
        <w:t>Carl Schmitt, Concepts</w:t>
      </w:r>
      <w:r w:rsidRPr="0004576F">
        <w:t xml:space="preserve">…, </w:t>
      </w:r>
      <w:r w:rsidRPr="0004576F">
        <w:rPr>
          <w:i/>
        </w:rPr>
        <w:t>op. cit</w:t>
      </w:r>
      <w:r w:rsidRPr="0004576F">
        <w:t>.</w:t>
      </w:r>
    </w:p>
  </w:footnote>
  <w:footnote w:id="708">
    <w:p w14:paraId="07340810" w14:textId="77777777" w:rsidR="00B01930" w:rsidRDefault="00B01930">
      <w:pPr>
        <w:pStyle w:val="Notedebasdepage"/>
      </w:pPr>
      <w:r>
        <w:rPr>
          <w:rStyle w:val="Appelnotedebasdep"/>
        </w:rPr>
        <w:footnoteRef/>
      </w:r>
      <w:r>
        <w:t xml:space="preserve"> </w:t>
      </w:r>
      <w:r>
        <w:tab/>
      </w:r>
      <w:r w:rsidRPr="0004576F">
        <w:t xml:space="preserve">Carl Schmitt, </w:t>
      </w:r>
      <w:r w:rsidRPr="0004576F">
        <w:rPr>
          <w:i/>
        </w:rPr>
        <w:t>Théologie politique, 1922-1969</w:t>
      </w:r>
      <w:r w:rsidRPr="0004576F">
        <w:t>, Paris, Gallimard, 1988.</w:t>
      </w:r>
    </w:p>
  </w:footnote>
  <w:footnote w:id="709">
    <w:p w14:paraId="72261118" w14:textId="77777777" w:rsidR="00B01930" w:rsidRDefault="00B01930">
      <w:pPr>
        <w:pStyle w:val="Notedebasdepage"/>
      </w:pPr>
      <w:r>
        <w:rPr>
          <w:rStyle w:val="Appelnotedebasdep"/>
        </w:rPr>
        <w:footnoteRef/>
      </w:r>
      <w:r>
        <w:t xml:space="preserve"> </w:t>
      </w:r>
      <w:r>
        <w:tab/>
      </w:r>
      <w:r w:rsidRPr="0004576F">
        <w:t xml:space="preserve">Jean Vincent Holleindre, « Carl Schmitt, penseur des transformations de la guerre », in Serge Sur (dir.), </w:t>
      </w:r>
      <w:r w:rsidRPr="0004576F">
        <w:rPr>
          <w:i/>
        </w:rPr>
        <w:t>Carl Schmitt, concepts et usages</w:t>
      </w:r>
      <w:r w:rsidRPr="0004576F">
        <w:t xml:space="preserve">, </w:t>
      </w:r>
      <w:r w:rsidRPr="0004576F">
        <w:rPr>
          <w:i/>
        </w:rPr>
        <w:t>op. cit</w:t>
      </w:r>
      <w:r w:rsidRPr="0004576F">
        <w:t>., p. 79.</w:t>
      </w:r>
    </w:p>
  </w:footnote>
  <w:footnote w:id="710">
    <w:p w14:paraId="396ACA45" w14:textId="77777777" w:rsidR="00B01930" w:rsidRDefault="00B01930">
      <w:pPr>
        <w:pStyle w:val="Notedebasdepage"/>
      </w:pPr>
      <w:r>
        <w:rPr>
          <w:rStyle w:val="Appelnotedebasdep"/>
        </w:rPr>
        <w:footnoteRef/>
      </w:r>
      <w:r>
        <w:t xml:space="preserve"> </w:t>
      </w:r>
      <w:r>
        <w:tab/>
      </w:r>
      <w:r w:rsidRPr="0004576F">
        <w:t xml:space="preserve">Cf. à ce propos par exemple Horst Möller, </w:t>
      </w:r>
      <w:r w:rsidRPr="0004576F">
        <w:rPr>
          <w:i/>
        </w:rPr>
        <w:t>La République de Weimar</w:t>
      </w:r>
      <w:r w:rsidRPr="0004576F">
        <w:t xml:space="preserve">, Paris, Tallandier, 2005 ; Olivier Beaud, </w:t>
      </w:r>
      <w:r w:rsidRPr="0004576F">
        <w:rPr>
          <w:i/>
        </w:rPr>
        <w:t>Les Derniers jours de Weimar</w:t>
      </w:r>
      <w:r w:rsidRPr="0004576F">
        <w:t xml:space="preserve"> ; </w:t>
      </w:r>
      <w:r w:rsidRPr="0004576F">
        <w:rPr>
          <w:i/>
        </w:rPr>
        <w:t>Carl Schmitt face à l’avènement du nazisme</w:t>
      </w:r>
      <w:r w:rsidRPr="0004576F">
        <w:t>, Paris, Descartes et Compagnie, 1997 ; Augu</w:t>
      </w:r>
      <w:r w:rsidRPr="0004576F">
        <w:t>s</w:t>
      </w:r>
      <w:r w:rsidRPr="0004576F">
        <w:t xml:space="preserve">tin Simard, </w:t>
      </w:r>
      <w:r w:rsidRPr="0004576F">
        <w:rPr>
          <w:i/>
        </w:rPr>
        <w:t>La Loi désarmée</w:t>
      </w:r>
      <w:r w:rsidRPr="0004576F">
        <w:t xml:space="preserve">… , </w:t>
      </w:r>
      <w:r w:rsidRPr="0004576F">
        <w:rPr>
          <w:i/>
        </w:rPr>
        <w:t>op. cit</w:t>
      </w:r>
      <w:r w:rsidRPr="0004576F">
        <w:t>.</w:t>
      </w:r>
    </w:p>
  </w:footnote>
  <w:footnote w:id="711">
    <w:p w14:paraId="50DE78FB" w14:textId="77777777" w:rsidR="00B01930" w:rsidRDefault="00B01930">
      <w:pPr>
        <w:pStyle w:val="Notedebasdepage"/>
      </w:pPr>
      <w:r>
        <w:rPr>
          <w:rStyle w:val="Appelnotedebasdep"/>
        </w:rPr>
        <w:footnoteRef/>
      </w:r>
      <w:r>
        <w:t xml:space="preserve"> </w:t>
      </w:r>
      <w:r>
        <w:tab/>
      </w:r>
      <w:r w:rsidRPr="0004576F">
        <w:t xml:space="preserve">Cf. Maya Hertig Randall, contribution citée, in Serge Sur (dir.), </w:t>
      </w:r>
      <w:r w:rsidRPr="0004576F">
        <w:rPr>
          <w:i/>
        </w:rPr>
        <w:t>Carl Schmitt, Concepts</w:t>
      </w:r>
      <w:r w:rsidRPr="0004576F">
        <w:t xml:space="preserve">…, </w:t>
      </w:r>
      <w:r w:rsidRPr="0004576F">
        <w:rPr>
          <w:i/>
        </w:rPr>
        <w:t>op. cit</w:t>
      </w:r>
      <w:r w:rsidRPr="0004576F">
        <w:t>. p. 117.</w:t>
      </w:r>
    </w:p>
  </w:footnote>
  <w:footnote w:id="712">
    <w:p w14:paraId="01D40CB4" w14:textId="77777777" w:rsidR="00B01930" w:rsidRDefault="00B01930">
      <w:pPr>
        <w:pStyle w:val="Notedebasdepage"/>
      </w:pPr>
      <w:r>
        <w:rPr>
          <w:rStyle w:val="Appelnotedebasdep"/>
        </w:rPr>
        <w:footnoteRef/>
      </w:r>
      <w:r>
        <w:t xml:space="preserve"> </w:t>
      </w:r>
      <w:r>
        <w:tab/>
      </w:r>
      <w:r w:rsidRPr="0004576F">
        <w:t xml:space="preserve">Cf. Robert Kolb, « La Signification de la doctrine juridique de Carl Schmitt aujourd’hui, le point de vue d’une internationaliste », in Serge Sur (dir.), </w:t>
      </w:r>
      <w:r w:rsidRPr="0004576F">
        <w:rPr>
          <w:i/>
        </w:rPr>
        <w:t>Carl Schmitt, Concepts</w:t>
      </w:r>
      <w:r w:rsidRPr="0004576F">
        <w:t xml:space="preserve">…, </w:t>
      </w:r>
      <w:r w:rsidRPr="0004576F">
        <w:rPr>
          <w:i/>
        </w:rPr>
        <w:t>op. cit</w:t>
      </w:r>
      <w:r w:rsidRPr="0004576F">
        <w:t>.</w:t>
      </w:r>
    </w:p>
  </w:footnote>
  <w:footnote w:id="713">
    <w:p w14:paraId="3EF80EDC" w14:textId="77777777" w:rsidR="00B01930" w:rsidRDefault="00B01930">
      <w:pPr>
        <w:pStyle w:val="Notedebasdepage"/>
      </w:pPr>
      <w:r>
        <w:rPr>
          <w:rStyle w:val="Appelnotedebasdep"/>
        </w:rPr>
        <w:footnoteRef/>
      </w:r>
      <w:r>
        <w:t xml:space="preserve"> </w:t>
      </w:r>
      <w:r>
        <w:tab/>
      </w:r>
      <w:r w:rsidRPr="0004576F">
        <w:rPr>
          <w:i/>
        </w:rPr>
        <w:t>Idem</w:t>
      </w:r>
      <w:r w:rsidRPr="0004576F">
        <w:t>.</w:t>
      </w:r>
    </w:p>
  </w:footnote>
  <w:footnote w:id="714">
    <w:p w14:paraId="4D5EF3FA" w14:textId="77777777" w:rsidR="00B01930" w:rsidRDefault="00B01930">
      <w:pPr>
        <w:pStyle w:val="Notedebasdepage"/>
      </w:pPr>
      <w:r>
        <w:rPr>
          <w:rStyle w:val="Appelnotedebasdep"/>
        </w:rPr>
        <w:footnoteRef/>
      </w:r>
      <w:r>
        <w:t xml:space="preserve"> </w:t>
      </w:r>
      <w:r>
        <w:tab/>
      </w:r>
      <w:r w:rsidRPr="0004576F">
        <w:rPr>
          <w:i/>
        </w:rPr>
        <w:t>Idem</w:t>
      </w:r>
      <w:r w:rsidRPr="0004576F">
        <w:t>.</w:t>
      </w:r>
    </w:p>
  </w:footnote>
  <w:footnote w:id="715">
    <w:p w14:paraId="4EC2976F" w14:textId="77777777" w:rsidR="00B01930" w:rsidRDefault="00B01930">
      <w:pPr>
        <w:pStyle w:val="Notedebasdepage"/>
      </w:pPr>
      <w:r>
        <w:rPr>
          <w:rStyle w:val="Appelnotedebasdep"/>
        </w:rPr>
        <w:footnoteRef/>
      </w:r>
      <w:r>
        <w:t xml:space="preserve"> </w:t>
      </w:r>
      <w:r>
        <w:tab/>
      </w:r>
      <w:r w:rsidRPr="0004576F">
        <w:t xml:space="preserve">Cf. Alain de Benoist, Préface au texte de Carl Schmitt, </w:t>
      </w:r>
      <w:r w:rsidRPr="0004576F">
        <w:rPr>
          <w:i/>
        </w:rPr>
        <w:t>Légalité et légitimité et autres e</w:t>
      </w:r>
      <w:r w:rsidRPr="0004576F">
        <w:rPr>
          <w:i/>
        </w:rPr>
        <w:t>s</w:t>
      </w:r>
      <w:r w:rsidRPr="0004576F">
        <w:rPr>
          <w:i/>
        </w:rPr>
        <w:t>sais</w:t>
      </w:r>
      <w:r w:rsidRPr="0004576F">
        <w:t>, Paris, Pardès, 1990.</w:t>
      </w:r>
    </w:p>
  </w:footnote>
  <w:footnote w:id="716">
    <w:p w14:paraId="1A386075" w14:textId="77777777" w:rsidR="00B01930" w:rsidRDefault="00B01930">
      <w:pPr>
        <w:pStyle w:val="Notedebasdepage"/>
      </w:pPr>
      <w:r>
        <w:rPr>
          <w:rStyle w:val="Appelnotedebasdep"/>
        </w:rPr>
        <w:footnoteRef/>
      </w:r>
      <w:r>
        <w:t xml:space="preserve"> </w:t>
      </w:r>
      <w:r>
        <w:tab/>
      </w:r>
      <w:r w:rsidRPr="0004576F">
        <w:t>Cf. Robert Kolb, contribution citée</w:t>
      </w:r>
      <w:r w:rsidRPr="0004576F">
        <w:rPr>
          <w:i/>
        </w:rPr>
        <w:t xml:space="preserve">, </w:t>
      </w:r>
      <w:r w:rsidRPr="0004576F">
        <w:t xml:space="preserve">p. 98, cf. note </w:t>
      </w:r>
      <w:r w:rsidRPr="0004576F">
        <w:rPr>
          <w:vertAlign w:val="superscript"/>
        </w:rPr>
        <w:t>23</w:t>
      </w:r>
      <w:r w:rsidRPr="0004576F">
        <w:t>.</w:t>
      </w:r>
    </w:p>
  </w:footnote>
  <w:footnote w:id="717">
    <w:p w14:paraId="7FD927E4" w14:textId="77777777" w:rsidR="00B01930" w:rsidRDefault="00B01930">
      <w:pPr>
        <w:pStyle w:val="Notedebasdepage"/>
      </w:pPr>
      <w:r>
        <w:rPr>
          <w:rStyle w:val="Appelnotedebasdep"/>
        </w:rPr>
        <w:footnoteRef/>
      </w:r>
      <w:r>
        <w:t xml:space="preserve"> </w:t>
      </w:r>
      <w:r>
        <w:tab/>
      </w:r>
      <w:r w:rsidRPr="0004576F">
        <w:rPr>
          <w:i/>
        </w:rPr>
        <w:t>Ibidem</w:t>
      </w:r>
      <w:r w:rsidRPr="0004576F">
        <w:t>, p. 99.</w:t>
      </w:r>
    </w:p>
  </w:footnote>
  <w:footnote w:id="718">
    <w:p w14:paraId="48DC494B" w14:textId="77777777" w:rsidR="00B01930" w:rsidRDefault="00B01930">
      <w:pPr>
        <w:pStyle w:val="Notedebasdepage"/>
      </w:pPr>
      <w:r>
        <w:rPr>
          <w:rStyle w:val="Appelnotedebasdep"/>
        </w:rPr>
        <w:footnoteRef/>
      </w:r>
      <w:r>
        <w:t xml:space="preserve"> </w:t>
      </w:r>
      <w:r>
        <w:tab/>
      </w:r>
      <w:r w:rsidRPr="0004576F">
        <w:t xml:space="preserve">Expression d’Olivier Beaud, Préface à l’ouvrage de Carl Schmitt, </w:t>
      </w:r>
      <w:r w:rsidRPr="0004576F">
        <w:rPr>
          <w:i/>
        </w:rPr>
        <w:t>Théorie de la Constit</w:t>
      </w:r>
      <w:r w:rsidRPr="0004576F">
        <w:rPr>
          <w:i/>
        </w:rPr>
        <w:t>u</w:t>
      </w:r>
      <w:r w:rsidRPr="0004576F">
        <w:rPr>
          <w:i/>
        </w:rPr>
        <w:t>tion</w:t>
      </w:r>
      <w:r w:rsidRPr="0004576F">
        <w:t>,</w:t>
      </w:r>
      <w:r w:rsidRPr="0004576F">
        <w:rPr>
          <w:i/>
        </w:rPr>
        <w:t xml:space="preserve"> op. cit.</w:t>
      </w:r>
    </w:p>
  </w:footnote>
  <w:footnote w:id="719">
    <w:p w14:paraId="45F498A3" w14:textId="77777777" w:rsidR="00B01930" w:rsidRDefault="00B01930">
      <w:pPr>
        <w:pStyle w:val="Notedebasdepage"/>
      </w:pPr>
      <w:r>
        <w:rPr>
          <w:rStyle w:val="Appelnotedebasdep"/>
        </w:rPr>
        <w:footnoteRef/>
      </w:r>
      <w:r>
        <w:t xml:space="preserve"> </w:t>
      </w:r>
      <w:r>
        <w:tab/>
      </w:r>
      <w:r w:rsidRPr="0004576F">
        <w:rPr>
          <w:i/>
        </w:rPr>
        <w:t>Ibidem</w:t>
      </w:r>
      <w:r w:rsidRPr="0004576F">
        <w:t>, p. 77.</w:t>
      </w:r>
    </w:p>
  </w:footnote>
  <w:footnote w:id="720">
    <w:p w14:paraId="53908F9D" w14:textId="77777777" w:rsidR="00B01930" w:rsidRDefault="00B01930">
      <w:pPr>
        <w:pStyle w:val="Notedebasdepage"/>
      </w:pPr>
      <w:r>
        <w:rPr>
          <w:rStyle w:val="Appelnotedebasdep"/>
        </w:rPr>
        <w:footnoteRef/>
      </w:r>
      <w:r>
        <w:t xml:space="preserve"> </w:t>
      </w:r>
      <w:r>
        <w:tab/>
      </w:r>
      <w:r w:rsidRPr="0004576F">
        <w:rPr>
          <w:i/>
        </w:rPr>
        <w:t>Ibidem</w:t>
      </w:r>
      <w:r w:rsidRPr="0004576F">
        <w:t>, p. 79.</w:t>
      </w:r>
    </w:p>
  </w:footnote>
  <w:footnote w:id="721">
    <w:p w14:paraId="6BE2512D" w14:textId="77777777" w:rsidR="00B01930" w:rsidRDefault="00B01930">
      <w:pPr>
        <w:pStyle w:val="Notedebasdepage"/>
      </w:pPr>
      <w:r>
        <w:rPr>
          <w:rStyle w:val="Appelnotedebasdep"/>
        </w:rPr>
        <w:footnoteRef/>
      </w:r>
      <w:r>
        <w:t xml:space="preserve"> </w:t>
      </w:r>
      <w:r>
        <w:tab/>
      </w:r>
      <w:r w:rsidRPr="0004576F">
        <w:t xml:space="preserve">Cf. Carl Schmitt, </w:t>
      </w:r>
      <w:r w:rsidRPr="0004576F">
        <w:rPr>
          <w:i/>
        </w:rPr>
        <w:t>Théorie de la Constitution</w:t>
      </w:r>
      <w:r w:rsidRPr="0004576F">
        <w:t xml:space="preserve">, </w:t>
      </w:r>
      <w:r w:rsidRPr="0004576F">
        <w:rPr>
          <w:i/>
        </w:rPr>
        <w:t>op. cit</w:t>
      </w:r>
      <w:r w:rsidRPr="0004576F">
        <w:t>. Cf. encore Maya Herting Randall, contr</w:t>
      </w:r>
      <w:r w:rsidRPr="0004576F">
        <w:t>i</w:t>
      </w:r>
      <w:r w:rsidRPr="0004576F">
        <w:t xml:space="preserve">bution citée, in Serge Sur (dir.), </w:t>
      </w:r>
      <w:r w:rsidRPr="0004576F">
        <w:rPr>
          <w:i/>
        </w:rPr>
        <w:t>Carl Schmitt, Concepts</w:t>
      </w:r>
      <w:r w:rsidRPr="0004576F">
        <w:t xml:space="preserve">…, </w:t>
      </w:r>
      <w:r w:rsidRPr="0004576F">
        <w:rPr>
          <w:i/>
        </w:rPr>
        <w:t>op. cit</w:t>
      </w:r>
      <w:r w:rsidRPr="0004576F">
        <w:t>.</w:t>
      </w:r>
    </w:p>
  </w:footnote>
  <w:footnote w:id="722">
    <w:p w14:paraId="64510EB3" w14:textId="77777777" w:rsidR="00B01930" w:rsidRDefault="00B01930">
      <w:pPr>
        <w:pStyle w:val="Notedebasdepage"/>
      </w:pPr>
      <w:r>
        <w:rPr>
          <w:rStyle w:val="Appelnotedebasdep"/>
        </w:rPr>
        <w:footnoteRef/>
      </w:r>
      <w:r>
        <w:t xml:space="preserve"> </w:t>
      </w:r>
      <w:r>
        <w:tab/>
      </w:r>
      <w:r w:rsidRPr="0004576F">
        <w:t>Dont la liberté religieuse, mais entendue au sens catholique, c’est-à-dire, rel</w:t>
      </w:r>
      <w:r w:rsidRPr="0004576F">
        <w:t>e</w:t>
      </w:r>
      <w:r w:rsidRPr="0004576F">
        <w:t>vant de l’Église au titre d’institution de droit public et de ce fait gardant des prérogatives de puissance publique. Cf. Olivier Beaud, Pr</w:t>
      </w:r>
      <w:r w:rsidRPr="0004576F">
        <w:t>é</w:t>
      </w:r>
      <w:r w:rsidRPr="0004576F">
        <w:t xml:space="preserve">face à l’ouvrage de Carl Schmitt, </w:t>
      </w:r>
      <w:r w:rsidRPr="0004576F">
        <w:rPr>
          <w:i/>
        </w:rPr>
        <w:t>Théorie de la Constitution</w:t>
      </w:r>
      <w:r w:rsidRPr="0004576F">
        <w:t>,</w:t>
      </w:r>
      <w:r w:rsidRPr="0004576F">
        <w:rPr>
          <w:i/>
        </w:rPr>
        <w:t xml:space="preserve"> op. cit.</w:t>
      </w:r>
    </w:p>
  </w:footnote>
  <w:footnote w:id="723">
    <w:p w14:paraId="14ADE3D6" w14:textId="77777777" w:rsidR="00B01930" w:rsidRDefault="00B01930">
      <w:pPr>
        <w:pStyle w:val="Notedebasdepage"/>
      </w:pPr>
      <w:r>
        <w:rPr>
          <w:rStyle w:val="Appelnotedebasdep"/>
        </w:rPr>
        <w:footnoteRef/>
      </w:r>
      <w:r>
        <w:t xml:space="preserve"> </w:t>
      </w:r>
      <w:r>
        <w:tab/>
      </w:r>
      <w:r w:rsidRPr="0004576F">
        <w:t xml:space="preserve">Cf. Raphaël Gross, </w:t>
      </w:r>
      <w:r w:rsidRPr="0004576F">
        <w:rPr>
          <w:i/>
        </w:rPr>
        <w:t>Carl Schmitt et les Juifs</w:t>
      </w:r>
      <w:r w:rsidRPr="0004576F">
        <w:t xml:space="preserve">, Paris, </w:t>
      </w:r>
      <w:r w:rsidRPr="0004576F">
        <w:rPr>
          <w:smallCaps/>
        </w:rPr>
        <w:t>Puf</w:t>
      </w:r>
      <w:r w:rsidRPr="0004576F">
        <w:t>, p. 352, 2005.</w:t>
      </w:r>
    </w:p>
  </w:footnote>
  <w:footnote w:id="724">
    <w:p w14:paraId="6E0A576A" w14:textId="77777777" w:rsidR="00B01930" w:rsidRDefault="00B01930">
      <w:pPr>
        <w:pStyle w:val="Notedebasdepage"/>
      </w:pPr>
      <w:r>
        <w:rPr>
          <w:rStyle w:val="Appelnotedebasdep"/>
        </w:rPr>
        <w:footnoteRef/>
      </w:r>
      <w:r>
        <w:t xml:space="preserve"> </w:t>
      </w:r>
      <w:r>
        <w:tab/>
      </w:r>
      <w:r w:rsidRPr="0004576F">
        <w:t>Car à ce moment, il s’agit circonstantiellement de se rallier tous les corps conservateurs et traditionnels hostiles à Weimar, mais attachés aux règles tr</w:t>
      </w:r>
      <w:r w:rsidRPr="0004576F">
        <w:t>a</w:t>
      </w:r>
      <w:r w:rsidRPr="0004576F">
        <w:t>ditionnelles, voire réactionna</w:t>
      </w:r>
      <w:r w:rsidRPr="0004576F">
        <w:t>i</w:t>
      </w:r>
      <w:r w:rsidRPr="0004576F">
        <w:t>res (au sens politique du terme). Ce sont ces corps qui ensuite, feront le lit du nazisme par haine de We</w:t>
      </w:r>
      <w:r w:rsidRPr="0004576F">
        <w:t>i</w:t>
      </w:r>
      <w:r w:rsidRPr="0004576F">
        <w:t>mar.</w:t>
      </w:r>
    </w:p>
  </w:footnote>
  <w:footnote w:id="725">
    <w:p w14:paraId="1DC87313" w14:textId="77777777" w:rsidR="00B01930" w:rsidRDefault="00B01930">
      <w:pPr>
        <w:pStyle w:val="Notedebasdepage"/>
      </w:pPr>
      <w:r>
        <w:rPr>
          <w:rStyle w:val="Appelnotedebasdep"/>
        </w:rPr>
        <w:footnoteRef/>
      </w:r>
      <w:r>
        <w:t xml:space="preserve"> </w:t>
      </w:r>
      <w:r>
        <w:tab/>
      </w:r>
      <w:r w:rsidRPr="0004576F">
        <w:t xml:space="preserve">Cf. Carl Schmitt, </w:t>
      </w:r>
      <w:r w:rsidRPr="0004576F">
        <w:rPr>
          <w:i/>
        </w:rPr>
        <w:t>Théorie de la Constitution</w:t>
      </w:r>
      <w:r w:rsidRPr="0004576F">
        <w:t xml:space="preserve">, </w:t>
      </w:r>
      <w:r w:rsidRPr="0004576F">
        <w:rPr>
          <w:i/>
        </w:rPr>
        <w:t>op. cit.</w:t>
      </w:r>
    </w:p>
  </w:footnote>
  <w:footnote w:id="726">
    <w:p w14:paraId="2DF3533B" w14:textId="77777777" w:rsidR="00B01930" w:rsidRDefault="00B01930">
      <w:pPr>
        <w:pStyle w:val="Notedebasdepage"/>
      </w:pPr>
      <w:r>
        <w:rPr>
          <w:rStyle w:val="Appelnotedebasdep"/>
        </w:rPr>
        <w:footnoteRef/>
      </w:r>
      <w:r>
        <w:t xml:space="preserve"> </w:t>
      </w:r>
      <w:r>
        <w:tab/>
      </w:r>
      <w:r w:rsidRPr="0004576F">
        <w:t>Cf. Maya Hertig Randall, contribution citée, p. 124. Insistons sur le fait que Carl Schmitt, interprété littéralement, se trouvait en contradiction, puisque la constitution de Weimar était bien issue d’une décision et d’un pouvoir const</w:t>
      </w:r>
      <w:r w:rsidRPr="0004576F">
        <w:t>i</w:t>
      </w:r>
      <w:r w:rsidRPr="0004576F">
        <w:t>tuant. Mais on voit que la logique du Bien et du Mal permet de mieux co</w:t>
      </w:r>
      <w:r w:rsidRPr="0004576F">
        <w:t>m</w:t>
      </w:r>
      <w:r w:rsidRPr="0004576F">
        <w:t>prendre la casuist</w:t>
      </w:r>
      <w:r w:rsidRPr="0004576F">
        <w:t>i</w:t>
      </w:r>
      <w:r w:rsidRPr="0004576F">
        <w:t>que schmittienne.</w:t>
      </w:r>
    </w:p>
  </w:footnote>
  <w:footnote w:id="727">
    <w:p w14:paraId="6ACCC22B" w14:textId="77777777" w:rsidR="00B01930" w:rsidRDefault="00B01930">
      <w:pPr>
        <w:pStyle w:val="Notedebasdepage"/>
      </w:pPr>
      <w:r>
        <w:rPr>
          <w:rStyle w:val="Appelnotedebasdep"/>
        </w:rPr>
        <w:footnoteRef/>
      </w:r>
      <w:r>
        <w:t xml:space="preserve"> </w:t>
      </w:r>
      <w:r>
        <w:tab/>
      </w:r>
      <w:r w:rsidRPr="0004576F">
        <w:t xml:space="preserve">Cf. Robert Koll, </w:t>
      </w:r>
      <w:r w:rsidRPr="0004576F">
        <w:rPr>
          <w:i/>
        </w:rPr>
        <w:t>op. cit.</w:t>
      </w:r>
      <w:r w:rsidRPr="0004576F">
        <w:t>, p. 101.</w:t>
      </w:r>
    </w:p>
  </w:footnote>
  <w:footnote w:id="728">
    <w:p w14:paraId="4C41CD41" w14:textId="77777777" w:rsidR="00B01930" w:rsidRDefault="00B01930">
      <w:pPr>
        <w:pStyle w:val="Notedebasdepage"/>
      </w:pPr>
      <w:r>
        <w:rPr>
          <w:rStyle w:val="Appelnotedebasdep"/>
        </w:rPr>
        <w:footnoteRef/>
      </w:r>
      <w:r>
        <w:t xml:space="preserve"> </w:t>
      </w:r>
      <w:r>
        <w:tab/>
      </w:r>
      <w:r w:rsidRPr="0004576F">
        <w:t xml:space="preserve">Cf. Jean-François Kernégan, </w:t>
      </w:r>
      <w:r w:rsidRPr="0004576F">
        <w:rPr>
          <w:i/>
        </w:rPr>
        <w:t>Hegel…</w:t>
      </w:r>
      <w:r w:rsidRPr="0004576F">
        <w:t xml:space="preserve">, </w:t>
      </w:r>
      <w:r w:rsidRPr="0004576F">
        <w:rPr>
          <w:i/>
        </w:rPr>
        <w:t>op. cit.</w:t>
      </w:r>
    </w:p>
  </w:footnote>
  <w:footnote w:id="729">
    <w:p w14:paraId="136C042B" w14:textId="77777777" w:rsidR="00B01930" w:rsidRDefault="00B01930">
      <w:pPr>
        <w:pStyle w:val="Notedebasdepage"/>
      </w:pPr>
      <w:r>
        <w:rPr>
          <w:rStyle w:val="Appelnotedebasdep"/>
        </w:rPr>
        <w:footnoteRef/>
      </w:r>
      <w:r>
        <w:t xml:space="preserve"> </w:t>
      </w:r>
      <w:r>
        <w:tab/>
      </w:r>
      <w:r w:rsidRPr="0004576F">
        <w:t xml:space="preserve">Cf. Julien Freund, </w:t>
      </w:r>
      <w:r w:rsidRPr="0004576F">
        <w:rPr>
          <w:i/>
        </w:rPr>
        <w:t>L’Essence du politique</w:t>
      </w:r>
      <w:r w:rsidRPr="0004576F">
        <w:t>, Paris, Sirey, 1965, p. 479. Cf. ég</w:t>
      </w:r>
      <w:r w:rsidRPr="0004576F">
        <w:t>a</w:t>
      </w:r>
      <w:r w:rsidRPr="0004576F">
        <w:t xml:space="preserve">lement Pierre Müller, </w:t>
      </w:r>
      <w:r w:rsidRPr="0004576F">
        <w:rPr>
          <w:i/>
        </w:rPr>
        <w:t>Carl Schmitt et les intellectuels français, la réception de Carl Schmitt en France</w:t>
      </w:r>
      <w:r w:rsidRPr="0004576F">
        <w:t xml:space="preserve">, Paris, Édition de la </w:t>
      </w:r>
      <w:r w:rsidRPr="0004576F">
        <w:rPr>
          <w:smallCaps/>
        </w:rPr>
        <w:t>Faehc</w:t>
      </w:r>
      <w:r w:rsidRPr="0004576F">
        <w:t xml:space="preserve">, 2003, p. 70 </w:t>
      </w:r>
      <w:r w:rsidRPr="0004576F">
        <w:rPr>
          <w:i/>
        </w:rPr>
        <w:t>et sq</w:t>
      </w:r>
      <w:r w:rsidRPr="0004576F">
        <w:t>.</w:t>
      </w:r>
    </w:p>
  </w:footnote>
  <w:footnote w:id="730">
    <w:p w14:paraId="31E89906" w14:textId="77777777" w:rsidR="00B01930" w:rsidRDefault="00B01930">
      <w:pPr>
        <w:pStyle w:val="Notedebasdepage"/>
      </w:pPr>
      <w:r>
        <w:rPr>
          <w:rStyle w:val="Appelnotedebasdep"/>
        </w:rPr>
        <w:footnoteRef/>
      </w:r>
      <w:r>
        <w:t xml:space="preserve"> </w:t>
      </w:r>
      <w:r>
        <w:tab/>
      </w:r>
      <w:r w:rsidRPr="0004576F">
        <w:t xml:space="preserve">Cf. Pierre-André Taguieff, </w:t>
      </w:r>
      <w:r w:rsidRPr="0004576F">
        <w:rPr>
          <w:i/>
        </w:rPr>
        <w:t>Julien Freund, au cœur du politique</w:t>
      </w:r>
      <w:r w:rsidRPr="0004576F">
        <w:t>, Paris, La T</w:t>
      </w:r>
      <w:r w:rsidRPr="0004576F">
        <w:t>a</w:t>
      </w:r>
      <w:r w:rsidRPr="0004576F">
        <w:t>ble Ronde, 2008.</w:t>
      </w:r>
    </w:p>
  </w:footnote>
  <w:footnote w:id="731">
    <w:p w14:paraId="434345E2" w14:textId="77777777" w:rsidR="00B01930" w:rsidRDefault="00B01930">
      <w:pPr>
        <w:pStyle w:val="Notedebasdepage"/>
      </w:pPr>
      <w:r>
        <w:rPr>
          <w:rStyle w:val="Appelnotedebasdep"/>
        </w:rPr>
        <w:footnoteRef/>
      </w:r>
      <w:r>
        <w:t xml:space="preserve"> </w:t>
      </w:r>
      <w:r>
        <w:tab/>
      </w:r>
      <w:r w:rsidRPr="0004576F">
        <w:t xml:space="preserve">Julien Freund, </w:t>
      </w:r>
      <w:r w:rsidRPr="0004576F">
        <w:rPr>
          <w:i/>
        </w:rPr>
        <w:t>L’Essence du politique</w:t>
      </w:r>
      <w:r w:rsidRPr="0004576F">
        <w:t xml:space="preserve">…, </w:t>
      </w:r>
      <w:r w:rsidRPr="0004576F">
        <w:rPr>
          <w:i/>
        </w:rPr>
        <w:t>op. cit</w:t>
      </w:r>
      <w:r w:rsidRPr="0004576F">
        <w:t>., p. 479.</w:t>
      </w:r>
    </w:p>
  </w:footnote>
  <w:footnote w:id="732">
    <w:p w14:paraId="06DCCC9E" w14:textId="77777777" w:rsidR="00B01930" w:rsidRDefault="00B01930">
      <w:pPr>
        <w:pStyle w:val="Notedebasdepage"/>
      </w:pPr>
      <w:r>
        <w:rPr>
          <w:rStyle w:val="Appelnotedebasdep"/>
        </w:rPr>
        <w:footnoteRef/>
      </w:r>
      <w:r>
        <w:t xml:space="preserve"> </w:t>
      </w:r>
      <w:r>
        <w:tab/>
      </w:r>
      <w:r w:rsidRPr="0004576F">
        <w:t xml:space="preserve">Jean-François Kervégan, </w:t>
      </w:r>
      <w:r w:rsidRPr="0004576F">
        <w:rPr>
          <w:i/>
        </w:rPr>
        <w:t>Que faire de Carl Schmitt…</w:t>
      </w:r>
      <w:r w:rsidRPr="0004576F">
        <w:t xml:space="preserve">, </w:t>
      </w:r>
      <w:r w:rsidRPr="0004576F">
        <w:rPr>
          <w:i/>
        </w:rPr>
        <w:t>op. cit.</w:t>
      </w:r>
      <w:r w:rsidRPr="0004576F">
        <w:t>, p. 183. Cf. au</w:t>
      </w:r>
      <w:r w:rsidRPr="0004576F">
        <w:t>s</w:t>
      </w:r>
      <w:r w:rsidRPr="0004576F">
        <w:t xml:space="preserve">si Carl Schmitt, </w:t>
      </w:r>
      <w:r w:rsidRPr="0004576F">
        <w:rPr>
          <w:i/>
        </w:rPr>
        <w:t>La Notion de politique</w:t>
      </w:r>
      <w:r w:rsidRPr="0004576F">
        <w:t xml:space="preserve">…, </w:t>
      </w:r>
      <w:r w:rsidRPr="0004576F">
        <w:rPr>
          <w:i/>
        </w:rPr>
        <w:t>op. cit.,</w:t>
      </w:r>
      <w:r w:rsidRPr="0004576F">
        <w:t xml:space="preserve"> p. 65 </w:t>
      </w:r>
      <w:r w:rsidRPr="0004576F">
        <w:rPr>
          <w:i/>
        </w:rPr>
        <w:t>et sq</w:t>
      </w:r>
      <w:r w:rsidRPr="0004576F">
        <w:t>.</w:t>
      </w:r>
    </w:p>
  </w:footnote>
  <w:footnote w:id="733">
    <w:p w14:paraId="5FA270E2" w14:textId="77777777" w:rsidR="00B01930" w:rsidRDefault="00B01930">
      <w:pPr>
        <w:pStyle w:val="Notedebasdepage"/>
      </w:pPr>
      <w:r>
        <w:rPr>
          <w:rStyle w:val="Appelnotedebasdep"/>
        </w:rPr>
        <w:footnoteRef/>
      </w:r>
      <w:r>
        <w:t xml:space="preserve"> </w:t>
      </w:r>
      <w:r>
        <w:tab/>
      </w:r>
      <w:r w:rsidRPr="0004576F">
        <w:t xml:space="preserve">Julien Freund, Préface à l’ouvrage de Carl Schmitt, </w:t>
      </w:r>
      <w:r w:rsidRPr="0004576F">
        <w:rPr>
          <w:i/>
        </w:rPr>
        <w:t>La Notion de politique</w:t>
      </w:r>
      <w:r w:rsidRPr="0004576F">
        <w:t xml:space="preserve">…, </w:t>
      </w:r>
      <w:r w:rsidRPr="0004576F">
        <w:rPr>
          <w:i/>
        </w:rPr>
        <w:t>op. cit</w:t>
      </w:r>
      <w:r w:rsidRPr="0004576F">
        <w:t>.</w:t>
      </w:r>
    </w:p>
  </w:footnote>
  <w:footnote w:id="734">
    <w:p w14:paraId="75D183BC" w14:textId="77777777" w:rsidR="00B01930" w:rsidRDefault="00B01930">
      <w:pPr>
        <w:pStyle w:val="Notedebasdepage"/>
      </w:pPr>
      <w:r>
        <w:rPr>
          <w:rStyle w:val="Appelnotedebasdep"/>
        </w:rPr>
        <w:footnoteRef/>
      </w:r>
      <w:r>
        <w:t xml:space="preserve"> </w:t>
      </w:r>
      <w:r>
        <w:tab/>
      </w:r>
      <w:r w:rsidRPr="0004576F">
        <w:t>La lutte politique n’est ni concurrence, ni débat.</w:t>
      </w:r>
    </w:p>
  </w:footnote>
  <w:footnote w:id="735">
    <w:p w14:paraId="01B7CA3F" w14:textId="77777777" w:rsidR="00B01930" w:rsidRDefault="00B01930">
      <w:pPr>
        <w:pStyle w:val="Notedebasdepage"/>
      </w:pPr>
      <w:r>
        <w:rPr>
          <w:rStyle w:val="Appelnotedebasdep"/>
        </w:rPr>
        <w:footnoteRef/>
      </w:r>
      <w:r>
        <w:t xml:space="preserve"> </w:t>
      </w:r>
      <w:r>
        <w:tab/>
      </w:r>
      <w:r w:rsidRPr="0004576F">
        <w:t>Il n’y a pas de signification affective : l’ennemi n’est pas forcément laid dans l’ordre esthétique, mauvais dans l’ordre moral, il n’y a pas de haine personne</w:t>
      </w:r>
      <w:r w:rsidRPr="0004576F">
        <w:t>l</w:t>
      </w:r>
      <w:r w:rsidRPr="0004576F">
        <w:t xml:space="preserve">le, précise Carl Schmitt. C’est donc « l’Autre » ? Sur tous ces points, cf. Carl Schmitt, </w:t>
      </w:r>
      <w:r w:rsidRPr="0004576F">
        <w:rPr>
          <w:i/>
        </w:rPr>
        <w:t>La Notion de politique</w:t>
      </w:r>
      <w:r w:rsidRPr="0004576F">
        <w:t xml:space="preserve">…, </w:t>
      </w:r>
      <w:r w:rsidRPr="0004576F">
        <w:rPr>
          <w:i/>
        </w:rPr>
        <w:t>op. cit</w:t>
      </w:r>
      <w:r w:rsidRPr="0004576F">
        <w:t xml:space="preserve">., p. 329 </w:t>
      </w:r>
      <w:r w:rsidRPr="0004576F">
        <w:rPr>
          <w:i/>
        </w:rPr>
        <w:t>et sq</w:t>
      </w:r>
      <w:r w:rsidRPr="0004576F">
        <w:t>., et Pierre-André T</w:t>
      </w:r>
      <w:r w:rsidRPr="0004576F">
        <w:t>a</w:t>
      </w:r>
      <w:r w:rsidRPr="0004576F">
        <w:t xml:space="preserve">guieff, </w:t>
      </w:r>
      <w:r w:rsidRPr="0004576F">
        <w:rPr>
          <w:i/>
        </w:rPr>
        <w:t>op. cit</w:t>
      </w:r>
      <w:r w:rsidRPr="0004576F">
        <w:t>.</w:t>
      </w:r>
    </w:p>
  </w:footnote>
  <w:footnote w:id="736">
    <w:p w14:paraId="02D68B9D" w14:textId="77777777" w:rsidR="00B01930" w:rsidRDefault="00B01930">
      <w:pPr>
        <w:pStyle w:val="Notedebasdepage"/>
      </w:pPr>
      <w:r>
        <w:rPr>
          <w:rStyle w:val="Appelnotedebasdep"/>
        </w:rPr>
        <w:footnoteRef/>
      </w:r>
      <w:r>
        <w:t xml:space="preserve"> </w:t>
      </w:r>
      <w:r>
        <w:tab/>
      </w:r>
      <w:r w:rsidRPr="0004576F">
        <w:t xml:space="preserve">Cf. Olivier Beaud, Préface à l’ouvrage de Carl Schmitt, </w:t>
      </w:r>
      <w:r w:rsidRPr="0004576F">
        <w:rPr>
          <w:i/>
        </w:rPr>
        <w:t xml:space="preserve">Théorie de la </w:t>
      </w:r>
      <w:r w:rsidRPr="0004576F">
        <w:t>Const</w:t>
      </w:r>
      <w:r w:rsidRPr="0004576F">
        <w:t>i</w:t>
      </w:r>
      <w:r w:rsidRPr="0004576F">
        <w:t xml:space="preserve">tution, </w:t>
      </w:r>
      <w:r w:rsidRPr="0004576F">
        <w:rPr>
          <w:i/>
        </w:rPr>
        <w:t>op. cit</w:t>
      </w:r>
      <w:r w:rsidRPr="0004576F">
        <w:t>., p. 48.</w:t>
      </w:r>
    </w:p>
  </w:footnote>
  <w:footnote w:id="737">
    <w:p w14:paraId="7BB6A667" w14:textId="77777777" w:rsidR="00B01930" w:rsidRDefault="00B01930">
      <w:pPr>
        <w:pStyle w:val="Notedebasdepage"/>
      </w:pPr>
      <w:r>
        <w:rPr>
          <w:rStyle w:val="Appelnotedebasdep"/>
        </w:rPr>
        <w:footnoteRef/>
      </w:r>
      <w:r>
        <w:t xml:space="preserve"> </w:t>
      </w:r>
      <w:r>
        <w:tab/>
      </w:r>
      <w:r w:rsidRPr="0004576F">
        <w:rPr>
          <w:i/>
        </w:rPr>
        <w:t>Ibidem</w:t>
      </w:r>
      <w:r w:rsidRPr="0004576F">
        <w:t>, p. 36.</w:t>
      </w:r>
    </w:p>
  </w:footnote>
  <w:footnote w:id="738">
    <w:p w14:paraId="291AC03D" w14:textId="77777777" w:rsidR="00B01930" w:rsidRDefault="00B01930">
      <w:pPr>
        <w:pStyle w:val="Notedebasdepage"/>
      </w:pPr>
      <w:r>
        <w:rPr>
          <w:rStyle w:val="Appelnotedebasdep"/>
        </w:rPr>
        <w:footnoteRef/>
      </w:r>
      <w:r>
        <w:t xml:space="preserve"> </w:t>
      </w:r>
      <w:r>
        <w:tab/>
      </w:r>
      <w:r w:rsidRPr="0004576F">
        <w:t xml:space="preserve">Carl Schmitt, cité par Dominique Séglard, présentation du texte de Carl Schmitt, </w:t>
      </w:r>
      <w:r w:rsidRPr="0004576F">
        <w:rPr>
          <w:i/>
        </w:rPr>
        <w:t>Les Trois types de pensée juridique</w:t>
      </w:r>
      <w:r w:rsidRPr="0004576F">
        <w:t xml:space="preserve">, </w:t>
      </w:r>
      <w:r w:rsidRPr="0004576F">
        <w:rPr>
          <w:i/>
        </w:rPr>
        <w:t>op. cit</w:t>
      </w:r>
      <w:r w:rsidRPr="0004576F">
        <w:t>.</w:t>
      </w:r>
    </w:p>
  </w:footnote>
  <w:footnote w:id="739">
    <w:p w14:paraId="024DBC0E" w14:textId="77777777" w:rsidR="00B01930" w:rsidRDefault="00B01930">
      <w:pPr>
        <w:pStyle w:val="Notedebasdepage"/>
      </w:pPr>
      <w:r>
        <w:rPr>
          <w:rStyle w:val="Appelnotedebasdep"/>
        </w:rPr>
        <w:footnoteRef/>
      </w:r>
      <w:r>
        <w:t xml:space="preserve"> </w:t>
      </w:r>
      <w:r>
        <w:tab/>
      </w:r>
      <w:r w:rsidRPr="0004576F">
        <w:t xml:space="preserve">Olivier Beau, Préface à l’ouvrage de Carl Schmitt, </w:t>
      </w:r>
      <w:r w:rsidRPr="0004576F">
        <w:rPr>
          <w:i/>
        </w:rPr>
        <w:t>Théorie de la Constitution</w:t>
      </w:r>
      <w:r w:rsidRPr="0004576F">
        <w:t xml:space="preserve">, </w:t>
      </w:r>
      <w:r w:rsidRPr="0004576F">
        <w:rPr>
          <w:i/>
        </w:rPr>
        <w:t>op. cit.</w:t>
      </w:r>
      <w:r w:rsidRPr="0004576F">
        <w:t>, p. 77.</w:t>
      </w:r>
    </w:p>
  </w:footnote>
  <w:footnote w:id="740">
    <w:p w14:paraId="7B341B08" w14:textId="77777777" w:rsidR="00B01930" w:rsidRDefault="00B01930">
      <w:pPr>
        <w:pStyle w:val="Notedebasdepage"/>
      </w:pPr>
      <w:r>
        <w:rPr>
          <w:rStyle w:val="Appelnotedebasdep"/>
        </w:rPr>
        <w:footnoteRef/>
      </w:r>
      <w:r>
        <w:t xml:space="preserve"> </w:t>
      </w:r>
      <w:r>
        <w:tab/>
      </w:r>
      <w:r w:rsidRPr="0004576F">
        <w:rPr>
          <w:i/>
        </w:rPr>
        <w:t>Ibidem</w:t>
      </w:r>
      <w:r w:rsidRPr="0004576F">
        <w:t>, p. 239.</w:t>
      </w:r>
    </w:p>
  </w:footnote>
  <w:footnote w:id="741">
    <w:p w14:paraId="18FDF9B9" w14:textId="77777777" w:rsidR="00B01930" w:rsidRDefault="00B01930">
      <w:pPr>
        <w:pStyle w:val="Notedebasdepage"/>
      </w:pPr>
      <w:r>
        <w:rPr>
          <w:rStyle w:val="Appelnotedebasdep"/>
        </w:rPr>
        <w:footnoteRef/>
      </w:r>
      <w:r>
        <w:t xml:space="preserve"> </w:t>
      </w:r>
      <w:r>
        <w:tab/>
      </w:r>
      <w:r w:rsidRPr="0004576F">
        <w:rPr>
          <w:i/>
        </w:rPr>
        <w:t>Ibidem</w:t>
      </w:r>
      <w:r w:rsidRPr="0004576F">
        <w:t>, p. 33.</w:t>
      </w:r>
    </w:p>
  </w:footnote>
  <w:footnote w:id="742">
    <w:p w14:paraId="6261E354" w14:textId="77777777" w:rsidR="00B01930" w:rsidRDefault="00B01930">
      <w:pPr>
        <w:pStyle w:val="Notedebasdepage"/>
      </w:pPr>
      <w:r>
        <w:rPr>
          <w:rStyle w:val="Appelnotedebasdep"/>
        </w:rPr>
        <w:footnoteRef/>
      </w:r>
      <w:r>
        <w:t xml:space="preserve"> </w:t>
      </w:r>
      <w:r>
        <w:tab/>
      </w:r>
      <w:r w:rsidRPr="0004576F">
        <w:t xml:space="preserve">Au sens précis du terme qui a une dimension agonistique irréductible, qui est bien le cas de Carl Schmitt. Sur la stratégie, cf. d’Hervé Couteau-Bégarie, son incontournable </w:t>
      </w:r>
      <w:r w:rsidRPr="0004576F">
        <w:rPr>
          <w:i/>
        </w:rPr>
        <w:t>Traité de strat</w:t>
      </w:r>
      <w:r w:rsidRPr="0004576F">
        <w:rPr>
          <w:i/>
        </w:rPr>
        <w:t>é</w:t>
      </w:r>
      <w:r w:rsidRPr="0004576F">
        <w:rPr>
          <w:i/>
        </w:rPr>
        <w:t>gie</w:t>
      </w:r>
      <w:r w:rsidRPr="0004576F">
        <w:t>, Paris, Économica, 1999.</w:t>
      </w:r>
    </w:p>
  </w:footnote>
  <w:footnote w:id="743">
    <w:p w14:paraId="605B0566" w14:textId="77777777" w:rsidR="00B01930" w:rsidRDefault="00B01930">
      <w:pPr>
        <w:pStyle w:val="Notedebasdepage"/>
      </w:pPr>
      <w:r>
        <w:rPr>
          <w:rStyle w:val="Appelnotedebasdep"/>
        </w:rPr>
        <w:footnoteRef/>
      </w:r>
      <w:r>
        <w:t xml:space="preserve"> </w:t>
      </w:r>
      <w:r>
        <w:tab/>
      </w:r>
      <w:r w:rsidRPr="0004576F">
        <w:t xml:space="preserve">C’est-à-dire, comme le précise Dominique Séglard (présentation du texte de Carl Schmitt, </w:t>
      </w:r>
      <w:r w:rsidRPr="0004576F">
        <w:rPr>
          <w:i/>
        </w:rPr>
        <w:t>Les Trois types de pensée juridique</w:t>
      </w:r>
      <w:r w:rsidRPr="0004576F">
        <w:t xml:space="preserve">, </w:t>
      </w:r>
      <w:r w:rsidRPr="0004576F">
        <w:rPr>
          <w:i/>
        </w:rPr>
        <w:t>op. cit</w:t>
      </w:r>
      <w:r w:rsidRPr="0004576F">
        <w:t>.), « ce qui est utile au peuple allemand », selon une expre</w:t>
      </w:r>
      <w:r w:rsidRPr="0004576F">
        <w:t>s</w:t>
      </w:r>
      <w:r w:rsidRPr="0004576F">
        <w:t>sion de Hans Franck, ministre de la Justice en 1935 (avocat d’Hitler qui le convainquit de ne pas mener la carrière scientifique qu’il espérait et qui le nommera go</w:t>
      </w:r>
      <w:r w:rsidRPr="0004576F">
        <w:t>u</w:t>
      </w:r>
      <w:r w:rsidRPr="0004576F">
        <w:t>verneur des pays de l’Est pendant la guerre – ce qui lui valut d’être pendu à Nüre</w:t>
      </w:r>
      <w:r w:rsidRPr="0004576F">
        <w:t>n</w:t>
      </w:r>
      <w:r w:rsidRPr="0004576F">
        <w:t>berg…).</w:t>
      </w:r>
    </w:p>
  </w:footnote>
  <w:footnote w:id="744">
    <w:p w14:paraId="1EEB0BE0" w14:textId="77777777" w:rsidR="00B01930" w:rsidRDefault="00B01930">
      <w:pPr>
        <w:pStyle w:val="Notedebasdepage"/>
      </w:pPr>
      <w:r>
        <w:rPr>
          <w:rStyle w:val="Appelnotedebasdep"/>
        </w:rPr>
        <w:footnoteRef/>
      </w:r>
      <w:r>
        <w:t xml:space="preserve"> </w:t>
      </w:r>
      <w:r>
        <w:tab/>
      </w:r>
      <w:r w:rsidRPr="0004576F">
        <w:t>Comme Schmitt l’admettra.</w:t>
      </w:r>
    </w:p>
  </w:footnote>
  <w:footnote w:id="745">
    <w:p w14:paraId="3A33407B" w14:textId="77777777" w:rsidR="00B01930" w:rsidRDefault="00B01930">
      <w:pPr>
        <w:pStyle w:val="Notedebasdepage"/>
      </w:pPr>
      <w:r>
        <w:rPr>
          <w:rStyle w:val="Appelnotedebasdep"/>
        </w:rPr>
        <w:footnoteRef/>
      </w:r>
      <w:r>
        <w:t xml:space="preserve"> </w:t>
      </w:r>
      <w:r>
        <w:tab/>
      </w:r>
      <w:r w:rsidRPr="0004576F">
        <w:t xml:space="preserve">Dominique Seglard, </w:t>
      </w:r>
      <w:r w:rsidRPr="0004576F">
        <w:rPr>
          <w:i/>
        </w:rPr>
        <w:t>op. cit</w:t>
      </w:r>
      <w:r w:rsidRPr="0004576F">
        <w:t>., p. 87.</w:t>
      </w:r>
    </w:p>
  </w:footnote>
  <w:footnote w:id="746">
    <w:p w14:paraId="5B3D79AF" w14:textId="77777777" w:rsidR="00B01930" w:rsidRDefault="00B01930">
      <w:pPr>
        <w:pStyle w:val="Notedebasdepage"/>
      </w:pPr>
      <w:r>
        <w:rPr>
          <w:rStyle w:val="Appelnotedebasdep"/>
        </w:rPr>
        <w:footnoteRef/>
      </w:r>
      <w:r>
        <w:t xml:space="preserve"> </w:t>
      </w:r>
      <w:r>
        <w:tab/>
      </w:r>
      <w:r w:rsidRPr="0004576F">
        <w:rPr>
          <w:i/>
        </w:rPr>
        <w:t>Idem</w:t>
      </w:r>
      <w:r w:rsidRPr="0004576F">
        <w:t>.</w:t>
      </w:r>
    </w:p>
  </w:footnote>
  <w:footnote w:id="747">
    <w:p w14:paraId="607227F5" w14:textId="77777777" w:rsidR="00B01930" w:rsidRDefault="00B01930">
      <w:pPr>
        <w:pStyle w:val="Notedebasdepage"/>
      </w:pPr>
      <w:r>
        <w:rPr>
          <w:rStyle w:val="Appelnotedebasdep"/>
        </w:rPr>
        <w:footnoteRef/>
      </w:r>
      <w:r>
        <w:t xml:space="preserve"> </w:t>
      </w:r>
      <w:r>
        <w:tab/>
      </w:r>
      <w:r w:rsidRPr="0004576F">
        <w:t xml:space="preserve">Sur l’antisémisme de Schmitt, cf. Raphaël Gross, </w:t>
      </w:r>
      <w:r w:rsidRPr="0004576F">
        <w:rPr>
          <w:i/>
        </w:rPr>
        <w:t>Carl Schmitt et les Juifs</w:t>
      </w:r>
      <w:r w:rsidRPr="0004576F">
        <w:t xml:space="preserve">, </w:t>
      </w:r>
      <w:r w:rsidRPr="0004576F">
        <w:rPr>
          <w:i/>
        </w:rPr>
        <w:t>op. cit</w:t>
      </w:r>
      <w:r w:rsidRPr="0004576F">
        <w:t xml:space="preserve">. </w:t>
      </w:r>
      <w:r w:rsidRPr="0004576F">
        <w:rPr>
          <w:i/>
        </w:rPr>
        <w:t>Contra</w:t>
      </w:r>
      <w:r w:rsidRPr="0004576F">
        <w:t xml:space="preserve">, cf. Jean Claude Monod, </w:t>
      </w:r>
      <w:r w:rsidRPr="0004576F">
        <w:rPr>
          <w:i/>
        </w:rPr>
        <w:t>Penser l’ennemi, affronter l’exception</w:t>
      </w:r>
      <w:r w:rsidRPr="0004576F">
        <w:t xml:space="preserve">, Paris, La Découverte, 2007. Sur la persistance de ses positions, cf. Carl Schmitt, </w:t>
      </w:r>
      <w:r w:rsidRPr="0004576F">
        <w:rPr>
          <w:i/>
        </w:rPr>
        <w:t>Exca</w:t>
      </w:r>
      <w:r w:rsidRPr="0004576F">
        <w:rPr>
          <w:i/>
        </w:rPr>
        <w:t>p</w:t>
      </w:r>
      <w:r w:rsidRPr="0004576F">
        <w:rPr>
          <w:i/>
        </w:rPr>
        <w:t>tivitate salus experiences des annéees 1945-1947</w:t>
      </w:r>
      <w:r w:rsidRPr="0004576F">
        <w:t>, Paris, Vrin, 2003.</w:t>
      </w:r>
    </w:p>
  </w:footnote>
  <w:footnote w:id="748">
    <w:p w14:paraId="1673C5BC" w14:textId="77777777" w:rsidR="00B01930" w:rsidRDefault="00B01930">
      <w:pPr>
        <w:pStyle w:val="Notedebasdepage"/>
      </w:pPr>
      <w:r>
        <w:rPr>
          <w:rStyle w:val="Appelnotedebasdep"/>
        </w:rPr>
        <w:footnoteRef/>
      </w:r>
      <w:r>
        <w:t xml:space="preserve"> </w:t>
      </w:r>
      <w:r>
        <w:tab/>
      </w:r>
      <w:r w:rsidRPr="0004576F">
        <w:t xml:space="preserve">Cf. Raphaël Gross, </w:t>
      </w:r>
      <w:r w:rsidRPr="0004576F">
        <w:rPr>
          <w:i/>
        </w:rPr>
        <w:t>op. cit.</w:t>
      </w:r>
      <w:r w:rsidRPr="0004576F">
        <w:t>, p. 69.</w:t>
      </w:r>
    </w:p>
  </w:footnote>
  <w:footnote w:id="749">
    <w:p w14:paraId="72758E11" w14:textId="77777777" w:rsidR="00B01930" w:rsidRDefault="00B01930">
      <w:pPr>
        <w:pStyle w:val="Notedebasdepage"/>
      </w:pPr>
      <w:r>
        <w:rPr>
          <w:rStyle w:val="Appelnotedebasdep"/>
        </w:rPr>
        <w:footnoteRef/>
      </w:r>
      <w:r>
        <w:t xml:space="preserve"> </w:t>
      </w:r>
      <w:r>
        <w:tab/>
      </w:r>
      <w:r w:rsidRPr="0004576F">
        <w:t>Carl Schmitt, 1934, cité par Raphaël Gross, p. 68.</w:t>
      </w:r>
    </w:p>
  </w:footnote>
  <w:footnote w:id="750">
    <w:p w14:paraId="22D81B0A" w14:textId="77777777" w:rsidR="00B01930" w:rsidRDefault="00B01930">
      <w:pPr>
        <w:pStyle w:val="Notedebasdepage"/>
      </w:pPr>
      <w:r>
        <w:rPr>
          <w:rStyle w:val="Appelnotedebasdep"/>
        </w:rPr>
        <w:footnoteRef/>
      </w:r>
      <w:r>
        <w:t xml:space="preserve"> </w:t>
      </w:r>
      <w:r>
        <w:tab/>
      </w:r>
      <w:r w:rsidRPr="0004576F">
        <w:t>Carl Schmitt, Congrès des professeurs d’Université de la Fédération nation</w:t>
      </w:r>
      <w:r w:rsidRPr="0004576F">
        <w:t>a</w:t>
      </w:r>
      <w:r w:rsidRPr="0004576F">
        <w:t>le-socialiste des Défenseurs du Droit, 3 et 4 octobre 1936 à Berlin, cité par R</w:t>
      </w:r>
      <w:r w:rsidRPr="0004576F">
        <w:t>a</w:t>
      </w:r>
      <w:r w:rsidRPr="0004576F">
        <w:t xml:space="preserve">phaël Gross, </w:t>
      </w:r>
      <w:r w:rsidRPr="0004576F">
        <w:rPr>
          <w:i/>
        </w:rPr>
        <w:t>op. cit.</w:t>
      </w:r>
      <w:r w:rsidRPr="0004576F">
        <w:t xml:space="preserve">, p. 107 </w:t>
      </w:r>
      <w:r w:rsidRPr="0004576F">
        <w:rPr>
          <w:i/>
        </w:rPr>
        <w:t>et sq</w:t>
      </w:r>
      <w:r w:rsidRPr="0004576F">
        <w:t>., notamment les p. 116 et 118.</w:t>
      </w:r>
    </w:p>
  </w:footnote>
  <w:footnote w:id="751">
    <w:p w14:paraId="579201A8" w14:textId="77777777" w:rsidR="00B01930" w:rsidRDefault="00B01930">
      <w:pPr>
        <w:pStyle w:val="Notedebasdepage"/>
      </w:pPr>
      <w:r>
        <w:rPr>
          <w:rStyle w:val="Appelnotedebasdep"/>
        </w:rPr>
        <w:footnoteRef/>
      </w:r>
      <w:r>
        <w:t xml:space="preserve"> </w:t>
      </w:r>
      <w:r>
        <w:tab/>
      </w:r>
      <w:r w:rsidRPr="0004576F">
        <w:t>Qui est une constante du Code, comme nous l’avons souligné, (</w:t>
      </w:r>
      <w:r w:rsidRPr="0004576F">
        <w:rPr>
          <w:i/>
        </w:rPr>
        <w:t>infra</w:t>
      </w:r>
      <w:r w:rsidRPr="0004576F">
        <w:t xml:space="preserve"> ou s</w:t>
      </w:r>
      <w:r w:rsidRPr="0004576F">
        <w:rPr>
          <w:i/>
        </w:rPr>
        <w:t>u</w:t>
      </w:r>
      <w:r w:rsidRPr="0004576F">
        <w:rPr>
          <w:i/>
        </w:rPr>
        <w:t>pra</w:t>
      </w:r>
      <w:r w:rsidRPr="0004576F">
        <w:t>… à préc</w:t>
      </w:r>
      <w:r w:rsidRPr="0004576F">
        <w:t>i</w:t>
      </w:r>
      <w:r w:rsidRPr="0004576F">
        <w:t>ser).</w:t>
      </w:r>
    </w:p>
  </w:footnote>
  <w:footnote w:id="752">
    <w:p w14:paraId="17567E9F" w14:textId="77777777" w:rsidR="00B01930" w:rsidRDefault="00B01930">
      <w:pPr>
        <w:pStyle w:val="Notedebasdepage"/>
      </w:pPr>
      <w:r>
        <w:rPr>
          <w:rStyle w:val="Appelnotedebasdep"/>
        </w:rPr>
        <w:footnoteRef/>
      </w:r>
      <w:r>
        <w:t xml:space="preserve"> </w:t>
      </w:r>
      <w:r>
        <w:tab/>
      </w:r>
      <w:r w:rsidRPr="0004576F">
        <w:t>Cf. Maya Herting Randall, contribution citée, p. 113.</w:t>
      </w:r>
    </w:p>
  </w:footnote>
  <w:footnote w:id="753">
    <w:p w14:paraId="6C446583" w14:textId="77777777" w:rsidR="00B01930" w:rsidRDefault="00B01930">
      <w:pPr>
        <w:pStyle w:val="Notedebasdepage"/>
      </w:pPr>
      <w:r>
        <w:rPr>
          <w:rStyle w:val="Appelnotedebasdep"/>
        </w:rPr>
        <w:footnoteRef/>
      </w:r>
      <w:r>
        <w:t xml:space="preserve"> </w:t>
      </w:r>
      <w:r>
        <w:tab/>
      </w:r>
      <w:r w:rsidRPr="0004576F">
        <w:t>Alors même qu’il discrédite cette méthode électorale pour les élections parl</w:t>
      </w:r>
      <w:r w:rsidRPr="0004576F">
        <w:t>e</w:t>
      </w:r>
      <w:r w:rsidRPr="0004576F">
        <w:t>mentaires, préf</w:t>
      </w:r>
      <w:r w:rsidRPr="0004576F">
        <w:t>è</w:t>
      </w:r>
      <w:r w:rsidRPr="0004576F">
        <w:t xml:space="preserve">rant l’acclamation, </w:t>
      </w:r>
      <w:r w:rsidRPr="0004576F">
        <w:rPr>
          <w:i/>
        </w:rPr>
        <w:t>idem</w:t>
      </w:r>
      <w:r w:rsidRPr="0004576F">
        <w:t>.</w:t>
      </w:r>
    </w:p>
  </w:footnote>
  <w:footnote w:id="754">
    <w:p w14:paraId="16F744EF" w14:textId="77777777" w:rsidR="00B01930" w:rsidRDefault="00B01930">
      <w:pPr>
        <w:pStyle w:val="Notedebasdepage"/>
      </w:pPr>
      <w:r>
        <w:rPr>
          <w:rStyle w:val="Appelnotedebasdep"/>
        </w:rPr>
        <w:footnoteRef/>
      </w:r>
      <w:r>
        <w:t xml:space="preserve"> </w:t>
      </w:r>
      <w:r>
        <w:tab/>
      </w:r>
      <w:r w:rsidRPr="0004576F">
        <w:rPr>
          <w:i/>
        </w:rPr>
        <w:t>Ibidem</w:t>
      </w:r>
      <w:r w:rsidRPr="0004576F">
        <w:t>, p. 116.</w:t>
      </w:r>
    </w:p>
  </w:footnote>
  <w:footnote w:id="755">
    <w:p w14:paraId="271C3F7F" w14:textId="77777777" w:rsidR="00B01930" w:rsidRDefault="00B01930">
      <w:pPr>
        <w:pStyle w:val="Notedebasdepage"/>
      </w:pPr>
      <w:r>
        <w:rPr>
          <w:rStyle w:val="Appelnotedebasdep"/>
        </w:rPr>
        <w:footnoteRef/>
      </w:r>
      <w:r>
        <w:t xml:space="preserve"> </w:t>
      </w:r>
      <w:r>
        <w:tab/>
      </w:r>
      <w:r w:rsidRPr="0004576F">
        <w:t xml:space="preserve">Cf. Olivier Beaud, Préface à l’ouvrage de Carl Schmitt, </w:t>
      </w:r>
      <w:r w:rsidRPr="0004576F">
        <w:rPr>
          <w:i/>
        </w:rPr>
        <w:t>Théorie de la Const</w:t>
      </w:r>
      <w:r w:rsidRPr="0004576F">
        <w:rPr>
          <w:i/>
        </w:rPr>
        <w:t>i</w:t>
      </w:r>
      <w:r w:rsidRPr="0004576F">
        <w:rPr>
          <w:i/>
        </w:rPr>
        <w:t>tution</w:t>
      </w:r>
      <w:r w:rsidRPr="0004576F">
        <w:t xml:space="preserve">…, </w:t>
      </w:r>
      <w:r w:rsidRPr="0004576F">
        <w:rPr>
          <w:i/>
        </w:rPr>
        <w:t>op. cit.</w:t>
      </w:r>
      <w:r w:rsidRPr="0004576F">
        <w:t>, p. 77.</w:t>
      </w:r>
    </w:p>
  </w:footnote>
  <w:footnote w:id="756">
    <w:p w14:paraId="01BCA73C" w14:textId="77777777" w:rsidR="00B01930" w:rsidRDefault="00B01930">
      <w:pPr>
        <w:pStyle w:val="Notedebasdepage"/>
      </w:pPr>
      <w:r>
        <w:rPr>
          <w:rStyle w:val="Appelnotedebasdep"/>
        </w:rPr>
        <w:footnoteRef/>
      </w:r>
      <w:r>
        <w:t xml:space="preserve"> </w:t>
      </w:r>
      <w:r>
        <w:tab/>
      </w:r>
      <w:r w:rsidRPr="0004576F">
        <w:rPr>
          <w:i/>
        </w:rPr>
        <w:t>Ibidem</w:t>
      </w:r>
      <w:r w:rsidRPr="0004576F">
        <w:t>, p. 88.</w:t>
      </w:r>
    </w:p>
  </w:footnote>
  <w:footnote w:id="757">
    <w:p w14:paraId="3D684FD6" w14:textId="77777777" w:rsidR="00B01930" w:rsidRDefault="00B01930">
      <w:pPr>
        <w:pStyle w:val="Notedebasdepage"/>
      </w:pPr>
      <w:r>
        <w:rPr>
          <w:rStyle w:val="Appelnotedebasdep"/>
        </w:rPr>
        <w:footnoteRef/>
      </w:r>
      <w:r>
        <w:t xml:space="preserve"> </w:t>
      </w:r>
      <w:r>
        <w:tab/>
      </w:r>
      <w:r w:rsidRPr="0004576F">
        <w:rPr>
          <w:i/>
        </w:rPr>
        <w:t>Idem.</w:t>
      </w:r>
    </w:p>
  </w:footnote>
  <w:footnote w:id="758">
    <w:p w14:paraId="65CB9092" w14:textId="77777777" w:rsidR="00B01930" w:rsidRDefault="00B01930">
      <w:pPr>
        <w:pStyle w:val="Notedebasdepage"/>
      </w:pPr>
      <w:r>
        <w:rPr>
          <w:rStyle w:val="Appelnotedebasdep"/>
        </w:rPr>
        <w:footnoteRef/>
      </w:r>
      <w:r>
        <w:t xml:space="preserve"> </w:t>
      </w:r>
      <w:r>
        <w:tab/>
      </w:r>
      <w:r w:rsidRPr="0004576F">
        <w:t xml:space="preserve">Cf. Robert Kolb, </w:t>
      </w:r>
      <w:r w:rsidRPr="0004576F">
        <w:rPr>
          <w:i/>
        </w:rPr>
        <w:t>op. cit.</w:t>
      </w:r>
      <w:r w:rsidRPr="0004576F">
        <w:t>, p. 96.</w:t>
      </w:r>
    </w:p>
  </w:footnote>
  <w:footnote w:id="759">
    <w:p w14:paraId="4D761AFD" w14:textId="77777777" w:rsidR="00B01930" w:rsidRDefault="00B01930">
      <w:pPr>
        <w:pStyle w:val="Notedebasdepage"/>
      </w:pPr>
      <w:r>
        <w:rPr>
          <w:rStyle w:val="Appelnotedebasdep"/>
        </w:rPr>
        <w:footnoteRef/>
      </w:r>
      <w:r>
        <w:t xml:space="preserve"> </w:t>
      </w:r>
      <w:r>
        <w:tab/>
      </w:r>
      <w:r w:rsidRPr="0004576F">
        <w:t xml:space="preserve">Auguste Simard, </w:t>
      </w:r>
      <w:r w:rsidRPr="0004576F">
        <w:rPr>
          <w:i/>
        </w:rPr>
        <w:t>op. cit.</w:t>
      </w:r>
      <w:r w:rsidRPr="0004576F">
        <w:t>, p. 64. Les deux auteurs étant d’imminents spéciali</w:t>
      </w:r>
      <w:r w:rsidRPr="0004576F">
        <w:t>s</w:t>
      </w:r>
      <w:r w:rsidRPr="0004576F">
        <w:t>tes, disciples de Max Weber.</w:t>
      </w:r>
    </w:p>
  </w:footnote>
  <w:footnote w:id="760">
    <w:p w14:paraId="46F62F9B" w14:textId="77777777" w:rsidR="00B01930" w:rsidRDefault="00B01930">
      <w:pPr>
        <w:pStyle w:val="Notedebasdepage"/>
      </w:pPr>
      <w:r>
        <w:rPr>
          <w:rStyle w:val="Appelnotedebasdep"/>
        </w:rPr>
        <w:footnoteRef/>
      </w:r>
      <w:r>
        <w:t xml:space="preserve"> </w:t>
      </w:r>
      <w:r>
        <w:tab/>
      </w:r>
      <w:r w:rsidRPr="0004576F">
        <w:t xml:space="preserve">Olivier Beaud, Préface à l’ouvrage de Carl Schmitt, </w:t>
      </w:r>
      <w:r w:rsidRPr="0004576F">
        <w:rPr>
          <w:i/>
        </w:rPr>
        <w:t>Théorie de la Constit</w:t>
      </w:r>
      <w:r w:rsidRPr="0004576F">
        <w:rPr>
          <w:i/>
        </w:rPr>
        <w:t>u</w:t>
      </w:r>
      <w:r w:rsidRPr="0004576F">
        <w:rPr>
          <w:i/>
        </w:rPr>
        <w:t>tion</w:t>
      </w:r>
      <w:r w:rsidRPr="0004576F">
        <w:t xml:space="preserve">…, </w:t>
      </w:r>
      <w:r w:rsidRPr="0004576F">
        <w:rPr>
          <w:i/>
        </w:rPr>
        <w:t>op. cit</w:t>
      </w:r>
      <w:r w:rsidRPr="0004576F">
        <w:t>, p. 113.</w:t>
      </w:r>
    </w:p>
  </w:footnote>
  <w:footnote w:id="761">
    <w:p w14:paraId="6D8D2306" w14:textId="77777777" w:rsidR="00B01930" w:rsidRDefault="00B01930">
      <w:pPr>
        <w:pStyle w:val="Notedebasdepage"/>
      </w:pPr>
      <w:r>
        <w:rPr>
          <w:rStyle w:val="Appelnotedebasdep"/>
        </w:rPr>
        <w:footnoteRef/>
      </w:r>
      <w:r>
        <w:t xml:space="preserve"> </w:t>
      </w:r>
      <w:r>
        <w:tab/>
      </w:r>
      <w:r w:rsidRPr="0004576F">
        <w:rPr>
          <w:i/>
        </w:rPr>
        <w:t>Ibidem</w:t>
      </w:r>
      <w:r w:rsidRPr="0004576F">
        <w:t>, p. 107-108.</w:t>
      </w:r>
    </w:p>
  </w:footnote>
  <w:footnote w:id="762">
    <w:p w14:paraId="5A859597" w14:textId="77777777" w:rsidR="00B01930" w:rsidRDefault="00B01930">
      <w:pPr>
        <w:pStyle w:val="Notedebasdepage"/>
      </w:pPr>
      <w:r>
        <w:rPr>
          <w:rStyle w:val="Appelnotedebasdep"/>
        </w:rPr>
        <w:footnoteRef/>
      </w:r>
      <w:r>
        <w:t xml:space="preserve"> </w:t>
      </w:r>
      <w:r>
        <w:tab/>
      </w:r>
      <w:r w:rsidRPr="0004576F">
        <w:t>Sur son instabilité terminologique, générale chez Carl Schmitt, cf. par exe</w:t>
      </w:r>
      <w:r w:rsidRPr="0004576F">
        <w:t>m</w:t>
      </w:r>
      <w:r w:rsidRPr="0004576F">
        <w:t xml:space="preserve">ple Gopal Balakrishnan, </w:t>
      </w:r>
      <w:r w:rsidRPr="0004576F">
        <w:rPr>
          <w:i/>
        </w:rPr>
        <w:t>L’Ennemi. Un portrait intellectuel de Carl Schmitt</w:t>
      </w:r>
      <w:r w:rsidRPr="0004576F">
        <w:t>, Paris, Édition Amste</w:t>
      </w:r>
      <w:r w:rsidRPr="0004576F">
        <w:t>r</w:t>
      </w:r>
      <w:r w:rsidRPr="0004576F">
        <w:t>dam, p. 186, 2006.</w:t>
      </w:r>
    </w:p>
  </w:footnote>
  <w:footnote w:id="763">
    <w:p w14:paraId="51C897CC" w14:textId="77777777" w:rsidR="00B01930" w:rsidRDefault="00B01930">
      <w:pPr>
        <w:pStyle w:val="Notedebasdepage"/>
      </w:pPr>
      <w:r>
        <w:rPr>
          <w:rStyle w:val="Appelnotedebasdep"/>
        </w:rPr>
        <w:footnoteRef/>
      </w:r>
      <w:r>
        <w:t xml:space="preserve"> </w:t>
      </w:r>
      <w:r>
        <w:tab/>
      </w:r>
      <w:r w:rsidRPr="0004576F">
        <w:t xml:space="preserve">Olivier Beaud, Préface à l’ouvrage de Carl Schmitt, </w:t>
      </w:r>
      <w:r w:rsidRPr="0004576F">
        <w:rPr>
          <w:i/>
        </w:rPr>
        <w:t>Théorie de la Constit</w:t>
      </w:r>
      <w:r w:rsidRPr="0004576F">
        <w:rPr>
          <w:i/>
        </w:rPr>
        <w:t>u</w:t>
      </w:r>
      <w:r w:rsidRPr="0004576F">
        <w:rPr>
          <w:i/>
        </w:rPr>
        <w:t>tion</w:t>
      </w:r>
      <w:r w:rsidRPr="0004576F">
        <w:t xml:space="preserve">…, </w:t>
      </w:r>
      <w:r w:rsidRPr="0004576F">
        <w:rPr>
          <w:i/>
        </w:rPr>
        <w:t>op. cit.</w:t>
      </w:r>
    </w:p>
  </w:footnote>
  <w:footnote w:id="764">
    <w:p w14:paraId="17745410" w14:textId="77777777" w:rsidR="00B01930" w:rsidRDefault="00B01930">
      <w:pPr>
        <w:pStyle w:val="Notedebasdepage"/>
      </w:pPr>
      <w:r>
        <w:rPr>
          <w:rStyle w:val="Appelnotedebasdep"/>
        </w:rPr>
        <w:footnoteRef/>
      </w:r>
      <w:r>
        <w:t xml:space="preserve"> </w:t>
      </w:r>
      <w:r>
        <w:tab/>
      </w:r>
      <w:r w:rsidRPr="0004576F">
        <w:t xml:space="preserve">Dominique Daglard, op. cit., p. 94. À propos du nazisme rappelons que si la </w:t>
      </w:r>
      <w:r w:rsidRPr="0004576F">
        <w:rPr>
          <w:i/>
        </w:rPr>
        <w:t>SS</w:t>
      </w:r>
      <w:r w:rsidRPr="0004576F">
        <w:t xml:space="preserve"> obtint qu’il ne soit pas le « </w:t>
      </w:r>
      <w:r w:rsidRPr="0004576F">
        <w:rPr>
          <w:i/>
        </w:rPr>
        <w:t>Kronjurist</w:t>
      </w:r>
      <w:r w:rsidRPr="0004576F">
        <w:t xml:space="preserve"> du </w:t>
      </w:r>
      <w:r w:rsidRPr="0004576F">
        <w:rPr>
          <w:i/>
        </w:rPr>
        <w:t>Reich</w:t>
      </w:r>
      <w:r w:rsidRPr="0004576F">
        <w:t> », il n’en demeure pas moins que Schmitt ne rompit pas avec le régime, ne fut pas pers</w:t>
      </w:r>
      <w:r w:rsidRPr="0004576F">
        <w:t>é</w:t>
      </w:r>
      <w:r w:rsidRPr="0004576F">
        <w:t>cuté, et que surtout, après la guerre, il se posa en victime du fait de son incarcération pr</w:t>
      </w:r>
      <w:r w:rsidRPr="0004576F">
        <w:t>o</w:t>
      </w:r>
      <w:r w:rsidRPr="0004576F">
        <w:t>visoire, et qu’il ne renia en rien ses écrits, même anti-sémites.</w:t>
      </w:r>
    </w:p>
    <w:p w14:paraId="64C9B351" w14:textId="77777777" w:rsidR="00B01930" w:rsidRDefault="00B01930">
      <w:pPr>
        <w:pStyle w:val="Notedebasdepage"/>
      </w:pPr>
      <w:r>
        <w:tab/>
      </w:r>
      <w:r>
        <w:tab/>
      </w:r>
      <w:r w:rsidRPr="0004576F">
        <w:t xml:space="preserve">Cf. encore l’ouvrage de David Cumin, </w:t>
      </w:r>
      <w:r w:rsidRPr="0004576F">
        <w:rPr>
          <w:i/>
        </w:rPr>
        <w:t>Carl Schmmitt. Biographie polit</w:t>
      </w:r>
      <w:r w:rsidRPr="0004576F">
        <w:rPr>
          <w:i/>
        </w:rPr>
        <w:t>i</w:t>
      </w:r>
      <w:r w:rsidRPr="0004576F">
        <w:rPr>
          <w:i/>
        </w:rPr>
        <w:t>que et intellectuelle</w:t>
      </w:r>
      <w:r w:rsidRPr="0004576F">
        <w:t>, Paris, Cerf, col. « Passages », 2005. Ce dernier, qui a tr</w:t>
      </w:r>
      <w:r w:rsidRPr="0004576F">
        <w:t>a</w:t>
      </w:r>
      <w:r w:rsidRPr="0004576F">
        <w:t>vaillé les archives de Schmitt à Strasbourg, est l’auteur d’une grande thèse à l’Université Lyon 3 en 2003, au j</w:t>
      </w:r>
      <w:r w:rsidRPr="0004576F">
        <w:t>u</w:t>
      </w:r>
      <w:r w:rsidRPr="0004576F">
        <w:t>ry de laquelle participèrent notamment les professeurs He</w:t>
      </w:r>
      <w:r w:rsidRPr="0004576F">
        <w:t>r</w:t>
      </w:r>
      <w:r w:rsidRPr="0004576F">
        <w:t>vé Couteau-Bégarie, disciple de Jean-Louis Martres, et Michel Be</w:t>
      </w:r>
      <w:r w:rsidRPr="0004576F">
        <w:t>r</w:t>
      </w:r>
      <w:r w:rsidRPr="0004576F">
        <w:t>gès. L’ouvrage, est ainsi présenté par son éditeur – ce qui rejoint notre analyse :</w:t>
      </w:r>
    </w:p>
    <w:p w14:paraId="28F10B89" w14:textId="77777777" w:rsidR="00B01930" w:rsidRDefault="00B01930">
      <w:pPr>
        <w:pStyle w:val="Notedebasdepage"/>
      </w:pPr>
      <w:r>
        <w:tab/>
      </w:r>
      <w:r>
        <w:tab/>
      </w:r>
      <w:r w:rsidRPr="0004576F">
        <w:t>« </w:t>
      </w:r>
      <w:r w:rsidRPr="0004576F">
        <w:rPr>
          <w:rFonts w:cs="Times"/>
          <w:color w:val="242424"/>
          <w:szCs w:val="28"/>
        </w:rPr>
        <w:t>Engagé dans une entreprise de refondation antinormativiste de la scie</w:t>
      </w:r>
      <w:r w:rsidRPr="0004576F">
        <w:rPr>
          <w:rFonts w:cs="Times"/>
          <w:color w:val="242424"/>
          <w:szCs w:val="28"/>
        </w:rPr>
        <w:t>n</w:t>
      </w:r>
      <w:r w:rsidRPr="0004576F">
        <w:rPr>
          <w:rFonts w:cs="Times"/>
          <w:color w:val="242424"/>
          <w:szCs w:val="28"/>
        </w:rPr>
        <w:t>ce du droit, Carl Schmitt est fondamentalement (après 1918) l’adversaire du pa</w:t>
      </w:r>
      <w:r w:rsidRPr="0004576F">
        <w:rPr>
          <w:rFonts w:cs="Times"/>
          <w:color w:val="242424"/>
          <w:szCs w:val="28"/>
        </w:rPr>
        <w:t>r</w:t>
      </w:r>
      <w:r w:rsidRPr="0004576F">
        <w:rPr>
          <w:rFonts w:cs="Times"/>
          <w:color w:val="242424"/>
          <w:szCs w:val="28"/>
        </w:rPr>
        <w:t>lementarisme, du pl</w:t>
      </w:r>
      <w:r w:rsidRPr="0004576F">
        <w:rPr>
          <w:rFonts w:cs="Times"/>
          <w:color w:val="242424"/>
          <w:szCs w:val="28"/>
        </w:rPr>
        <w:t>u</w:t>
      </w:r>
      <w:r w:rsidRPr="0004576F">
        <w:rPr>
          <w:rFonts w:cs="Times"/>
          <w:color w:val="242424"/>
          <w:szCs w:val="28"/>
        </w:rPr>
        <w:t>ralisme et du fédéralisme weimariens, et l’avocat du « système présidentiel » en tant que gouvernement plébiscitaire, autoritaire et unitaire s’appuyant sur l’armée, la fonction p</w:t>
      </w:r>
      <w:r w:rsidRPr="0004576F">
        <w:rPr>
          <w:rFonts w:cs="Times"/>
          <w:color w:val="242424"/>
          <w:szCs w:val="28"/>
        </w:rPr>
        <w:t>u</w:t>
      </w:r>
      <w:r w:rsidRPr="0004576F">
        <w:rPr>
          <w:rFonts w:cs="Times"/>
          <w:color w:val="242424"/>
          <w:szCs w:val="28"/>
        </w:rPr>
        <w:t xml:space="preserve">blique et le fameux article 48 de la Constitution du </w:t>
      </w:r>
      <w:r w:rsidRPr="0004576F">
        <w:rPr>
          <w:rFonts w:cs="Times"/>
          <w:i/>
          <w:color w:val="242424"/>
          <w:szCs w:val="28"/>
        </w:rPr>
        <w:t>Reich</w:t>
      </w:r>
      <w:r w:rsidRPr="0004576F">
        <w:rPr>
          <w:rFonts w:cs="Times"/>
          <w:color w:val="242424"/>
          <w:szCs w:val="28"/>
        </w:rPr>
        <w:t>. Au plan idéologique, ce nationaliste cathol</w:t>
      </w:r>
      <w:r w:rsidRPr="0004576F">
        <w:rPr>
          <w:rFonts w:cs="Times"/>
          <w:color w:val="242424"/>
          <w:szCs w:val="28"/>
        </w:rPr>
        <w:t>i</w:t>
      </w:r>
      <w:r w:rsidRPr="0004576F">
        <w:rPr>
          <w:rFonts w:cs="Times"/>
          <w:color w:val="242424"/>
          <w:szCs w:val="28"/>
        </w:rPr>
        <w:t>que est à la fois un proche du fascisme italien (dès 1923), une figure de la « révolution conservatrice » allemande (après 1928), un collaborateur du n</w:t>
      </w:r>
      <w:r w:rsidRPr="0004576F">
        <w:rPr>
          <w:rFonts w:cs="Times"/>
          <w:color w:val="242424"/>
          <w:szCs w:val="28"/>
        </w:rPr>
        <w:t>a</w:t>
      </w:r>
      <w:r w:rsidRPr="0004576F">
        <w:rPr>
          <w:rFonts w:cs="Times"/>
          <w:color w:val="242424"/>
          <w:szCs w:val="28"/>
        </w:rPr>
        <w:t>tional-socialisme (après 1933). La problématique nodale de cette biogr</w:t>
      </w:r>
      <w:r w:rsidRPr="0004576F">
        <w:rPr>
          <w:rFonts w:cs="Times"/>
          <w:color w:val="242424"/>
          <w:szCs w:val="28"/>
        </w:rPr>
        <w:t>a</w:t>
      </w:r>
      <w:r w:rsidRPr="0004576F">
        <w:rPr>
          <w:rFonts w:cs="Times"/>
          <w:color w:val="242424"/>
          <w:szCs w:val="28"/>
        </w:rPr>
        <w:t>phie, dans un contexte historique catastrophique, est de montrer comment un néoconserv</w:t>
      </w:r>
      <w:r w:rsidRPr="0004576F">
        <w:rPr>
          <w:rFonts w:cs="Times"/>
          <w:color w:val="242424"/>
          <w:szCs w:val="28"/>
        </w:rPr>
        <w:t>a</w:t>
      </w:r>
      <w:r w:rsidRPr="0004576F">
        <w:rPr>
          <w:rFonts w:cs="Times"/>
          <w:color w:val="242424"/>
          <w:szCs w:val="28"/>
        </w:rPr>
        <w:t>teur antilibéral et antimarxiste, devenu un conseiller du gouvernement prés</w:t>
      </w:r>
      <w:r w:rsidRPr="0004576F">
        <w:rPr>
          <w:rFonts w:cs="Times"/>
          <w:color w:val="242424"/>
          <w:szCs w:val="28"/>
        </w:rPr>
        <w:t>i</w:t>
      </w:r>
      <w:r w:rsidRPr="0004576F">
        <w:rPr>
          <w:rFonts w:cs="Times"/>
          <w:color w:val="242424"/>
          <w:szCs w:val="28"/>
        </w:rPr>
        <w:t>dentiel, cultivant un raisonnement ambigu de « défense de la constitution » et d</w:t>
      </w:r>
      <w:r w:rsidRPr="0004576F">
        <w:rPr>
          <w:rFonts w:cs="Times"/>
          <w:color w:val="242424"/>
          <w:szCs w:val="28"/>
        </w:rPr>
        <w:t>é</w:t>
      </w:r>
      <w:r w:rsidRPr="0004576F">
        <w:rPr>
          <w:rFonts w:cs="Times"/>
          <w:color w:val="242424"/>
          <w:szCs w:val="28"/>
        </w:rPr>
        <w:t>nonçant la « révolution légale » (avant de s’y rallier), passe de Schleicher à Hitler, de la « dictature commissariale » au « </w:t>
      </w:r>
      <w:r w:rsidRPr="0004576F">
        <w:rPr>
          <w:rFonts w:cs="Times"/>
          <w:i/>
          <w:color w:val="242424"/>
          <w:szCs w:val="28"/>
        </w:rPr>
        <w:t>totaler Staat </w:t>
      </w:r>
      <w:r w:rsidRPr="0004576F">
        <w:rPr>
          <w:rFonts w:cs="Times"/>
          <w:color w:val="242424"/>
          <w:szCs w:val="28"/>
        </w:rPr>
        <w:t>» puis au « </w:t>
      </w:r>
      <w:r w:rsidRPr="0004576F">
        <w:rPr>
          <w:rFonts w:cs="Times"/>
          <w:i/>
          <w:color w:val="242424"/>
          <w:szCs w:val="28"/>
        </w:rPr>
        <w:t>Führerstaat</w:t>
      </w:r>
      <w:r w:rsidRPr="0004576F">
        <w:rPr>
          <w:rFonts w:cs="Times"/>
          <w:color w:val="242424"/>
          <w:szCs w:val="28"/>
        </w:rPr>
        <w:t> » ; s’engage dans une certaine version du n</w:t>
      </w:r>
      <w:r w:rsidRPr="0004576F">
        <w:rPr>
          <w:rFonts w:cs="Times"/>
          <w:color w:val="242424"/>
          <w:szCs w:val="28"/>
        </w:rPr>
        <w:t>a</w:t>
      </w:r>
      <w:r w:rsidRPr="0004576F">
        <w:rPr>
          <w:rFonts w:cs="Times"/>
          <w:color w:val="242424"/>
          <w:szCs w:val="28"/>
        </w:rPr>
        <w:t>tional-socialisme ; acquiert et conserve une place de premier rang dans la doctrine allemande ; enfin présente son plaidoyer à et après Nuremberg.</w:t>
      </w:r>
      <w:r w:rsidRPr="0004576F">
        <w:t xml:space="preserve">  »</w:t>
      </w:r>
    </w:p>
  </w:footnote>
  <w:footnote w:id="765">
    <w:p w14:paraId="425449D5" w14:textId="77777777" w:rsidR="00B01930" w:rsidRDefault="00B01930">
      <w:pPr>
        <w:pStyle w:val="Notedebasdepage"/>
      </w:pPr>
      <w:r>
        <w:rPr>
          <w:rStyle w:val="Appelnotedebasdep"/>
        </w:rPr>
        <w:footnoteRef/>
      </w:r>
      <w:r>
        <w:t xml:space="preserve"> </w:t>
      </w:r>
      <w:r>
        <w:tab/>
      </w:r>
      <w:r w:rsidRPr="0004576F">
        <w:t xml:space="preserve">Dominique Saglard, </w:t>
      </w:r>
      <w:r w:rsidRPr="0004576F">
        <w:rPr>
          <w:i/>
        </w:rPr>
        <w:t>ibidem</w:t>
      </w:r>
      <w:r w:rsidRPr="0004576F">
        <w:t>, p. 95.</w:t>
      </w:r>
    </w:p>
  </w:footnote>
  <w:footnote w:id="766">
    <w:p w14:paraId="36A139A9" w14:textId="77777777" w:rsidR="00B01930" w:rsidRDefault="00B01930">
      <w:pPr>
        <w:pStyle w:val="Notedebasdepage"/>
      </w:pPr>
      <w:r>
        <w:rPr>
          <w:rStyle w:val="Appelnotedebasdep"/>
        </w:rPr>
        <w:footnoteRef/>
      </w:r>
      <w:r>
        <w:t xml:space="preserve"> </w:t>
      </w:r>
      <w:r>
        <w:tab/>
      </w:r>
      <w:r w:rsidRPr="0004576F">
        <w:rPr>
          <w:i/>
        </w:rPr>
        <w:t>Ibidem</w:t>
      </w:r>
      <w:r w:rsidRPr="0004576F">
        <w:t xml:space="preserve">, p. 27, et p. 27, note </w:t>
      </w:r>
      <w:r w:rsidRPr="0004576F">
        <w:rPr>
          <w:vertAlign w:val="superscript"/>
        </w:rPr>
        <w:t>1</w:t>
      </w:r>
      <w:r w:rsidRPr="0004576F">
        <w:t>.</w:t>
      </w:r>
    </w:p>
  </w:footnote>
  <w:footnote w:id="767">
    <w:p w14:paraId="622DD498" w14:textId="77777777" w:rsidR="00B01930" w:rsidRDefault="00B01930">
      <w:pPr>
        <w:pStyle w:val="Notedebasdepage"/>
      </w:pPr>
      <w:r>
        <w:rPr>
          <w:rStyle w:val="Appelnotedebasdep"/>
        </w:rPr>
        <w:footnoteRef/>
      </w:r>
      <w:r>
        <w:t xml:space="preserve"> </w:t>
      </w:r>
      <w:r>
        <w:tab/>
      </w:r>
      <w:r w:rsidRPr="0004576F">
        <w:rPr>
          <w:i/>
        </w:rPr>
        <w:t>Ibidem</w:t>
      </w:r>
      <w:r w:rsidRPr="0004576F">
        <w:t>, p. 25.</w:t>
      </w:r>
    </w:p>
  </w:footnote>
  <w:footnote w:id="768">
    <w:p w14:paraId="1341C102" w14:textId="77777777" w:rsidR="00B01930" w:rsidRDefault="00B01930">
      <w:pPr>
        <w:pStyle w:val="Notedebasdepage"/>
      </w:pPr>
      <w:r>
        <w:rPr>
          <w:rStyle w:val="Appelnotedebasdep"/>
        </w:rPr>
        <w:footnoteRef/>
      </w:r>
      <w:r>
        <w:t xml:space="preserve"> </w:t>
      </w:r>
      <w:r>
        <w:tab/>
      </w:r>
      <w:r w:rsidRPr="0004576F">
        <w:t xml:space="preserve">Serge Sur, « Ami-ennemi », Carl </w:t>
      </w:r>
      <w:r w:rsidRPr="0004576F">
        <w:rPr>
          <w:i/>
        </w:rPr>
        <w:t>Schmitt, concepts et usages</w:t>
      </w:r>
      <w:r w:rsidRPr="0004576F">
        <w:t xml:space="preserve">, </w:t>
      </w:r>
      <w:r w:rsidRPr="0004576F">
        <w:rPr>
          <w:i/>
        </w:rPr>
        <w:t>op. cit.</w:t>
      </w:r>
      <w:r w:rsidRPr="0004576F">
        <w:t>, p. 242.</w:t>
      </w:r>
    </w:p>
  </w:footnote>
  <w:footnote w:id="769">
    <w:p w14:paraId="5C9631E2" w14:textId="77777777" w:rsidR="00B01930" w:rsidRDefault="00B01930">
      <w:pPr>
        <w:pStyle w:val="Notedebasdepage"/>
      </w:pPr>
      <w:r>
        <w:rPr>
          <w:rStyle w:val="Appelnotedebasdep"/>
        </w:rPr>
        <w:footnoteRef/>
      </w:r>
      <w:r>
        <w:t xml:space="preserve"> </w:t>
      </w:r>
      <w:r>
        <w:tab/>
      </w:r>
      <w:r w:rsidRPr="0004576F">
        <w:t xml:space="preserve">Cf. Jochen Hook, contribution citée, </w:t>
      </w:r>
      <w:r w:rsidRPr="0004576F">
        <w:rPr>
          <w:i/>
        </w:rPr>
        <w:t>ibidem</w:t>
      </w:r>
      <w:r w:rsidRPr="0004576F">
        <w:t>, p. 192.</w:t>
      </w:r>
    </w:p>
  </w:footnote>
  <w:footnote w:id="770">
    <w:p w14:paraId="090481DF" w14:textId="77777777" w:rsidR="00B01930" w:rsidRDefault="00B01930">
      <w:pPr>
        <w:pStyle w:val="Notedebasdepage"/>
      </w:pPr>
      <w:r>
        <w:rPr>
          <w:rStyle w:val="Appelnotedebasdep"/>
        </w:rPr>
        <w:footnoteRef/>
      </w:r>
      <w:r>
        <w:t xml:space="preserve"> </w:t>
      </w:r>
      <w:r>
        <w:tab/>
      </w:r>
      <w:r w:rsidRPr="0004576F">
        <w:t>Celui qui retarde le mouvement de l’Histoire vers l’Antéchrist et tend à la diss</w:t>
      </w:r>
      <w:r w:rsidRPr="0004576F">
        <w:t>o</w:t>
      </w:r>
      <w:r w:rsidRPr="0004576F">
        <w:t xml:space="preserve">lution de la suprématie de l’Église apostolique et romaine. Cf. Raphaël Gross, </w:t>
      </w:r>
      <w:r w:rsidRPr="0004576F">
        <w:rPr>
          <w:i/>
        </w:rPr>
        <w:t>op. cit.</w:t>
      </w:r>
      <w:r w:rsidRPr="0004576F">
        <w:t>, p. 231.</w:t>
      </w:r>
    </w:p>
  </w:footnote>
  <w:footnote w:id="771">
    <w:p w14:paraId="0CF70887" w14:textId="77777777" w:rsidR="00B01930" w:rsidRDefault="00B01930">
      <w:pPr>
        <w:pStyle w:val="Notedebasdepage"/>
      </w:pPr>
      <w:r>
        <w:rPr>
          <w:rStyle w:val="Appelnotedebasdep"/>
        </w:rPr>
        <w:footnoteRef/>
      </w:r>
      <w:r>
        <w:t xml:space="preserve"> </w:t>
      </w:r>
      <w:r>
        <w:tab/>
      </w:r>
      <w:r w:rsidRPr="0004576F">
        <w:t xml:space="preserve">Cf. Maya Hertig Brandall, contribution citée, </w:t>
      </w:r>
      <w:r w:rsidRPr="0004576F">
        <w:rPr>
          <w:i/>
        </w:rPr>
        <w:t>ibidem</w:t>
      </w:r>
      <w:r w:rsidRPr="0004576F">
        <w:t>.</w:t>
      </w:r>
    </w:p>
  </w:footnote>
  <w:footnote w:id="772">
    <w:p w14:paraId="7C0EE593" w14:textId="77777777" w:rsidR="00B01930" w:rsidRDefault="00B01930">
      <w:pPr>
        <w:pStyle w:val="Notedebasdepage"/>
      </w:pPr>
      <w:r>
        <w:rPr>
          <w:rStyle w:val="Appelnotedebasdep"/>
        </w:rPr>
        <w:footnoteRef/>
      </w:r>
      <w:r>
        <w:t xml:space="preserve"> </w:t>
      </w:r>
      <w:r>
        <w:tab/>
      </w:r>
      <w:r w:rsidRPr="0004576F">
        <w:t>Qui, rappelons-le, perdura après-guerre.</w:t>
      </w:r>
    </w:p>
  </w:footnote>
  <w:footnote w:id="773">
    <w:p w14:paraId="628A43FE" w14:textId="77777777" w:rsidR="00B01930" w:rsidRDefault="00B01930">
      <w:pPr>
        <w:pStyle w:val="Notedebasdepage"/>
      </w:pPr>
      <w:r>
        <w:rPr>
          <w:rStyle w:val="Appelnotedebasdep"/>
        </w:rPr>
        <w:footnoteRef/>
      </w:r>
      <w:r>
        <w:t xml:space="preserve"> </w:t>
      </w:r>
      <w:r>
        <w:tab/>
      </w:r>
      <w:r w:rsidRPr="0004576F">
        <w:t xml:space="preserve">« Je cherche pour moi et mon peuple l’acquittement », </w:t>
      </w:r>
      <w:r w:rsidRPr="0004576F">
        <w:rPr>
          <w:i/>
        </w:rPr>
        <w:t>Glossanium</w:t>
      </w:r>
      <w:r w:rsidRPr="0004576F">
        <w:t>, p. 229, Be</w:t>
      </w:r>
      <w:r w:rsidRPr="0004576F">
        <w:t>r</w:t>
      </w:r>
      <w:r w:rsidRPr="0004576F">
        <w:t xml:space="preserve">lin, 1991, cité par Raphael Gross, </w:t>
      </w:r>
      <w:r w:rsidRPr="0004576F">
        <w:rPr>
          <w:i/>
        </w:rPr>
        <w:t>op. cit.</w:t>
      </w:r>
      <w:r w:rsidRPr="0004576F">
        <w:t>, p. 294.</w:t>
      </w:r>
    </w:p>
  </w:footnote>
  <w:footnote w:id="774">
    <w:p w14:paraId="6D5F5065" w14:textId="77777777" w:rsidR="00B01930" w:rsidRDefault="00B01930">
      <w:pPr>
        <w:pStyle w:val="Notedebasdepage"/>
      </w:pPr>
      <w:r>
        <w:rPr>
          <w:rStyle w:val="Appelnotedebasdep"/>
        </w:rPr>
        <w:footnoteRef/>
      </w:r>
      <w:r>
        <w:t xml:space="preserve"> </w:t>
      </w:r>
      <w:r>
        <w:tab/>
      </w:r>
      <w:r w:rsidRPr="0004576F">
        <w:t xml:space="preserve">Heinrich Meier, </w:t>
      </w:r>
      <w:r w:rsidRPr="0004576F">
        <w:rPr>
          <w:i/>
        </w:rPr>
        <w:t>La Leçon</w:t>
      </w:r>
      <w:r w:rsidRPr="0004576F">
        <w:t xml:space="preserve">…, </w:t>
      </w:r>
      <w:r w:rsidRPr="0004576F">
        <w:rPr>
          <w:i/>
        </w:rPr>
        <w:t>op. cit.</w:t>
      </w:r>
      <w:r w:rsidRPr="0004576F">
        <w:t>, p. 8, l’un des meilleurs spécialises de Carl Schmitt, écrit cet ouvrage décisif sur la permanence de la croyance rel</w:t>
      </w:r>
      <w:r w:rsidRPr="0004576F">
        <w:t>i</w:t>
      </w:r>
      <w:r w:rsidRPr="0004576F">
        <w:t>gieuse c</w:t>
      </w:r>
      <w:r w:rsidRPr="0004576F">
        <w:t>a</w:t>
      </w:r>
      <w:r w:rsidRPr="0004576F">
        <w:t>tholique de Schmitt, et ses implications, venant étailler, par une autre voie, n</w:t>
      </w:r>
      <w:r w:rsidRPr="0004576F">
        <w:t>o</w:t>
      </w:r>
      <w:r w:rsidRPr="0004576F">
        <w:t>tre longue réflexion sur la prégnance d’un « second niveau », profond, décisif. Aussi nous nous appuierons pour l’essentiel sur cet auteur.</w:t>
      </w:r>
    </w:p>
  </w:footnote>
  <w:footnote w:id="775">
    <w:p w14:paraId="7C9C2CD2" w14:textId="77777777" w:rsidR="00B01930" w:rsidRDefault="00B01930">
      <w:pPr>
        <w:pStyle w:val="Notedebasdepage"/>
      </w:pPr>
      <w:r>
        <w:rPr>
          <w:rStyle w:val="Appelnotedebasdep"/>
        </w:rPr>
        <w:footnoteRef/>
      </w:r>
      <w:r>
        <w:t xml:space="preserve"> </w:t>
      </w:r>
      <w:r>
        <w:tab/>
      </w:r>
      <w:r w:rsidRPr="0004576F">
        <w:rPr>
          <w:i/>
        </w:rPr>
        <w:t>Ibidem</w:t>
      </w:r>
      <w:r w:rsidRPr="0004576F">
        <w:t>, p. 47.</w:t>
      </w:r>
    </w:p>
  </w:footnote>
  <w:footnote w:id="776">
    <w:p w14:paraId="0E70777E" w14:textId="77777777" w:rsidR="00B01930" w:rsidRDefault="00B01930">
      <w:pPr>
        <w:pStyle w:val="Notedebasdepage"/>
      </w:pPr>
      <w:r>
        <w:rPr>
          <w:rStyle w:val="Appelnotedebasdep"/>
        </w:rPr>
        <w:footnoteRef/>
      </w:r>
      <w:r>
        <w:t xml:space="preserve"> </w:t>
      </w:r>
      <w:r>
        <w:tab/>
      </w:r>
      <w:r w:rsidRPr="0004576F">
        <w:t xml:space="preserve">Cf. Olivier Beaud, Préface à l’ouvrage de Carl Schmitt, </w:t>
      </w:r>
      <w:r w:rsidRPr="0004576F">
        <w:rPr>
          <w:i/>
        </w:rPr>
        <w:t>Théorie de la Const</w:t>
      </w:r>
      <w:r w:rsidRPr="0004576F">
        <w:rPr>
          <w:i/>
        </w:rPr>
        <w:t>i</w:t>
      </w:r>
      <w:r w:rsidRPr="0004576F">
        <w:rPr>
          <w:i/>
        </w:rPr>
        <w:t>tution</w:t>
      </w:r>
      <w:r w:rsidRPr="0004576F">
        <w:t xml:space="preserve">…, </w:t>
      </w:r>
      <w:r w:rsidRPr="0004576F">
        <w:rPr>
          <w:i/>
        </w:rPr>
        <w:t>op. cit.</w:t>
      </w:r>
      <w:r w:rsidRPr="0004576F">
        <w:t xml:space="preserve">, p. 25, note </w:t>
      </w:r>
      <w:r w:rsidRPr="0004576F">
        <w:rPr>
          <w:vertAlign w:val="superscript"/>
        </w:rPr>
        <w:t>107</w:t>
      </w:r>
      <w:r w:rsidRPr="0004576F">
        <w:t>.</w:t>
      </w:r>
    </w:p>
  </w:footnote>
  <w:footnote w:id="777">
    <w:p w14:paraId="0BA4D25A" w14:textId="77777777" w:rsidR="00B01930" w:rsidRDefault="00B01930">
      <w:pPr>
        <w:pStyle w:val="Notedebasdepage"/>
      </w:pPr>
      <w:r>
        <w:rPr>
          <w:rStyle w:val="Appelnotedebasdep"/>
        </w:rPr>
        <w:footnoteRef/>
      </w:r>
      <w:r>
        <w:t xml:space="preserve"> </w:t>
      </w:r>
      <w:r>
        <w:tab/>
      </w:r>
      <w:r w:rsidRPr="0004576F">
        <w:rPr>
          <w:i/>
        </w:rPr>
        <w:t>Ibidem</w:t>
      </w:r>
      <w:r w:rsidRPr="0004576F">
        <w:t>, p. 48.</w:t>
      </w:r>
    </w:p>
  </w:footnote>
  <w:footnote w:id="778">
    <w:p w14:paraId="4D26754D" w14:textId="77777777" w:rsidR="00B01930" w:rsidRDefault="00B01930">
      <w:pPr>
        <w:pStyle w:val="Notedebasdepage"/>
      </w:pPr>
      <w:r>
        <w:rPr>
          <w:rStyle w:val="Appelnotedebasdep"/>
        </w:rPr>
        <w:footnoteRef/>
      </w:r>
      <w:r>
        <w:t xml:space="preserve"> </w:t>
      </w:r>
      <w:r>
        <w:tab/>
      </w:r>
      <w:r w:rsidRPr="0004576F">
        <w:t xml:space="preserve">Carl Schmitt, </w:t>
      </w:r>
      <w:r w:rsidRPr="0004576F">
        <w:rPr>
          <w:i/>
        </w:rPr>
        <w:t>Théologie politique</w:t>
      </w:r>
      <w:r w:rsidRPr="0004576F">
        <w:t xml:space="preserve">, </w:t>
      </w:r>
      <w:r w:rsidRPr="0004576F">
        <w:rPr>
          <w:i/>
        </w:rPr>
        <w:t>op. cit</w:t>
      </w:r>
      <w:r w:rsidRPr="0004576F">
        <w:t>.</w:t>
      </w:r>
    </w:p>
  </w:footnote>
  <w:footnote w:id="779">
    <w:p w14:paraId="576EE410" w14:textId="77777777" w:rsidR="00B01930" w:rsidRDefault="00B01930">
      <w:pPr>
        <w:pStyle w:val="Notedebasdepage"/>
      </w:pPr>
      <w:r>
        <w:rPr>
          <w:rStyle w:val="Appelnotedebasdep"/>
        </w:rPr>
        <w:footnoteRef/>
      </w:r>
      <w:r>
        <w:t xml:space="preserve"> </w:t>
      </w:r>
      <w:r>
        <w:tab/>
      </w:r>
      <w:r w:rsidRPr="0004576F">
        <w:t xml:space="preserve">Heinrich Meier, </w:t>
      </w:r>
      <w:r w:rsidRPr="0004576F">
        <w:rPr>
          <w:i/>
        </w:rPr>
        <w:t>op. cit.</w:t>
      </w:r>
      <w:r w:rsidRPr="0004576F">
        <w:t>, p. 47.</w:t>
      </w:r>
    </w:p>
  </w:footnote>
  <w:footnote w:id="780">
    <w:p w14:paraId="54301287" w14:textId="77777777" w:rsidR="00B01930" w:rsidRDefault="00B01930">
      <w:pPr>
        <w:pStyle w:val="Notedebasdepage"/>
      </w:pPr>
      <w:r>
        <w:rPr>
          <w:rStyle w:val="Appelnotedebasdep"/>
        </w:rPr>
        <w:footnoteRef/>
      </w:r>
      <w:r>
        <w:t xml:space="preserve"> </w:t>
      </w:r>
      <w:r>
        <w:tab/>
      </w:r>
      <w:r w:rsidRPr="0004576F">
        <w:rPr>
          <w:i/>
        </w:rPr>
        <w:t>Ibidem</w:t>
      </w:r>
      <w:r w:rsidRPr="0004576F">
        <w:t xml:space="preserve">, p. 24 </w:t>
      </w:r>
      <w:r w:rsidRPr="0004576F">
        <w:rPr>
          <w:i/>
        </w:rPr>
        <w:t>et sq</w:t>
      </w:r>
      <w:r w:rsidRPr="0004576F">
        <w:t>.</w:t>
      </w:r>
    </w:p>
  </w:footnote>
  <w:footnote w:id="781">
    <w:p w14:paraId="5343A147" w14:textId="77777777" w:rsidR="00B01930" w:rsidRDefault="00B01930">
      <w:pPr>
        <w:pStyle w:val="Notedebasdepage"/>
      </w:pPr>
      <w:r>
        <w:rPr>
          <w:rStyle w:val="Appelnotedebasdep"/>
        </w:rPr>
        <w:footnoteRef/>
      </w:r>
      <w:r>
        <w:t xml:space="preserve"> </w:t>
      </w:r>
      <w:r>
        <w:tab/>
      </w:r>
      <w:r w:rsidRPr="0004576F">
        <w:rPr>
          <w:i/>
        </w:rPr>
        <w:t>Ibidem</w:t>
      </w:r>
      <w:r w:rsidRPr="0004576F">
        <w:t>, p. 96, 101, 105.</w:t>
      </w:r>
    </w:p>
  </w:footnote>
  <w:footnote w:id="782">
    <w:p w14:paraId="648F11A2" w14:textId="77777777" w:rsidR="00B01930" w:rsidRDefault="00B01930">
      <w:pPr>
        <w:pStyle w:val="Notedebasdepage"/>
      </w:pPr>
      <w:r>
        <w:rPr>
          <w:rStyle w:val="Appelnotedebasdep"/>
        </w:rPr>
        <w:footnoteRef/>
      </w:r>
      <w:r>
        <w:t xml:space="preserve"> </w:t>
      </w:r>
      <w:r>
        <w:tab/>
      </w:r>
      <w:r w:rsidRPr="0004576F">
        <w:t xml:space="preserve">Heinrich Meier, </w:t>
      </w:r>
      <w:r w:rsidRPr="0004576F">
        <w:rPr>
          <w:i/>
        </w:rPr>
        <w:t>passim</w:t>
      </w:r>
      <w:r w:rsidRPr="0004576F">
        <w:t>. Nous avons vu que Schmitt concevait son rôle d’intellectuel comme nécessairement polémique contre le parlementarisme, le libéralisme. Mais on voit que bien plus profonde est la racine de cette conce</w:t>
      </w:r>
      <w:r w:rsidRPr="0004576F">
        <w:t>p</w:t>
      </w:r>
      <w:r w:rsidRPr="0004576F">
        <w:t>tion, ce qui est dans la stricte nécessité du Code n° 1.</w:t>
      </w:r>
    </w:p>
  </w:footnote>
  <w:footnote w:id="783">
    <w:p w14:paraId="5FA462D2" w14:textId="77777777" w:rsidR="00B01930" w:rsidRDefault="00B01930">
      <w:pPr>
        <w:pStyle w:val="Notedebasdepage"/>
      </w:pPr>
      <w:r>
        <w:rPr>
          <w:rStyle w:val="Appelnotedebasdep"/>
        </w:rPr>
        <w:footnoteRef/>
      </w:r>
      <w:r>
        <w:t xml:space="preserve"> </w:t>
      </w:r>
      <w:r>
        <w:tab/>
      </w:r>
      <w:r w:rsidRPr="0004576F">
        <w:t xml:space="preserve">Heinrich Meier, </w:t>
      </w:r>
      <w:r w:rsidRPr="0004576F">
        <w:rPr>
          <w:i/>
        </w:rPr>
        <w:t>passim</w:t>
      </w:r>
      <w:r w:rsidRPr="0004576F">
        <w:t>.</w:t>
      </w:r>
    </w:p>
  </w:footnote>
  <w:footnote w:id="784">
    <w:p w14:paraId="406FEC81" w14:textId="77777777" w:rsidR="00B01930" w:rsidRDefault="00B01930">
      <w:pPr>
        <w:pStyle w:val="Notedebasdepage"/>
      </w:pPr>
      <w:r>
        <w:rPr>
          <w:rStyle w:val="Appelnotedebasdep"/>
        </w:rPr>
        <w:footnoteRef/>
      </w:r>
      <w:r>
        <w:t xml:space="preserve"> </w:t>
      </w:r>
      <w:r>
        <w:tab/>
      </w:r>
      <w:r w:rsidRPr="0004576F">
        <w:t xml:space="preserve">Qui, </w:t>
      </w:r>
      <w:r w:rsidRPr="0004576F">
        <w:rPr>
          <w:i/>
        </w:rPr>
        <w:t>in concreto</w:t>
      </w:r>
      <w:r w:rsidRPr="0004576F">
        <w:t>, sera Hitler.</w:t>
      </w:r>
    </w:p>
  </w:footnote>
  <w:footnote w:id="785">
    <w:p w14:paraId="20D0DF04" w14:textId="77777777" w:rsidR="00B01930" w:rsidRDefault="00B01930">
      <w:pPr>
        <w:pStyle w:val="Notedebasdepage"/>
      </w:pPr>
      <w:r>
        <w:rPr>
          <w:rStyle w:val="Appelnotedebasdep"/>
        </w:rPr>
        <w:footnoteRef/>
      </w:r>
      <w:r>
        <w:t xml:space="preserve"> </w:t>
      </w:r>
      <w:r>
        <w:tab/>
      </w:r>
      <w:r w:rsidRPr="0004576F">
        <w:t>Heinrich Meier, p. 31.</w:t>
      </w:r>
    </w:p>
  </w:footnote>
  <w:footnote w:id="786">
    <w:p w14:paraId="0808613E" w14:textId="77777777" w:rsidR="00B01930" w:rsidRDefault="00B01930">
      <w:pPr>
        <w:pStyle w:val="Notedebasdepage"/>
      </w:pPr>
      <w:r>
        <w:rPr>
          <w:rStyle w:val="Appelnotedebasdep"/>
        </w:rPr>
        <w:footnoteRef/>
      </w:r>
      <w:r>
        <w:t xml:space="preserve"> </w:t>
      </w:r>
      <w:r>
        <w:tab/>
      </w:r>
      <w:r w:rsidRPr="0004576F">
        <w:t xml:space="preserve">Cf. Olivier Beaud, Préface à l’ouvrage de Carl Schmitt, </w:t>
      </w:r>
      <w:r w:rsidRPr="0004576F">
        <w:rPr>
          <w:i/>
        </w:rPr>
        <w:t>Théorie de la Const</w:t>
      </w:r>
      <w:r w:rsidRPr="0004576F">
        <w:rPr>
          <w:i/>
        </w:rPr>
        <w:t>i</w:t>
      </w:r>
      <w:r w:rsidRPr="0004576F">
        <w:rPr>
          <w:i/>
        </w:rPr>
        <w:t>tution</w:t>
      </w:r>
      <w:r w:rsidRPr="0004576F">
        <w:t xml:space="preserve">…, </w:t>
      </w:r>
      <w:r w:rsidRPr="0004576F">
        <w:rPr>
          <w:i/>
        </w:rPr>
        <w:t>op. cit.</w:t>
      </w:r>
      <w:r w:rsidRPr="0004576F">
        <w:t>, p. 52.</w:t>
      </w:r>
    </w:p>
  </w:footnote>
  <w:footnote w:id="787">
    <w:p w14:paraId="44873142" w14:textId="77777777" w:rsidR="00B01930" w:rsidRDefault="00B01930">
      <w:pPr>
        <w:pStyle w:val="Notedebasdepage"/>
      </w:pPr>
      <w:r>
        <w:rPr>
          <w:rStyle w:val="Appelnotedebasdep"/>
        </w:rPr>
        <w:footnoteRef/>
      </w:r>
      <w:r>
        <w:t xml:space="preserve"> </w:t>
      </w:r>
      <w:r>
        <w:tab/>
      </w:r>
      <w:r w:rsidRPr="0004576F">
        <w:t>Alors même que dans son combat, il avait récusé le jusnaturalisme.</w:t>
      </w:r>
    </w:p>
  </w:footnote>
  <w:footnote w:id="788">
    <w:p w14:paraId="1179917D" w14:textId="77777777" w:rsidR="00B01930" w:rsidRDefault="00B01930">
      <w:pPr>
        <w:pStyle w:val="Notedebasdepage"/>
      </w:pPr>
      <w:r>
        <w:rPr>
          <w:rStyle w:val="Appelnotedebasdep"/>
        </w:rPr>
        <w:footnoteRef/>
      </w:r>
      <w:r>
        <w:t xml:space="preserve"> </w:t>
      </w:r>
      <w:r>
        <w:tab/>
      </w:r>
      <w:r w:rsidRPr="0004576F">
        <w:t xml:space="preserve">Cf. Olivier Beaud, Préface à l’ouvrage de Carl Schmitt, </w:t>
      </w:r>
      <w:r w:rsidRPr="0004576F">
        <w:rPr>
          <w:i/>
        </w:rPr>
        <w:t>Théorie de la Const</w:t>
      </w:r>
      <w:r w:rsidRPr="0004576F">
        <w:rPr>
          <w:i/>
        </w:rPr>
        <w:t>i</w:t>
      </w:r>
      <w:r w:rsidRPr="0004576F">
        <w:rPr>
          <w:i/>
        </w:rPr>
        <w:t>tution</w:t>
      </w:r>
      <w:r w:rsidRPr="0004576F">
        <w:t xml:space="preserve">…, </w:t>
      </w:r>
      <w:r w:rsidRPr="0004576F">
        <w:rPr>
          <w:i/>
        </w:rPr>
        <w:t>op. cit.</w:t>
      </w:r>
      <w:r w:rsidRPr="0004576F">
        <w:t>, p. 56.</w:t>
      </w:r>
    </w:p>
  </w:footnote>
  <w:footnote w:id="789">
    <w:p w14:paraId="7FCF1A16" w14:textId="77777777" w:rsidR="00B01930" w:rsidRDefault="00B01930">
      <w:pPr>
        <w:pStyle w:val="Notedebasdepage"/>
      </w:pPr>
      <w:r>
        <w:rPr>
          <w:rStyle w:val="Appelnotedebasdep"/>
        </w:rPr>
        <w:footnoteRef/>
      </w:r>
      <w:r>
        <w:t xml:space="preserve"> </w:t>
      </w:r>
      <w:r>
        <w:tab/>
      </w:r>
      <w:r w:rsidRPr="0004576F">
        <w:rPr>
          <w:i/>
        </w:rPr>
        <w:t>Ibidem</w:t>
      </w:r>
      <w:r w:rsidRPr="0004576F">
        <w:t>, p. 54 – et lorsqu’il parlera des droits fondamentaux, il placera les v</w:t>
      </w:r>
      <w:r w:rsidRPr="0004576F">
        <w:t>a</w:t>
      </w:r>
      <w:r w:rsidRPr="0004576F">
        <w:t>leurs chr</w:t>
      </w:r>
      <w:r w:rsidRPr="0004576F">
        <w:t>é</w:t>
      </w:r>
      <w:r w:rsidRPr="0004576F">
        <w:t>tiennes, ainsi que les principes constitutionnels non révisables.</w:t>
      </w:r>
    </w:p>
  </w:footnote>
  <w:footnote w:id="790">
    <w:p w14:paraId="4728A83E" w14:textId="77777777" w:rsidR="00B01930" w:rsidRDefault="00B01930">
      <w:pPr>
        <w:pStyle w:val="Notedebasdepage"/>
      </w:pPr>
      <w:r>
        <w:rPr>
          <w:rStyle w:val="Appelnotedebasdep"/>
        </w:rPr>
        <w:footnoteRef/>
      </w:r>
      <w:r>
        <w:t xml:space="preserve"> </w:t>
      </w:r>
      <w:r>
        <w:tab/>
      </w:r>
      <w:r w:rsidRPr="0004576F">
        <w:t>Rappelons ici, encore, qu’être nazi n’entraîna jamais l’excommunication, alors que c’était la sanction « automatique » si on était communiste ou si on lisait, par exemple, la presse communiste (etc.). Cf. notre contribution dans cet ouvrage concernant une lecture martrienne de la pensée de Teilhard de Cha</w:t>
      </w:r>
      <w:r w:rsidRPr="0004576F">
        <w:t>r</w:t>
      </w:r>
      <w:r w:rsidRPr="0004576F">
        <w:t xml:space="preserve">din, note </w:t>
      </w:r>
      <w:r w:rsidRPr="0004576F">
        <w:rPr>
          <w:vertAlign w:val="superscript"/>
        </w:rPr>
        <w:t>37</w:t>
      </w:r>
      <w:r w:rsidRPr="0004576F">
        <w:t>.</w:t>
      </w:r>
    </w:p>
  </w:footnote>
  <w:footnote w:id="791">
    <w:p w14:paraId="7DCB1BE0" w14:textId="77777777" w:rsidR="00B01930" w:rsidRDefault="00B01930">
      <w:pPr>
        <w:pStyle w:val="Notedebasdepage"/>
      </w:pPr>
      <w:r>
        <w:rPr>
          <w:rStyle w:val="Appelnotedebasdep"/>
        </w:rPr>
        <w:footnoteRef/>
      </w:r>
      <w:r>
        <w:t xml:space="preserve"> </w:t>
      </w:r>
      <w:r>
        <w:tab/>
      </w:r>
      <w:r w:rsidRPr="0004576F">
        <w:t xml:space="preserve">Cf. Olivier Beaud, Préface à l’ouvrage de Carl Schmitt, </w:t>
      </w:r>
      <w:r w:rsidRPr="0004576F">
        <w:rPr>
          <w:i/>
        </w:rPr>
        <w:t>Théorie de la Const</w:t>
      </w:r>
      <w:r w:rsidRPr="0004576F">
        <w:rPr>
          <w:i/>
        </w:rPr>
        <w:t>i</w:t>
      </w:r>
      <w:r w:rsidRPr="0004576F">
        <w:rPr>
          <w:i/>
        </w:rPr>
        <w:t>tution</w:t>
      </w:r>
      <w:r w:rsidRPr="0004576F">
        <w:t xml:space="preserve">…, </w:t>
      </w:r>
      <w:r w:rsidRPr="0004576F">
        <w:rPr>
          <w:i/>
        </w:rPr>
        <w:t>op. cit.</w:t>
      </w:r>
      <w:r w:rsidRPr="0004576F">
        <w:t>, p. 24. C’est nous qui soulignons.</w:t>
      </w:r>
    </w:p>
  </w:footnote>
  <w:footnote w:id="792">
    <w:p w14:paraId="73F959E8" w14:textId="77777777" w:rsidR="00B01930" w:rsidRDefault="00B01930">
      <w:pPr>
        <w:pStyle w:val="Notedebasdepage"/>
      </w:pPr>
      <w:r>
        <w:rPr>
          <w:rStyle w:val="Appelnotedebasdep"/>
        </w:rPr>
        <w:footnoteRef/>
      </w:r>
      <w:r>
        <w:t xml:space="preserve"> </w:t>
      </w:r>
      <w:r>
        <w:tab/>
      </w:r>
      <w:r w:rsidRPr="0004576F">
        <w:t xml:space="preserve">Henri Meier, cité par Olivier Beaud, </w:t>
      </w:r>
      <w:r w:rsidRPr="0004576F">
        <w:rPr>
          <w:i/>
        </w:rPr>
        <w:t>ibidem</w:t>
      </w:r>
      <w:r w:rsidRPr="0004576F">
        <w:t>.</w:t>
      </w:r>
    </w:p>
  </w:footnote>
  <w:footnote w:id="793">
    <w:p w14:paraId="3FFB0B19" w14:textId="77777777" w:rsidR="00B01930" w:rsidRDefault="00B01930">
      <w:pPr>
        <w:pStyle w:val="Notedebasdepage"/>
      </w:pPr>
      <w:r>
        <w:rPr>
          <w:rStyle w:val="Appelnotedebasdep"/>
        </w:rPr>
        <w:footnoteRef/>
      </w:r>
      <w:r>
        <w:t xml:space="preserve"> </w:t>
      </w:r>
      <w:r>
        <w:tab/>
      </w:r>
      <w:r w:rsidRPr="0004576F">
        <w:t>Cf. l’après-guerre de 1945, en totale cohérence avec la logique du Code.</w:t>
      </w:r>
    </w:p>
  </w:footnote>
  <w:footnote w:id="794">
    <w:p w14:paraId="1CE594A0" w14:textId="77777777" w:rsidR="00B01930" w:rsidRDefault="00B01930">
      <w:pPr>
        <w:pStyle w:val="Notedebasdepage"/>
      </w:pPr>
      <w:r>
        <w:rPr>
          <w:rStyle w:val="Appelnotedebasdep"/>
        </w:rPr>
        <w:footnoteRef/>
      </w:r>
      <w:r>
        <w:t xml:space="preserve"> </w:t>
      </w:r>
      <w:r>
        <w:tab/>
      </w:r>
      <w:r w:rsidRPr="0004576F">
        <w:t>Les Églises allemandes sous le nazisme, d’ailleurs, ne furent pas « résistantes » collect</w:t>
      </w:r>
      <w:r w:rsidRPr="0004576F">
        <w:t>i</w:t>
      </w:r>
      <w:r w:rsidRPr="0004576F">
        <w:t>vement, comme Institutions, même si des individus le furent, sans soutien de leur Église. Cf. R</w:t>
      </w:r>
      <w:r w:rsidRPr="0004576F">
        <w:t>a</w:t>
      </w:r>
      <w:r w:rsidRPr="0004576F">
        <w:t xml:space="preserve">phaël Gross, </w:t>
      </w:r>
      <w:r w:rsidRPr="0004576F">
        <w:rPr>
          <w:i/>
        </w:rPr>
        <w:t>op. cit.</w:t>
      </w:r>
      <w:r w:rsidRPr="0004576F">
        <w:t>, p. 295.</w:t>
      </w:r>
    </w:p>
  </w:footnote>
  <w:footnote w:id="795">
    <w:p w14:paraId="2E839019" w14:textId="77777777" w:rsidR="00B01930" w:rsidRDefault="00B01930">
      <w:pPr>
        <w:pStyle w:val="Notedebasdepage"/>
      </w:pPr>
      <w:r>
        <w:rPr>
          <w:rStyle w:val="Appelnotedebasdep"/>
        </w:rPr>
        <w:footnoteRef/>
      </w:r>
      <w:r>
        <w:t xml:space="preserve"> </w:t>
      </w:r>
      <w:r>
        <w:tab/>
      </w:r>
      <w:r w:rsidRPr="0004576F">
        <w:t>Les communistes qui quittaient leur parti, reproduisaient le même radicali</w:t>
      </w:r>
      <w:r w:rsidRPr="0004576F">
        <w:t>s</w:t>
      </w:r>
      <w:r w:rsidRPr="0004576F">
        <w:t>me, mais avec un discours anti-communiste. Comme aujourd’hui nombre d’anciens trostkystes versent dans « l’ultra-libéralisme », puisque c’est le C</w:t>
      </w:r>
      <w:r w:rsidRPr="0004576F">
        <w:t>o</w:t>
      </w:r>
      <w:r w:rsidRPr="0004576F">
        <w:t>de n° 1 qui préside à leur discours et eng</w:t>
      </w:r>
      <w:r w:rsidRPr="0004576F">
        <w:t>a</w:t>
      </w:r>
      <w:r w:rsidRPr="0004576F">
        <w:t>gement.</w:t>
      </w:r>
    </w:p>
  </w:footnote>
  <w:footnote w:id="796">
    <w:p w14:paraId="083BDDFC" w14:textId="77777777" w:rsidR="00B01930" w:rsidRDefault="00B01930">
      <w:pPr>
        <w:pStyle w:val="Notedebasdepage"/>
      </w:pPr>
      <w:r>
        <w:rPr>
          <w:rStyle w:val="Appelnotedebasdep"/>
        </w:rPr>
        <w:footnoteRef/>
      </w:r>
      <w:r>
        <w:t xml:space="preserve"> </w:t>
      </w:r>
      <w:r>
        <w:tab/>
      </w:r>
      <w:r w:rsidRPr="0004576F">
        <w:t xml:space="preserve">Augustin Simard, </w:t>
      </w:r>
      <w:r w:rsidRPr="0004576F">
        <w:rPr>
          <w:i/>
        </w:rPr>
        <w:t>op. cit.</w:t>
      </w:r>
      <w:r w:rsidRPr="0004576F">
        <w:t>, p.117.</w:t>
      </w:r>
    </w:p>
  </w:footnote>
  <w:footnote w:id="797">
    <w:p w14:paraId="7BBFCA49" w14:textId="77777777" w:rsidR="00B01930" w:rsidRDefault="00B01930">
      <w:pPr>
        <w:pStyle w:val="Notedebasdepage"/>
      </w:pPr>
      <w:r>
        <w:rPr>
          <w:rStyle w:val="Appelnotedebasdep"/>
        </w:rPr>
        <w:footnoteRef/>
      </w:r>
      <w:r>
        <w:t xml:space="preserve"> </w:t>
      </w:r>
      <w:r>
        <w:tab/>
      </w:r>
      <w:r w:rsidRPr="0004576F">
        <w:t>Il est certain que la République de Weimar était confrontée à ces questions : pouvait-on déclarer hors-la-loi le parti nazi, dont le programme visait à su</w:t>
      </w:r>
      <w:r w:rsidRPr="0004576F">
        <w:t>p</w:t>
      </w:r>
      <w:r w:rsidRPr="0004576F">
        <w:t>primer la Constitution et le régime, alors même qu’il participait aux éle</w:t>
      </w:r>
      <w:r w:rsidRPr="0004576F">
        <w:t>c</w:t>
      </w:r>
      <w:r w:rsidRPr="0004576F">
        <w:t>tions ? Peut-on encadrer juridiquement, de façon préventive, ce qui, par déf</w:t>
      </w:r>
      <w:r w:rsidRPr="0004576F">
        <w:t>i</w:t>
      </w:r>
      <w:r w:rsidRPr="0004576F">
        <w:t>nition, est exceptionnel ? Le positivisme juridique n’a pas su répondre à la situ</w:t>
      </w:r>
      <w:r w:rsidRPr="0004576F">
        <w:t>a</w:t>
      </w:r>
      <w:r w:rsidRPr="0004576F">
        <w:t>tion. On pense, par exemple, aussi, aux guerres de religion pour ce qui est la légitimité du pouvoir.</w:t>
      </w:r>
    </w:p>
  </w:footnote>
  <w:footnote w:id="798">
    <w:p w14:paraId="07C04623" w14:textId="77777777" w:rsidR="00B01930" w:rsidRDefault="00B01930">
      <w:pPr>
        <w:pStyle w:val="Notedebasdepage"/>
      </w:pPr>
      <w:r>
        <w:rPr>
          <w:rStyle w:val="Appelnotedebasdep"/>
        </w:rPr>
        <w:footnoteRef/>
      </w:r>
      <w:r>
        <w:t xml:space="preserve"> </w:t>
      </w:r>
      <w:r>
        <w:tab/>
      </w:r>
      <w:r w:rsidRPr="0004576F">
        <w:t>Par exemple, l’interruption du processus électoral en Algérie en 1992, lor</w:t>
      </w:r>
      <w:r w:rsidRPr="0004576F">
        <w:t>s</w:t>
      </w:r>
      <w:r w:rsidRPr="0004576F">
        <w:t>qu’il apparut que le FIS (Front islamique du Salut) allait obtenir la victoire ; même scénario en Égypte avec la destit</w:t>
      </w:r>
      <w:r w:rsidRPr="0004576F">
        <w:t>u</w:t>
      </w:r>
      <w:r w:rsidRPr="0004576F">
        <w:t>tion du président élu M. Morsi (Parti des frères musulmans), par le général Abdel Fallah al-Sissi, en juillet 2013. Pensons aussi à la République Fédérale Allemande, confrontée à la RAF (</w:t>
      </w:r>
      <w:r w:rsidRPr="0004576F">
        <w:rPr>
          <w:i/>
        </w:rPr>
        <w:t>Rote Armée Fraktion</w:t>
      </w:r>
      <w:r w:rsidRPr="0004576F">
        <w:t>, « bande à</w:t>
      </w:r>
    </w:p>
  </w:footnote>
  <w:footnote w:id="799">
    <w:p w14:paraId="764F6AAD" w14:textId="77777777" w:rsidR="00B01930" w:rsidRDefault="00B01930">
      <w:pPr>
        <w:pStyle w:val="Notedebasdepage"/>
      </w:pPr>
      <w:r>
        <w:rPr>
          <w:rStyle w:val="Appelnotedebasdep"/>
        </w:rPr>
        <w:footnoteRef/>
      </w:r>
      <w:r>
        <w:t xml:space="preserve"> </w:t>
      </w:r>
      <w:r>
        <w:tab/>
      </w:r>
      <w:r w:rsidRPr="0004576F">
        <w:t xml:space="preserve">Robert Kolb, </w:t>
      </w:r>
      <w:r w:rsidRPr="0004576F">
        <w:rPr>
          <w:i/>
        </w:rPr>
        <w:t>op. cit.</w:t>
      </w:r>
      <w:r w:rsidRPr="0004576F">
        <w:t>, p. 104.</w:t>
      </w:r>
    </w:p>
  </w:footnote>
  <w:footnote w:id="800">
    <w:p w14:paraId="5FBC775E" w14:textId="77777777" w:rsidR="00B01930" w:rsidRDefault="00B01930">
      <w:pPr>
        <w:pStyle w:val="Notedebasdepage"/>
      </w:pPr>
      <w:r>
        <w:rPr>
          <w:rStyle w:val="Appelnotedebasdep"/>
        </w:rPr>
        <w:footnoteRef/>
      </w:r>
      <w:r>
        <w:t xml:space="preserve"> </w:t>
      </w:r>
      <w:r>
        <w:tab/>
      </w:r>
      <w:r w:rsidRPr="0004576F">
        <w:t>Pour reprendre le titre d’un ouvrage de Claude Lévi-Strauss, Paris, Plon, 1983.</w:t>
      </w:r>
    </w:p>
  </w:footnote>
  <w:footnote w:id="801">
    <w:p w14:paraId="5C3C2930" w14:textId="77777777" w:rsidR="00B01930" w:rsidRDefault="00B01930">
      <w:pPr>
        <w:pStyle w:val="Notedebasdepage"/>
      </w:pPr>
      <w:r>
        <w:rPr>
          <w:rStyle w:val="Appelnotedebasdep"/>
        </w:rPr>
        <w:footnoteRef/>
      </w:r>
      <w:r>
        <w:t xml:space="preserve"> </w:t>
      </w:r>
      <w:r>
        <w:tab/>
      </w:r>
      <w:r w:rsidRPr="0004576F">
        <w:t xml:space="preserve">Jachy Hummel, recension de l’ouvrage de Jean-François Kervégan, </w:t>
      </w:r>
      <w:r w:rsidRPr="0004576F">
        <w:rPr>
          <w:i/>
        </w:rPr>
        <w:t>Que faire de Carl Schmitt ?</w:t>
      </w:r>
      <w:r w:rsidRPr="0004576F">
        <w:t xml:space="preserve">, </w:t>
      </w:r>
      <w:r w:rsidRPr="0004576F">
        <w:rPr>
          <w:i/>
        </w:rPr>
        <w:t>op. cit</w:t>
      </w:r>
      <w:r>
        <w:t xml:space="preserve">. Sur le site </w:t>
      </w:r>
      <w:hyperlink r:id="rId27" w:history="1">
        <w:r w:rsidRPr="00834B21">
          <w:rPr>
            <w:rStyle w:val="Hyperlien"/>
            <w:i/>
          </w:rPr>
          <w:t>Jus Politicum</w:t>
        </w:r>
      </w:hyperlink>
      <w:r>
        <w:t>, revue de droit politique.</w:t>
      </w:r>
    </w:p>
  </w:footnote>
  <w:footnote w:id="802">
    <w:p w14:paraId="0B0500B0" w14:textId="77777777" w:rsidR="00B01930" w:rsidRDefault="00B01930">
      <w:pPr>
        <w:pStyle w:val="Notedebasdepage"/>
      </w:pPr>
      <w:r>
        <w:rPr>
          <w:rStyle w:val="Appelnotedebasdep"/>
        </w:rPr>
        <w:footnoteRef/>
      </w:r>
      <w:r>
        <w:t xml:space="preserve"> </w:t>
      </w:r>
      <w:r>
        <w:tab/>
      </w:r>
      <w:r w:rsidRPr="0004576F">
        <w:t xml:space="preserve">Ces quelques lignes s’appuient, </w:t>
      </w:r>
      <w:r w:rsidRPr="0004576F">
        <w:rPr>
          <w:i/>
        </w:rPr>
        <w:t>notamment</w:t>
      </w:r>
      <w:r w:rsidRPr="0004576F">
        <w:t>, sur les ouvrages et textes de : D</w:t>
      </w:r>
      <w:r w:rsidRPr="0004576F">
        <w:t>o</w:t>
      </w:r>
      <w:r w:rsidRPr="0004576F">
        <w:t xml:space="preserve">natella Di Cesare (ex-vice-présidente de l’association internationale </w:t>
      </w:r>
      <w:r w:rsidRPr="0004576F">
        <w:rPr>
          <w:i/>
        </w:rPr>
        <w:t>Martin Heidegger-Gesellchaft</w:t>
      </w:r>
      <w:r w:rsidRPr="0004576F">
        <w:t xml:space="preserve">, 2011-2015), </w:t>
      </w:r>
      <w:r w:rsidRPr="0004576F">
        <w:rPr>
          <w:i/>
        </w:rPr>
        <w:t>Heidegger, les Juifs, la Shoah, les c</w:t>
      </w:r>
      <w:r w:rsidRPr="0004576F">
        <w:rPr>
          <w:i/>
        </w:rPr>
        <w:t>a</w:t>
      </w:r>
      <w:r w:rsidRPr="0004576F">
        <w:rPr>
          <w:i/>
        </w:rPr>
        <w:t>hiers noirs</w:t>
      </w:r>
      <w:r w:rsidRPr="0004576F">
        <w:t>, Paris, Seuil, 2016 [l’auteur s’appuie sur l’ensemble de l’œuvre de Heidegger, en langue allema</w:t>
      </w:r>
      <w:r w:rsidRPr="0004576F">
        <w:t>n</w:t>
      </w:r>
      <w:r w:rsidRPr="0004576F">
        <w:t xml:space="preserve">de] dans notre texte nous citerons cet ouvrage par l’abréviation DDC – M-A. Lescourret (dir.), </w:t>
      </w:r>
      <w:r w:rsidRPr="0004576F">
        <w:rPr>
          <w:i/>
        </w:rPr>
        <w:t>La Dette et la distance</w:t>
      </w:r>
      <w:r w:rsidRPr="0004576F">
        <w:t xml:space="preserve">, </w:t>
      </w:r>
      <w:r w:rsidRPr="0004576F">
        <w:rPr>
          <w:i/>
        </w:rPr>
        <w:t>de quelques élèves et lecteurs juifs de Heidegger</w:t>
      </w:r>
      <w:r w:rsidRPr="0004576F">
        <w:t>, Paris, éd. de l’Éclat, 2014 ; P</w:t>
      </w:r>
      <w:r w:rsidRPr="0004576F">
        <w:t>e</w:t>
      </w:r>
      <w:r w:rsidRPr="0004576F">
        <w:t xml:space="preserve">ter Trawny, </w:t>
      </w:r>
      <w:r w:rsidRPr="0004576F">
        <w:rPr>
          <w:i/>
        </w:rPr>
        <w:t>Heidegger et l’antisémitisme, sur les cahiers noirs,</w:t>
      </w:r>
      <w:r w:rsidRPr="0004576F">
        <w:t xml:space="preserve"> Paris, Seuil, 2014 ; Rüd</w:t>
      </w:r>
      <w:r w:rsidRPr="0004576F">
        <w:t>i</w:t>
      </w:r>
      <w:r w:rsidRPr="0004576F">
        <w:t xml:space="preserve">ger Safranski, </w:t>
      </w:r>
      <w:r w:rsidRPr="0004576F">
        <w:rPr>
          <w:i/>
        </w:rPr>
        <w:t>Heidegger et son temps</w:t>
      </w:r>
      <w:r w:rsidRPr="0004576F">
        <w:t xml:space="preserve">, Paris, Grasset, 1996, éd. Le livre de Poche, Biblio essais, 2000 ; cf. l’ancien ouvrage de Victoire Farias, </w:t>
      </w:r>
      <w:r w:rsidRPr="0004576F">
        <w:rPr>
          <w:i/>
        </w:rPr>
        <w:t>Heidegger et le nazisme</w:t>
      </w:r>
      <w:r w:rsidRPr="0004576F">
        <w:t>, Paris, Éditions Verdier, 1987, r</w:t>
      </w:r>
      <w:r w:rsidRPr="0004576F">
        <w:t>é</w:t>
      </w:r>
      <w:r w:rsidRPr="0004576F">
        <w:t xml:space="preserve">édité en Livre de Poche ; une biographie récente, Guillaume Payen, </w:t>
      </w:r>
      <w:r w:rsidRPr="0004576F">
        <w:rPr>
          <w:i/>
        </w:rPr>
        <w:t>Martin Heidegger. Cathol</w:t>
      </w:r>
      <w:r w:rsidRPr="0004576F">
        <w:rPr>
          <w:i/>
        </w:rPr>
        <w:t>i</w:t>
      </w:r>
      <w:r w:rsidRPr="0004576F">
        <w:rPr>
          <w:i/>
        </w:rPr>
        <w:t>cisme, révolution nazisme</w:t>
      </w:r>
      <w:r w:rsidRPr="0004576F">
        <w:t xml:space="preserve">, Paris, Perrin, 2016 ; cf. également l’ouvrage récent de Stéphane Domeracki, </w:t>
      </w:r>
      <w:r w:rsidRPr="0004576F">
        <w:rPr>
          <w:i/>
        </w:rPr>
        <w:t>Heidegger et sa solution finale. Essai sur la vi</w:t>
      </w:r>
      <w:r w:rsidRPr="0004576F">
        <w:rPr>
          <w:i/>
        </w:rPr>
        <w:t>o</w:t>
      </w:r>
      <w:r w:rsidRPr="0004576F">
        <w:rPr>
          <w:i/>
        </w:rPr>
        <w:t>lence de la pensée</w:t>
      </w:r>
      <w:r w:rsidRPr="0004576F">
        <w:t>, Internet, 2016, Connaissances et Savoirs, Éditeurs universita</w:t>
      </w:r>
      <w:r w:rsidRPr="0004576F">
        <w:t>i</w:t>
      </w:r>
      <w:r w:rsidRPr="0004576F">
        <w:t>res.</w:t>
      </w:r>
    </w:p>
  </w:footnote>
  <w:footnote w:id="803">
    <w:p w14:paraId="59F82924" w14:textId="77777777" w:rsidR="00B01930" w:rsidRDefault="00B01930">
      <w:pPr>
        <w:pStyle w:val="Notedebasdepage"/>
      </w:pPr>
      <w:r>
        <w:rPr>
          <w:rStyle w:val="Appelnotedebasdep"/>
        </w:rPr>
        <w:footnoteRef/>
      </w:r>
      <w:r>
        <w:t xml:space="preserve"> </w:t>
      </w:r>
      <w:r>
        <w:tab/>
      </w:r>
      <w:r w:rsidRPr="0004576F">
        <w:t>Bien analysée par Jean Louis Martres dans son ouvrage non di</w:t>
      </w:r>
      <w:r w:rsidRPr="0004576F">
        <w:t>f</w:t>
      </w:r>
      <w:r w:rsidRPr="0004576F">
        <w:t>fusé à ce jour « </w:t>
      </w:r>
      <w:r w:rsidRPr="0004576F">
        <w:rPr>
          <w:i/>
        </w:rPr>
        <w:t>Les</w:t>
      </w:r>
      <w:r w:rsidRPr="0004576F">
        <w:t xml:space="preserve"> </w:t>
      </w:r>
      <w:r w:rsidRPr="0004576F">
        <w:rPr>
          <w:i/>
        </w:rPr>
        <w:t>grilles de ... </w:t>
      </w:r>
      <w:r w:rsidRPr="0004576F">
        <w:t>» ; voir notre prélude : « </w:t>
      </w:r>
      <w:r w:rsidRPr="0004576F">
        <w:rPr>
          <w:i/>
        </w:rPr>
        <w:t>Le Maître caché </w:t>
      </w:r>
      <w:r w:rsidRPr="0004576F">
        <w:t>», et  notre contribution : « </w:t>
      </w:r>
      <w:r w:rsidRPr="0004576F">
        <w:rPr>
          <w:i/>
        </w:rPr>
        <w:t>Introduction critique.</w:t>
      </w:r>
      <w:r w:rsidRPr="0004576F">
        <w:t>. ».</w:t>
      </w:r>
    </w:p>
  </w:footnote>
  <w:footnote w:id="804">
    <w:p w14:paraId="204F35AD" w14:textId="77777777" w:rsidR="00B01930" w:rsidRDefault="00B01930">
      <w:pPr>
        <w:pStyle w:val="Notedebasdepage"/>
      </w:pPr>
      <w:r>
        <w:rPr>
          <w:rStyle w:val="Appelnotedebasdep"/>
        </w:rPr>
        <w:footnoteRef/>
      </w:r>
      <w:r>
        <w:t xml:space="preserve"> </w:t>
      </w:r>
      <w:r>
        <w:tab/>
      </w:r>
      <w:r w:rsidRPr="0004576F">
        <w:t>Les mots : « clique », « complot », « herméneutes moraux », etc. émaillent le débat.</w:t>
      </w:r>
    </w:p>
  </w:footnote>
  <w:footnote w:id="805">
    <w:p w14:paraId="19CB0165" w14:textId="77777777" w:rsidR="00B01930" w:rsidRDefault="00B01930">
      <w:pPr>
        <w:pStyle w:val="Notedebasdepage"/>
      </w:pPr>
      <w:r>
        <w:rPr>
          <w:rStyle w:val="Appelnotedebasdep"/>
        </w:rPr>
        <w:footnoteRef/>
      </w:r>
      <w:r>
        <w:t xml:space="preserve"> </w:t>
      </w:r>
      <w:r>
        <w:tab/>
      </w:r>
      <w:r w:rsidRPr="0004576F">
        <w:rPr>
          <w:i/>
        </w:rPr>
        <w:t>Cf</w:t>
      </w:r>
      <w:r w:rsidRPr="0004576F">
        <w:t>. Victor Farias, « </w:t>
      </w:r>
      <w:r w:rsidRPr="0004576F">
        <w:rPr>
          <w:i/>
        </w:rPr>
        <w:t>Heidegger et le nazisme </w:t>
      </w:r>
      <w:r w:rsidRPr="0004576F">
        <w:t>», Verdier, 1987 – Emmanuel Faye, « </w:t>
      </w:r>
      <w:r w:rsidRPr="0004576F">
        <w:rPr>
          <w:i/>
        </w:rPr>
        <w:t>Heidegger, l’introduction du nazisme dans la ph</w:t>
      </w:r>
      <w:r w:rsidRPr="0004576F">
        <w:rPr>
          <w:i/>
        </w:rPr>
        <w:t>i</w:t>
      </w:r>
      <w:r w:rsidRPr="0004576F">
        <w:rPr>
          <w:i/>
        </w:rPr>
        <w:t>losophie </w:t>
      </w:r>
      <w:r w:rsidRPr="0004576F">
        <w:t>», Albin Michel, 2005.</w:t>
      </w:r>
    </w:p>
  </w:footnote>
  <w:footnote w:id="806">
    <w:p w14:paraId="1C01477A" w14:textId="77777777" w:rsidR="00B01930" w:rsidRDefault="00B01930">
      <w:pPr>
        <w:pStyle w:val="Notedebasdepage"/>
      </w:pPr>
      <w:r>
        <w:rPr>
          <w:rStyle w:val="Appelnotedebasdep"/>
        </w:rPr>
        <w:footnoteRef/>
      </w:r>
      <w:r>
        <w:t xml:space="preserve"> </w:t>
      </w:r>
      <w:r>
        <w:tab/>
      </w:r>
      <w:r w:rsidRPr="0004576F">
        <w:t>DDC, p.25. Voir aussi, par exemples,  : François Rastier, « Heidegger a</w:t>
      </w:r>
      <w:r w:rsidRPr="0004576F">
        <w:t>u</w:t>
      </w:r>
      <w:r w:rsidRPr="0004576F">
        <w:t xml:space="preserve">jourd’hui » , </w:t>
      </w:r>
      <w:r w:rsidRPr="0004576F">
        <w:rPr>
          <w:i/>
        </w:rPr>
        <w:t>L</w:t>
      </w:r>
      <w:r w:rsidRPr="0004576F">
        <w:rPr>
          <w:i/>
        </w:rPr>
        <w:t>a</w:t>
      </w:r>
      <w:r w:rsidRPr="0004576F">
        <w:rPr>
          <w:i/>
        </w:rPr>
        <w:t>byrinthe,</w:t>
      </w:r>
      <w:r w:rsidRPr="0004576F">
        <w:t xml:space="preserve"> 33, 2009(2) pp.71-108, </w:t>
      </w:r>
      <w:hyperlink r:id="rId28" w:history="1">
        <w:r w:rsidRPr="0004576F">
          <w:rPr>
            <w:rStyle w:val="Hyperlien"/>
            <w:rFonts w:eastAsia="Times"/>
          </w:rPr>
          <w:t>http://labyrinthe.revues.org</w:t>
        </w:r>
      </w:hyperlink>
      <w:r w:rsidRPr="0004576F">
        <w:t xml:space="preserve"> - « Antisémitisme et opposition au libér</w:t>
      </w:r>
      <w:r w:rsidRPr="0004576F">
        <w:t>a</w:t>
      </w:r>
      <w:r w:rsidRPr="0004576F">
        <w:t xml:space="preserve">lisme chez Martin Heidegger et chez Carl Schmitt », </w:t>
      </w:r>
      <w:r w:rsidRPr="0004576F">
        <w:rPr>
          <w:i/>
        </w:rPr>
        <w:t>Séminaire du Centre Jean Gol</w:t>
      </w:r>
      <w:r w:rsidRPr="0004576F">
        <w:t xml:space="preserve">, introduction Richard Miller, 7 février 2014, </w:t>
      </w:r>
      <w:hyperlink r:id="rId29" w:history="1">
        <w:r w:rsidRPr="0004576F">
          <w:rPr>
            <w:rStyle w:val="Hyperlien"/>
            <w:rFonts w:eastAsia="Times"/>
          </w:rPr>
          <w:t>http://www.cjg.be</w:t>
        </w:r>
      </w:hyperlink>
      <w:r w:rsidRPr="0004576F">
        <w:t xml:space="preserve"> - Michel Cohen-Halimi et Francis C</w:t>
      </w:r>
      <w:r w:rsidRPr="0004576F">
        <w:t>o</w:t>
      </w:r>
      <w:r w:rsidRPr="0004576F">
        <w:t>hen ,« Le cas Trawny</w:t>
      </w:r>
      <w:r w:rsidRPr="0004576F">
        <w:rPr>
          <w:i/>
        </w:rPr>
        <w:t xml:space="preserve">, </w:t>
      </w:r>
      <w:r w:rsidRPr="0004576F">
        <w:t xml:space="preserve">à propos des cahiers noirs », 25 octobre 2015, </w:t>
      </w:r>
      <w:hyperlink r:id="rId30" w:history="1">
        <w:r w:rsidRPr="0004576F">
          <w:rPr>
            <w:rStyle w:val="Hyperlien"/>
            <w:rFonts w:eastAsia="Times"/>
          </w:rPr>
          <w:t>http://www.actu-philosophia.com</w:t>
        </w:r>
      </w:hyperlink>
      <w:r w:rsidRPr="0004576F">
        <w:t xml:space="preserve"> - Max Vincent, « L’Imposture He</w:t>
      </w:r>
      <w:r w:rsidRPr="0004576F">
        <w:t>i</w:t>
      </w:r>
      <w:r w:rsidRPr="0004576F">
        <w:t xml:space="preserve">degger », 2015, </w:t>
      </w:r>
      <w:hyperlink r:id="rId31" w:history="1">
        <w:r w:rsidRPr="0004576F">
          <w:rPr>
            <w:rStyle w:val="Hyperlien"/>
            <w:rFonts w:eastAsia="Times"/>
          </w:rPr>
          <w:t>http://lherbentrelepaves.fr</w:t>
        </w:r>
      </w:hyperlink>
      <w:r w:rsidRPr="0004576F">
        <w:t xml:space="preserve"> - « Heidegger est-il</w:t>
      </w:r>
      <w:r w:rsidRPr="0004576F">
        <w:rPr>
          <w:i/>
        </w:rPr>
        <w:t xml:space="preserve"> </w:t>
      </w:r>
      <w:r w:rsidRPr="0004576F">
        <w:t>nazi ?antisémite ? », e</w:t>
      </w:r>
      <w:r w:rsidRPr="0004576F">
        <w:t>n</w:t>
      </w:r>
      <w:r w:rsidRPr="0004576F">
        <w:t>tretien avec F. F</w:t>
      </w:r>
      <w:r w:rsidRPr="0004576F">
        <w:t>é</w:t>
      </w:r>
      <w:r w:rsidRPr="0004576F">
        <w:t xml:space="preserve">dier, avril 2014, </w:t>
      </w:r>
      <w:r w:rsidRPr="0004576F">
        <w:rPr>
          <w:i/>
        </w:rPr>
        <w:t>revue des deux mondes</w:t>
      </w:r>
      <w:r w:rsidRPr="0004576F">
        <w:t xml:space="preserve">, </w:t>
      </w:r>
      <w:hyperlink r:id="rId32" w:history="1">
        <w:r w:rsidRPr="0004576F">
          <w:rPr>
            <w:rStyle w:val="Hyperlien"/>
            <w:rFonts w:eastAsia="Times"/>
          </w:rPr>
          <w:t>http://www.pilefacelis.com/sollers/img</w:t>
        </w:r>
      </w:hyperlink>
      <w:r w:rsidRPr="0004576F">
        <w:t xml:space="preserve"> -  Fra</w:t>
      </w:r>
      <w:r w:rsidRPr="0004576F">
        <w:t>n</w:t>
      </w:r>
      <w:r w:rsidRPr="0004576F">
        <w:t xml:space="preserve">çois Rastier, « Heidegger et les juifs , un étrange colloque », 6 décembre 2015, </w:t>
      </w:r>
      <w:hyperlink r:id="rId33" w:history="1">
        <w:r w:rsidRPr="0004576F">
          <w:rPr>
            <w:rStyle w:val="Hyperlien"/>
            <w:rFonts w:eastAsia="Times"/>
          </w:rPr>
          <w:t>http://www.skildy.blog.lemonde.fr</w:t>
        </w:r>
      </w:hyperlink>
      <w:r w:rsidRPr="0004576F">
        <w:t xml:space="preserve"> - Nicolas Rousseau, </w:t>
      </w:r>
      <w:r w:rsidRPr="0004576F">
        <w:rPr>
          <w:i/>
        </w:rPr>
        <w:t>recension du livre de F. Rastier</w:t>
      </w:r>
      <w:r w:rsidRPr="0004576F">
        <w:t xml:space="preserve">, « Naufrage d’un prophète »,30 novembre 2015, </w:t>
      </w:r>
      <w:hyperlink r:id="rId34" w:history="1">
        <w:r w:rsidRPr="0004576F">
          <w:rPr>
            <w:rStyle w:val="Hyperlien"/>
            <w:rFonts w:eastAsia="Times"/>
          </w:rPr>
          <w:t>http://www.slate.fr</w:t>
        </w:r>
      </w:hyperlink>
      <w:r w:rsidRPr="0004576F">
        <w:t xml:space="preserve"> - F. Fédier, « Martin Heidegger et le monde juif », </w:t>
      </w:r>
      <w:r w:rsidRPr="0004576F">
        <w:rPr>
          <w:i/>
        </w:rPr>
        <w:t>Colloque</w:t>
      </w:r>
      <w:r w:rsidRPr="0004576F">
        <w:t xml:space="preserve"> « Heidegger et les juifs », 24 Janvier 2014, </w:t>
      </w:r>
      <w:hyperlink r:id="rId35" w:history="1">
        <w:r w:rsidRPr="0004576F">
          <w:rPr>
            <w:rStyle w:val="Hyperlien"/>
            <w:rFonts w:eastAsia="Times"/>
          </w:rPr>
          <w:t>http://www.parolesdesjours.fr</w:t>
        </w:r>
      </w:hyperlink>
      <w:r w:rsidRPr="0004576F">
        <w:t xml:space="preserve"> - Etienne Pinat, r</w:t>
      </w:r>
      <w:r w:rsidRPr="0004576F">
        <w:t>e</w:t>
      </w:r>
      <w:r w:rsidRPr="0004576F">
        <w:t>cension du « dictionnaire Martin Heide</w:t>
      </w:r>
      <w:r w:rsidRPr="0004576F">
        <w:t>g</w:t>
      </w:r>
      <w:r w:rsidRPr="0004576F">
        <w:t xml:space="preserve">ger », 3 février 2014, </w:t>
      </w:r>
      <w:hyperlink r:id="rId36" w:history="1">
        <w:r w:rsidRPr="0004576F">
          <w:rPr>
            <w:rStyle w:val="Hyperlien"/>
            <w:rFonts w:eastAsia="Times"/>
          </w:rPr>
          <w:t>http://www.actu-philosophia.com</w:t>
        </w:r>
      </w:hyperlink>
      <w:r w:rsidRPr="0004576F">
        <w:t xml:space="preserve"> - Edith Fuchs, « Heidegger et ”l’impensé juda</w:t>
      </w:r>
      <w:r w:rsidRPr="0004576F">
        <w:t>ï</w:t>
      </w:r>
      <w:r w:rsidRPr="0004576F">
        <w:t xml:space="preserve">que” ? », 4 mars 2015, </w:t>
      </w:r>
      <w:hyperlink r:id="rId37" w:history="1">
        <w:r w:rsidRPr="0004576F">
          <w:rPr>
            <w:rStyle w:val="Hyperlien"/>
            <w:rFonts w:eastAsia="Times"/>
          </w:rPr>
          <w:t>http://www.metezulle.fr</w:t>
        </w:r>
      </w:hyperlink>
      <w:r w:rsidRPr="0004576F">
        <w:t xml:space="preserve"> .</w:t>
      </w:r>
    </w:p>
  </w:footnote>
  <w:footnote w:id="807">
    <w:p w14:paraId="781FC73E" w14:textId="77777777" w:rsidR="00B01930" w:rsidRDefault="00B01930">
      <w:pPr>
        <w:pStyle w:val="Notedebasdepage"/>
      </w:pPr>
      <w:r>
        <w:rPr>
          <w:rStyle w:val="Appelnotedebasdep"/>
        </w:rPr>
        <w:footnoteRef/>
      </w:r>
      <w:r>
        <w:t xml:space="preserve"> </w:t>
      </w:r>
      <w:r>
        <w:tab/>
      </w:r>
      <w:r w:rsidRPr="0004576F">
        <w:rPr>
          <w:i/>
        </w:rPr>
        <w:t>Ibidem</w:t>
      </w:r>
      <w:r w:rsidRPr="0004576F">
        <w:t>, p. 18 et suiv.</w:t>
      </w:r>
    </w:p>
  </w:footnote>
  <w:footnote w:id="808">
    <w:p w14:paraId="762B9101" w14:textId="77777777" w:rsidR="00B01930" w:rsidRDefault="00B01930">
      <w:pPr>
        <w:pStyle w:val="Notedebasdepage"/>
      </w:pPr>
      <w:r>
        <w:rPr>
          <w:rStyle w:val="Appelnotedebasdep"/>
        </w:rPr>
        <w:footnoteRef/>
      </w:r>
      <w:r>
        <w:t xml:space="preserve"> </w:t>
      </w:r>
      <w:r>
        <w:tab/>
      </w:r>
      <w:r w:rsidRPr="0004576F">
        <w:t>« </w:t>
      </w:r>
      <w:r w:rsidRPr="0004576F">
        <w:rPr>
          <w:i/>
        </w:rPr>
        <w:t>Vies politiques</w:t>
      </w:r>
      <w:r w:rsidRPr="0004576F">
        <w:t>, » Gallimard, éd. 1986, cité également par DDC, p. 29.</w:t>
      </w:r>
    </w:p>
  </w:footnote>
  <w:footnote w:id="809">
    <w:p w14:paraId="0066BA65" w14:textId="77777777" w:rsidR="00B01930" w:rsidRDefault="00B01930">
      <w:pPr>
        <w:pStyle w:val="Notedebasdepage"/>
      </w:pPr>
      <w:r>
        <w:rPr>
          <w:rStyle w:val="Appelnotedebasdep"/>
        </w:rPr>
        <w:footnoteRef/>
      </w:r>
      <w:r>
        <w:t xml:space="preserve"> </w:t>
      </w:r>
      <w:r>
        <w:tab/>
      </w:r>
      <w:r w:rsidRPr="0004576F">
        <w:t>Trente-quatre cahiers en toile cirée noire – d’où leur nom – dont  la rédaction s’étend de 1930 à 1970 qui, de par leur écriture, leur contenu, et l’intention même de Heidegger sont des écrits philosophiques, partie intégrante de sa r</w:t>
      </w:r>
      <w:r w:rsidRPr="0004576F">
        <w:t>é</w:t>
      </w:r>
      <w:r w:rsidRPr="0004576F">
        <w:t xml:space="preserve">flexion. Cf. DDC, p. 22-23 et </w:t>
      </w:r>
      <w:r w:rsidRPr="0004576F">
        <w:rPr>
          <w:i/>
        </w:rPr>
        <w:t>passim</w:t>
      </w:r>
      <w:r w:rsidRPr="0004576F">
        <w:t>.</w:t>
      </w:r>
    </w:p>
  </w:footnote>
  <w:footnote w:id="810">
    <w:p w14:paraId="00095EE1" w14:textId="77777777" w:rsidR="00B01930" w:rsidRDefault="00B01930">
      <w:pPr>
        <w:pStyle w:val="Notedebasdepage"/>
      </w:pPr>
      <w:r>
        <w:rPr>
          <w:rStyle w:val="Appelnotedebasdep"/>
        </w:rPr>
        <w:footnoteRef/>
      </w:r>
      <w:r>
        <w:t xml:space="preserve"> </w:t>
      </w:r>
      <w:r>
        <w:tab/>
      </w:r>
      <w:r w:rsidRPr="0004576F">
        <w:t>Hormis les cahiers noirs, voir aussi les autres textes et en partic</w:t>
      </w:r>
      <w:r w:rsidRPr="0004576F">
        <w:t>u</w:t>
      </w:r>
      <w:r w:rsidRPr="0004576F">
        <w:t>lier les lettres à sa femme Elfride  de 1915 à 1970 (publiées en français en 2007) – se repo</w:t>
      </w:r>
      <w:r w:rsidRPr="0004576F">
        <w:t>r</w:t>
      </w:r>
      <w:r w:rsidRPr="0004576F">
        <w:t>ter aussi à D</w:t>
      </w:r>
      <w:r w:rsidRPr="0004576F">
        <w:rPr>
          <w:smallCaps/>
        </w:rPr>
        <w:t>dc</w:t>
      </w:r>
      <w:r w:rsidRPr="0004576F">
        <w:t xml:space="preserve">, </w:t>
      </w:r>
      <w:r w:rsidRPr="0004576F">
        <w:rPr>
          <w:i/>
        </w:rPr>
        <w:t>passim</w:t>
      </w:r>
      <w:r w:rsidRPr="0004576F">
        <w:t xml:space="preserve"> , et sa bibliographie p. 349-351.</w:t>
      </w:r>
    </w:p>
  </w:footnote>
  <w:footnote w:id="811">
    <w:p w14:paraId="02899B56" w14:textId="77777777" w:rsidR="00B01930" w:rsidRDefault="00B01930">
      <w:pPr>
        <w:pStyle w:val="Notedebasdepage"/>
      </w:pPr>
      <w:r>
        <w:rPr>
          <w:rStyle w:val="Appelnotedebasdep"/>
        </w:rPr>
        <w:footnoteRef/>
      </w:r>
      <w:r>
        <w:t xml:space="preserve"> </w:t>
      </w:r>
      <w:r>
        <w:tab/>
      </w:r>
      <w:r w:rsidRPr="0004576F">
        <w:t>DDC, p. 21.</w:t>
      </w:r>
    </w:p>
  </w:footnote>
  <w:footnote w:id="812">
    <w:p w14:paraId="7418D990" w14:textId="77777777" w:rsidR="00B01930" w:rsidRDefault="00B01930">
      <w:pPr>
        <w:pStyle w:val="Notedebasdepage"/>
      </w:pPr>
      <w:r>
        <w:rPr>
          <w:rStyle w:val="Appelnotedebasdep"/>
        </w:rPr>
        <w:footnoteRef/>
      </w:r>
      <w:r>
        <w:t xml:space="preserve"> </w:t>
      </w:r>
      <w:r>
        <w:tab/>
      </w:r>
      <w:r w:rsidRPr="0004576F">
        <w:rPr>
          <w:i/>
        </w:rPr>
        <w:t>Ibid</w:t>
      </w:r>
      <w:r w:rsidRPr="0004576F">
        <w:t>. p. 17 et suiv.</w:t>
      </w:r>
    </w:p>
  </w:footnote>
  <w:footnote w:id="813">
    <w:p w14:paraId="785F7105" w14:textId="77777777" w:rsidR="00B01930" w:rsidRDefault="00B01930">
      <w:pPr>
        <w:pStyle w:val="Notedebasdepage"/>
      </w:pPr>
      <w:r>
        <w:rPr>
          <w:rStyle w:val="Appelnotedebasdep"/>
        </w:rPr>
        <w:footnoteRef/>
      </w:r>
      <w:r>
        <w:t xml:space="preserve"> </w:t>
      </w:r>
      <w:r>
        <w:tab/>
      </w:r>
      <w:r w:rsidRPr="0004576F">
        <w:rPr>
          <w:i/>
        </w:rPr>
        <w:t>Ibid</w:t>
      </w:r>
      <w:r w:rsidRPr="0004576F">
        <w:t>. p. 17</w:t>
      </w:r>
      <w:r>
        <w:t>.</w:t>
      </w:r>
    </w:p>
  </w:footnote>
  <w:footnote w:id="814">
    <w:p w14:paraId="007FBBCA" w14:textId="77777777" w:rsidR="00B01930" w:rsidRDefault="00B01930">
      <w:pPr>
        <w:pStyle w:val="Notedebasdepage"/>
      </w:pPr>
      <w:r>
        <w:rPr>
          <w:rStyle w:val="Appelnotedebasdep"/>
        </w:rPr>
        <w:footnoteRef/>
      </w:r>
      <w:r>
        <w:t xml:space="preserve"> </w:t>
      </w:r>
      <w:r>
        <w:tab/>
      </w:r>
      <w:r w:rsidRPr="0004576F">
        <w:rPr>
          <w:i/>
        </w:rPr>
        <w:t>Ibid</w:t>
      </w:r>
      <w:r w:rsidRPr="0004576F">
        <w:t>. p. 12.</w:t>
      </w:r>
    </w:p>
  </w:footnote>
  <w:footnote w:id="815">
    <w:p w14:paraId="3F53E84F" w14:textId="77777777" w:rsidR="00B01930" w:rsidRDefault="00B01930">
      <w:pPr>
        <w:pStyle w:val="Notedebasdepage"/>
      </w:pPr>
      <w:r>
        <w:rPr>
          <w:rStyle w:val="Appelnotedebasdep"/>
        </w:rPr>
        <w:footnoteRef/>
      </w:r>
      <w:r>
        <w:t xml:space="preserve"> </w:t>
      </w:r>
      <w:r>
        <w:tab/>
      </w:r>
      <w:r w:rsidRPr="0004576F">
        <w:rPr>
          <w:i/>
        </w:rPr>
        <w:t>Ibid</w:t>
      </w:r>
      <w:r w:rsidRPr="0004576F">
        <w:t>. p.</w:t>
      </w:r>
      <w:r>
        <w:t xml:space="preserve"> </w:t>
      </w:r>
      <w:r w:rsidRPr="0004576F">
        <w:t>299.</w:t>
      </w:r>
    </w:p>
  </w:footnote>
  <w:footnote w:id="816">
    <w:p w14:paraId="1103F3D2" w14:textId="77777777" w:rsidR="00B01930" w:rsidRDefault="00B01930">
      <w:pPr>
        <w:pStyle w:val="Notedebasdepage"/>
      </w:pPr>
      <w:r>
        <w:rPr>
          <w:rStyle w:val="Appelnotedebasdep"/>
        </w:rPr>
        <w:footnoteRef/>
      </w:r>
      <w:r>
        <w:t xml:space="preserve"> </w:t>
      </w:r>
      <w:r>
        <w:tab/>
      </w:r>
      <w:r w:rsidRPr="0004576F">
        <w:rPr>
          <w:i/>
        </w:rPr>
        <w:t>Loc. cit.</w:t>
      </w:r>
    </w:p>
  </w:footnote>
  <w:footnote w:id="817">
    <w:p w14:paraId="5FAD8B6A" w14:textId="77777777" w:rsidR="00B01930" w:rsidRDefault="00B01930">
      <w:pPr>
        <w:pStyle w:val="Notedebasdepage"/>
      </w:pPr>
      <w:r>
        <w:rPr>
          <w:rStyle w:val="Appelnotedebasdep"/>
        </w:rPr>
        <w:footnoteRef/>
      </w:r>
      <w:r>
        <w:t xml:space="preserve"> </w:t>
      </w:r>
      <w:r>
        <w:tab/>
      </w:r>
      <w:r w:rsidRPr="0004576F">
        <w:rPr>
          <w:i/>
        </w:rPr>
        <w:t>Cf</w:t>
      </w:r>
      <w:r w:rsidRPr="0004576F">
        <w:t xml:space="preserve">.  M-A. Lescourret, « </w:t>
      </w:r>
      <w:r w:rsidRPr="0004576F">
        <w:rPr>
          <w:i/>
        </w:rPr>
        <w:t>L’homme et la philosophie </w:t>
      </w:r>
      <w:r w:rsidRPr="0004576F">
        <w:t>», in « </w:t>
      </w:r>
      <w:r w:rsidRPr="0004576F">
        <w:rPr>
          <w:i/>
        </w:rPr>
        <w:t>La dette et la di</w:t>
      </w:r>
      <w:r w:rsidRPr="0004576F">
        <w:rPr>
          <w:i/>
        </w:rPr>
        <w:t>s</w:t>
      </w:r>
      <w:r w:rsidRPr="0004576F">
        <w:rPr>
          <w:i/>
        </w:rPr>
        <w:t>tance</w:t>
      </w:r>
      <w:r w:rsidRPr="0004576F">
        <w:t xml:space="preserve">.. », </w:t>
      </w:r>
      <w:r w:rsidRPr="0004576F">
        <w:rPr>
          <w:i/>
        </w:rPr>
        <w:t>op. cit</w:t>
      </w:r>
      <w:r w:rsidRPr="0004576F">
        <w:t>., p. 7.</w:t>
      </w:r>
    </w:p>
  </w:footnote>
  <w:footnote w:id="818">
    <w:p w14:paraId="1FCA5054" w14:textId="77777777" w:rsidR="00B01930" w:rsidRDefault="00B01930">
      <w:pPr>
        <w:pStyle w:val="Notedebasdepage"/>
      </w:pPr>
      <w:r>
        <w:rPr>
          <w:rStyle w:val="Appelnotedebasdep"/>
        </w:rPr>
        <w:footnoteRef/>
      </w:r>
      <w:r>
        <w:t xml:space="preserve"> </w:t>
      </w:r>
      <w:r>
        <w:tab/>
      </w:r>
      <w:r w:rsidRPr="0004576F">
        <w:rPr>
          <w:i/>
        </w:rPr>
        <w:t>Cf</w:t>
      </w:r>
      <w:r w:rsidRPr="0004576F">
        <w:t>. notre contribution, « </w:t>
      </w:r>
      <w:r w:rsidRPr="0004576F">
        <w:rPr>
          <w:i/>
        </w:rPr>
        <w:t>Introduction critique</w:t>
      </w:r>
      <w:r w:rsidRPr="0004576F">
        <w:t>.. ».</w:t>
      </w:r>
    </w:p>
  </w:footnote>
  <w:footnote w:id="819">
    <w:p w14:paraId="2F7872CB" w14:textId="77777777" w:rsidR="00B01930" w:rsidRDefault="00B01930">
      <w:pPr>
        <w:pStyle w:val="Notedebasdepage"/>
      </w:pPr>
      <w:r>
        <w:rPr>
          <w:rStyle w:val="Appelnotedebasdep"/>
        </w:rPr>
        <w:footnoteRef/>
      </w:r>
      <w:r>
        <w:t xml:space="preserve"> </w:t>
      </w:r>
      <w:r>
        <w:tab/>
      </w:r>
      <w:r w:rsidRPr="0004576F">
        <w:rPr>
          <w:i/>
        </w:rPr>
        <w:t>Ibid.</w:t>
      </w:r>
    </w:p>
  </w:footnote>
  <w:footnote w:id="820">
    <w:p w14:paraId="3AD8AC24" w14:textId="77777777" w:rsidR="00B01930" w:rsidRDefault="00B01930">
      <w:pPr>
        <w:pStyle w:val="Notedebasdepage"/>
      </w:pPr>
      <w:r>
        <w:rPr>
          <w:rStyle w:val="Appelnotedebasdep"/>
        </w:rPr>
        <w:footnoteRef/>
      </w:r>
      <w:r>
        <w:t xml:space="preserve"> </w:t>
      </w:r>
      <w:r>
        <w:tab/>
      </w:r>
      <w:r w:rsidRPr="0004576F">
        <w:t>DDC, p. 324.</w:t>
      </w:r>
    </w:p>
  </w:footnote>
  <w:footnote w:id="821">
    <w:p w14:paraId="2550A51D" w14:textId="77777777" w:rsidR="00B01930" w:rsidRDefault="00B01930">
      <w:pPr>
        <w:pStyle w:val="Notedebasdepage"/>
      </w:pPr>
      <w:r>
        <w:rPr>
          <w:rStyle w:val="Appelnotedebasdep"/>
        </w:rPr>
        <w:footnoteRef/>
      </w:r>
      <w:r>
        <w:t xml:space="preserve"> </w:t>
      </w:r>
      <w:r>
        <w:tab/>
      </w:r>
      <w:r w:rsidRPr="0004576F">
        <w:t xml:space="preserve">Peter Trawny, </w:t>
      </w:r>
      <w:r w:rsidRPr="0004576F">
        <w:rPr>
          <w:i/>
        </w:rPr>
        <w:t>op.cit</w:t>
      </w:r>
      <w:r w:rsidRPr="0004576F">
        <w:t>., p. 25.</w:t>
      </w:r>
    </w:p>
  </w:footnote>
  <w:footnote w:id="822">
    <w:p w14:paraId="21DB20AE" w14:textId="77777777" w:rsidR="00B01930" w:rsidRDefault="00B01930">
      <w:pPr>
        <w:pStyle w:val="Notedebasdepage"/>
      </w:pPr>
      <w:r>
        <w:rPr>
          <w:rStyle w:val="Appelnotedebasdep"/>
        </w:rPr>
        <w:footnoteRef/>
      </w:r>
      <w:r>
        <w:t xml:space="preserve"> </w:t>
      </w:r>
      <w:r>
        <w:tab/>
      </w:r>
      <w:r w:rsidRPr="0004576F">
        <w:t>DDC, p. 324.</w:t>
      </w:r>
    </w:p>
  </w:footnote>
  <w:footnote w:id="823">
    <w:p w14:paraId="6E817033" w14:textId="77777777" w:rsidR="00B01930" w:rsidRDefault="00B01930">
      <w:pPr>
        <w:pStyle w:val="Notedebasdepage"/>
      </w:pPr>
      <w:r>
        <w:rPr>
          <w:rStyle w:val="Appelnotedebasdep"/>
        </w:rPr>
        <w:footnoteRef/>
      </w:r>
      <w:r>
        <w:t xml:space="preserve"> </w:t>
      </w:r>
      <w:r>
        <w:tab/>
      </w:r>
      <w:r w:rsidRPr="0004576F">
        <w:t>Deux termes qui sont au cœur du nazisme.</w:t>
      </w:r>
    </w:p>
  </w:footnote>
  <w:footnote w:id="824">
    <w:p w14:paraId="76BA4F2F" w14:textId="77777777" w:rsidR="00B01930" w:rsidRDefault="00B01930">
      <w:pPr>
        <w:pStyle w:val="Notedebasdepage"/>
      </w:pPr>
      <w:r>
        <w:rPr>
          <w:rStyle w:val="Appelnotedebasdep"/>
        </w:rPr>
        <w:footnoteRef/>
      </w:r>
      <w:r>
        <w:t xml:space="preserve"> </w:t>
      </w:r>
      <w:r>
        <w:tab/>
      </w:r>
      <w:r w:rsidRPr="0004576F">
        <w:t xml:space="preserve">Peter Trawny, </w:t>
      </w:r>
      <w:r w:rsidRPr="0004576F">
        <w:rPr>
          <w:i/>
        </w:rPr>
        <w:t>op. cit</w:t>
      </w:r>
      <w:r w:rsidRPr="0004576F">
        <w:t>., p.34.</w:t>
      </w:r>
    </w:p>
  </w:footnote>
  <w:footnote w:id="825">
    <w:p w14:paraId="647CA540" w14:textId="77777777" w:rsidR="00B01930" w:rsidRDefault="00B01930">
      <w:pPr>
        <w:pStyle w:val="Notedebasdepage"/>
      </w:pPr>
      <w:r>
        <w:rPr>
          <w:rStyle w:val="Appelnotedebasdep"/>
        </w:rPr>
        <w:footnoteRef/>
      </w:r>
      <w:r>
        <w:t xml:space="preserve"> </w:t>
      </w:r>
      <w:r>
        <w:tab/>
      </w:r>
      <w:r w:rsidRPr="0004576F">
        <w:t>Il écrira : « le national-socialisme est un principe barbare ; c’est ce qui const</w:t>
      </w:r>
      <w:r w:rsidRPr="0004576F">
        <w:t>i</w:t>
      </w:r>
      <w:r w:rsidRPr="0004576F">
        <w:t>tue son e</w:t>
      </w:r>
      <w:r w:rsidRPr="0004576F">
        <w:t>s</w:t>
      </w:r>
      <w:r w:rsidRPr="0004576F">
        <w:t>sence et sa possible grandeur », Les Cahiers noirs. Voir aussi « Heidegger et le nazisme à travers sa corresponda</w:t>
      </w:r>
      <w:r w:rsidRPr="0004576F">
        <w:t>n</w:t>
      </w:r>
      <w:r w:rsidRPr="0004576F">
        <w:t>ce avec sa famille et Kurt Bauch », </w:t>
      </w:r>
      <w:r w:rsidRPr="0004576F">
        <w:rPr>
          <w:i/>
        </w:rPr>
        <w:t>Critique</w:t>
      </w:r>
      <w:r w:rsidRPr="0004576F">
        <w:t>, 811, Paris, Éditions de Minuit.</w:t>
      </w:r>
    </w:p>
  </w:footnote>
  <w:footnote w:id="826">
    <w:p w14:paraId="1CDC66BD" w14:textId="77777777" w:rsidR="00B01930" w:rsidRDefault="00B01930">
      <w:pPr>
        <w:pStyle w:val="Notedebasdepage"/>
      </w:pPr>
      <w:r>
        <w:rPr>
          <w:rStyle w:val="Appelnotedebasdep"/>
        </w:rPr>
        <w:footnoteRef/>
      </w:r>
      <w:r>
        <w:t xml:space="preserve"> </w:t>
      </w:r>
      <w:r>
        <w:tab/>
      </w:r>
      <w:r w:rsidRPr="0004576F">
        <w:t xml:space="preserve">Heidegger, cité par Rüdiger Safranski, </w:t>
      </w:r>
      <w:r w:rsidRPr="0004576F">
        <w:rPr>
          <w:i/>
        </w:rPr>
        <w:t>op. cit</w:t>
      </w:r>
      <w:r w:rsidRPr="0004576F">
        <w:t>., p. 466.</w:t>
      </w:r>
    </w:p>
  </w:footnote>
  <w:footnote w:id="827">
    <w:p w14:paraId="4E5E1602" w14:textId="77777777" w:rsidR="00B01930" w:rsidRDefault="00B01930">
      <w:pPr>
        <w:pStyle w:val="Notedebasdepage"/>
      </w:pPr>
      <w:r>
        <w:rPr>
          <w:rStyle w:val="Appelnotedebasdep"/>
        </w:rPr>
        <w:footnoteRef/>
      </w:r>
      <w:r>
        <w:t xml:space="preserve"> </w:t>
      </w:r>
      <w:r>
        <w:tab/>
      </w:r>
      <w:r w:rsidRPr="0004576F">
        <w:t xml:space="preserve">Heidegger, </w:t>
      </w:r>
      <w:r w:rsidRPr="0004576F">
        <w:rPr>
          <w:i/>
        </w:rPr>
        <w:t>Ibid.</w:t>
      </w:r>
      <w:r w:rsidRPr="0004576F">
        <w:t>, p. 369.</w:t>
      </w:r>
    </w:p>
  </w:footnote>
  <w:footnote w:id="828">
    <w:p w14:paraId="0A7F3128" w14:textId="77777777" w:rsidR="00B01930" w:rsidRDefault="00B01930">
      <w:pPr>
        <w:pStyle w:val="Notedebasdepage"/>
      </w:pPr>
      <w:r>
        <w:rPr>
          <w:rStyle w:val="Appelnotedebasdep"/>
        </w:rPr>
        <w:footnoteRef/>
      </w:r>
      <w:r>
        <w:t xml:space="preserve"> </w:t>
      </w:r>
      <w:r>
        <w:tab/>
      </w:r>
      <w:r w:rsidRPr="0004576F">
        <w:t>D</w:t>
      </w:r>
      <w:r w:rsidRPr="0004576F">
        <w:rPr>
          <w:smallCaps/>
        </w:rPr>
        <w:t>dc</w:t>
      </w:r>
      <w:r w:rsidRPr="0004576F">
        <w:t xml:space="preserve">, </w:t>
      </w:r>
      <w:r w:rsidRPr="0004576F">
        <w:rPr>
          <w:i/>
        </w:rPr>
        <w:t>passim</w:t>
      </w:r>
      <w:r w:rsidRPr="0004576F">
        <w:t>.</w:t>
      </w:r>
    </w:p>
  </w:footnote>
  <w:footnote w:id="829">
    <w:p w14:paraId="4C8D8A9F" w14:textId="77777777" w:rsidR="00B01930" w:rsidRDefault="00B01930">
      <w:pPr>
        <w:pStyle w:val="Notedebasdepage"/>
      </w:pPr>
      <w:r>
        <w:rPr>
          <w:rStyle w:val="Appelnotedebasdep"/>
        </w:rPr>
        <w:footnoteRef/>
      </w:r>
      <w:r>
        <w:t xml:space="preserve"> </w:t>
      </w:r>
      <w:r>
        <w:tab/>
      </w:r>
      <w:r w:rsidRPr="0004576F">
        <w:rPr>
          <w:i/>
        </w:rPr>
        <w:t>Cf</w:t>
      </w:r>
      <w:r w:rsidRPr="0004576F">
        <w:t>. les ouvrages cités note 1.</w:t>
      </w:r>
    </w:p>
  </w:footnote>
  <w:footnote w:id="830">
    <w:p w14:paraId="6D0BCD5A" w14:textId="77777777" w:rsidR="00B01930" w:rsidRDefault="00B01930">
      <w:pPr>
        <w:pStyle w:val="Notedebasdepage"/>
      </w:pPr>
      <w:r>
        <w:rPr>
          <w:rStyle w:val="Appelnotedebasdep"/>
        </w:rPr>
        <w:footnoteRef/>
      </w:r>
      <w:r>
        <w:t xml:space="preserve"> </w:t>
      </w:r>
      <w:r>
        <w:tab/>
      </w:r>
      <w:r w:rsidRPr="0004576F">
        <w:rPr>
          <w:i/>
        </w:rPr>
        <w:t>Cf</w:t>
      </w:r>
      <w:r w:rsidRPr="0004576F">
        <w:t xml:space="preserve">. notre contribution : </w:t>
      </w:r>
      <w:r w:rsidRPr="0004576F">
        <w:rPr>
          <w:i/>
        </w:rPr>
        <w:t>« Introduction critique</w:t>
      </w:r>
      <w:r w:rsidRPr="0004576F">
        <w:t>… ».</w:t>
      </w:r>
    </w:p>
  </w:footnote>
  <w:footnote w:id="831">
    <w:p w14:paraId="78D1DC7E" w14:textId="77777777" w:rsidR="00B01930" w:rsidRDefault="00B01930">
      <w:pPr>
        <w:pStyle w:val="Notedebasdepage"/>
      </w:pPr>
      <w:r>
        <w:rPr>
          <w:rStyle w:val="Appelnotedebasdep"/>
        </w:rPr>
        <w:footnoteRef/>
      </w:r>
      <w:r>
        <w:t xml:space="preserve"> </w:t>
      </w:r>
      <w:r>
        <w:tab/>
      </w:r>
      <w:r w:rsidRPr="0004576F">
        <w:rPr>
          <w:i/>
        </w:rPr>
        <w:t>Cf</w:t>
      </w:r>
      <w:r w:rsidRPr="0004576F">
        <w:t>. notre contribution, « </w:t>
      </w:r>
      <w:r w:rsidRPr="0004576F">
        <w:rPr>
          <w:i/>
        </w:rPr>
        <w:t>Introduction critique</w:t>
      </w:r>
      <w:r w:rsidRPr="0004576F">
        <w:t>… ».</w:t>
      </w:r>
    </w:p>
  </w:footnote>
  <w:footnote w:id="832">
    <w:p w14:paraId="2604D612" w14:textId="77777777" w:rsidR="00B01930" w:rsidRDefault="00B01930">
      <w:pPr>
        <w:pStyle w:val="Notedebasdepage"/>
      </w:pPr>
      <w:r>
        <w:rPr>
          <w:rStyle w:val="Appelnotedebasdep"/>
        </w:rPr>
        <w:footnoteRef/>
      </w:r>
      <w:r>
        <w:t xml:space="preserve"> </w:t>
      </w:r>
      <w:r>
        <w:tab/>
      </w:r>
      <w:r w:rsidRPr="0004576F">
        <w:t xml:space="preserve">Cf. Peter Trawny, </w:t>
      </w:r>
      <w:r w:rsidRPr="0004576F">
        <w:rPr>
          <w:i/>
        </w:rPr>
        <w:t>op. cit</w:t>
      </w:r>
      <w:r w:rsidRPr="0004576F">
        <w:t>. p.35.</w:t>
      </w:r>
    </w:p>
  </w:footnote>
  <w:footnote w:id="833">
    <w:p w14:paraId="2295339A" w14:textId="77777777" w:rsidR="00B01930" w:rsidRDefault="00B01930">
      <w:pPr>
        <w:pStyle w:val="Notedebasdepage"/>
      </w:pPr>
      <w:r>
        <w:rPr>
          <w:rStyle w:val="Appelnotedebasdep"/>
        </w:rPr>
        <w:footnoteRef/>
      </w:r>
      <w:r>
        <w:t xml:space="preserve"> </w:t>
      </w:r>
      <w:r>
        <w:tab/>
      </w:r>
      <w:r w:rsidRPr="0004576F">
        <w:rPr>
          <w:i/>
        </w:rPr>
        <w:t>Ibid.,</w:t>
      </w:r>
      <w:r w:rsidRPr="0004576F">
        <w:t xml:space="preserve"> </w:t>
      </w:r>
      <w:r w:rsidRPr="0004576F">
        <w:rPr>
          <w:i/>
        </w:rPr>
        <w:t>loc. cit</w:t>
      </w:r>
      <w:r w:rsidRPr="0004576F">
        <w:t>.</w:t>
      </w:r>
    </w:p>
  </w:footnote>
  <w:footnote w:id="834">
    <w:p w14:paraId="50E96439" w14:textId="77777777" w:rsidR="00B01930" w:rsidRDefault="00B01930">
      <w:pPr>
        <w:pStyle w:val="Notedebasdepage"/>
      </w:pPr>
      <w:r>
        <w:rPr>
          <w:rStyle w:val="Appelnotedebasdep"/>
        </w:rPr>
        <w:footnoteRef/>
      </w:r>
      <w:r>
        <w:t xml:space="preserve"> </w:t>
      </w:r>
      <w:r>
        <w:tab/>
      </w:r>
      <w:r w:rsidRPr="0004576F">
        <w:t>Cité par E. Jolly, « </w:t>
      </w:r>
      <w:r w:rsidRPr="0004576F">
        <w:rPr>
          <w:i/>
        </w:rPr>
        <w:t>Günther Anders et le murmure de Heide</w:t>
      </w:r>
      <w:r w:rsidRPr="0004576F">
        <w:rPr>
          <w:i/>
        </w:rPr>
        <w:t>g</w:t>
      </w:r>
      <w:r w:rsidRPr="0004576F">
        <w:rPr>
          <w:i/>
        </w:rPr>
        <w:t>ger </w:t>
      </w:r>
      <w:r w:rsidRPr="0004576F">
        <w:t xml:space="preserve">», </w:t>
      </w:r>
      <w:r w:rsidRPr="0004576F">
        <w:rPr>
          <w:i/>
        </w:rPr>
        <w:t>in</w:t>
      </w:r>
      <w:r w:rsidRPr="0004576F">
        <w:t> : M-A. Lescourret,  « </w:t>
      </w:r>
      <w:r w:rsidRPr="0004576F">
        <w:rPr>
          <w:i/>
        </w:rPr>
        <w:t>La dette</w:t>
      </w:r>
      <w:r w:rsidRPr="0004576F">
        <w:t xml:space="preserve">… », </w:t>
      </w:r>
      <w:r w:rsidRPr="0004576F">
        <w:rPr>
          <w:i/>
        </w:rPr>
        <w:t>op. cit</w:t>
      </w:r>
      <w:r w:rsidRPr="0004576F">
        <w:t>., p. 35</w:t>
      </w:r>
      <w:r>
        <w:t>.</w:t>
      </w:r>
    </w:p>
  </w:footnote>
  <w:footnote w:id="835">
    <w:p w14:paraId="24B6D146" w14:textId="77777777" w:rsidR="00B01930" w:rsidRDefault="00B01930">
      <w:pPr>
        <w:pStyle w:val="Notedebasdepage"/>
      </w:pPr>
      <w:r>
        <w:rPr>
          <w:rStyle w:val="Appelnotedebasdep"/>
        </w:rPr>
        <w:footnoteRef/>
      </w:r>
      <w:r>
        <w:t xml:space="preserve"> </w:t>
      </w:r>
      <w:r>
        <w:tab/>
      </w:r>
      <w:r w:rsidRPr="0004576F">
        <w:t>Cité par DDC, p. 300.</w:t>
      </w:r>
    </w:p>
  </w:footnote>
  <w:footnote w:id="836">
    <w:p w14:paraId="148739DB" w14:textId="77777777" w:rsidR="00B01930" w:rsidRDefault="00B01930">
      <w:pPr>
        <w:pStyle w:val="Notedebasdepage"/>
      </w:pPr>
      <w:r>
        <w:rPr>
          <w:rStyle w:val="Appelnotedebasdep"/>
        </w:rPr>
        <w:footnoteRef/>
      </w:r>
      <w:r>
        <w:t xml:space="preserve"> </w:t>
      </w:r>
      <w:r>
        <w:tab/>
      </w:r>
      <w:r w:rsidRPr="0004576F">
        <w:rPr>
          <w:i/>
        </w:rPr>
        <w:t>Ibid</w:t>
      </w:r>
      <w:r w:rsidRPr="0004576F">
        <w:t>., p. 266-276</w:t>
      </w:r>
      <w:r>
        <w:t>.</w:t>
      </w:r>
    </w:p>
  </w:footnote>
  <w:footnote w:id="837">
    <w:p w14:paraId="22C34EB7" w14:textId="77777777" w:rsidR="00B01930" w:rsidRDefault="00B01930">
      <w:pPr>
        <w:pStyle w:val="Notedebasdepage"/>
      </w:pPr>
      <w:r>
        <w:rPr>
          <w:rStyle w:val="Appelnotedebasdep"/>
        </w:rPr>
        <w:footnoteRef/>
      </w:r>
      <w:r>
        <w:t xml:space="preserve"> </w:t>
      </w:r>
      <w:r>
        <w:tab/>
      </w:r>
      <w:r w:rsidRPr="0004576F">
        <w:rPr>
          <w:i/>
        </w:rPr>
        <w:t>Ibid</w:t>
      </w:r>
      <w:r w:rsidRPr="0004576F">
        <w:t xml:space="preserve">., </w:t>
      </w:r>
      <w:r w:rsidRPr="0004576F">
        <w:rPr>
          <w:i/>
        </w:rPr>
        <w:t>loc. cit.</w:t>
      </w:r>
    </w:p>
  </w:footnote>
  <w:footnote w:id="838">
    <w:p w14:paraId="39AF9940" w14:textId="77777777" w:rsidR="00B01930" w:rsidRDefault="00B01930">
      <w:pPr>
        <w:pStyle w:val="Notedebasdepage"/>
      </w:pPr>
      <w:r>
        <w:rPr>
          <w:rStyle w:val="Appelnotedebasdep"/>
        </w:rPr>
        <w:footnoteRef/>
      </w:r>
      <w:r>
        <w:t xml:space="preserve"> </w:t>
      </w:r>
      <w:r>
        <w:tab/>
      </w:r>
      <w:r w:rsidRPr="0004576F">
        <w:t>Et D</w:t>
      </w:r>
      <w:r w:rsidRPr="0004576F">
        <w:rPr>
          <w:smallCaps/>
        </w:rPr>
        <w:t>dc</w:t>
      </w:r>
      <w:r w:rsidRPr="0004576F">
        <w:t>, après d’autres auteurs, fait remarquer que Heidegger va jusqu’à me</w:t>
      </w:r>
      <w:r w:rsidRPr="0004576F">
        <w:t>t</w:t>
      </w:r>
      <w:r w:rsidRPr="0004576F">
        <w:t>tre entre gui</w:t>
      </w:r>
      <w:r w:rsidRPr="0004576F">
        <w:t>l</w:t>
      </w:r>
      <w:r w:rsidRPr="0004576F">
        <w:t>lemets le mot « chambres à gaz », p. 296.</w:t>
      </w:r>
    </w:p>
  </w:footnote>
  <w:footnote w:id="839">
    <w:p w14:paraId="2096ECC4" w14:textId="77777777" w:rsidR="00B01930" w:rsidRDefault="00B01930">
      <w:pPr>
        <w:pStyle w:val="Notedebasdepage"/>
      </w:pPr>
      <w:r>
        <w:rPr>
          <w:rStyle w:val="Appelnotedebasdep"/>
        </w:rPr>
        <w:footnoteRef/>
      </w:r>
      <w:r>
        <w:t xml:space="preserve"> </w:t>
      </w:r>
      <w:r>
        <w:tab/>
      </w:r>
      <w:r w:rsidRPr="0004576F">
        <w:t>L’ouvrage le plus connu de Martin Heidegger (590 pages), Paris, Gallimard, éd. 1986.</w:t>
      </w:r>
    </w:p>
  </w:footnote>
  <w:footnote w:id="840">
    <w:p w14:paraId="5905DDBD" w14:textId="77777777" w:rsidR="00B01930" w:rsidRDefault="00B01930">
      <w:pPr>
        <w:pStyle w:val="Notedebasdepage"/>
      </w:pPr>
      <w:r>
        <w:rPr>
          <w:rStyle w:val="Appelnotedebasdep"/>
        </w:rPr>
        <w:footnoteRef/>
      </w:r>
      <w:r>
        <w:t xml:space="preserve"> </w:t>
      </w:r>
      <w:r>
        <w:tab/>
      </w:r>
      <w:r w:rsidRPr="0004576F">
        <w:t>François Rastier, « </w:t>
      </w:r>
      <w:r w:rsidRPr="0004576F">
        <w:rPr>
          <w:i/>
        </w:rPr>
        <w:t>Heidegger aujourd’hui </w:t>
      </w:r>
      <w:r w:rsidRPr="0004576F">
        <w:t xml:space="preserve">», </w:t>
      </w:r>
      <w:r w:rsidRPr="0004576F">
        <w:rPr>
          <w:i/>
        </w:rPr>
        <w:t>op. cit</w:t>
      </w:r>
      <w:r w:rsidRPr="0004576F">
        <w:t xml:space="preserve">. (cf. note </w:t>
      </w:r>
      <w:r w:rsidRPr="0004576F">
        <w:rPr>
          <w:vertAlign w:val="superscript"/>
        </w:rPr>
        <w:t>5</w:t>
      </w:r>
      <w:r w:rsidRPr="0004576F">
        <w:t xml:space="preserve"> </w:t>
      </w:r>
      <w:r w:rsidRPr="0004576F">
        <w:rPr>
          <w:i/>
        </w:rPr>
        <w:t>supra</w:t>
      </w:r>
      <w:r w:rsidRPr="0004576F">
        <w:t xml:space="preserve">), p. 6 note </w:t>
      </w:r>
      <w:r w:rsidRPr="0004576F">
        <w:rPr>
          <w:vertAlign w:val="superscript"/>
        </w:rPr>
        <w:t>20</w:t>
      </w:r>
      <w:r w:rsidRPr="0004576F">
        <w:t xml:space="preserve"> du d</w:t>
      </w:r>
      <w:r w:rsidRPr="0004576F">
        <w:t>o</w:t>
      </w:r>
      <w:r w:rsidRPr="0004576F">
        <w:t>cument P</w:t>
      </w:r>
      <w:r w:rsidRPr="0004576F">
        <w:rPr>
          <w:smallCaps/>
        </w:rPr>
        <w:t>df</w:t>
      </w:r>
      <w:r w:rsidRPr="0004576F">
        <w:t> – c’est nous qui soulignons.</w:t>
      </w:r>
    </w:p>
  </w:footnote>
  <w:footnote w:id="841">
    <w:p w14:paraId="511880E3" w14:textId="77777777" w:rsidR="00B01930" w:rsidRDefault="00B01930">
      <w:pPr>
        <w:pStyle w:val="Notedebasdepage"/>
      </w:pPr>
      <w:r>
        <w:rPr>
          <w:rStyle w:val="Appelnotedebasdep"/>
        </w:rPr>
        <w:footnoteRef/>
      </w:r>
      <w:r>
        <w:t xml:space="preserve"> </w:t>
      </w:r>
      <w:r>
        <w:tab/>
      </w:r>
      <w:r w:rsidRPr="0004576F">
        <w:t xml:space="preserve">Peter Trawny, </w:t>
      </w:r>
      <w:r w:rsidRPr="0004576F">
        <w:rPr>
          <w:i/>
        </w:rPr>
        <w:t>op. cit</w:t>
      </w:r>
      <w:r w:rsidRPr="0004576F">
        <w:t>., p. 40 – les italiques sont dans le texte.</w:t>
      </w:r>
    </w:p>
  </w:footnote>
  <w:footnote w:id="842">
    <w:p w14:paraId="34156D84" w14:textId="77777777" w:rsidR="00B01930" w:rsidRDefault="00B01930">
      <w:pPr>
        <w:pStyle w:val="Notedebasdepage"/>
      </w:pPr>
      <w:r>
        <w:rPr>
          <w:rStyle w:val="Appelnotedebasdep"/>
        </w:rPr>
        <w:footnoteRef/>
      </w:r>
      <w:r>
        <w:t xml:space="preserve"> </w:t>
      </w:r>
      <w:r>
        <w:tab/>
      </w:r>
      <w:r w:rsidRPr="0004576F">
        <w:rPr>
          <w:i/>
        </w:rPr>
        <w:t>Ibid</w:t>
      </w:r>
      <w:r w:rsidRPr="0004576F">
        <w:t xml:space="preserve">., p. 25, note </w:t>
      </w:r>
      <w:r w:rsidRPr="0004576F">
        <w:rPr>
          <w:vertAlign w:val="superscript"/>
        </w:rPr>
        <w:t>1</w:t>
      </w:r>
      <w:r w:rsidRPr="0004576F">
        <w:t>.</w:t>
      </w:r>
    </w:p>
  </w:footnote>
  <w:footnote w:id="843">
    <w:p w14:paraId="35172DC1" w14:textId="77777777" w:rsidR="00B01930" w:rsidRDefault="00B01930">
      <w:pPr>
        <w:pStyle w:val="Notedebasdepage"/>
      </w:pPr>
      <w:r>
        <w:rPr>
          <w:rStyle w:val="Appelnotedebasdep"/>
        </w:rPr>
        <w:footnoteRef/>
      </w:r>
      <w:r>
        <w:t xml:space="preserve"> </w:t>
      </w:r>
      <w:r>
        <w:tab/>
      </w:r>
      <w:r w:rsidRPr="0004576F">
        <w:rPr>
          <w:i/>
        </w:rPr>
        <w:t>Ibid</w:t>
      </w:r>
      <w:r w:rsidRPr="0004576F">
        <w:t>., p. 157.</w:t>
      </w:r>
    </w:p>
  </w:footnote>
  <w:footnote w:id="844">
    <w:p w14:paraId="554325EB" w14:textId="77777777" w:rsidR="00B01930" w:rsidRDefault="00B01930">
      <w:pPr>
        <w:pStyle w:val="Notedebasdepage"/>
      </w:pPr>
      <w:r>
        <w:rPr>
          <w:rStyle w:val="Appelnotedebasdep"/>
        </w:rPr>
        <w:footnoteRef/>
      </w:r>
      <w:r>
        <w:t xml:space="preserve"> </w:t>
      </w:r>
      <w:r>
        <w:tab/>
      </w:r>
      <w:r w:rsidRPr="0004576F">
        <w:rPr>
          <w:i/>
        </w:rPr>
        <w:t>Cf</w:t>
      </w:r>
      <w:r w:rsidRPr="0004576F">
        <w:t>. D. Lagraula, notre contribution « </w:t>
      </w:r>
      <w:r w:rsidRPr="0004576F">
        <w:rPr>
          <w:i/>
        </w:rPr>
        <w:t>Lire Carl Schmitt autr</w:t>
      </w:r>
      <w:r w:rsidRPr="0004576F">
        <w:rPr>
          <w:i/>
        </w:rPr>
        <w:t>e</w:t>
      </w:r>
      <w:r w:rsidRPr="0004576F">
        <w:rPr>
          <w:i/>
        </w:rPr>
        <w:t>ment, essai d’interprétation martrienne ».</w:t>
      </w:r>
    </w:p>
  </w:footnote>
  <w:footnote w:id="845">
    <w:p w14:paraId="0C129C4A" w14:textId="77777777" w:rsidR="00B01930" w:rsidRDefault="00B01930">
      <w:pPr>
        <w:pStyle w:val="Notedebasdepage"/>
      </w:pPr>
      <w:r>
        <w:rPr>
          <w:rStyle w:val="Appelnotedebasdep"/>
        </w:rPr>
        <w:footnoteRef/>
      </w:r>
      <w:r>
        <w:t xml:space="preserve"> </w:t>
      </w:r>
      <w:r>
        <w:tab/>
      </w:r>
      <w:r w:rsidRPr="0004576F">
        <w:t>Voir F. Rastier, « </w:t>
      </w:r>
      <w:r w:rsidRPr="0004576F">
        <w:rPr>
          <w:i/>
        </w:rPr>
        <w:t>Heidegger aujourd’hui </w:t>
      </w:r>
      <w:r w:rsidRPr="0004576F">
        <w:t xml:space="preserve">», </w:t>
      </w:r>
      <w:r w:rsidRPr="0004576F">
        <w:rPr>
          <w:i/>
        </w:rPr>
        <w:t>op. cit</w:t>
      </w:r>
      <w:r w:rsidRPr="0004576F">
        <w:t xml:space="preserve">., (note 5 </w:t>
      </w:r>
      <w:r w:rsidRPr="0004576F">
        <w:rPr>
          <w:i/>
        </w:rPr>
        <w:t>s</w:t>
      </w:r>
      <w:r w:rsidRPr="0004576F">
        <w:rPr>
          <w:i/>
        </w:rPr>
        <w:t>u</w:t>
      </w:r>
      <w:r w:rsidRPr="0004576F">
        <w:rPr>
          <w:i/>
        </w:rPr>
        <w:t>pra</w:t>
      </w:r>
      <w:r w:rsidRPr="0004576F">
        <w:t xml:space="preserve">), p. 20 du document </w:t>
      </w:r>
      <w:r w:rsidRPr="0004576F">
        <w:rPr>
          <w:smallCaps/>
        </w:rPr>
        <w:t>Pdf.</w:t>
      </w:r>
    </w:p>
  </w:footnote>
  <w:footnote w:id="846">
    <w:p w14:paraId="41027649" w14:textId="77777777" w:rsidR="00B01930" w:rsidRDefault="00B01930">
      <w:pPr>
        <w:pStyle w:val="Notedebasdepage"/>
      </w:pPr>
      <w:r>
        <w:rPr>
          <w:rStyle w:val="Appelnotedebasdep"/>
        </w:rPr>
        <w:footnoteRef/>
      </w:r>
      <w:r>
        <w:t xml:space="preserve"> </w:t>
      </w:r>
      <w:r>
        <w:tab/>
      </w:r>
      <w:r w:rsidRPr="0004576F">
        <w:rPr>
          <w:i/>
        </w:rPr>
        <w:t>Ibid</w:t>
      </w:r>
      <w:r w:rsidRPr="0004576F">
        <w:t>.</w:t>
      </w:r>
    </w:p>
  </w:footnote>
  <w:footnote w:id="847">
    <w:p w14:paraId="1680993A" w14:textId="77777777" w:rsidR="00B01930" w:rsidRDefault="00B01930">
      <w:pPr>
        <w:pStyle w:val="Notedebasdepage"/>
      </w:pPr>
      <w:r>
        <w:rPr>
          <w:rStyle w:val="Appelnotedebasdep"/>
        </w:rPr>
        <w:footnoteRef/>
      </w:r>
      <w:r>
        <w:t xml:space="preserve"> </w:t>
      </w:r>
      <w:r>
        <w:tab/>
      </w:r>
      <w:r w:rsidRPr="0004576F">
        <w:t>Luc Ferry.</w:t>
      </w:r>
    </w:p>
  </w:footnote>
  <w:footnote w:id="848">
    <w:p w14:paraId="5E82FD37" w14:textId="77777777" w:rsidR="00B01930" w:rsidRDefault="00B01930">
      <w:pPr>
        <w:pStyle w:val="Notedebasdepage"/>
      </w:pPr>
      <w:r>
        <w:rPr>
          <w:rStyle w:val="Appelnotedebasdep"/>
        </w:rPr>
        <w:footnoteRef/>
      </w:r>
      <w:r>
        <w:t xml:space="preserve"> </w:t>
      </w:r>
      <w:r>
        <w:tab/>
      </w:r>
      <w:r w:rsidRPr="0004576F">
        <w:t xml:space="preserve">C’est nous qui soulignons ; cité par F. Rastier, </w:t>
      </w:r>
      <w:r w:rsidRPr="0004576F">
        <w:rPr>
          <w:i/>
        </w:rPr>
        <w:t>op. cit</w:t>
      </w:r>
      <w:r w:rsidRPr="0004576F">
        <w:t xml:space="preserve">., p. 3 du document </w:t>
      </w:r>
      <w:r w:rsidRPr="0004576F">
        <w:rPr>
          <w:smallCaps/>
        </w:rPr>
        <w:t>Pdf</w:t>
      </w:r>
      <w:r w:rsidRPr="0004576F">
        <w:t>. -Sur le néoconservatisme, voir notre contribution, « </w:t>
      </w:r>
      <w:r w:rsidRPr="0004576F">
        <w:rPr>
          <w:i/>
        </w:rPr>
        <w:t>Esquisse d’une interpr</w:t>
      </w:r>
      <w:r w:rsidRPr="0004576F">
        <w:rPr>
          <w:i/>
        </w:rPr>
        <w:t>é</w:t>
      </w:r>
      <w:r w:rsidRPr="0004576F">
        <w:rPr>
          <w:i/>
        </w:rPr>
        <w:t>tation martrienne du néoconservatisme am</w:t>
      </w:r>
      <w:r w:rsidRPr="0004576F">
        <w:rPr>
          <w:i/>
        </w:rPr>
        <w:t>é</w:t>
      </w:r>
      <w:r w:rsidRPr="0004576F">
        <w:rPr>
          <w:i/>
        </w:rPr>
        <w:t>ricains </w:t>
      </w:r>
      <w:r w:rsidRPr="0004576F">
        <w:t>»</w:t>
      </w:r>
      <w:r w:rsidRPr="0004576F">
        <w:rPr>
          <w:i/>
        </w:rPr>
        <w:t>.</w:t>
      </w:r>
    </w:p>
  </w:footnote>
  <w:footnote w:id="849">
    <w:p w14:paraId="62391B31" w14:textId="77777777" w:rsidR="00B01930" w:rsidRDefault="00B01930">
      <w:pPr>
        <w:pStyle w:val="Notedebasdepage"/>
      </w:pPr>
      <w:r>
        <w:rPr>
          <w:rStyle w:val="Appelnotedebasdep"/>
        </w:rPr>
        <w:footnoteRef/>
      </w:r>
      <w:r>
        <w:t xml:space="preserve"> </w:t>
      </w:r>
      <w:r>
        <w:tab/>
      </w:r>
      <w:r w:rsidRPr="0004576F">
        <w:t>Pour paraphraser le titre de J.F. Kervégan, « </w:t>
      </w:r>
      <w:r w:rsidRPr="0004576F">
        <w:rPr>
          <w:i/>
        </w:rPr>
        <w:t>Que faire de Carl Schmitt </w:t>
      </w:r>
      <w:r w:rsidRPr="0004576F">
        <w:t>», Ga</w:t>
      </w:r>
      <w:r w:rsidRPr="0004576F">
        <w:t>l</w:t>
      </w:r>
      <w:r w:rsidRPr="0004576F">
        <w:t>limard-Tel, inédit 2011.</w:t>
      </w:r>
    </w:p>
  </w:footnote>
  <w:footnote w:id="850">
    <w:p w14:paraId="43D51C70" w14:textId="77777777" w:rsidR="00B01930" w:rsidRDefault="00B01930">
      <w:pPr>
        <w:pStyle w:val="Notedebasdepage"/>
      </w:pPr>
      <w:r>
        <w:rPr>
          <w:rStyle w:val="Appelnotedebasdep"/>
        </w:rPr>
        <w:footnoteRef/>
      </w:r>
      <w:r>
        <w:t xml:space="preserve"> </w:t>
      </w:r>
      <w:r>
        <w:tab/>
      </w:r>
      <w:r w:rsidRPr="0004576F">
        <w:t xml:space="preserve">E.Jolly, </w:t>
      </w:r>
      <w:r w:rsidRPr="0004576F">
        <w:rPr>
          <w:i/>
        </w:rPr>
        <w:t>op.cit</w:t>
      </w:r>
      <w:r w:rsidRPr="0004576F">
        <w:t>., p.46. – sur cette question de l’ésotérisme heideggérien voir M</w:t>
      </w:r>
      <w:r w:rsidRPr="0004576F">
        <w:t>i</w:t>
      </w:r>
      <w:r w:rsidRPr="0004576F">
        <w:t xml:space="preserve">chel Cluot, « La traduction assassine de Heidegger », 23 mars 2014, </w:t>
      </w:r>
      <w:hyperlink r:id="rId38" w:history="1">
        <w:r w:rsidRPr="0004576F">
          <w:rPr>
            <w:rStyle w:val="Hyperlien"/>
            <w:rFonts w:eastAsia="Times"/>
          </w:rPr>
          <w:t>http://www.slate.fr</w:t>
        </w:r>
      </w:hyperlink>
      <w:r>
        <w:t>.</w:t>
      </w:r>
    </w:p>
  </w:footnote>
  <w:footnote w:id="851">
    <w:p w14:paraId="61B0D545" w14:textId="77777777" w:rsidR="00B01930" w:rsidRDefault="00B01930" w:rsidP="00B01930">
      <w:pPr>
        <w:pStyle w:val="Notedebasdepage"/>
      </w:pPr>
      <w:r>
        <w:rPr>
          <w:rStyle w:val="Appelnotedebasdep"/>
        </w:rPr>
        <w:footnoteRef/>
      </w:r>
      <w:r>
        <w:t xml:space="preserve"> </w:t>
      </w:r>
      <w:r>
        <w:tab/>
      </w:r>
      <w:r w:rsidRPr="009F3F9D">
        <w:t>Les articles 16 du Code civil et L 2211-1 du Code de la santé publique disp</w:t>
      </w:r>
      <w:r w:rsidRPr="009F3F9D">
        <w:t>o</w:t>
      </w:r>
      <w:r w:rsidRPr="009F3F9D">
        <w:t xml:space="preserve">sent sur ce point que : </w:t>
      </w:r>
      <w:r w:rsidRPr="009F3F9D">
        <w:rPr>
          <w:i/>
        </w:rPr>
        <w:t>« La loi assure la primauté de la personne, interdit to</w:t>
      </w:r>
      <w:r w:rsidRPr="009F3F9D">
        <w:rPr>
          <w:i/>
        </w:rPr>
        <w:t>u</w:t>
      </w:r>
      <w:r w:rsidRPr="009F3F9D">
        <w:rPr>
          <w:i/>
        </w:rPr>
        <w:t>te atteinte à la dignité de celle-ci et garantit le respect de l’être humain dès le commencement de la vie ».</w:t>
      </w:r>
    </w:p>
  </w:footnote>
  <w:footnote w:id="852">
    <w:p w14:paraId="57F29713" w14:textId="77777777" w:rsidR="00B01930" w:rsidRDefault="00B01930" w:rsidP="00B01930">
      <w:pPr>
        <w:pStyle w:val="Notedebasdepage"/>
      </w:pPr>
      <w:r>
        <w:rPr>
          <w:rStyle w:val="Appelnotedebasdep"/>
        </w:rPr>
        <w:footnoteRef/>
      </w:r>
      <w:r>
        <w:t xml:space="preserve"> </w:t>
      </w:r>
      <w:r>
        <w:tab/>
      </w:r>
      <w:r w:rsidRPr="009F3F9D">
        <w:t xml:space="preserve">Le fait que les mineurs soient protégés contre des messages y portant </w:t>
      </w:r>
      <w:r w:rsidRPr="009F3F9D">
        <w:rPr>
          <w:i/>
        </w:rPr>
        <w:t xml:space="preserve">« gravement atteinte » </w:t>
      </w:r>
      <w:r w:rsidRPr="009F3F9D">
        <w:t>en témoigne. L’article 227-24 du Code pénal érige</w:t>
      </w:r>
      <w:r w:rsidRPr="009F3F9D">
        <w:rPr>
          <w:lang w:val="fr-FR"/>
        </w:rPr>
        <w:t xml:space="preserve"> ai</w:t>
      </w:r>
      <w:r w:rsidRPr="009F3F9D">
        <w:rPr>
          <w:lang w:val="fr-FR"/>
        </w:rPr>
        <w:t>n</w:t>
      </w:r>
      <w:r w:rsidRPr="009F3F9D">
        <w:rPr>
          <w:lang w:val="fr-FR"/>
        </w:rPr>
        <w:t>si</w:t>
      </w:r>
      <w:r w:rsidRPr="009F3F9D">
        <w:t xml:space="preserve"> en délit </w:t>
      </w:r>
      <w:r w:rsidRPr="009F3F9D">
        <w:rPr>
          <w:iCs/>
        </w:rPr>
        <w:t>«</w:t>
      </w:r>
      <w:r w:rsidRPr="009F3F9D">
        <w:rPr>
          <w:i/>
          <w:iCs/>
        </w:rPr>
        <w:t> le fait, soit de fabriquer, de transporter, de diffuser par que</w:t>
      </w:r>
      <w:r w:rsidRPr="009F3F9D">
        <w:rPr>
          <w:i/>
          <w:iCs/>
        </w:rPr>
        <w:t>l</w:t>
      </w:r>
      <w:r w:rsidRPr="009F3F9D">
        <w:rPr>
          <w:i/>
          <w:iCs/>
        </w:rPr>
        <w:t>que moyen que ce soit et quel qu’en soit le support un message à caractère violent ou pornographique ou de nature à porter gravement atteinte à la dignité h</w:t>
      </w:r>
      <w:r w:rsidRPr="009F3F9D">
        <w:rPr>
          <w:i/>
          <w:iCs/>
        </w:rPr>
        <w:t>u</w:t>
      </w:r>
      <w:r w:rsidRPr="009F3F9D">
        <w:rPr>
          <w:i/>
          <w:iCs/>
        </w:rPr>
        <w:t>maine lorsque ce message est susceptible d’être vu ou perçu par un mineur </w:t>
      </w:r>
      <w:r w:rsidRPr="009F3F9D">
        <w:rPr>
          <w:iCs/>
        </w:rPr>
        <w:t>»</w:t>
      </w:r>
      <w:r w:rsidRPr="009F3F9D">
        <w:rPr>
          <w:i/>
          <w:iCs/>
        </w:rPr>
        <w:t>.</w:t>
      </w:r>
    </w:p>
  </w:footnote>
  <w:footnote w:id="853">
    <w:p w14:paraId="109A9A08" w14:textId="77777777" w:rsidR="00B01930" w:rsidRDefault="00B01930" w:rsidP="00B01930">
      <w:pPr>
        <w:pStyle w:val="Notedebasdepage"/>
      </w:pPr>
      <w:r>
        <w:rPr>
          <w:rStyle w:val="Appelnotedebasdep"/>
        </w:rPr>
        <w:footnoteRef/>
      </w:r>
      <w:r>
        <w:t xml:space="preserve"> </w:t>
      </w:r>
      <w:r>
        <w:tab/>
        <w:t>La lecture du</w:t>
      </w:r>
      <w:r w:rsidRPr="009F3F9D">
        <w:t xml:space="preserve"> premier alinéa de l’article 16-1 du Code civil </w:t>
      </w:r>
      <w:r>
        <w:t>le prouve</w:t>
      </w:r>
      <w:r w:rsidRPr="009F3F9D">
        <w:t>, au tr</w:t>
      </w:r>
      <w:r w:rsidRPr="009F3F9D">
        <w:t>a</w:t>
      </w:r>
      <w:r w:rsidRPr="009F3F9D">
        <w:t xml:space="preserve">vers d’une référence au respect qui n’est autre qu’une déclinaison de la dignité humaine dans son aspect individuel : </w:t>
      </w:r>
      <w:r w:rsidRPr="009F3F9D">
        <w:rPr>
          <w:i/>
        </w:rPr>
        <w:t>« Chacun a droit au respect de son corps ».</w:t>
      </w:r>
    </w:p>
  </w:footnote>
  <w:footnote w:id="854">
    <w:p w14:paraId="1613EE7D" w14:textId="77777777" w:rsidR="00B01930" w:rsidRDefault="00B01930" w:rsidP="00B01930">
      <w:pPr>
        <w:pStyle w:val="Notedebasdepage"/>
      </w:pPr>
      <w:r>
        <w:rPr>
          <w:rStyle w:val="Appelnotedebasdep"/>
        </w:rPr>
        <w:footnoteRef/>
      </w:r>
      <w:r>
        <w:t xml:space="preserve"> </w:t>
      </w:r>
      <w:r>
        <w:tab/>
      </w:r>
      <w:r w:rsidRPr="00127BC7">
        <w:t>L’article L 622-5 du Code de l’entrée et du séjour des étrangers et du droit d’asile aggrave les peines prévues par l’article L 622-1 du même code lor</w:t>
      </w:r>
      <w:r w:rsidRPr="00127BC7">
        <w:t>s</w:t>
      </w:r>
      <w:r w:rsidRPr="00127BC7">
        <w:t>que les infractions considérées «</w:t>
      </w:r>
      <w:r w:rsidRPr="00127BC7">
        <w:rPr>
          <w:i/>
        </w:rPr>
        <w:t> ont pour effet de soumettre les étrangers à des conditions de vie, de transport, de travail ou d’hébergement incompat</w:t>
      </w:r>
      <w:r w:rsidRPr="00127BC7">
        <w:rPr>
          <w:i/>
        </w:rPr>
        <w:t>i</w:t>
      </w:r>
      <w:r w:rsidRPr="00127BC7">
        <w:rPr>
          <w:i/>
        </w:rPr>
        <w:t>bles avec la dignité de la personne humaine </w:t>
      </w:r>
      <w:r w:rsidRPr="00127BC7">
        <w:t>»</w:t>
      </w:r>
      <w:r>
        <w:t>, c’est-à-dire avec la dimension co</w:t>
      </w:r>
      <w:r>
        <w:t>l</w:t>
      </w:r>
      <w:r>
        <w:t>lective de la dignité humaine.</w:t>
      </w:r>
    </w:p>
  </w:footnote>
  <w:footnote w:id="855">
    <w:p w14:paraId="15B0F320" w14:textId="77777777" w:rsidR="00B01930" w:rsidRDefault="00B01930" w:rsidP="00B01930">
      <w:pPr>
        <w:pStyle w:val="Notedebasdepage"/>
      </w:pPr>
      <w:r>
        <w:rPr>
          <w:rStyle w:val="Appelnotedebasdep"/>
        </w:rPr>
        <w:footnoteRef/>
      </w:r>
      <w:r>
        <w:t xml:space="preserve"> </w:t>
      </w:r>
      <w:r>
        <w:tab/>
      </w:r>
      <w:r w:rsidRPr="0043615C">
        <w:t>L’article 16-1-1 du Code civil dispose, dans son premier alinéa, que «</w:t>
      </w:r>
      <w:r w:rsidRPr="0043615C">
        <w:rPr>
          <w:i/>
        </w:rPr>
        <w:t>  le re</w:t>
      </w:r>
      <w:r w:rsidRPr="0043615C">
        <w:rPr>
          <w:i/>
        </w:rPr>
        <w:t>s</w:t>
      </w:r>
      <w:r w:rsidRPr="0043615C">
        <w:rPr>
          <w:i/>
        </w:rPr>
        <w:t>pect dû au corps humain ne cesse pas avec la mort </w:t>
      </w:r>
      <w:r w:rsidRPr="0043615C">
        <w:t>»</w:t>
      </w:r>
      <w:r w:rsidRPr="0043615C">
        <w:rPr>
          <w:i/>
        </w:rPr>
        <w:t>,</w:t>
      </w:r>
      <w:r w:rsidRPr="0043615C">
        <w:t xml:space="preserve"> et, dans son second al</w:t>
      </w:r>
      <w:r w:rsidRPr="0043615C">
        <w:t>i</w:t>
      </w:r>
      <w:r w:rsidRPr="0043615C">
        <w:t>néa, que «</w:t>
      </w:r>
      <w:r w:rsidRPr="0043615C">
        <w:rPr>
          <w:i/>
        </w:rPr>
        <w:t> les restes des personnes décédées, y compris les cendres de celles dont le corps a donné lieu à crémation, doivent être traités avec respect, d</w:t>
      </w:r>
      <w:r w:rsidRPr="0043615C">
        <w:rPr>
          <w:i/>
        </w:rPr>
        <w:t>i</w:t>
      </w:r>
      <w:r w:rsidRPr="0043615C">
        <w:rPr>
          <w:i/>
        </w:rPr>
        <w:t>gnité et décence </w:t>
      </w:r>
      <w:r w:rsidRPr="0043615C">
        <w:t>»</w:t>
      </w:r>
      <w:r w:rsidRPr="0043615C">
        <w:rPr>
          <w:i/>
        </w:rPr>
        <w:t>.</w:t>
      </w:r>
    </w:p>
  </w:footnote>
  <w:footnote w:id="856">
    <w:p w14:paraId="406BD191" w14:textId="77777777" w:rsidR="00B01930" w:rsidRDefault="00B01930" w:rsidP="00B01930">
      <w:pPr>
        <w:pStyle w:val="Notedebasdepage"/>
      </w:pPr>
      <w:r>
        <w:rPr>
          <w:rStyle w:val="Appelnotedebasdep"/>
        </w:rPr>
        <w:footnoteRef/>
      </w:r>
      <w:r>
        <w:t xml:space="preserve"> </w:t>
      </w:r>
      <w:r>
        <w:tab/>
      </w:r>
      <w:r w:rsidRPr="0067386A">
        <w:rPr>
          <w:lang w:val="fr-FR"/>
        </w:rPr>
        <w:t>L’expression est d’Adolf Hitler.</w:t>
      </w:r>
    </w:p>
  </w:footnote>
  <w:footnote w:id="857">
    <w:p w14:paraId="03537156" w14:textId="77777777" w:rsidR="00B01930" w:rsidRDefault="00B01930" w:rsidP="00B01930">
      <w:pPr>
        <w:pStyle w:val="Notedebasdepage"/>
      </w:pPr>
      <w:r>
        <w:rPr>
          <w:rStyle w:val="Appelnotedebasdep"/>
        </w:rPr>
        <w:footnoteRef/>
      </w:r>
      <w:r>
        <w:t xml:space="preserve"> </w:t>
      </w:r>
      <w:r>
        <w:tab/>
      </w:r>
      <w:r w:rsidRPr="0052580A">
        <w:rPr>
          <w:lang w:val="fr-FR"/>
        </w:rPr>
        <w:t xml:space="preserve">La réponse devait être </w:t>
      </w:r>
      <w:r>
        <w:rPr>
          <w:lang w:val="fr-FR"/>
        </w:rPr>
        <w:t>rapide</w:t>
      </w:r>
      <w:r w:rsidRPr="0052580A">
        <w:rPr>
          <w:lang w:val="fr-FR"/>
        </w:rPr>
        <w:t xml:space="preserve"> compte tenu de l’ampleur du choc causé aux pop</w:t>
      </w:r>
      <w:r w:rsidRPr="0052580A">
        <w:rPr>
          <w:lang w:val="fr-FR"/>
        </w:rPr>
        <w:t>u</w:t>
      </w:r>
      <w:r w:rsidRPr="0052580A">
        <w:rPr>
          <w:lang w:val="fr-FR"/>
        </w:rPr>
        <w:t xml:space="preserve">lations. Elle devait </w:t>
      </w:r>
      <w:r>
        <w:rPr>
          <w:lang w:val="fr-FR"/>
        </w:rPr>
        <w:t xml:space="preserve">également être répressive </w:t>
      </w:r>
      <w:r w:rsidRPr="0052580A">
        <w:rPr>
          <w:lang w:val="fr-FR"/>
        </w:rPr>
        <w:t>eu égard à la nécessité de les rassurer</w:t>
      </w:r>
      <w:r>
        <w:rPr>
          <w:lang w:val="fr-FR"/>
        </w:rPr>
        <w:t>, ce qui impliquait qu’elle soit juridique</w:t>
      </w:r>
      <w:r w:rsidRPr="0052580A">
        <w:rPr>
          <w:lang w:val="fr-FR"/>
        </w:rPr>
        <w:t>.</w:t>
      </w:r>
    </w:p>
  </w:footnote>
  <w:footnote w:id="858">
    <w:p w14:paraId="332F928F" w14:textId="77777777" w:rsidR="00B01930" w:rsidRDefault="00B01930" w:rsidP="00B01930">
      <w:pPr>
        <w:pStyle w:val="Notedebasdepage"/>
      </w:pPr>
      <w:r>
        <w:rPr>
          <w:rStyle w:val="Appelnotedebasdep"/>
        </w:rPr>
        <w:footnoteRef/>
      </w:r>
      <w:r>
        <w:t xml:space="preserve"> </w:t>
      </w:r>
      <w:r>
        <w:tab/>
      </w:r>
      <w:r w:rsidRPr="00A92192">
        <w:rPr>
          <w:lang w:val="fr-FR"/>
        </w:rPr>
        <w:t>En France, le développement de l’aspect personnel de la dignité humaine a pr</w:t>
      </w:r>
      <w:r w:rsidRPr="00A92192">
        <w:rPr>
          <w:lang w:val="fr-FR"/>
        </w:rPr>
        <w:t>é</w:t>
      </w:r>
      <w:r w:rsidRPr="00A92192">
        <w:rPr>
          <w:lang w:val="fr-FR"/>
        </w:rPr>
        <w:t xml:space="preserve">valu sur celui de son aspect collectif.  L’hypertrophie de cette déclinaison personnelle de la dignité humaine, en lien avec l’exacerbation de l’individualisme dans la société </w:t>
      </w:r>
      <w:r>
        <w:rPr>
          <w:lang w:val="fr-FR"/>
        </w:rPr>
        <w:t>française</w:t>
      </w:r>
      <w:r w:rsidRPr="00A92192">
        <w:rPr>
          <w:lang w:val="fr-FR"/>
        </w:rPr>
        <w:t>, est aujourd’hui source de conf</w:t>
      </w:r>
      <w:r w:rsidRPr="00A92192">
        <w:rPr>
          <w:lang w:val="fr-FR"/>
        </w:rPr>
        <w:t>u</w:t>
      </w:r>
      <w:r w:rsidRPr="00A92192">
        <w:rPr>
          <w:lang w:val="fr-FR"/>
        </w:rPr>
        <w:t xml:space="preserve">sion avec certaines libertés ; </w:t>
      </w:r>
      <w:r>
        <w:rPr>
          <w:lang w:val="fr-FR"/>
        </w:rPr>
        <w:t xml:space="preserve">Pierre </w:t>
      </w:r>
      <w:r>
        <w:t>Cabrol</w:t>
      </w:r>
      <w:r w:rsidRPr="00A92192">
        <w:t xml:space="preserve">, 2010, </w:t>
      </w:r>
      <w:r w:rsidRPr="00A92192">
        <w:rPr>
          <w:i/>
          <w:iCs/>
        </w:rPr>
        <w:t xml:space="preserve">"La judiciarisation de la dignité humaine", </w:t>
      </w:r>
      <w:r w:rsidRPr="00A92192">
        <w:t>Politéia, n° 17, 589-598</w:t>
      </w:r>
      <w:r>
        <w:rPr>
          <w:lang w:val="fr-FR"/>
        </w:rPr>
        <w:t>, page 9</w:t>
      </w:r>
      <w:r w:rsidRPr="00A92192">
        <w:t>.</w:t>
      </w:r>
    </w:p>
  </w:footnote>
  <w:footnote w:id="859">
    <w:p w14:paraId="43165922" w14:textId="77777777" w:rsidR="00B01930" w:rsidRDefault="00B01930" w:rsidP="00B01930">
      <w:pPr>
        <w:pStyle w:val="Notedebasdepage"/>
      </w:pPr>
      <w:r>
        <w:rPr>
          <w:rStyle w:val="Appelnotedebasdep"/>
        </w:rPr>
        <w:footnoteRef/>
      </w:r>
      <w:r>
        <w:t xml:space="preserve"> </w:t>
      </w:r>
      <w:r>
        <w:tab/>
      </w:r>
      <w:r w:rsidRPr="00865DE2">
        <w:t>Par valeurs nous parlons ici de valeurs spirituelles qui représentent des idéaux vers lesquels tendre, tout en étant conscient qu’il demeure impossible de les atteindre. Les philosophes distinguent entre les valeurs relatives et les valeurs absolues que les juristes désignent comme étant les valeurs fondame</w:t>
      </w:r>
      <w:r w:rsidRPr="00865DE2">
        <w:t>n</w:t>
      </w:r>
      <w:r w:rsidRPr="00865DE2">
        <w:t>tales universelles. Celles-ci sont des valeurs partagées par l’humanité. Elles se s</w:t>
      </w:r>
      <w:r w:rsidRPr="00865DE2">
        <w:t>i</w:t>
      </w:r>
      <w:r w:rsidRPr="00865DE2">
        <w:t>tuent au sommet de l’échelle des valeurs. La première et la plus ancie</w:t>
      </w:r>
      <w:r w:rsidRPr="00865DE2">
        <w:t>n</w:t>
      </w:r>
      <w:r w:rsidRPr="00865DE2">
        <w:t>nement reconnu d’entre elles est le respect de la vie humaine. Au cours du dix-neuvième siècle ou de la première moitié du vingtième siècle, l’unanimité s’est ensuite faite</w:t>
      </w:r>
      <w:r>
        <w:rPr>
          <w:lang w:val="fr-FR"/>
        </w:rPr>
        <w:t>, en Occident tout du moins,</w:t>
      </w:r>
      <w:r w:rsidRPr="00865DE2">
        <w:t xml:space="preserve"> autour du choix d’un mode de gouvernement démocratique. Sous le choc causé par la d</w:t>
      </w:r>
      <w:r w:rsidRPr="00865DE2">
        <w:t>é</w:t>
      </w:r>
      <w:r w:rsidRPr="00865DE2">
        <w:t>couverte par l’opinion publique de la Shoah, la protection de la dignité h</w:t>
      </w:r>
      <w:r w:rsidRPr="00865DE2">
        <w:t>u</w:t>
      </w:r>
      <w:r w:rsidRPr="00865DE2">
        <w:t xml:space="preserve">maine </w:t>
      </w:r>
      <w:r>
        <w:rPr>
          <w:lang w:val="fr-FR"/>
        </w:rPr>
        <w:t>est venue s’y ajouter</w:t>
      </w:r>
      <w:r w:rsidRPr="00865DE2">
        <w:t xml:space="preserve"> dès la fin de la seconde guerre mondiale. Le re</w:t>
      </w:r>
      <w:r w:rsidRPr="00865DE2">
        <w:t>s</w:t>
      </w:r>
      <w:r w:rsidRPr="00865DE2">
        <w:t xml:space="preserve">pect des droits de l’homme est, depuis un quart de siècle environ, en passe de </w:t>
      </w:r>
      <w:r>
        <w:rPr>
          <w:lang w:val="fr-FR"/>
        </w:rPr>
        <w:t>les rejoindre</w:t>
      </w:r>
      <w:r w:rsidRPr="00865DE2">
        <w:t xml:space="preserve">. Sous l’influence des inquiétudes liées au réchauffement climatique, la préservation de l’environnement pourrait bien être </w:t>
      </w:r>
      <w:r>
        <w:rPr>
          <w:lang w:val="fr-FR"/>
        </w:rPr>
        <w:t>le prochain candidat.</w:t>
      </w:r>
    </w:p>
  </w:footnote>
  <w:footnote w:id="860">
    <w:p w14:paraId="4B664E62" w14:textId="77777777" w:rsidR="00B01930" w:rsidRDefault="00B01930" w:rsidP="00B01930">
      <w:pPr>
        <w:pStyle w:val="Notedebasdepage"/>
      </w:pPr>
      <w:r>
        <w:rPr>
          <w:rStyle w:val="Appelnotedebasdep"/>
        </w:rPr>
        <w:footnoteRef/>
      </w:r>
      <w:r>
        <w:t xml:space="preserve"> </w:t>
      </w:r>
      <w:r>
        <w:tab/>
      </w:r>
      <w:r w:rsidRPr="00DF6207">
        <w:t>« On ne peut mettre en doute que le problème de la valeur n’ait été renouv</w:t>
      </w:r>
      <w:r w:rsidRPr="00DF6207">
        <w:t>e</w:t>
      </w:r>
      <w:r w:rsidRPr="00DF6207">
        <w:t>lé depuis env</w:t>
      </w:r>
      <w:r w:rsidRPr="00DF6207">
        <w:t>i</w:t>
      </w:r>
      <w:r w:rsidRPr="00DF6207">
        <w:t>ron trois quarts de siècle sous l’influence à la fois du progrès de la science qui, en trouvant dans son propre domaine un développement à la fois assuré et illimité, a mieux montré ce qu’elle était incapable de nous donner, — d’une critique de la science qui, l’insérant dans l’activité totale de l’homme, en a fait une sorte de moyen au service d’une fin qu’il fallait d’abord définir, — et peut-être aussi des malheurs qui sont venus ébranler le monde et qui ont amené chaque individu à considérer le problème de la s</w:t>
      </w:r>
      <w:r w:rsidRPr="00DF6207">
        <w:t>i</w:t>
      </w:r>
      <w:r w:rsidRPr="00DF6207">
        <w:t>gnification de la vie comme étant le problème fondamental auquel tous les autres étaient subo</w:t>
      </w:r>
      <w:r w:rsidRPr="00DF6207">
        <w:t>r</w:t>
      </w:r>
      <w:r w:rsidRPr="00DF6207">
        <w:t>donnés » ; Lavelle L., Traité des valeurs. I. Théorie générale de la valeur, P</w:t>
      </w:r>
      <w:r w:rsidRPr="00DF6207">
        <w:t>a</w:t>
      </w:r>
      <w:r w:rsidRPr="00DF6207">
        <w:t>ris, Les Presses universitaires de France, collection Dito, première édition, 1950, deuxième édition, 1991, 753 pages, page 14.</w:t>
      </w:r>
    </w:p>
  </w:footnote>
  <w:footnote w:id="861">
    <w:p w14:paraId="2ED9E80F" w14:textId="77777777" w:rsidR="00B01930" w:rsidRDefault="00B01930" w:rsidP="00B01930">
      <w:pPr>
        <w:pStyle w:val="Notedebasdepage"/>
      </w:pPr>
      <w:r>
        <w:rPr>
          <w:rStyle w:val="Appelnotedebasdep"/>
        </w:rPr>
        <w:footnoteRef/>
      </w:r>
      <w:r>
        <w:t xml:space="preserve"> </w:t>
      </w:r>
      <w:r>
        <w:tab/>
      </w:r>
      <w:r w:rsidRPr="001662CD">
        <w:rPr>
          <w:lang w:val="fr-FR"/>
        </w:rPr>
        <w:t>L’accession de cette valeur au statut de valeur fondamentale universelle est parfois critiquée comme étant l’expression du seul point de vue occidental.</w:t>
      </w:r>
    </w:p>
  </w:footnote>
  <w:footnote w:id="862">
    <w:p w14:paraId="78A854D9" w14:textId="77777777" w:rsidR="00B01930" w:rsidRDefault="00B01930" w:rsidP="00B01930">
      <w:pPr>
        <w:pStyle w:val="Notedebasdepage"/>
      </w:pPr>
      <w:r>
        <w:rPr>
          <w:rStyle w:val="Appelnotedebasdep"/>
        </w:rPr>
        <w:footnoteRef/>
      </w:r>
      <w:r>
        <w:t xml:space="preserve"> </w:t>
      </w:r>
      <w:r>
        <w:tab/>
      </w:r>
      <w:r w:rsidRPr="0071557A">
        <w:rPr>
          <w:lang w:val="fr-FR"/>
        </w:rPr>
        <w:t xml:space="preserve">Des concepteurs du projet aux exécutants et aux complices, quelles que soient </w:t>
      </w:r>
      <w:r>
        <w:rPr>
          <w:lang w:val="fr-FR"/>
        </w:rPr>
        <w:t>leurs</w:t>
      </w:r>
      <w:r w:rsidRPr="0071557A">
        <w:rPr>
          <w:lang w:val="fr-FR"/>
        </w:rPr>
        <w:t xml:space="preserve"> motivations.</w:t>
      </w:r>
    </w:p>
  </w:footnote>
  <w:footnote w:id="863">
    <w:p w14:paraId="6CCBFB05" w14:textId="77777777" w:rsidR="00B01930" w:rsidRDefault="00B01930" w:rsidP="00B01930">
      <w:pPr>
        <w:pStyle w:val="Notedebasdepage"/>
      </w:pPr>
      <w:r>
        <w:rPr>
          <w:rStyle w:val="Appelnotedebasdep"/>
        </w:rPr>
        <w:footnoteRef/>
      </w:r>
      <w:r>
        <w:t xml:space="preserve"> </w:t>
      </w:r>
      <w:r>
        <w:tab/>
      </w:r>
      <w:r w:rsidRPr="0071557A">
        <w:rPr>
          <w:lang w:val="fr-FR"/>
        </w:rPr>
        <w:t>Morts et survivants.</w:t>
      </w:r>
    </w:p>
  </w:footnote>
  <w:footnote w:id="864">
    <w:p w14:paraId="6869E820" w14:textId="77777777" w:rsidR="00B01930" w:rsidRDefault="00B01930" w:rsidP="00B01930">
      <w:pPr>
        <w:pStyle w:val="Notedebasdepage"/>
      </w:pPr>
      <w:r>
        <w:rPr>
          <w:rStyle w:val="Appelnotedebasdep"/>
        </w:rPr>
        <w:footnoteRef/>
      </w:r>
      <w:r>
        <w:t xml:space="preserve"> </w:t>
      </w:r>
      <w:r>
        <w:tab/>
      </w:r>
      <w:r w:rsidRPr="00CC0696">
        <w:rPr>
          <w:lang w:val="fr-FR"/>
        </w:rPr>
        <w:t>Sauf à considérer, pour les croyants, que celle-ci est d’origine divine.</w:t>
      </w:r>
    </w:p>
  </w:footnote>
  <w:footnote w:id="865">
    <w:p w14:paraId="41FAF076" w14:textId="77777777" w:rsidR="00B01930" w:rsidRDefault="00B01930" w:rsidP="00B01930">
      <w:pPr>
        <w:pStyle w:val="Notedebasdepage"/>
      </w:pPr>
      <w:r>
        <w:rPr>
          <w:rStyle w:val="Appelnotedebasdep"/>
        </w:rPr>
        <w:footnoteRef/>
      </w:r>
      <w:r>
        <w:t xml:space="preserve"> </w:t>
      </w:r>
      <w:r>
        <w:tab/>
      </w:r>
      <w:r w:rsidRPr="000D1C36">
        <w:t>En termes d’objectifs, la morale, ainsi entendue, vise, soit à garantir la coh</w:t>
      </w:r>
      <w:r w:rsidRPr="000D1C36">
        <w:t>é</w:t>
      </w:r>
      <w:r w:rsidRPr="000D1C36">
        <w:t>sion du groupe social, soit à rendre la vie au sein de celui-ci plus agréable.</w:t>
      </w:r>
    </w:p>
  </w:footnote>
  <w:footnote w:id="866">
    <w:p w14:paraId="52E7BABA" w14:textId="77777777" w:rsidR="00B01930" w:rsidRDefault="00B01930" w:rsidP="00B01930">
      <w:pPr>
        <w:pStyle w:val="Notedebasdepage"/>
      </w:pPr>
      <w:r>
        <w:rPr>
          <w:rStyle w:val="Appelnotedebasdep"/>
        </w:rPr>
        <w:footnoteRef/>
      </w:r>
      <w:r>
        <w:t xml:space="preserve"> </w:t>
      </w:r>
      <w:r>
        <w:tab/>
      </w:r>
      <w:r w:rsidRPr="004873F7">
        <w:rPr>
          <w:lang w:val="fr-FR"/>
        </w:rPr>
        <w:t>S</w:t>
      </w:r>
      <w:r w:rsidRPr="004873F7">
        <w:t>oit la conformité avec les règles d’organisation de la société des hommes, c’est-à-dire avec les intérêts de l’humanité</w:t>
      </w:r>
      <w:r w:rsidRPr="004873F7">
        <w:rPr>
          <w:lang w:val="fr-FR"/>
        </w:rPr>
        <w:t>.</w:t>
      </w:r>
    </w:p>
  </w:footnote>
  <w:footnote w:id="867">
    <w:p w14:paraId="1EF365F0" w14:textId="77777777" w:rsidR="00B01930" w:rsidRDefault="00B01930" w:rsidP="00B01930">
      <w:pPr>
        <w:pStyle w:val="Notedebasdepage"/>
      </w:pPr>
      <w:r>
        <w:rPr>
          <w:rStyle w:val="Appelnotedebasdep"/>
        </w:rPr>
        <w:footnoteRef/>
      </w:r>
      <w:r>
        <w:t xml:space="preserve"> </w:t>
      </w:r>
      <w:r>
        <w:tab/>
        <w:t>N</w:t>
      </w:r>
      <w:r w:rsidRPr="00D82C29">
        <w:rPr>
          <w:lang w:val="fr-FR"/>
        </w:rPr>
        <w:t>ombre de croyants considèrent que la morale élaborée (voire donnée par Dieu selon certaines croyances) par leur communauté religieuse a vocation à l’universalité. Ainsi entendue, elle se confond avec la morale à vocation un</w:t>
      </w:r>
      <w:r w:rsidRPr="00D82C29">
        <w:rPr>
          <w:lang w:val="fr-FR"/>
        </w:rPr>
        <w:t>i</w:t>
      </w:r>
      <w:r w:rsidRPr="00D82C29">
        <w:rPr>
          <w:lang w:val="fr-FR"/>
        </w:rPr>
        <w:t>verselle et exclue la possibilité d’existence de morales particulières. La « laïcité à la française », en assimilant « morale républicaine » et morale à v</w:t>
      </w:r>
      <w:r w:rsidRPr="00D82C29">
        <w:rPr>
          <w:lang w:val="fr-FR"/>
        </w:rPr>
        <w:t>o</w:t>
      </w:r>
      <w:r w:rsidRPr="00D82C29">
        <w:rPr>
          <w:lang w:val="fr-FR"/>
        </w:rPr>
        <w:t>cation universelle conduit à la même exclusion des morales particulières, que celles-ci soient religieuses ou non.</w:t>
      </w:r>
    </w:p>
  </w:footnote>
  <w:footnote w:id="868">
    <w:p w14:paraId="7A9A5F08" w14:textId="77777777" w:rsidR="00B01930" w:rsidRDefault="00B01930" w:rsidP="00B01930">
      <w:pPr>
        <w:pStyle w:val="Notedebasdepage"/>
      </w:pPr>
      <w:r>
        <w:rPr>
          <w:rStyle w:val="Appelnotedebasdep"/>
        </w:rPr>
        <w:footnoteRef/>
      </w:r>
      <w:r>
        <w:t xml:space="preserve"> </w:t>
      </w:r>
      <w:r>
        <w:tab/>
      </w:r>
      <w:r>
        <w:rPr>
          <w:lang w:val="fr-FR"/>
        </w:rPr>
        <w:t>É</w:t>
      </w:r>
      <w:r w:rsidRPr="008806ED">
        <w:rPr>
          <w:lang w:val="fr-FR"/>
        </w:rPr>
        <w:t>tant entendu que l’homme n’use pas toujours de sa raison et que certains êtres humains font prévaloir leurs intérêts, ou divers intérêts particuliers, sur l’intérêt collectif. Le raisonnement se suffit du fait que la majeure partie des comportements humains soient conformes aux intérêts de l’humanité. Il ne nécessite pas qu’ils le soient tous.</w:t>
      </w:r>
    </w:p>
  </w:footnote>
  <w:footnote w:id="869">
    <w:p w14:paraId="0F3CB49D" w14:textId="77777777" w:rsidR="00B01930" w:rsidRDefault="00B01930" w:rsidP="00B01930">
      <w:pPr>
        <w:pStyle w:val="Notedebasdepage"/>
      </w:pPr>
      <w:r>
        <w:rPr>
          <w:rStyle w:val="Appelnotedebasdep"/>
        </w:rPr>
        <w:footnoteRef/>
      </w:r>
      <w:r>
        <w:t xml:space="preserve"> </w:t>
      </w:r>
      <w:r>
        <w:tab/>
      </w:r>
      <w:r w:rsidRPr="00CC0696">
        <w:rPr>
          <w:lang w:val="fr-FR"/>
        </w:rPr>
        <w:t>Entendue comme la conscience qu’à l’individu d’appartenir à l’espèce huma</w:t>
      </w:r>
      <w:r w:rsidRPr="00CC0696">
        <w:rPr>
          <w:lang w:val="fr-FR"/>
        </w:rPr>
        <w:t>i</w:t>
      </w:r>
      <w:r w:rsidRPr="00CC0696">
        <w:rPr>
          <w:lang w:val="fr-FR"/>
        </w:rPr>
        <w:t>ne.</w:t>
      </w:r>
    </w:p>
  </w:footnote>
  <w:footnote w:id="870">
    <w:p w14:paraId="26E9A482" w14:textId="77777777" w:rsidR="00B01930" w:rsidRDefault="00B01930" w:rsidP="00B01930">
      <w:pPr>
        <w:pStyle w:val="Notedebasdepage"/>
      </w:pPr>
      <w:r>
        <w:rPr>
          <w:rStyle w:val="Appelnotedebasdep"/>
        </w:rPr>
        <w:footnoteRef/>
      </w:r>
      <w:r>
        <w:t xml:space="preserve"> </w:t>
      </w:r>
      <w:r>
        <w:tab/>
      </w:r>
      <w:r w:rsidRPr="005D783D">
        <w:rPr>
          <w:lang w:val="fr-FR"/>
        </w:rPr>
        <w:t xml:space="preserve">Pascal, </w:t>
      </w:r>
      <w:r w:rsidRPr="006C38DA">
        <w:rPr>
          <w:i/>
          <w:lang w:val="fr-FR"/>
        </w:rPr>
        <w:t>Pensées,</w:t>
      </w:r>
      <w:r w:rsidRPr="005D783D">
        <w:rPr>
          <w:lang w:val="fr-FR"/>
        </w:rPr>
        <w:t xml:space="preserve"> Gallimard, Pléiade, 1976, pages 1156-1157 (première éd</w:t>
      </w:r>
      <w:r w:rsidRPr="005D783D">
        <w:rPr>
          <w:lang w:val="fr-FR"/>
        </w:rPr>
        <w:t>i</w:t>
      </w:r>
      <w:r w:rsidRPr="005D783D">
        <w:rPr>
          <w:lang w:val="fr-FR"/>
        </w:rPr>
        <w:t>tion 1660)</w:t>
      </w:r>
      <w:r>
        <w:rPr>
          <w:lang w:val="fr-FR"/>
        </w:rPr>
        <w:t xml:space="preserve"> [</w:t>
      </w:r>
      <w:hyperlink r:id="rId39" w:history="1">
        <w:r w:rsidRPr="00082942">
          <w:rPr>
            <w:rStyle w:val="Hyperlien"/>
            <w:lang w:val="fr-FR"/>
          </w:rPr>
          <w:t>En ligne</w:t>
        </w:r>
      </w:hyperlink>
      <w:r>
        <w:rPr>
          <w:lang w:val="fr-FR"/>
        </w:rPr>
        <w:t>] Consulté le 6 septembre 2022</w:t>
      </w:r>
      <w:r w:rsidRPr="005D783D">
        <w:rPr>
          <w:lang w:val="fr-FR"/>
        </w:rPr>
        <w:t>.</w:t>
      </w:r>
    </w:p>
  </w:footnote>
  <w:footnote w:id="871">
    <w:p w14:paraId="6C58CEEA" w14:textId="77777777" w:rsidR="00B01930" w:rsidRDefault="00B01930" w:rsidP="00B01930">
      <w:pPr>
        <w:pStyle w:val="Notedebasdepage"/>
      </w:pPr>
      <w:r>
        <w:rPr>
          <w:rStyle w:val="Appelnotedebasdep"/>
        </w:rPr>
        <w:footnoteRef/>
      </w:r>
      <w:r>
        <w:t xml:space="preserve"> </w:t>
      </w:r>
      <w:r>
        <w:tab/>
      </w:r>
      <w:r w:rsidRPr="00740F70">
        <w:t xml:space="preserve">Le fait d’opposer le </w:t>
      </w:r>
      <w:r>
        <w:rPr>
          <w:lang w:val="fr-FR"/>
        </w:rPr>
        <w:t>B</w:t>
      </w:r>
      <w:r w:rsidRPr="00740F70">
        <w:t xml:space="preserve">ien et le </w:t>
      </w:r>
      <w:r>
        <w:rPr>
          <w:lang w:val="fr-FR"/>
        </w:rPr>
        <w:t>M</w:t>
      </w:r>
      <w:r w:rsidRPr="00740F70">
        <w:t>al permet de porter un jugement moral sur toute pensée ou action humaine, ce qui met en jeu une autre opposition due</w:t>
      </w:r>
      <w:r w:rsidRPr="00740F70">
        <w:t>l</w:t>
      </w:r>
      <w:r w:rsidRPr="00740F70">
        <w:t>le, soit celle faite entre l</w:t>
      </w:r>
      <w:r>
        <w:t>a pensée et l’action. Il existe</w:t>
      </w:r>
      <w:r>
        <w:rPr>
          <w:lang w:val="fr-FR"/>
        </w:rPr>
        <w:t xml:space="preserve"> </w:t>
      </w:r>
      <w:r w:rsidRPr="00740F70">
        <w:t>des pensées et des a</w:t>
      </w:r>
      <w:r w:rsidRPr="00740F70">
        <w:t>c</w:t>
      </w:r>
      <w:r w:rsidRPr="00740F70">
        <w:t>tions morales, et d’autres qui ne le sont pas.</w:t>
      </w:r>
    </w:p>
  </w:footnote>
  <w:footnote w:id="872">
    <w:p w14:paraId="2606CFFC" w14:textId="77777777" w:rsidR="00B01930" w:rsidRDefault="00B01930" w:rsidP="00B01930">
      <w:pPr>
        <w:pStyle w:val="Notedebasdepage"/>
      </w:pPr>
      <w:r>
        <w:rPr>
          <w:rStyle w:val="Appelnotedebasdep"/>
        </w:rPr>
        <w:footnoteRef/>
      </w:r>
      <w:r>
        <w:t xml:space="preserve"> </w:t>
      </w:r>
      <w:r>
        <w:tab/>
      </w:r>
      <w:r>
        <w:rPr>
          <w:lang w:val="fr-FR"/>
        </w:rPr>
        <w:t>Cette affirmation soulève une objection forte, non éliminable à ce jour. Sauf à entendre le concept de Bien de manière relative, ce qui le disqualifie, a</w:t>
      </w:r>
      <w:r>
        <w:rPr>
          <w:lang w:val="fr-FR"/>
        </w:rPr>
        <w:t>f</w:t>
      </w:r>
      <w:r>
        <w:rPr>
          <w:lang w:val="fr-FR"/>
        </w:rPr>
        <w:t xml:space="preserve">firmer que </w:t>
      </w:r>
      <w:r w:rsidRPr="00B01D35">
        <w:rPr>
          <w:i/>
          <w:lang w:val="fr-FR"/>
        </w:rPr>
        <w:t>« se comporter comme le prescrit le Bien revient à se conformer à la m</w:t>
      </w:r>
      <w:r w:rsidRPr="00B01D35">
        <w:rPr>
          <w:i/>
          <w:lang w:val="fr-FR"/>
        </w:rPr>
        <w:t>o</w:t>
      </w:r>
      <w:r w:rsidRPr="00B01D35">
        <w:rPr>
          <w:i/>
          <w:lang w:val="fr-FR"/>
        </w:rPr>
        <w:t xml:space="preserve">rale » </w:t>
      </w:r>
      <w:r>
        <w:rPr>
          <w:lang w:val="fr-FR"/>
        </w:rPr>
        <w:t>suppose de faire référence à la morale à vocation universelle. Cela i</w:t>
      </w:r>
      <w:r>
        <w:rPr>
          <w:lang w:val="fr-FR"/>
        </w:rPr>
        <w:t>m</w:t>
      </w:r>
      <w:r>
        <w:rPr>
          <w:lang w:val="fr-FR"/>
        </w:rPr>
        <w:t>plique que les intérêts défendus par les religions soient ceux de l’humanité. Or des divergences se manifestent entre croyants et non croyants, ainsi qu’entre religieux, quant à ce que recouvrent les intérêts à d</w:t>
      </w:r>
      <w:r>
        <w:rPr>
          <w:lang w:val="fr-FR"/>
        </w:rPr>
        <w:t>é</w:t>
      </w:r>
      <w:r>
        <w:rPr>
          <w:lang w:val="fr-FR"/>
        </w:rPr>
        <w:t>fendre, ce qui est source de confusions et de conflits. Pour clarifier la situ</w:t>
      </w:r>
      <w:r>
        <w:rPr>
          <w:lang w:val="fr-FR"/>
        </w:rPr>
        <w:t>a</w:t>
      </w:r>
      <w:r>
        <w:rPr>
          <w:lang w:val="fr-FR"/>
        </w:rPr>
        <w:t>tion, il serait nécessaire de parvenir à un consensus sur le contenu de la n</w:t>
      </w:r>
      <w:r>
        <w:rPr>
          <w:lang w:val="fr-FR"/>
        </w:rPr>
        <w:t>o</w:t>
      </w:r>
      <w:r>
        <w:rPr>
          <w:lang w:val="fr-FR"/>
        </w:rPr>
        <w:t>tion d’intérêts de l’humanité, qui est très loin d’être acquis à ce jour. Rien d’étonnant donc à ce que les uns puissent ranger sous la bannière du Bien ce que d’autres estiment relever du Mal.</w:t>
      </w:r>
    </w:p>
  </w:footnote>
  <w:footnote w:id="873">
    <w:p w14:paraId="6E65BC74" w14:textId="77777777" w:rsidR="00B01930" w:rsidRDefault="00B01930" w:rsidP="00B01930">
      <w:pPr>
        <w:pStyle w:val="Notedebasdepage"/>
      </w:pPr>
      <w:r>
        <w:rPr>
          <w:rStyle w:val="Appelnotedebasdep"/>
        </w:rPr>
        <w:footnoteRef/>
      </w:r>
      <w:r>
        <w:t xml:space="preserve"> </w:t>
      </w:r>
      <w:r>
        <w:tab/>
      </w:r>
      <w:r w:rsidRPr="005024F4">
        <w:rPr>
          <w:lang w:val="fr-FR"/>
        </w:rPr>
        <w:t>L’existence du Mal n’est généralement pas discutée, y compris par les phil</w:t>
      </w:r>
      <w:r w:rsidRPr="005024F4">
        <w:rPr>
          <w:lang w:val="fr-FR"/>
        </w:rPr>
        <w:t>o</w:t>
      </w:r>
      <w:r w:rsidRPr="005024F4">
        <w:rPr>
          <w:lang w:val="fr-FR"/>
        </w:rPr>
        <w:t>sophes</w:t>
      </w:r>
      <w:r>
        <w:rPr>
          <w:lang w:val="fr-FR"/>
        </w:rPr>
        <w:t>, cette existence étant censée relever de la perception et non de l’analyse</w:t>
      </w:r>
      <w:r w:rsidRPr="005024F4">
        <w:rPr>
          <w:lang w:val="fr-FR"/>
        </w:rPr>
        <w:t xml:space="preserve"> : </w:t>
      </w:r>
      <w:r w:rsidRPr="005024F4">
        <w:rPr>
          <w:i/>
          <w:lang w:val="fr-FR"/>
        </w:rPr>
        <w:t>« La connaissance du Mal n’est pas purement spéculative. Sou</w:t>
      </w:r>
      <w:r w:rsidRPr="005024F4">
        <w:rPr>
          <w:i/>
          <w:lang w:val="fr-FR"/>
        </w:rPr>
        <w:t>f</w:t>
      </w:r>
      <w:r w:rsidRPr="005024F4">
        <w:rPr>
          <w:i/>
          <w:lang w:val="fr-FR"/>
        </w:rPr>
        <w:t>france ou pêché, le Mal ne saurait être objet de science objective et désint</w:t>
      </w:r>
      <w:r w:rsidRPr="005024F4">
        <w:rPr>
          <w:i/>
          <w:lang w:val="fr-FR"/>
        </w:rPr>
        <w:t>é</w:t>
      </w:r>
      <w:r w:rsidRPr="005024F4">
        <w:rPr>
          <w:i/>
          <w:lang w:val="fr-FR"/>
        </w:rPr>
        <w:t>ressée. L’homme tout entier : esprit, cœur et corps rencontre, éprouve et s</w:t>
      </w:r>
      <w:r w:rsidRPr="005024F4">
        <w:rPr>
          <w:i/>
          <w:lang w:val="fr-FR"/>
        </w:rPr>
        <w:t>u</w:t>
      </w:r>
      <w:r w:rsidRPr="005024F4">
        <w:rPr>
          <w:i/>
          <w:lang w:val="fr-FR"/>
        </w:rPr>
        <w:t>bit le Mal » ;</w:t>
      </w:r>
      <w:r w:rsidRPr="005024F4">
        <w:rPr>
          <w:lang w:val="fr-FR"/>
        </w:rPr>
        <w:t xml:space="preserve"> Borne E., </w:t>
      </w:r>
      <w:r w:rsidRPr="005024F4">
        <w:rPr>
          <w:i/>
          <w:lang w:val="fr-FR"/>
        </w:rPr>
        <w:t xml:space="preserve">Le problème du Mal, </w:t>
      </w:r>
      <w:r w:rsidRPr="005024F4">
        <w:rPr>
          <w:lang w:val="fr-FR"/>
        </w:rPr>
        <w:t>collection Initiation philos</w:t>
      </w:r>
      <w:r w:rsidRPr="005024F4">
        <w:rPr>
          <w:lang w:val="fr-FR"/>
        </w:rPr>
        <w:t>o</w:t>
      </w:r>
      <w:r w:rsidRPr="005024F4">
        <w:rPr>
          <w:lang w:val="fr-FR"/>
        </w:rPr>
        <w:t>phique, Presses Universitaires de France, 117 pages, page 7.</w:t>
      </w:r>
    </w:p>
  </w:footnote>
  <w:footnote w:id="874">
    <w:p w14:paraId="4FFB9A09" w14:textId="77777777" w:rsidR="00B01930" w:rsidRDefault="00B01930" w:rsidP="00B01930">
      <w:pPr>
        <w:pStyle w:val="Notedebasdepage"/>
      </w:pPr>
      <w:r>
        <w:rPr>
          <w:rStyle w:val="Appelnotedebasdep"/>
        </w:rPr>
        <w:footnoteRef/>
      </w:r>
      <w:r>
        <w:t xml:space="preserve"> </w:t>
      </w:r>
      <w:r>
        <w:tab/>
      </w:r>
      <w:r w:rsidRPr="005662EB">
        <w:rPr>
          <w:lang w:val="fr-FR"/>
        </w:rPr>
        <w:t>Dieu n’ayant pas, aux yeux des chrétiens, pardonné à Adam la commission du p</w:t>
      </w:r>
      <w:r>
        <w:rPr>
          <w:lang w:val="fr-FR"/>
        </w:rPr>
        <w:t>é</w:t>
      </w:r>
      <w:r w:rsidRPr="005662EB">
        <w:rPr>
          <w:lang w:val="fr-FR"/>
        </w:rPr>
        <w:t>ché originel, ce que ne pensent pas les juifs et les musulmans.</w:t>
      </w:r>
    </w:p>
  </w:footnote>
  <w:footnote w:id="875">
    <w:p w14:paraId="02513AB1" w14:textId="77777777" w:rsidR="00B01930" w:rsidRDefault="00B01930" w:rsidP="00B01930">
      <w:pPr>
        <w:pStyle w:val="Notedebasdepage"/>
      </w:pPr>
      <w:r>
        <w:rPr>
          <w:rStyle w:val="Appelnotedebasdep"/>
        </w:rPr>
        <w:footnoteRef/>
      </w:r>
      <w:r>
        <w:t xml:space="preserve"> </w:t>
      </w:r>
      <w:r>
        <w:tab/>
      </w:r>
      <w:r w:rsidRPr="000B77C1">
        <w:rPr>
          <w:lang w:val="fr-FR"/>
        </w:rPr>
        <w:t>Tout au moins pour la majeure partie d’entre eux.</w:t>
      </w:r>
    </w:p>
  </w:footnote>
  <w:footnote w:id="876">
    <w:p w14:paraId="01454F9A" w14:textId="77777777" w:rsidR="00B01930" w:rsidRDefault="00B01930" w:rsidP="00B01930">
      <w:pPr>
        <w:pStyle w:val="Notedebasdepage"/>
      </w:pPr>
      <w:r>
        <w:rPr>
          <w:rStyle w:val="Appelnotedebasdep"/>
        </w:rPr>
        <w:footnoteRef/>
      </w:r>
      <w:r>
        <w:t xml:space="preserve"> </w:t>
      </w:r>
      <w:r>
        <w:tab/>
      </w:r>
      <w:r>
        <w:rPr>
          <w:lang w:val="fr-FR"/>
        </w:rPr>
        <w:t>Idéologie du</w:t>
      </w:r>
      <w:r w:rsidRPr="005662EB">
        <w:rPr>
          <w:lang w:val="fr-FR"/>
        </w:rPr>
        <w:t xml:space="preserve"> </w:t>
      </w:r>
      <w:r w:rsidRPr="005662EB">
        <w:rPr>
          <w:i/>
          <w:lang w:val="fr-FR"/>
        </w:rPr>
        <w:t>« progrès »</w:t>
      </w:r>
      <w:r>
        <w:rPr>
          <w:lang w:val="fr-FR"/>
        </w:rPr>
        <w:t xml:space="preserve"> selon laquelle la société progresserait vers la perfe</w:t>
      </w:r>
      <w:r>
        <w:rPr>
          <w:lang w:val="fr-FR"/>
        </w:rPr>
        <w:t>c</w:t>
      </w:r>
      <w:r>
        <w:rPr>
          <w:lang w:val="fr-FR"/>
        </w:rPr>
        <w:t>tion</w:t>
      </w:r>
      <w:r w:rsidRPr="005662EB">
        <w:rPr>
          <w:lang w:val="fr-FR"/>
        </w:rPr>
        <w:t>.</w:t>
      </w:r>
    </w:p>
  </w:footnote>
  <w:footnote w:id="877">
    <w:p w14:paraId="5B0B7C5F" w14:textId="77777777" w:rsidR="00B01930" w:rsidRDefault="00B01930" w:rsidP="00B01930">
      <w:pPr>
        <w:pStyle w:val="Notedebasdepage"/>
      </w:pPr>
      <w:r>
        <w:rPr>
          <w:rStyle w:val="Appelnotedebasdep"/>
        </w:rPr>
        <w:footnoteRef/>
      </w:r>
      <w:r>
        <w:t xml:space="preserve"> </w:t>
      </w:r>
      <w:r>
        <w:tab/>
      </w:r>
      <w:r>
        <w:rPr>
          <w:lang w:val="fr-FR"/>
        </w:rPr>
        <w:t>Athéisme, agnostisme</w:t>
      </w:r>
      <w:r w:rsidRPr="009D4605">
        <w:t xml:space="preserve"> et </w:t>
      </w:r>
      <w:r>
        <w:rPr>
          <w:lang w:val="fr-FR"/>
        </w:rPr>
        <w:t>religions</w:t>
      </w:r>
      <w:r w:rsidRPr="009D4605">
        <w:t xml:space="preserve"> s’accordent sur le caractère imparfait de l’humanité</w:t>
      </w:r>
      <w:r w:rsidRPr="009D4605">
        <w:rPr>
          <w:lang w:val="fr-FR"/>
        </w:rPr>
        <w:t xml:space="preserve">. </w:t>
      </w:r>
      <w:r w:rsidRPr="00416C17">
        <w:t>Toutefois, l</w:t>
      </w:r>
      <w:r>
        <w:rPr>
          <w:lang w:val="fr-FR"/>
        </w:rPr>
        <w:t>es</w:t>
      </w:r>
      <w:r w:rsidRPr="00416C17">
        <w:t xml:space="preserve"> </w:t>
      </w:r>
      <w:r>
        <w:rPr>
          <w:lang w:val="fr-FR"/>
        </w:rPr>
        <w:t>laïcs</w:t>
      </w:r>
      <w:r w:rsidRPr="00416C17">
        <w:t xml:space="preserve"> postule</w:t>
      </w:r>
      <w:r>
        <w:rPr>
          <w:lang w:val="fr-FR"/>
        </w:rPr>
        <w:t>nt</w:t>
      </w:r>
      <w:r w:rsidRPr="00416C17">
        <w:t xml:space="preserve"> que cette imperfection découle de la nature humaine, tandis que l</w:t>
      </w:r>
      <w:r>
        <w:rPr>
          <w:lang w:val="fr-FR"/>
        </w:rPr>
        <w:t xml:space="preserve">es religions </w:t>
      </w:r>
      <w:r w:rsidRPr="00416C17">
        <w:t>enseigne</w:t>
      </w:r>
      <w:r>
        <w:rPr>
          <w:lang w:val="fr-FR"/>
        </w:rPr>
        <w:t>nt</w:t>
      </w:r>
      <w:r w:rsidRPr="00416C17">
        <w:t xml:space="preserve"> qu’elle résulte de la chute originelle.</w:t>
      </w:r>
    </w:p>
  </w:footnote>
  <w:footnote w:id="878">
    <w:p w14:paraId="62AF268A" w14:textId="77777777" w:rsidR="00B01930" w:rsidRDefault="00B01930" w:rsidP="00B01930">
      <w:pPr>
        <w:pStyle w:val="Notedebasdepage"/>
      </w:pPr>
      <w:r>
        <w:rPr>
          <w:rStyle w:val="Appelnotedebasdep"/>
        </w:rPr>
        <w:footnoteRef/>
      </w:r>
      <w:r>
        <w:t xml:space="preserve"> </w:t>
      </w:r>
      <w:r>
        <w:tab/>
      </w:r>
      <w:r>
        <w:rPr>
          <w:i/>
          <w:lang w:val="fr-FR"/>
        </w:rPr>
        <w:t>« Qui n’a pas souffert d’une chose ne la connait ni ne l’aime. Et cet ense</w:t>
      </w:r>
      <w:r>
        <w:rPr>
          <w:i/>
          <w:lang w:val="fr-FR"/>
        </w:rPr>
        <w:t>i</w:t>
      </w:r>
      <w:r>
        <w:rPr>
          <w:i/>
          <w:lang w:val="fr-FR"/>
        </w:rPr>
        <w:t>gnement se résume d’un mot, mais il faut du cœur pour l’entendre : le sens de la douleur, c’est de nous révéler ce qui échappe à la connaissance et à la v</w:t>
      </w:r>
      <w:r>
        <w:rPr>
          <w:i/>
          <w:lang w:val="fr-FR"/>
        </w:rPr>
        <w:t>o</w:t>
      </w:r>
      <w:r>
        <w:rPr>
          <w:i/>
          <w:lang w:val="fr-FR"/>
        </w:rPr>
        <w:t>lonté égoïste ; c’est d’être la voie de l’amour effectif, parce qu’elle nous d</w:t>
      </w:r>
      <w:r>
        <w:rPr>
          <w:i/>
          <w:lang w:val="fr-FR"/>
        </w:rPr>
        <w:t>é</w:t>
      </w:r>
      <w:r>
        <w:rPr>
          <w:i/>
          <w:lang w:val="fr-FR"/>
        </w:rPr>
        <w:t>prend de nous, pour nous donner autrui et pour nous solliciter à nous do</w:t>
      </w:r>
      <w:r>
        <w:rPr>
          <w:i/>
          <w:lang w:val="fr-FR"/>
        </w:rPr>
        <w:t>n</w:t>
      </w:r>
      <w:r>
        <w:rPr>
          <w:i/>
          <w:lang w:val="fr-FR"/>
        </w:rPr>
        <w:t>ner à autrui… Elle gâte, aigrit, endurcit ceux qu’elle n’attendrit et n’améliore point… Mais la souffrance n’est pas seulement une épreuve ; e</w:t>
      </w:r>
      <w:r>
        <w:rPr>
          <w:i/>
          <w:lang w:val="fr-FR"/>
        </w:rPr>
        <w:t>l</w:t>
      </w:r>
      <w:r>
        <w:rPr>
          <w:i/>
          <w:lang w:val="fr-FR"/>
        </w:rPr>
        <w:t>le est une preuve d’amour et un renouvellement de la vie intérieure, comme un bain r</w:t>
      </w:r>
      <w:r>
        <w:rPr>
          <w:i/>
          <w:lang w:val="fr-FR"/>
        </w:rPr>
        <w:t>a</w:t>
      </w:r>
      <w:r>
        <w:rPr>
          <w:i/>
          <w:lang w:val="fr-FR"/>
        </w:rPr>
        <w:t>jeunissant pour l’action. Elle nous empêche de nous acclimater en ce monde et nous y laisse comme un malaise incurable… Sans l’éducation de la do</w:t>
      </w:r>
      <w:r>
        <w:rPr>
          <w:i/>
          <w:lang w:val="fr-FR"/>
        </w:rPr>
        <w:t>u</w:t>
      </w:r>
      <w:r>
        <w:rPr>
          <w:i/>
          <w:lang w:val="fr-FR"/>
        </w:rPr>
        <w:t>leur, l’on n’arrive point à l’action désintéressée et courageuse… La souffra</w:t>
      </w:r>
      <w:r>
        <w:rPr>
          <w:i/>
          <w:lang w:val="fr-FR"/>
        </w:rPr>
        <w:t>n</w:t>
      </w:r>
      <w:r>
        <w:rPr>
          <w:i/>
          <w:lang w:val="fr-FR"/>
        </w:rPr>
        <w:t xml:space="preserve">ce est la voie qui marche et qui monte… On n’acquiert pas l’infini comme une chose ; on ne lui donne accès en soi que par le vide et la mortification » ; </w:t>
      </w:r>
      <w:r>
        <w:rPr>
          <w:lang w:val="fr-FR"/>
        </w:rPr>
        <w:t xml:space="preserve">Blondel M., </w:t>
      </w:r>
      <w:r w:rsidRPr="00CC0696">
        <w:rPr>
          <w:i/>
          <w:lang w:val="fr-FR"/>
        </w:rPr>
        <w:t>L’Action. Essai d’une critique de la vie et d’une science de la pratique,</w:t>
      </w:r>
      <w:r>
        <w:rPr>
          <w:lang w:val="fr-FR"/>
        </w:rPr>
        <w:t xml:space="preserve"> 1893 (librement téléchargeable sur le site internet des classiques des Sciences Sociales, UQAC- Université du Québec A Chicoutimi), page 136 ; cité dans l’article </w:t>
      </w:r>
      <w:r>
        <w:rPr>
          <w:i/>
          <w:lang w:val="fr-FR"/>
        </w:rPr>
        <w:t>Mal (problème du)</w:t>
      </w:r>
      <w:r>
        <w:rPr>
          <w:lang w:val="fr-FR"/>
        </w:rPr>
        <w:t xml:space="preserve"> du </w:t>
      </w:r>
      <w:r>
        <w:rPr>
          <w:i/>
          <w:lang w:val="fr-FR"/>
        </w:rPr>
        <w:t>Dictionnaire pratique des connai</w:t>
      </w:r>
      <w:r>
        <w:rPr>
          <w:i/>
          <w:lang w:val="fr-FR"/>
        </w:rPr>
        <w:t>s</w:t>
      </w:r>
      <w:r>
        <w:rPr>
          <w:i/>
          <w:lang w:val="fr-FR"/>
        </w:rPr>
        <w:t xml:space="preserve">sances religieuses, </w:t>
      </w:r>
      <w:r>
        <w:rPr>
          <w:lang w:val="fr-FR"/>
        </w:rPr>
        <w:t>publié sous la direction de J. Bricout, tome quatrième, P</w:t>
      </w:r>
      <w:r>
        <w:rPr>
          <w:lang w:val="fr-FR"/>
        </w:rPr>
        <w:t>a</w:t>
      </w:r>
      <w:r>
        <w:rPr>
          <w:lang w:val="fr-FR"/>
        </w:rPr>
        <w:t>ris, librairie Letouzey et Ané, 1926, page 659.</w:t>
      </w:r>
    </w:p>
  </w:footnote>
  <w:footnote w:id="879">
    <w:p w14:paraId="746667A7" w14:textId="77777777" w:rsidR="00B01930" w:rsidRDefault="00B01930" w:rsidP="00B01930">
      <w:pPr>
        <w:pStyle w:val="Notedebasdepage"/>
      </w:pPr>
      <w:r>
        <w:rPr>
          <w:rStyle w:val="Appelnotedebasdep"/>
        </w:rPr>
        <w:footnoteRef/>
      </w:r>
      <w:r>
        <w:t xml:space="preserve"> </w:t>
      </w:r>
      <w:r>
        <w:tab/>
      </w:r>
      <w:r w:rsidRPr="003F78EF">
        <w:t>Pour parvenir à la plénitude que lui offre Dieu, il est nécessaire que l’homme le désire sincèrement. Ceci implique qu’il lui soit possible d’y r</w:t>
      </w:r>
      <w:r w:rsidRPr="003F78EF">
        <w:t>e</w:t>
      </w:r>
      <w:r w:rsidRPr="003F78EF">
        <w:t>noncer. C’est dans la possibilité de choix qui lui est offerte que réside la grandeur de l’engagement humain en Dieu et celui-ci suppose que l’enfer existe éternell</w:t>
      </w:r>
      <w:r w:rsidRPr="003F78EF">
        <w:t>e</w:t>
      </w:r>
      <w:r w:rsidRPr="003F78EF">
        <w:t>ment.</w:t>
      </w:r>
    </w:p>
  </w:footnote>
  <w:footnote w:id="880">
    <w:p w14:paraId="17A3649C" w14:textId="77777777" w:rsidR="00B01930" w:rsidRDefault="00B01930" w:rsidP="00B01930">
      <w:pPr>
        <w:pStyle w:val="Notedebasdepage"/>
      </w:pPr>
      <w:r>
        <w:rPr>
          <w:rStyle w:val="Appelnotedebasdep"/>
        </w:rPr>
        <w:footnoteRef/>
      </w:r>
      <w:r>
        <w:t xml:space="preserve"> </w:t>
      </w:r>
      <w:r>
        <w:tab/>
      </w:r>
      <w:r w:rsidRPr="00EC7643">
        <w:rPr>
          <w:lang w:val="fr-FR"/>
        </w:rPr>
        <w:t>Soit la quasi-totalité d’entre eux.</w:t>
      </w:r>
    </w:p>
  </w:footnote>
  <w:footnote w:id="881">
    <w:p w14:paraId="725780B9" w14:textId="77777777" w:rsidR="00B01930" w:rsidRDefault="00B01930" w:rsidP="00B01930">
      <w:pPr>
        <w:pStyle w:val="Notedebasdepage"/>
      </w:pPr>
      <w:r>
        <w:rPr>
          <w:rStyle w:val="Appelnotedebasdep"/>
        </w:rPr>
        <w:footnoteRef/>
      </w:r>
      <w:r>
        <w:t xml:space="preserve"> </w:t>
      </w:r>
      <w:r>
        <w:tab/>
      </w:r>
      <w:r w:rsidRPr="00C22F50">
        <w:t>Rien d’étonnant</w:t>
      </w:r>
      <w:r>
        <w:rPr>
          <w:lang w:val="fr-FR"/>
        </w:rPr>
        <w:t xml:space="preserve"> </w:t>
      </w:r>
      <w:r w:rsidRPr="00C22F50">
        <w:t xml:space="preserve"> à ce que les détracteurs de </w:t>
      </w:r>
      <w:r>
        <w:rPr>
          <w:lang w:val="fr-FR"/>
        </w:rPr>
        <w:t>cette opposition duelle</w:t>
      </w:r>
      <w:r w:rsidRPr="00C22F50">
        <w:t xml:space="preserve"> lui repr</w:t>
      </w:r>
      <w:r w:rsidRPr="00C22F50">
        <w:t>o</w:t>
      </w:r>
      <w:r w:rsidRPr="00C22F50">
        <w:t>chent, entre autres choses, de promouvoir une vision occidentale man</w:t>
      </w:r>
      <w:r w:rsidRPr="00C22F50">
        <w:t>i</w:t>
      </w:r>
      <w:r w:rsidRPr="00C22F50">
        <w:t xml:space="preserve">chéenne du monde, cédant ainsi à une </w:t>
      </w:r>
      <w:r w:rsidRPr="00C22F50">
        <w:rPr>
          <w:i/>
        </w:rPr>
        <w:t>« tentation constante pour l’esprit e</w:t>
      </w:r>
      <w:r w:rsidRPr="00C22F50">
        <w:rPr>
          <w:i/>
        </w:rPr>
        <w:t>u</w:t>
      </w:r>
      <w:r w:rsidRPr="00C22F50">
        <w:rPr>
          <w:i/>
        </w:rPr>
        <w:t>ropéen » </w:t>
      </w:r>
      <w:r w:rsidRPr="00C22F50">
        <w:rPr>
          <w:i/>
          <w:lang w:val="fr-FR"/>
        </w:rPr>
        <w:t>:</w:t>
      </w:r>
      <w:r>
        <w:rPr>
          <w:i/>
          <w:lang w:val="fr-FR"/>
        </w:rPr>
        <w:t xml:space="preserve"> </w:t>
      </w:r>
      <w:r>
        <w:t>«</w:t>
      </w:r>
      <w:r>
        <w:rPr>
          <w:i/>
        </w:rPr>
        <w:t> La vision manichéenne du monde a été une tentation constante pour l’esprit européen… Même dans les dogmes de l’Église romaine, on peut trouver le r</w:t>
      </w:r>
      <w:r>
        <w:rPr>
          <w:i/>
        </w:rPr>
        <w:t>é</w:t>
      </w:r>
      <w:r>
        <w:rPr>
          <w:i/>
        </w:rPr>
        <w:t>sidu de cette théologie “dualiste” (…) La doctrine cathol</w:t>
      </w:r>
      <w:r>
        <w:rPr>
          <w:i/>
        </w:rPr>
        <w:t>i</w:t>
      </w:r>
      <w:r>
        <w:rPr>
          <w:i/>
        </w:rPr>
        <w:t>que, affirme l’éternité de l’Enfer et le sort irréversible des anges déchus, qui impliquent que certaines parties du Mal, voire des très grandes parties, sont indestruct</w:t>
      </w:r>
      <w:r>
        <w:rPr>
          <w:i/>
        </w:rPr>
        <w:t>i</w:t>
      </w:r>
      <w:r>
        <w:rPr>
          <w:i/>
        </w:rPr>
        <w:t>bles, incurables et irrachetables, et que l’univers sera toujours divisé entre deux royaumes moralement opposés l’un à l’autre… Même le judaïsme, la r</w:t>
      </w:r>
      <w:r>
        <w:rPr>
          <w:i/>
        </w:rPr>
        <w:t>e</w:t>
      </w:r>
      <w:r>
        <w:rPr>
          <w:i/>
        </w:rPr>
        <w:t xml:space="preserve">ligion d’un seul Dieu par excellence, le modèle de la pensée monothéiste, n’est pas tout à fait libre de cette tentation. Gershom </w:t>
      </w:r>
      <w:r>
        <w:rPr>
          <w:i/>
          <w:smallCaps/>
        </w:rPr>
        <w:t>S</w:t>
      </w:r>
      <w:r>
        <w:rPr>
          <w:i/>
        </w:rPr>
        <w:t>holem</w:t>
      </w:r>
      <w:r>
        <w:rPr>
          <w:i/>
          <w:smallCaps/>
        </w:rPr>
        <w:t>,</w:t>
      </w:r>
      <w:r>
        <w:rPr>
          <w:i/>
        </w:rPr>
        <w:t xml:space="preserve"> le grand savant spécialiste de l’histoire des Kabbala et de la mystique juive, nous dit que le l</w:t>
      </w:r>
      <w:r>
        <w:rPr>
          <w:i/>
        </w:rPr>
        <w:t>i</w:t>
      </w:r>
      <w:r>
        <w:rPr>
          <w:i/>
        </w:rPr>
        <w:t xml:space="preserve">vre de </w:t>
      </w:r>
      <w:r>
        <w:rPr>
          <w:i/>
          <w:smallCaps/>
        </w:rPr>
        <w:t>Z</w:t>
      </w:r>
      <w:r>
        <w:rPr>
          <w:i/>
        </w:rPr>
        <w:t>ohar</w:t>
      </w:r>
      <w:r>
        <w:rPr>
          <w:i/>
          <w:smallCaps/>
        </w:rPr>
        <w:t xml:space="preserve"> </w:t>
      </w:r>
      <w:r>
        <w:rPr>
          <w:i/>
        </w:rPr>
        <w:t>présente souvent le Mal comme une réalité positive et non pas comme une privation. </w:t>
      </w:r>
      <w:r>
        <w:t>» </w:t>
      </w:r>
      <w:r>
        <w:rPr>
          <w:i/>
        </w:rPr>
        <w:t xml:space="preserve">; </w:t>
      </w:r>
      <w:r>
        <w:rPr>
          <w:lang w:val="fr-FR"/>
        </w:rPr>
        <w:t>Kolakovski</w:t>
      </w:r>
      <w:r>
        <w:t> </w:t>
      </w:r>
      <w:r>
        <w:rPr>
          <w:smallCaps/>
          <w:lang w:val="fr-FR"/>
        </w:rPr>
        <w:t>L.</w:t>
      </w:r>
      <w:r>
        <w:t xml:space="preserve">, </w:t>
      </w:r>
      <w:r>
        <w:rPr>
          <w:i/>
        </w:rPr>
        <w:t>« La métaph</w:t>
      </w:r>
      <w:r>
        <w:rPr>
          <w:i/>
        </w:rPr>
        <w:t>y</w:t>
      </w:r>
      <w:r>
        <w:rPr>
          <w:i/>
        </w:rPr>
        <w:t xml:space="preserve">sique et l’expérience du Mal. </w:t>
      </w:r>
      <w:r>
        <w:rPr>
          <w:i/>
          <w:smallCaps/>
        </w:rPr>
        <w:t>L</w:t>
      </w:r>
      <w:r>
        <w:rPr>
          <w:i/>
        </w:rPr>
        <w:t xml:space="preserve">eibnitz et </w:t>
      </w:r>
      <w:r>
        <w:rPr>
          <w:i/>
          <w:smallCaps/>
        </w:rPr>
        <w:t>J</w:t>
      </w:r>
      <w:r>
        <w:rPr>
          <w:i/>
        </w:rPr>
        <w:t>ob »,</w:t>
      </w:r>
      <w:r>
        <w:t xml:space="preserve"> </w:t>
      </w:r>
      <w:r>
        <w:rPr>
          <w:i/>
        </w:rPr>
        <w:t>Commentaire</w:t>
      </w:r>
      <w:r>
        <w:t>, été 2006, v</w:t>
      </w:r>
      <w:r>
        <w:t>o</w:t>
      </w:r>
      <w:r>
        <w:t>lume 29, n° 114, 301-306, p. 303.</w:t>
      </w:r>
    </w:p>
  </w:footnote>
  <w:footnote w:id="882">
    <w:p w14:paraId="21F2210F" w14:textId="77777777" w:rsidR="00B01930" w:rsidRDefault="00B01930" w:rsidP="00B01930">
      <w:pPr>
        <w:pStyle w:val="Notedebasdepage"/>
      </w:pPr>
      <w:r>
        <w:rPr>
          <w:rStyle w:val="Appelnotedebasdep"/>
        </w:rPr>
        <w:footnoteRef/>
      </w:r>
      <w:r>
        <w:t xml:space="preserve"> </w:t>
      </w:r>
      <w:r>
        <w:tab/>
      </w:r>
      <w:r w:rsidRPr="001662CD">
        <w:rPr>
          <w:lang w:val="fr-FR"/>
        </w:rPr>
        <w:t>Ou, en tout cas, devrait prévaloir si l’instinct de vie l’emporte sur celui de mort.</w:t>
      </w:r>
    </w:p>
  </w:footnote>
  <w:footnote w:id="883">
    <w:p w14:paraId="60EB0CFF" w14:textId="77777777" w:rsidR="00B01930" w:rsidRDefault="00B01930" w:rsidP="00B01930">
      <w:pPr>
        <w:pStyle w:val="Notedebasdepage"/>
      </w:pPr>
      <w:r>
        <w:rPr>
          <w:rStyle w:val="Appelnotedebasdep"/>
        </w:rPr>
        <w:footnoteRef/>
      </w:r>
      <w:r>
        <w:t xml:space="preserve"> </w:t>
      </w:r>
      <w:r>
        <w:tab/>
      </w:r>
      <w:r w:rsidRPr="001662CD">
        <w:rPr>
          <w:lang w:val="fr-FR"/>
        </w:rPr>
        <w:t>Ce qui relève de la dignité humaine.</w:t>
      </w:r>
    </w:p>
  </w:footnote>
  <w:footnote w:id="884">
    <w:p w14:paraId="345E7698" w14:textId="77777777" w:rsidR="00B01930" w:rsidRDefault="00B01930" w:rsidP="00B01930">
      <w:pPr>
        <w:pStyle w:val="Notedebasdepage"/>
      </w:pPr>
      <w:r>
        <w:rPr>
          <w:rStyle w:val="Appelnotedebasdep"/>
        </w:rPr>
        <w:footnoteRef/>
      </w:r>
      <w:r>
        <w:t xml:space="preserve"> </w:t>
      </w:r>
      <w:r>
        <w:tab/>
      </w:r>
      <w:r w:rsidRPr="00EC7643">
        <w:rPr>
          <w:lang w:val="fr-FR"/>
        </w:rPr>
        <w:t>Sous réserve d’admettre que les intérêts des religions considérées coïnc</w:t>
      </w:r>
      <w:r w:rsidRPr="00EC7643">
        <w:rPr>
          <w:lang w:val="fr-FR"/>
        </w:rPr>
        <w:t>i</w:t>
      </w:r>
      <w:r w:rsidRPr="00EC7643">
        <w:rPr>
          <w:lang w:val="fr-FR"/>
        </w:rPr>
        <w:t>dent, pour l’essentiel, avec ceux de l’humanité.</w:t>
      </w:r>
    </w:p>
  </w:footnote>
  <w:footnote w:id="885">
    <w:p w14:paraId="26F86489" w14:textId="77777777" w:rsidR="00B01930" w:rsidRDefault="00B01930" w:rsidP="00B01930">
      <w:pPr>
        <w:pStyle w:val="Notedebasdepage"/>
      </w:pPr>
      <w:r>
        <w:rPr>
          <w:rStyle w:val="Appelnotedebasdep"/>
        </w:rPr>
        <w:footnoteRef/>
      </w:r>
      <w:r>
        <w:t xml:space="preserve"> </w:t>
      </w:r>
      <w:r>
        <w:tab/>
      </w:r>
      <w:r w:rsidRPr="000E1A18">
        <w:rPr>
          <w:lang w:val="fr-FR"/>
        </w:rPr>
        <w:t>La Shoah, l’emploi de la bombe atomique, les « bombardements de terreur » et autres atrocités, ont concouru, à des degrés divers, à remettre en cause cette « foi » dans le progrès.</w:t>
      </w:r>
    </w:p>
  </w:footnote>
  <w:footnote w:id="886">
    <w:p w14:paraId="2235A1E8" w14:textId="77777777" w:rsidR="00B01930" w:rsidRDefault="00B01930" w:rsidP="00B01930">
      <w:pPr>
        <w:pStyle w:val="Notedebasdepage"/>
      </w:pPr>
      <w:r>
        <w:rPr>
          <w:rStyle w:val="Appelnotedebasdep"/>
        </w:rPr>
        <w:footnoteRef/>
      </w:r>
      <w:r>
        <w:t xml:space="preserve"> </w:t>
      </w:r>
      <w:r>
        <w:tab/>
      </w:r>
      <w:r w:rsidRPr="000E1A18">
        <w:rPr>
          <w:lang w:val="fr-FR"/>
        </w:rPr>
        <w:t>Qui trouve probablement sa source dans le fait que l’auteur présentait la part</w:t>
      </w:r>
      <w:r w:rsidRPr="000E1A18">
        <w:rPr>
          <w:lang w:val="fr-FR"/>
        </w:rPr>
        <w:t>i</w:t>
      </w:r>
      <w:r w:rsidRPr="000E1A18">
        <w:rPr>
          <w:lang w:val="fr-FR"/>
        </w:rPr>
        <w:t>cularité d’être à la fois philosophe et biologiste, ce qui l’avait sensibil</w:t>
      </w:r>
      <w:r w:rsidRPr="000E1A18">
        <w:rPr>
          <w:lang w:val="fr-FR"/>
        </w:rPr>
        <w:t>i</w:t>
      </w:r>
      <w:r w:rsidRPr="000E1A18">
        <w:rPr>
          <w:lang w:val="fr-FR"/>
        </w:rPr>
        <w:t>sé à l’étude des progrès de l’humanité.</w:t>
      </w:r>
    </w:p>
  </w:footnote>
  <w:footnote w:id="887">
    <w:p w14:paraId="7E90F55A" w14:textId="77777777" w:rsidR="00B01930" w:rsidRDefault="00B01930" w:rsidP="00B01930">
      <w:pPr>
        <w:pStyle w:val="Notedebasdepage"/>
      </w:pPr>
      <w:r>
        <w:rPr>
          <w:rStyle w:val="Appelnotedebasdep"/>
        </w:rPr>
        <w:footnoteRef/>
      </w:r>
      <w:r>
        <w:t xml:space="preserve"> </w:t>
      </w:r>
      <w:r>
        <w:tab/>
      </w:r>
      <w:r w:rsidRPr="007A1C64">
        <w:rPr>
          <w:lang w:val="fr-FR"/>
        </w:rPr>
        <w:t>Celui-ci consistant</w:t>
      </w:r>
      <w:r w:rsidRPr="007A1C64">
        <w:t xml:space="preserve"> </w:t>
      </w:r>
      <w:r w:rsidRPr="007A1C64">
        <w:rPr>
          <w:lang w:val="fr-FR"/>
        </w:rPr>
        <w:t>en</w:t>
      </w:r>
      <w:r w:rsidRPr="007A1C64">
        <w:t xml:space="preserve"> la conscience de l’appartenance de l’homme à l’humanité.</w:t>
      </w:r>
    </w:p>
  </w:footnote>
  <w:footnote w:id="888">
    <w:p w14:paraId="1A21871E" w14:textId="77777777" w:rsidR="00B01930" w:rsidRDefault="00B01930" w:rsidP="00B01930">
      <w:pPr>
        <w:pStyle w:val="Notedebasdepage"/>
      </w:pPr>
      <w:r>
        <w:rPr>
          <w:rStyle w:val="Appelnotedebasdep"/>
        </w:rPr>
        <w:footnoteRef/>
      </w:r>
      <w:r>
        <w:t xml:space="preserve"> </w:t>
      </w:r>
      <w:r>
        <w:tab/>
      </w:r>
      <w:r w:rsidRPr="00CC0696">
        <w:rPr>
          <w:lang w:val="fr-FR"/>
        </w:rPr>
        <w:t>Ce qui revient, par un changement de regard, à mettre l’accent, parmi les co</w:t>
      </w:r>
      <w:r w:rsidRPr="00CC0696">
        <w:rPr>
          <w:lang w:val="fr-FR"/>
        </w:rPr>
        <w:t>m</w:t>
      </w:r>
      <w:r w:rsidRPr="00CC0696">
        <w:rPr>
          <w:lang w:val="fr-FR"/>
        </w:rPr>
        <w:t>posantes de la notion, sur la conscience et non plus sur l’humanité.</w:t>
      </w:r>
    </w:p>
  </w:footnote>
  <w:footnote w:id="889">
    <w:p w14:paraId="13494279" w14:textId="77777777" w:rsidR="00B01930" w:rsidRDefault="00B01930" w:rsidP="00B01930">
      <w:pPr>
        <w:pStyle w:val="Notedebasdepage"/>
      </w:pPr>
      <w:r>
        <w:rPr>
          <w:rStyle w:val="Appelnotedebasdep"/>
        </w:rPr>
        <w:footnoteRef/>
      </w:r>
      <w:r>
        <w:t xml:space="preserve"> </w:t>
      </w:r>
      <w:r>
        <w:tab/>
      </w:r>
      <w:r w:rsidRPr="00EF0DFB">
        <w:t xml:space="preserve">C’est ce qu’écrivait, en 1944 Lecomte du Nouÿ : </w:t>
      </w:r>
      <w:r w:rsidRPr="00EF0DFB">
        <w:rPr>
          <w:i/>
        </w:rPr>
        <w:t>« Entre la bête et l’homme, le fossé se creuse, et l’homme, non seulement le perçoit, mais s’efforce de le creuser davantage. … L’évolution, avec la naissance de la conscience huma</w:t>
      </w:r>
      <w:r w:rsidRPr="00EF0DFB">
        <w:rPr>
          <w:i/>
        </w:rPr>
        <w:t>i</w:t>
      </w:r>
      <w:r w:rsidRPr="00EF0DFB">
        <w:rPr>
          <w:i/>
        </w:rPr>
        <w:t>ne, est entrée dans une phase nouvelle. Tous les rameaux … ont divergé et ont atteint un niveau de stagnation. … Tous, sauf un … Un seul groupe parmi tous a continué et continuera d’évoluer. Mais il a atteint un degré de perfectio</w:t>
      </w:r>
      <w:r w:rsidRPr="00EF0DFB">
        <w:rPr>
          <w:i/>
        </w:rPr>
        <w:t>n</w:t>
      </w:r>
      <w:r w:rsidRPr="00EF0DFB">
        <w:rPr>
          <w:i/>
        </w:rPr>
        <w:t>nement tel que son centre cérébro-psychique permet enfin à l’individu de se dégager de l’héritage ancestral et de devenir un homme. Avec la conscience est né un sentiment nouveau : celui de la dignité humaine résultant de la vi</w:t>
      </w:r>
      <w:r w:rsidRPr="00EF0DFB">
        <w:rPr>
          <w:i/>
        </w:rPr>
        <w:t>c</w:t>
      </w:r>
      <w:r w:rsidRPr="00EF0DFB">
        <w:rPr>
          <w:i/>
        </w:rPr>
        <w:t>toire sur les instincts et sur les superstitions ! » </w:t>
      </w:r>
      <w:r w:rsidRPr="00EF0DFB">
        <w:rPr>
          <w:i/>
          <w:lang w:val="fr-FR"/>
        </w:rPr>
        <w:t xml:space="preserve">; </w:t>
      </w:r>
      <w:r w:rsidRPr="00EF0DFB">
        <w:rPr>
          <w:lang w:val="fr-FR"/>
        </w:rPr>
        <w:t>Lecomte</w:t>
      </w:r>
      <w:r>
        <w:rPr>
          <w:lang w:val="fr-FR"/>
        </w:rPr>
        <w:t xml:space="preserve"> du Nouÿ</w:t>
      </w:r>
      <w:r w:rsidRPr="00FC2ABC">
        <w:rPr>
          <w:lang w:val="fr-FR"/>
        </w:rPr>
        <w:t xml:space="preserve">, </w:t>
      </w:r>
      <w:r w:rsidRPr="00FC2ABC">
        <w:rPr>
          <w:i/>
          <w:lang w:val="fr-FR"/>
        </w:rPr>
        <w:t>La dign</w:t>
      </w:r>
      <w:r w:rsidRPr="00FC2ABC">
        <w:rPr>
          <w:i/>
          <w:lang w:val="fr-FR"/>
        </w:rPr>
        <w:t>i</w:t>
      </w:r>
      <w:r w:rsidRPr="00FC2ABC">
        <w:rPr>
          <w:i/>
          <w:lang w:val="fr-FR"/>
        </w:rPr>
        <w:t>té humaine,</w:t>
      </w:r>
      <w:r w:rsidRPr="00FC2ABC">
        <w:rPr>
          <w:lang w:val="fr-FR"/>
        </w:rPr>
        <w:t xml:space="preserve"> Brentano’s, éditions du Champ-de-Mars, 1947, 267 pages, pages 163 et 164 (New York</w:t>
      </w:r>
      <w:r>
        <w:rPr>
          <w:lang w:val="fr-FR"/>
        </w:rPr>
        <w:t>,</w:t>
      </w:r>
      <w:r w:rsidRPr="00FC2ABC">
        <w:rPr>
          <w:lang w:val="fr-FR"/>
        </w:rPr>
        <w:t xml:space="preserve"> 1944</w:t>
      </w:r>
      <w:r>
        <w:rPr>
          <w:lang w:val="fr-FR"/>
        </w:rPr>
        <w:t>, pour l’édition originale</w:t>
      </w:r>
      <w:r w:rsidRPr="00FC2ABC">
        <w:rPr>
          <w:lang w:val="fr-FR"/>
        </w:rPr>
        <w:t>).</w:t>
      </w:r>
    </w:p>
  </w:footnote>
  <w:footnote w:id="890">
    <w:p w14:paraId="7C87D4C0" w14:textId="77777777" w:rsidR="00B01930" w:rsidRDefault="00B01930" w:rsidP="00B01930">
      <w:pPr>
        <w:pStyle w:val="Notedebasdepage"/>
      </w:pPr>
      <w:r>
        <w:rPr>
          <w:rStyle w:val="Appelnotedebasdep"/>
        </w:rPr>
        <w:footnoteRef/>
      </w:r>
      <w:r>
        <w:t xml:space="preserve"> </w:t>
      </w:r>
      <w:r>
        <w:tab/>
      </w:r>
      <w:r w:rsidRPr="006721FC">
        <w:t>Le système concentrationnaire nazi avait deux buts d’inégale importance. Il avait été pensé et mis en œuvre pour exterminer des millions d’être</w:t>
      </w:r>
      <w:r>
        <w:t>s</w:t>
      </w:r>
      <w:r w:rsidRPr="006721FC">
        <w:t xml:space="preserve"> h</w:t>
      </w:r>
      <w:r w:rsidRPr="006721FC">
        <w:t>u</w:t>
      </w:r>
      <w:r w:rsidRPr="006721FC">
        <w:t>mains. C’est là son but premier, au sens de principal et d’immédiat. Il avait égal</w:t>
      </w:r>
      <w:r w:rsidRPr="006721FC">
        <w:t>e</w:t>
      </w:r>
      <w:r w:rsidRPr="006721FC">
        <w:t>ment pour but de tirer financièrement profit de ce génocide (ce que montre, par exemple, Germaine Tillion, dans son étude du camp de Raven</w:t>
      </w:r>
      <w:r w:rsidRPr="006721FC">
        <w:t>s</w:t>
      </w:r>
      <w:r w:rsidRPr="006721FC">
        <w:t xml:space="preserve">brück ; </w:t>
      </w:r>
      <w:r>
        <w:t>Germaine Tillion</w:t>
      </w:r>
      <w:r w:rsidRPr="006721FC">
        <w:t xml:space="preserve">, </w:t>
      </w:r>
      <w:r w:rsidRPr="006721FC">
        <w:rPr>
          <w:i/>
        </w:rPr>
        <w:t>Ravensbrück,</w:t>
      </w:r>
      <w:r w:rsidRPr="006721FC">
        <w:t xml:space="preserve"> éditions du Seuil, 1988 pour la troisième éd</w:t>
      </w:r>
      <w:r w:rsidRPr="006721FC">
        <w:t>i</w:t>
      </w:r>
      <w:r w:rsidRPr="006721FC">
        <w:t>tion</w:t>
      </w:r>
      <w:r>
        <w:t xml:space="preserve"> - </w:t>
      </w:r>
      <w:r w:rsidRPr="006721FC">
        <w:t>première édition 1946). Pour atteindre ces deux objectifs, les nazis se sont intentionnellement attaqués à l’humanité de leurs victimes. Cette action leur est apparue comme l’un des moyens les plus efficaces (sans préjudice d’errements idéologiques reposant sur une prétendue supériorité raciale qui r</w:t>
      </w:r>
      <w:r w:rsidRPr="006721FC">
        <w:t>e</w:t>
      </w:r>
      <w:r w:rsidRPr="006721FC">
        <w:t>lèvent de la finalité profonde du nazisme) de contraindre les millions d’êtres humains promis à la mort à obéir à quelques milliers (ou dizaines de milliers en incluant dans le nombre tous les civils qui ont part</w:t>
      </w:r>
      <w:r w:rsidRPr="006721FC">
        <w:t>i</w:t>
      </w:r>
      <w:r w:rsidRPr="006721FC">
        <w:t>cipé à cette entreprise, notamment les dirigeants, contremaîtres et ouvriers des usines dans lesquelles  avait cours le travail forcé des concentrationnaires) de bourreaux, cette obéi</w:t>
      </w:r>
      <w:r w:rsidRPr="006721FC">
        <w:t>s</w:t>
      </w:r>
      <w:r w:rsidRPr="006721FC">
        <w:t xml:space="preserve">sance étant indispensable à la réussite de leurs projets meurtriers. </w:t>
      </w:r>
    </w:p>
  </w:footnote>
  <w:footnote w:id="891">
    <w:p w14:paraId="01F9BDD1" w14:textId="77777777" w:rsidR="00B01930" w:rsidRDefault="00B01930" w:rsidP="00B01930">
      <w:pPr>
        <w:pStyle w:val="Notedebasdepage"/>
      </w:pPr>
      <w:r>
        <w:rPr>
          <w:rStyle w:val="Appelnotedebasdep"/>
        </w:rPr>
        <w:footnoteRef/>
      </w:r>
      <w:r>
        <w:t xml:space="preserve"> </w:t>
      </w:r>
      <w:r>
        <w:tab/>
      </w:r>
      <w:r w:rsidRPr="00ED2FFF">
        <w:rPr>
          <w:lang w:val="fr-FR"/>
        </w:rPr>
        <w:t xml:space="preserve">Au moins cinq à six millions de juifs d’Europe figurent parmi ces victimes, sans préjudice des personnes tuées dans le cadre de la « Shoah par balles », dont le dénombrement, à le supposer possible, pourrait </w:t>
      </w:r>
      <w:r>
        <w:rPr>
          <w:lang w:val="fr-FR"/>
        </w:rPr>
        <w:t xml:space="preserve">vraisemblablement </w:t>
      </w:r>
      <w:r w:rsidRPr="00ED2FFF">
        <w:rPr>
          <w:lang w:val="fr-FR"/>
        </w:rPr>
        <w:t>fa</w:t>
      </w:r>
      <w:r w:rsidRPr="00ED2FFF">
        <w:rPr>
          <w:lang w:val="fr-FR"/>
        </w:rPr>
        <w:t>i</w:t>
      </w:r>
      <w:r w:rsidRPr="00ED2FFF">
        <w:rPr>
          <w:lang w:val="fr-FR"/>
        </w:rPr>
        <w:t>re grimper ce décompte macabre de plusieurs millions de morts. Une v</w:t>
      </w:r>
      <w:r w:rsidRPr="00ED2FFF">
        <w:rPr>
          <w:lang w:val="fr-FR"/>
        </w:rPr>
        <w:t>i</w:t>
      </w:r>
      <w:r w:rsidRPr="00ED2FFF">
        <w:rPr>
          <w:lang w:val="fr-FR"/>
        </w:rPr>
        <w:t>sion d’ensemble de la question peut être obtenue en lisant l’ouvrage de Raul Hi</w:t>
      </w:r>
      <w:r w:rsidRPr="00ED2FFF">
        <w:rPr>
          <w:lang w:val="fr-FR"/>
        </w:rPr>
        <w:t>l</w:t>
      </w:r>
      <w:r w:rsidRPr="00ED2FFF">
        <w:rPr>
          <w:lang w:val="fr-FR"/>
        </w:rPr>
        <w:t xml:space="preserve">ber, </w:t>
      </w:r>
      <w:r w:rsidRPr="00ED2FFF">
        <w:rPr>
          <w:i/>
          <w:lang w:val="fr-FR"/>
        </w:rPr>
        <w:t>La Destruction des juifs d’Europe</w:t>
      </w:r>
      <w:r w:rsidRPr="00ED2FFF">
        <w:rPr>
          <w:lang w:val="fr-FR"/>
        </w:rPr>
        <w:t xml:space="preserve"> (Paris, Gallimard, collection « Folio histoire », pour l’édition définitive en trois volumes, 2006). Cf. ég</w:t>
      </w:r>
      <w:r w:rsidRPr="00ED2FFF">
        <w:rPr>
          <w:lang w:val="fr-FR"/>
        </w:rPr>
        <w:t>a</w:t>
      </w:r>
      <w:r w:rsidRPr="00ED2FFF">
        <w:rPr>
          <w:lang w:val="fr-FR"/>
        </w:rPr>
        <w:t xml:space="preserve">lement l’ouvrage complémentaire de Saul Friedländer, </w:t>
      </w:r>
      <w:r w:rsidRPr="00ED2FFF">
        <w:rPr>
          <w:i/>
          <w:lang w:val="fr-FR"/>
        </w:rPr>
        <w:t>L’Allemagne nazie et les Juifs, (1933-1945)</w:t>
      </w:r>
      <w:r w:rsidRPr="00ED2FFF">
        <w:rPr>
          <w:lang w:val="fr-FR"/>
        </w:rPr>
        <w:t>, 2 tomes, Paris, Seuil, 2012.</w:t>
      </w:r>
    </w:p>
  </w:footnote>
  <w:footnote w:id="892">
    <w:p w14:paraId="64F3BC56" w14:textId="77777777" w:rsidR="00B01930" w:rsidRDefault="00B01930" w:rsidP="00B01930">
      <w:pPr>
        <w:pStyle w:val="Notedebasdepage"/>
      </w:pPr>
      <w:r>
        <w:rPr>
          <w:rStyle w:val="Appelnotedebasdep"/>
        </w:rPr>
        <w:footnoteRef/>
      </w:r>
      <w:r>
        <w:t xml:space="preserve"> </w:t>
      </w:r>
      <w:r>
        <w:tab/>
      </w:r>
      <w:r w:rsidRPr="0078091E">
        <w:rPr>
          <w:lang w:val="fr-FR"/>
        </w:rPr>
        <w:t>L’idée étant, dans tous les cas de figure, y compris pour les victimes que l’on dirigeait directement vers les chambres à gaz, d’ajouter au meurtre le vol des effets personnel</w:t>
      </w:r>
      <w:r>
        <w:rPr>
          <w:lang w:val="fr-FR"/>
        </w:rPr>
        <w:t>s, l’arrachage des dents en or</w:t>
      </w:r>
      <w:r w:rsidRPr="0078091E">
        <w:rPr>
          <w:lang w:val="fr-FR"/>
        </w:rPr>
        <w:t xml:space="preserve">, </w:t>
      </w:r>
      <w:r w:rsidRPr="0078091E">
        <w:rPr>
          <w:i/>
          <w:lang w:val="fr-FR"/>
        </w:rPr>
        <w:t>etc.</w:t>
      </w:r>
    </w:p>
  </w:footnote>
  <w:footnote w:id="893">
    <w:p w14:paraId="758D1F09" w14:textId="77777777" w:rsidR="00B01930" w:rsidRDefault="00B01930" w:rsidP="00B01930">
      <w:pPr>
        <w:pStyle w:val="Notedebasdepage"/>
      </w:pPr>
      <w:r>
        <w:rPr>
          <w:rStyle w:val="Appelnotedebasdep"/>
        </w:rPr>
        <w:footnoteRef/>
      </w:r>
      <w:r>
        <w:t xml:space="preserve"> </w:t>
      </w:r>
      <w:r>
        <w:tab/>
      </w:r>
      <w:r w:rsidRPr="0012570F">
        <w:rPr>
          <w:lang w:val="fr-FR"/>
        </w:rPr>
        <w:t>T</w:t>
      </w:r>
      <w:r w:rsidRPr="0012570F">
        <w:t>out en demeurant conscient du fait que la réalisation du but accessoire est toujours demeurée subordonnée à l’accomplissement du but principal</w:t>
      </w:r>
      <w:r w:rsidRPr="0012570F">
        <w:rPr>
          <w:lang w:val="fr-FR"/>
        </w:rPr>
        <w:t>.</w:t>
      </w:r>
    </w:p>
  </w:footnote>
  <w:footnote w:id="894">
    <w:p w14:paraId="41EC8D69" w14:textId="77777777" w:rsidR="00B01930" w:rsidRDefault="00B01930" w:rsidP="00B01930">
      <w:pPr>
        <w:pStyle w:val="Notedebasdepage"/>
      </w:pPr>
      <w:r>
        <w:rPr>
          <w:rStyle w:val="Appelnotedebasdep"/>
        </w:rPr>
        <w:footnoteRef/>
      </w:r>
      <w:r>
        <w:t xml:space="preserve"> </w:t>
      </w:r>
      <w:r>
        <w:tab/>
      </w:r>
      <w:r w:rsidRPr="00EA4DD8">
        <w:t>Il n’était pas de se procurer une main d’œuvre à bas prix, ce qui aurait du conduire à apporter à celle-ci des soins et un minimum de confort visant à o</w:t>
      </w:r>
      <w:r w:rsidRPr="00EA4DD8">
        <w:t>b</w:t>
      </w:r>
      <w:r w:rsidRPr="00EA4DD8">
        <w:t xml:space="preserve">tenir le meilleur rapport </w:t>
      </w:r>
      <w:r>
        <w:rPr>
          <w:lang w:val="fr-FR"/>
        </w:rPr>
        <w:t xml:space="preserve">possible </w:t>
      </w:r>
      <w:r w:rsidRPr="00EA4DD8">
        <w:t xml:space="preserve">entre coûts et </w:t>
      </w:r>
      <w:r>
        <w:rPr>
          <w:lang w:val="fr-FR"/>
        </w:rPr>
        <w:t>bénéfices</w:t>
      </w:r>
      <w:r w:rsidRPr="00EA4DD8">
        <w:t>.</w:t>
      </w:r>
    </w:p>
  </w:footnote>
  <w:footnote w:id="895">
    <w:p w14:paraId="2AF9D9C6" w14:textId="77777777" w:rsidR="00B01930" w:rsidRDefault="00B01930" w:rsidP="00B01930">
      <w:pPr>
        <w:pStyle w:val="Notedebasdepage"/>
      </w:pPr>
      <w:r>
        <w:rPr>
          <w:rStyle w:val="Appelnotedebasdep"/>
        </w:rPr>
        <w:footnoteRef/>
      </w:r>
      <w:r>
        <w:t xml:space="preserve"> </w:t>
      </w:r>
      <w:r>
        <w:tab/>
      </w:r>
      <w:r w:rsidRPr="00DC0114">
        <w:t>Celui-ci variait de quelques semaines à quelques mois, rarement plus d’un an ou deux, en fonction du rythme d’arrivée de nouvelles victimes.</w:t>
      </w:r>
    </w:p>
  </w:footnote>
  <w:footnote w:id="896">
    <w:p w14:paraId="4E245898" w14:textId="77777777" w:rsidR="00B01930" w:rsidRDefault="00B01930" w:rsidP="00B01930">
      <w:pPr>
        <w:pStyle w:val="Notedebasdepage"/>
      </w:pPr>
      <w:r>
        <w:rPr>
          <w:rStyle w:val="Appelnotedebasdep"/>
        </w:rPr>
        <w:footnoteRef/>
      </w:r>
      <w:r>
        <w:t xml:space="preserve"> </w:t>
      </w:r>
      <w:r>
        <w:tab/>
      </w:r>
      <w:r>
        <w:rPr>
          <w:lang w:val="fr-FR"/>
        </w:rPr>
        <w:t>Les</w:t>
      </w:r>
      <w:r w:rsidRPr="00065B5A">
        <w:rPr>
          <w:lang w:val="fr-FR"/>
        </w:rPr>
        <w:t xml:space="preserve"> surcroîts éventuels de main d’œuvre consécutifs à des arrivées plus i</w:t>
      </w:r>
      <w:r w:rsidRPr="00065B5A">
        <w:rPr>
          <w:lang w:val="fr-FR"/>
        </w:rPr>
        <w:t>m</w:t>
      </w:r>
      <w:r w:rsidRPr="00065B5A">
        <w:rPr>
          <w:lang w:val="fr-FR"/>
        </w:rPr>
        <w:t xml:space="preserve">portantes que prévu étant régulé par des « sélections » ponctuelles de </w:t>
      </w:r>
      <w:r>
        <w:rPr>
          <w:lang w:val="fr-FR"/>
        </w:rPr>
        <w:t>conce</w:t>
      </w:r>
      <w:r>
        <w:rPr>
          <w:lang w:val="fr-FR"/>
        </w:rPr>
        <w:t>n</w:t>
      </w:r>
      <w:r>
        <w:rPr>
          <w:lang w:val="fr-FR"/>
        </w:rPr>
        <w:t>trationnaires</w:t>
      </w:r>
      <w:r w:rsidRPr="00065B5A">
        <w:rPr>
          <w:lang w:val="fr-FR"/>
        </w:rPr>
        <w:t>, retirés des commandos de travail pour une mise à mort immédi</w:t>
      </w:r>
      <w:r w:rsidRPr="00065B5A">
        <w:rPr>
          <w:lang w:val="fr-FR"/>
        </w:rPr>
        <w:t>a</w:t>
      </w:r>
      <w:r w:rsidRPr="00065B5A">
        <w:rPr>
          <w:lang w:val="fr-FR"/>
        </w:rPr>
        <w:t>te</w:t>
      </w:r>
      <w:r>
        <w:rPr>
          <w:lang w:val="fr-FR"/>
        </w:rPr>
        <w:t>.</w:t>
      </w:r>
    </w:p>
  </w:footnote>
  <w:footnote w:id="897">
    <w:p w14:paraId="6367ACFD" w14:textId="77777777" w:rsidR="00B01930" w:rsidRDefault="00B01930" w:rsidP="00B01930">
      <w:pPr>
        <w:pStyle w:val="Notedebasdepage"/>
      </w:pPr>
      <w:r>
        <w:rPr>
          <w:rStyle w:val="Appelnotedebasdep"/>
        </w:rPr>
        <w:footnoteRef/>
      </w:r>
      <w:r>
        <w:t xml:space="preserve"> </w:t>
      </w:r>
      <w:r>
        <w:tab/>
      </w:r>
      <w:r w:rsidRPr="009315BE">
        <w:t>« Qu’est-ce qu’un déporté » ? Rappelons que la déportation n’est pas une pol</w:t>
      </w:r>
      <w:r w:rsidRPr="009315BE">
        <w:t>i</w:t>
      </w:r>
      <w:r w:rsidRPr="009315BE">
        <w:t>tique destinée à définir ou à réprimer, mais un outil de politiques qui di</w:t>
      </w:r>
      <w:r w:rsidRPr="009315BE">
        <w:t>f</w:t>
      </w:r>
      <w:r w:rsidRPr="009315BE">
        <w:t>fèrent suivant les périodes et suivant les pays. A l’origine, en français, est déporté celui qui purge une peine afflictive et infamante hors du territoire métropol</w:t>
      </w:r>
      <w:r w:rsidRPr="009315BE">
        <w:t>i</w:t>
      </w:r>
      <w:r w:rsidRPr="009315BE">
        <w:t>tain. Le plus fameux de ces déportés fut Alfred Dreyfus, le dernier à avoir été condamné par un tribunal militaire à cette peine alors tombée en désuétude est Jean Zay en octobre 1940. Le peine inclut le déplacement, elle n’indique pas nécessairement le lieu où elle sera subie. Pendant la Seconde Guerre mondi</w:t>
      </w:r>
      <w:r w:rsidRPr="009315BE">
        <w:t>a</w:t>
      </w:r>
      <w:r w:rsidRPr="009315BE">
        <w:t>le, les requis du Service du travail obligatoire sont qualifiés par la Résistance de « déportés » alors que leur déportation a pour destination les usines en A</w:t>
      </w:r>
      <w:r w:rsidRPr="009315BE">
        <w:t>l</w:t>
      </w:r>
      <w:r w:rsidRPr="009315BE">
        <w:t>lemagne. Après la Seconde Guerre mondiale, le sens de « déporté » s’infléchit pour désigner le transport et le séjour en camp de concentration, lestant ainsi ce terme de son poids de souffra</w:t>
      </w:r>
      <w:r w:rsidRPr="009315BE">
        <w:t>n</w:t>
      </w:r>
      <w:r w:rsidRPr="009315BE">
        <w:t>ces. Le déporté est le concentrationnaire et les associations de requis du STO se voient i</w:t>
      </w:r>
      <w:r w:rsidRPr="009315BE">
        <w:t>n</w:t>
      </w:r>
      <w:r w:rsidRPr="009315BE">
        <w:t xml:space="preserve">terdire en justice l’usage de ce terme ; </w:t>
      </w:r>
      <w:r>
        <w:t xml:space="preserve">In, </w:t>
      </w:r>
      <w:r w:rsidRPr="00EB01B7">
        <w:t xml:space="preserve">Annette </w:t>
      </w:r>
      <w:r>
        <w:t>Wieviorka</w:t>
      </w:r>
      <w:r w:rsidRPr="009315BE">
        <w:t>., L’heure d’exactitude. Histoire, mémoire, t</w:t>
      </w:r>
      <w:r w:rsidRPr="009315BE">
        <w:t>é</w:t>
      </w:r>
      <w:r w:rsidRPr="009315BE">
        <w:t>moignage. Entretiens avec Séverine N</w:t>
      </w:r>
      <w:r w:rsidRPr="009315BE">
        <w:t>i</w:t>
      </w:r>
      <w:r w:rsidRPr="009315BE">
        <w:t xml:space="preserve">kel, Albin Michel, 2011, Itinéraires du savoir, 249 pages, pages 113 </w:t>
      </w:r>
      <w:r>
        <w:t>et</w:t>
      </w:r>
      <w:r w:rsidRPr="009315BE">
        <w:t xml:space="preserve"> 11</w:t>
      </w:r>
      <w:r>
        <w:t>4</w:t>
      </w:r>
      <w:r w:rsidRPr="009315BE">
        <w:t>.</w:t>
      </w:r>
    </w:p>
  </w:footnote>
  <w:footnote w:id="898">
    <w:p w14:paraId="1B6443B9" w14:textId="77777777" w:rsidR="00B01930" w:rsidRDefault="00B01930" w:rsidP="00B01930">
      <w:pPr>
        <w:pStyle w:val="Notedebasdepage"/>
      </w:pPr>
      <w:r>
        <w:rPr>
          <w:rStyle w:val="Appelnotedebasdep"/>
        </w:rPr>
        <w:footnoteRef/>
      </w:r>
      <w:r>
        <w:t xml:space="preserve"> </w:t>
      </w:r>
      <w:r>
        <w:tab/>
      </w:r>
      <w:r w:rsidRPr="00EA4DD8">
        <w:t>C’est cette volonté d’économie, doublée de l’assurance de l’arrivée consta</w:t>
      </w:r>
      <w:r w:rsidRPr="00EA4DD8">
        <w:t>n</w:t>
      </w:r>
      <w:r w:rsidRPr="00EA4DD8">
        <w:t xml:space="preserve">te d’une main d’œuvre de remplacement, qui explique, par ailleurs, que tous les travaux des camps aient été effectués par les </w:t>
      </w:r>
      <w:r>
        <w:rPr>
          <w:lang w:val="fr-FR"/>
        </w:rPr>
        <w:t>concentrationnaires</w:t>
      </w:r>
      <w:r w:rsidRPr="00EA4DD8">
        <w:t>, que ceux-ci aient eux-mêmes construits les camps et les instruments de leur de</w:t>
      </w:r>
      <w:r w:rsidRPr="00EA4DD8">
        <w:t>s</w:t>
      </w:r>
      <w:r w:rsidRPr="00EA4DD8">
        <w:t xml:space="preserve">truction, qu’ils aient été malnutris, laissés sans soins ou presque, inutilement exposés aux froids et aux intempéries, </w:t>
      </w:r>
      <w:r w:rsidRPr="00EA4DD8">
        <w:rPr>
          <w:i/>
        </w:rPr>
        <w:t>etc.</w:t>
      </w:r>
    </w:p>
  </w:footnote>
  <w:footnote w:id="899">
    <w:p w14:paraId="7086D391" w14:textId="77777777" w:rsidR="00B01930" w:rsidRDefault="00B01930" w:rsidP="00B01930">
      <w:pPr>
        <w:pStyle w:val="Notedebasdepage"/>
      </w:pPr>
      <w:r>
        <w:rPr>
          <w:rStyle w:val="Appelnotedebasdep"/>
        </w:rPr>
        <w:footnoteRef/>
      </w:r>
      <w:r>
        <w:t xml:space="preserve"> </w:t>
      </w:r>
      <w:r>
        <w:tab/>
        <w:t>À</w:t>
      </w:r>
      <w:r w:rsidRPr="00E33166">
        <w:t xml:space="preserve"> ce prix effroyable, la Shoah a été une entreprise </w:t>
      </w:r>
      <w:r>
        <w:rPr>
          <w:lang w:val="fr-FR"/>
        </w:rPr>
        <w:t xml:space="preserve">(au sens général d’entreprendre) </w:t>
      </w:r>
      <w:r w:rsidRPr="00E33166">
        <w:t>financièrement extrêmement rentable</w:t>
      </w:r>
      <w:r w:rsidRPr="00E33166">
        <w:rPr>
          <w:lang w:val="fr-FR"/>
        </w:rPr>
        <w:t>, à</w:t>
      </w:r>
      <w:r w:rsidRPr="00E33166">
        <w:t xml:space="preserve"> la</w:t>
      </w:r>
      <w:r w:rsidRPr="0030073D">
        <w:t xml:space="preserve"> fois pour l’</w:t>
      </w:r>
      <w:r>
        <w:t>État</w:t>
      </w:r>
      <w:r w:rsidRPr="0030073D">
        <w:t xml:space="preserve"> n</w:t>
      </w:r>
      <w:r w:rsidRPr="0030073D">
        <w:t>a</w:t>
      </w:r>
      <w:r w:rsidRPr="0030073D">
        <w:t xml:space="preserve">zi, mais aussi pour certains de ses </w:t>
      </w:r>
      <w:r>
        <w:rPr>
          <w:lang w:val="fr-FR"/>
        </w:rPr>
        <w:t>principaux dirigeants</w:t>
      </w:r>
      <w:r w:rsidRPr="0030073D">
        <w:t>, à l’image par exe</w:t>
      </w:r>
      <w:r w:rsidRPr="0030073D">
        <w:t>m</w:t>
      </w:r>
      <w:r w:rsidRPr="0030073D">
        <w:t>ple d’Heinrich Himmler</w:t>
      </w:r>
      <w:r w:rsidRPr="0030073D">
        <w:rPr>
          <w:lang w:val="fr-FR"/>
        </w:rPr>
        <w:t>.</w:t>
      </w:r>
      <w:r>
        <w:rPr>
          <w:lang w:val="fr-FR"/>
        </w:rPr>
        <w:t xml:space="preserve"> Sur cette question, voir, par exemple, le ch</w:t>
      </w:r>
      <w:r>
        <w:rPr>
          <w:lang w:val="fr-FR"/>
        </w:rPr>
        <w:t>a</w:t>
      </w:r>
      <w:r>
        <w:rPr>
          <w:lang w:val="fr-FR"/>
        </w:rPr>
        <w:t xml:space="preserve">pitre 7 </w:t>
      </w:r>
      <w:r w:rsidRPr="00EA4DD8">
        <w:rPr>
          <w:i/>
          <w:lang w:val="fr-FR"/>
        </w:rPr>
        <w:t>« Profits et extermination »</w:t>
      </w:r>
      <w:r>
        <w:rPr>
          <w:lang w:val="fr-FR"/>
        </w:rPr>
        <w:t xml:space="preserve"> de l’ouvrage consacré au camp de R</w:t>
      </w:r>
      <w:r>
        <w:rPr>
          <w:lang w:val="fr-FR"/>
        </w:rPr>
        <w:t>a</w:t>
      </w:r>
      <w:r>
        <w:rPr>
          <w:lang w:val="fr-FR"/>
        </w:rPr>
        <w:t xml:space="preserve">vensbrück par Germaine Tillion ; Germaine </w:t>
      </w:r>
      <w:r>
        <w:t>Tillion</w:t>
      </w:r>
      <w:r w:rsidRPr="00EF12C6">
        <w:t xml:space="preserve">, </w:t>
      </w:r>
      <w:r>
        <w:rPr>
          <w:i/>
          <w:lang w:val="fr-FR"/>
        </w:rPr>
        <w:t>ouv. cit.</w:t>
      </w:r>
    </w:p>
  </w:footnote>
  <w:footnote w:id="900">
    <w:p w14:paraId="7F6F46D3" w14:textId="77777777" w:rsidR="00B01930" w:rsidRDefault="00B01930" w:rsidP="00B01930">
      <w:pPr>
        <w:pStyle w:val="Notedebasdepage"/>
      </w:pPr>
      <w:r>
        <w:rPr>
          <w:rStyle w:val="Appelnotedebasdep"/>
        </w:rPr>
        <w:footnoteRef/>
      </w:r>
      <w:r>
        <w:t xml:space="preserve"> </w:t>
      </w:r>
      <w:r>
        <w:tab/>
      </w:r>
      <w:r w:rsidRPr="00553B7D">
        <w:t xml:space="preserve">Le terme « concentrationnaire » a été préféré ici à celui de « déporté », en raison de l’imprécision de ce dernier terme. </w:t>
      </w:r>
      <w:r>
        <w:t>Voulue à l’époque de la libér</w:t>
      </w:r>
      <w:r>
        <w:t>a</w:t>
      </w:r>
      <w:r>
        <w:t xml:space="preserve">tion des camps pour des raisons politiques de recherche d’unité nationale, cette imprécision n’a pas aujourd’hui de raison d’être. </w:t>
      </w:r>
      <w:r w:rsidRPr="00553B7D">
        <w:rPr>
          <w:i/>
        </w:rPr>
        <w:t>« C’est en dépouillant les archives du rapatriement du ministère Frenay (dans la série F9 aux A</w:t>
      </w:r>
      <w:r w:rsidRPr="00553B7D">
        <w:rPr>
          <w:i/>
        </w:rPr>
        <w:t>r</w:t>
      </w:r>
      <w:r w:rsidRPr="00553B7D">
        <w:rPr>
          <w:i/>
        </w:rPr>
        <w:t>chives nationales) que j’ai pris conscience du brouillage des situations et surtout compris que le terme « déporté » recouvrait un ensemble hétérog</w:t>
      </w:r>
      <w:r w:rsidRPr="00553B7D">
        <w:rPr>
          <w:i/>
        </w:rPr>
        <w:t>è</w:t>
      </w:r>
      <w:r w:rsidRPr="00553B7D">
        <w:rPr>
          <w:i/>
        </w:rPr>
        <w:t>ne, incluant notamment les requis du STO. Une affiche célèbre de 1945 pr</w:t>
      </w:r>
      <w:r w:rsidRPr="00553B7D">
        <w:rPr>
          <w:i/>
        </w:rPr>
        <w:t>o</w:t>
      </w:r>
      <w:r w:rsidRPr="00553B7D">
        <w:rPr>
          <w:i/>
        </w:rPr>
        <w:t>clamait : « Ils sont unis. Ne les séparons pas ». On y voit un déporté – r</w:t>
      </w:r>
      <w:r w:rsidRPr="00553B7D">
        <w:rPr>
          <w:i/>
        </w:rPr>
        <w:t>e</w:t>
      </w:r>
      <w:r w:rsidRPr="00553B7D">
        <w:rPr>
          <w:i/>
        </w:rPr>
        <w:t>connaissable à son costume rayé – appuyé sur un requis du Service du travail obligato</w:t>
      </w:r>
      <w:r w:rsidRPr="00553B7D">
        <w:rPr>
          <w:i/>
        </w:rPr>
        <w:t>i</w:t>
      </w:r>
      <w:r w:rsidRPr="00553B7D">
        <w:rPr>
          <w:i/>
        </w:rPr>
        <w:t>re et sur un prisonnier de guerre. Le Gouvernement provisoire du général de Gaulle et son mini</w:t>
      </w:r>
      <w:r w:rsidRPr="00553B7D">
        <w:rPr>
          <w:i/>
        </w:rPr>
        <w:t>s</w:t>
      </w:r>
      <w:r w:rsidRPr="00553B7D">
        <w:rPr>
          <w:i/>
        </w:rPr>
        <w:t>tre des Prisonniers, déportés et réfugiés, Henry Frenay, voulaient l’unité de la nation à un m</w:t>
      </w:r>
      <w:r w:rsidRPr="00553B7D">
        <w:rPr>
          <w:i/>
        </w:rPr>
        <w:t>o</w:t>
      </w:r>
      <w:r w:rsidRPr="00553B7D">
        <w:rPr>
          <w:i/>
        </w:rPr>
        <w:t>ment où demeuraient en Allemagne un million de prisonniers de guerre, quelques 750 000 STO et quelques dizaines de milliers de déportés. Tous étaient englobés dans la grande catégorie des « absents ». Une masse impressionnante d’hommes jeunes, en âge de travailler et de co</w:t>
      </w:r>
      <w:r w:rsidRPr="00553B7D">
        <w:rPr>
          <w:i/>
        </w:rPr>
        <w:t>m</w:t>
      </w:r>
      <w:r w:rsidRPr="00553B7D">
        <w:rPr>
          <w:i/>
        </w:rPr>
        <w:t>battre, la force vive du pays, au sein de laquelle la spécificité du sort des Juifs (25 000 survivants seulement à l’ouverture des camps au printemps 1945) ne se distinguait aucunement. A l’exception des que</w:t>
      </w:r>
      <w:r w:rsidRPr="00553B7D">
        <w:rPr>
          <w:i/>
        </w:rPr>
        <w:t>l</w:t>
      </w:r>
      <w:r w:rsidRPr="00553B7D">
        <w:rPr>
          <w:i/>
        </w:rPr>
        <w:t>ques milliers qui ont été « libérés » dans les camps d’Auschwitz, comme Primo Lévi, l’immense maj</w:t>
      </w:r>
      <w:r w:rsidRPr="00553B7D">
        <w:rPr>
          <w:i/>
        </w:rPr>
        <w:t>o</w:t>
      </w:r>
      <w:r w:rsidRPr="00553B7D">
        <w:rPr>
          <w:i/>
        </w:rPr>
        <w:t>rité des survivants juifs, toutes nationalités confondues, ont été transférés à pied ou en wagon découverts dans les camps de l’Ouest – Bergen-Belsen, R</w:t>
      </w:r>
      <w:r w:rsidRPr="00553B7D">
        <w:rPr>
          <w:i/>
        </w:rPr>
        <w:t>a</w:t>
      </w:r>
      <w:r w:rsidRPr="00553B7D">
        <w:rPr>
          <w:i/>
        </w:rPr>
        <w:t>vensbrück, B</w:t>
      </w:r>
      <w:r w:rsidRPr="00553B7D">
        <w:rPr>
          <w:i/>
        </w:rPr>
        <w:t>u</w:t>
      </w:r>
      <w:r w:rsidRPr="00553B7D">
        <w:rPr>
          <w:i/>
        </w:rPr>
        <w:t xml:space="preserve">chenwald… Ils sont donc mêlés aux autres déportés, ce qui contribue au brouillage des catégories » ; </w:t>
      </w:r>
      <w:r>
        <w:rPr>
          <w:i/>
        </w:rPr>
        <w:t xml:space="preserve">Annette </w:t>
      </w:r>
      <w:r w:rsidRPr="00553B7D">
        <w:rPr>
          <w:i/>
        </w:rPr>
        <w:t>Wie</w:t>
      </w:r>
      <w:r>
        <w:rPr>
          <w:i/>
        </w:rPr>
        <w:t>viorka</w:t>
      </w:r>
      <w:r w:rsidRPr="00553B7D">
        <w:rPr>
          <w:i/>
        </w:rPr>
        <w:t xml:space="preserve">, </w:t>
      </w:r>
      <w:r>
        <w:rPr>
          <w:i/>
        </w:rPr>
        <w:t>ouv. cit.</w:t>
      </w:r>
      <w:r w:rsidRPr="00553B7D">
        <w:t>, page 106.</w:t>
      </w:r>
    </w:p>
  </w:footnote>
  <w:footnote w:id="901">
    <w:p w14:paraId="6AFD153F" w14:textId="77777777" w:rsidR="00B01930" w:rsidRDefault="00B01930" w:rsidP="00B01930">
      <w:pPr>
        <w:pStyle w:val="Notedebasdepage"/>
      </w:pPr>
      <w:r>
        <w:rPr>
          <w:rStyle w:val="Appelnotedebasdep"/>
        </w:rPr>
        <w:footnoteRef/>
      </w:r>
      <w:r>
        <w:t xml:space="preserve"> </w:t>
      </w:r>
      <w:r>
        <w:tab/>
      </w:r>
      <w:r w:rsidRPr="00037BF8">
        <w:t>C’est ce qui justifie le recours à des collaborateurs civils tels que les contrema</w:t>
      </w:r>
      <w:r w:rsidRPr="00037BF8">
        <w:t>î</w:t>
      </w:r>
      <w:r w:rsidRPr="00037BF8">
        <w:t>tres dans les usines et ce qui explique le choix de faire de certains détenus, généralement de droit commun, les garde-chiourmes</w:t>
      </w:r>
      <w:r>
        <w:rPr>
          <w:lang w:val="fr-FR"/>
        </w:rPr>
        <w:t xml:space="preserve"> (kapos)</w:t>
      </w:r>
      <w:r w:rsidRPr="00037BF8">
        <w:t xml:space="preserve"> des autres.</w:t>
      </w:r>
    </w:p>
  </w:footnote>
  <w:footnote w:id="902">
    <w:p w14:paraId="0A24F0D3" w14:textId="77777777" w:rsidR="00B01930" w:rsidRDefault="00B01930" w:rsidP="00B01930">
      <w:pPr>
        <w:pStyle w:val="Notedebasdepage"/>
      </w:pPr>
      <w:r>
        <w:rPr>
          <w:rStyle w:val="Appelnotedebasdep"/>
        </w:rPr>
        <w:footnoteRef/>
      </w:r>
      <w:r>
        <w:t xml:space="preserve"> </w:t>
      </w:r>
      <w:r>
        <w:tab/>
      </w:r>
      <w:r w:rsidRPr="00102C9D">
        <w:rPr>
          <w:rFonts w:ascii="Times" w:hAnsi="Times"/>
          <w:lang w:val="fr-FR"/>
        </w:rPr>
        <w:t>En les privant de r</w:t>
      </w:r>
      <w:r>
        <w:rPr>
          <w:rFonts w:ascii="Times" w:hAnsi="Times"/>
          <w:lang w:val="fr-FR"/>
        </w:rPr>
        <w:t xml:space="preserve">epères, d’autonomie et d’espoir, en les infantilisant </w:t>
      </w:r>
      <w:r w:rsidRPr="00102C9D">
        <w:rPr>
          <w:rFonts w:ascii="Times" w:hAnsi="Times"/>
          <w:lang w:val="fr-FR"/>
        </w:rPr>
        <w:t xml:space="preserve">et </w:t>
      </w:r>
      <w:r>
        <w:rPr>
          <w:rFonts w:ascii="Times" w:hAnsi="Times"/>
          <w:lang w:val="fr-FR"/>
        </w:rPr>
        <w:t>en les forçant à nier le réel.</w:t>
      </w:r>
    </w:p>
  </w:footnote>
  <w:footnote w:id="903">
    <w:p w14:paraId="46378786" w14:textId="77777777" w:rsidR="00B01930" w:rsidRDefault="00B01930" w:rsidP="00B01930">
      <w:pPr>
        <w:pStyle w:val="Notedebasdepage"/>
      </w:pPr>
      <w:r>
        <w:rPr>
          <w:rStyle w:val="Appelnotedebasdep"/>
        </w:rPr>
        <w:footnoteRef/>
      </w:r>
      <w:r>
        <w:t xml:space="preserve"> </w:t>
      </w:r>
      <w:r>
        <w:tab/>
      </w:r>
      <w:r>
        <w:rPr>
          <w:lang w:val="fr-FR"/>
        </w:rPr>
        <w:t>En détruisant leur personnalité, soit ce que l’on qualifie aujourd’hui de dime</w:t>
      </w:r>
      <w:r>
        <w:rPr>
          <w:lang w:val="fr-FR"/>
        </w:rPr>
        <w:t>n</w:t>
      </w:r>
      <w:r>
        <w:rPr>
          <w:lang w:val="fr-FR"/>
        </w:rPr>
        <w:t>sion</w:t>
      </w:r>
      <w:r w:rsidRPr="00E33166">
        <w:t xml:space="preserve"> individuelle de la dignité humaine</w:t>
      </w:r>
      <w:r w:rsidRPr="00E33166">
        <w:rPr>
          <w:lang w:val="fr-FR"/>
        </w:rPr>
        <w:t>.</w:t>
      </w:r>
    </w:p>
  </w:footnote>
  <w:footnote w:id="904">
    <w:p w14:paraId="5B56F459" w14:textId="77777777" w:rsidR="00B01930" w:rsidRDefault="00B01930" w:rsidP="00B01930">
      <w:pPr>
        <w:pStyle w:val="Notedebasdepage"/>
      </w:pPr>
      <w:r>
        <w:rPr>
          <w:rStyle w:val="Appelnotedebasdep"/>
        </w:rPr>
        <w:footnoteRef/>
      </w:r>
      <w:r>
        <w:t xml:space="preserve"> </w:t>
      </w:r>
      <w:r>
        <w:tab/>
      </w:r>
      <w:r>
        <w:rPr>
          <w:lang w:val="fr-FR"/>
        </w:rPr>
        <w:t>En annihilant la conscience qu’il avait d’appartenir à l’espèce humaine, ce qui correspond à la dimension</w:t>
      </w:r>
      <w:r w:rsidRPr="00E33166">
        <w:t xml:space="preserve"> collective de la dignité humaine</w:t>
      </w:r>
      <w:r w:rsidRPr="00E33166">
        <w:rPr>
          <w:lang w:val="fr-FR"/>
        </w:rPr>
        <w:t>.</w:t>
      </w:r>
    </w:p>
  </w:footnote>
  <w:footnote w:id="905">
    <w:p w14:paraId="31E8DDEA" w14:textId="77777777" w:rsidR="00B01930" w:rsidRDefault="00B01930" w:rsidP="00B01930">
      <w:pPr>
        <w:pStyle w:val="Notedebasdepage"/>
      </w:pPr>
      <w:r>
        <w:rPr>
          <w:rStyle w:val="Appelnotedebasdep"/>
        </w:rPr>
        <w:footnoteRef/>
      </w:r>
      <w:r>
        <w:t xml:space="preserve"> </w:t>
      </w:r>
      <w:r>
        <w:tab/>
      </w:r>
      <w:r w:rsidRPr="00D353CF">
        <w:t>Elle forme ainsi pendant avec sa dimension collective, soit la conscience d’appartenir à l’espèce humaine.</w:t>
      </w:r>
    </w:p>
  </w:footnote>
  <w:footnote w:id="906">
    <w:p w14:paraId="4D961CD8" w14:textId="77777777" w:rsidR="00B01930" w:rsidRDefault="00B01930" w:rsidP="00B01930">
      <w:pPr>
        <w:pStyle w:val="Notedebasdepage"/>
      </w:pPr>
      <w:r>
        <w:rPr>
          <w:rStyle w:val="Appelnotedebasdep"/>
        </w:rPr>
        <w:footnoteRef/>
      </w:r>
      <w:r>
        <w:t xml:space="preserve"> </w:t>
      </w:r>
      <w:r>
        <w:tab/>
      </w:r>
      <w:r w:rsidRPr="00B4766C">
        <w:t>Les atteintes à la personnalité commises par les nazis peuvent donc, par ant</w:t>
      </w:r>
      <w:r w:rsidRPr="00B4766C">
        <w:t>i</w:t>
      </w:r>
      <w:r w:rsidRPr="00B4766C">
        <w:t>cipation, être assimilées à des atteintes à la dignité humaine individuelle.</w:t>
      </w:r>
    </w:p>
  </w:footnote>
  <w:footnote w:id="907">
    <w:p w14:paraId="12DD6536" w14:textId="77777777" w:rsidR="00B01930" w:rsidRDefault="00B01930" w:rsidP="00B01930">
      <w:pPr>
        <w:pStyle w:val="Notedebasdepage"/>
      </w:pPr>
      <w:r>
        <w:rPr>
          <w:rStyle w:val="Appelnotedebasdep"/>
        </w:rPr>
        <w:footnoteRef/>
      </w:r>
      <w:r>
        <w:t xml:space="preserve"> </w:t>
      </w:r>
      <w:r>
        <w:tab/>
      </w:r>
      <w:r w:rsidRPr="000A24F5">
        <w:rPr>
          <w:lang w:val="fr-FR"/>
        </w:rPr>
        <w:t>C</w:t>
      </w:r>
      <w:r w:rsidRPr="000A24F5">
        <w:t>e en poussant l’analyse</w:t>
      </w:r>
      <w:r w:rsidRPr="000A24F5">
        <w:rPr>
          <w:i/>
        </w:rPr>
        <w:t xml:space="preserve"> </w:t>
      </w:r>
      <w:r w:rsidRPr="000A24F5">
        <w:t>jusqu’à intégrer la dimension d’intentionnalité des agissements des nazis </w:t>
      </w:r>
      <w:r w:rsidRPr="000A24F5">
        <w:rPr>
          <w:lang w:val="fr-FR"/>
        </w:rPr>
        <w:t xml:space="preserve">: </w:t>
      </w:r>
      <w:r w:rsidRPr="000A24F5">
        <w:rPr>
          <w:i/>
          <w:lang w:val="fr-FR"/>
        </w:rPr>
        <w:t>« C’est cela d’ailleurs, exactement cela, qui fut vo</w:t>
      </w:r>
      <w:r w:rsidRPr="000A24F5">
        <w:rPr>
          <w:i/>
          <w:lang w:val="fr-FR"/>
        </w:rPr>
        <w:t>u</w:t>
      </w:r>
      <w:r w:rsidRPr="000A24F5">
        <w:rPr>
          <w:i/>
          <w:lang w:val="fr-FR"/>
        </w:rPr>
        <w:t>lu par les autres ».</w:t>
      </w:r>
    </w:p>
  </w:footnote>
  <w:footnote w:id="908">
    <w:p w14:paraId="52807AD1" w14:textId="77777777" w:rsidR="00B01930" w:rsidRDefault="00B01930" w:rsidP="00B01930">
      <w:pPr>
        <w:pStyle w:val="Notedebasdepage"/>
      </w:pPr>
      <w:r>
        <w:rPr>
          <w:rStyle w:val="Appelnotedebasdep"/>
        </w:rPr>
        <w:footnoteRef/>
      </w:r>
      <w:r>
        <w:t xml:space="preserve"> </w:t>
      </w:r>
      <w:r>
        <w:tab/>
      </w:r>
      <w:r w:rsidRPr="00D32174">
        <w:t xml:space="preserve">Robert Antelme, </w:t>
      </w:r>
      <w:r w:rsidRPr="00D32174">
        <w:rPr>
          <w:i/>
        </w:rPr>
        <w:t>L’espèce humaine,</w:t>
      </w:r>
      <w:r w:rsidRPr="00D32174">
        <w:t xml:space="preserve"> collection Tel, Gallimard, 1957, 321 p</w:t>
      </w:r>
      <w:r w:rsidRPr="00D32174">
        <w:t>a</w:t>
      </w:r>
      <w:r w:rsidRPr="00D32174">
        <w:t>ges (première édition, 1947, La cité universelle), page 11 de l’avant-propos.</w:t>
      </w:r>
    </w:p>
  </w:footnote>
  <w:footnote w:id="909">
    <w:p w14:paraId="25F49897" w14:textId="77777777" w:rsidR="00B01930" w:rsidRDefault="00B01930" w:rsidP="00B01930">
      <w:pPr>
        <w:pStyle w:val="Notedebasdepage"/>
      </w:pPr>
      <w:r>
        <w:rPr>
          <w:rStyle w:val="Appelnotedebasdep"/>
        </w:rPr>
        <w:footnoteRef/>
      </w:r>
      <w:r>
        <w:t xml:space="preserve"> </w:t>
      </w:r>
      <w:r>
        <w:tab/>
        <w:t>Germaine Tillion</w:t>
      </w:r>
      <w:r w:rsidRPr="00EF12C6">
        <w:t xml:space="preserve">, </w:t>
      </w:r>
      <w:r>
        <w:rPr>
          <w:i/>
        </w:rPr>
        <w:t>op. cit.,</w:t>
      </w:r>
      <w:r w:rsidRPr="00EF12C6">
        <w:t xml:space="preserve"> page 148.</w:t>
      </w:r>
    </w:p>
  </w:footnote>
  <w:footnote w:id="910">
    <w:p w14:paraId="338EAB94" w14:textId="77777777" w:rsidR="00B01930" w:rsidRDefault="00B01930" w:rsidP="00B01930">
      <w:pPr>
        <w:pStyle w:val="Notedebasdepage"/>
      </w:pPr>
      <w:r>
        <w:rPr>
          <w:rStyle w:val="Appelnotedebasdep"/>
        </w:rPr>
        <w:footnoteRef/>
      </w:r>
      <w:r>
        <w:t xml:space="preserve"> </w:t>
      </w:r>
      <w:r>
        <w:tab/>
      </w:r>
      <w:r w:rsidRPr="00B63033">
        <w:rPr>
          <w:lang w:val="fr-FR"/>
        </w:rPr>
        <w:t>Le philosophe Giorgio Agamben a développé dans un essai discuté (Aga</w:t>
      </w:r>
      <w:r w:rsidRPr="00B63033">
        <w:rPr>
          <w:lang w:val="fr-FR"/>
        </w:rPr>
        <w:t>m</w:t>
      </w:r>
      <w:r w:rsidRPr="00B63033">
        <w:rPr>
          <w:lang w:val="fr-FR"/>
        </w:rPr>
        <w:t xml:space="preserve">ben G., </w:t>
      </w:r>
      <w:r w:rsidRPr="00B63033">
        <w:rPr>
          <w:i/>
          <w:lang w:val="fr-FR"/>
        </w:rPr>
        <w:t xml:space="preserve">Ce qui reste d’Auschwitz, l’archive et le témoin, </w:t>
      </w:r>
      <w:r w:rsidRPr="00B63033">
        <w:rPr>
          <w:lang w:val="fr-FR"/>
        </w:rPr>
        <w:t>trad. Par P. Alferi, P</w:t>
      </w:r>
      <w:r w:rsidRPr="00B63033">
        <w:rPr>
          <w:lang w:val="fr-FR"/>
        </w:rPr>
        <w:t>a</w:t>
      </w:r>
      <w:r w:rsidRPr="00B63033">
        <w:rPr>
          <w:lang w:val="fr-FR"/>
        </w:rPr>
        <w:t>ris, Rivages, 1999) l’idée de relativiser le témoignage de survivants tels que Primo Lévi au motif du fait que seuls les concentrationnaires ayant été pr</w:t>
      </w:r>
      <w:r w:rsidRPr="00B63033">
        <w:rPr>
          <w:lang w:val="fr-FR"/>
        </w:rPr>
        <w:t>i</w:t>
      </w:r>
      <w:r w:rsidRPr="00B63033">
        <w:rPr>
          <w:lang w:val="fr-FR"/>
        </w:rPr>
        <w:t>vés de la totalité de leur dignité auraient vécu pleinement l’expérience des camps. Pie</w:t>
      </w:r>
      <w:r w:rsidRPr="00B63033">
        <w:rPr>
          <w:lang w:val="fr-FR"/>
        </w:rPr>
        <w:t>r</w:t>
      </w:r>
      <w:r w:rsidRPr="00B63033">
        <w:rPr>
          <w:lang w:val="fr-FR"/>
        </w:rPr>
        <w:t>re-Antoine Chardel (2006, « L’Éthique du témoignage. R</w:t>
      </w:r>
      <w:r w:rsidRPr="00B63033">
        <w:rPr>
          <w:lang w:val="fr-FR"/>
        </w:rPr>
        <w:t>é</w:t>
      </w:r>
      <w:r w:rsidRPr="00B63033">
        <w:rPr>
          <w:lang w:val="fr-FR"/>
        </w:rPr>
        <w:t>flexions à partir de Primo Lévi et Giorgio Agamben »</w:t>
      </w:r>
      <w:r w:rsidRPr="00B63033">
        <w:rPr>
          <w:i/>
          <w:lang w:val="fr-FR"/>
        </w:rPr>
        <w:t>, The Canadian Journal of Continental Ph</w:t>
      </w:r>
      <w:r w:rsidRPr="00B63033">
        <w:rPr>
          <w:i/>
          <w:lang w:val="fr-FR"/>
        </w:rPr>
        <w:t>i</w:t>
      </w:r>
      <w:r w:rsidRPr="00B63033">
        <w:rPr>
          <w:i/>
          <w:lang w:val="fr-FR"/>
        </w:rPr>
        <w:t>losophy</w:t>
      </w:r>
      <w:r w:rsidRPr="00B63033">
        <w:rPr>
          <w:lang w:val="fr-FR"/>
        </w:rPr>
        <w:t>, 10 (2), p. 587-610) s’est appuyé sur cette théorie pour tenter de just</w:t>
      </w:r>
      <w:r w:rsidRPr="00B63033">
        <w:rPr>
          <w:lang w:val="fr-FR"/>
        </w:rPr>
        <w:t>i</w:t>
      </w:r>
      <w:r w:rsidRPr="00B63033">
        <w:rPr>
          <w:lang w:val="fr-FR"/>
        </w:rPr>
        <w:t xml:space="preserve">fier une lecture herméneutique du témoignage. Ces théories ont fait l’objet de vives critiques, dont, au premier plan, celles de Claudine Kahan et Philippe Mesnard (Giorgio </w:t>
      </w:r>
      <w:r w:rsidRPr="00B63033">
        <w:rPr>
          <w:i/>
          <w:lang w:val="fr-FR"/>
        </w:rPr>
        <w:t>Agamben à l’épreuve d’Auschwitz. Témoign</w:t>
      </w:r>
      <w:r w:rsidRPr="00B63033">
        <w:rPr>
          <w:i/>
          <w:lang w:val="fr-FR"/>
        </w:rPr>
        <w:t>a</w:t>
      </w:r>
      <w:r w:rsidRPr="00B63033">
        <w:rPr>
          <w:i/>
          <w:lang w:val="fr-FR"/>
        </w:rPr>
        <w:t xml:space="preserve">ges/Interprétations, </w:t>
      </w:r>
      <w:r w:rsidRPr="00B63033">
        <w:rPr>
          <w:lang w:val="fr-FR"/>
        </w:rPr>
        <w:t>Paris, Éditions Kiné, 2001) ou encore celles de Charles Boyer (« Agamben et Auschvitz »</w:t>
      </w:r>
      <w:r w:rsidRPr="00B63033">
        <w:rPr>
          <w:i/>
          <w:lang w:val="fr-FR"/>
        </w:rPr>
        <w:t>,</w:t>
      </w:r>
      <w:r w:rsidRPr="00B63033">
        <w:rPr>
          <w:lang w:val="fr-FR"/>
        </w:rPr>
        <w:t xml:space="preserve"> </w:t>
      </w:r>
      <w:r w:rsidRPr="00B63033">
        <w:rPr>
          <w:i/>
          <w:lang w:val="fr-FR"/>
        </w:rPr>
        <w:t>L’Enseignement philosophique</w:t>
      </w:r>
      <w:r w:rsidRPr="00B63033">
        <w:rPr>
          <w:lang w:val="fr-FR"/>
        </w:rPr>
        <w:t>, 60</w:t>
      </w:r>
      <w:r w:rsidRPr="00B63033">
        <w:rPr>
          <w:vertAlign w:val="superscript"/>
          <w:lang w:val="fr-FR"/>
        </w:rPr>
        <w:t>e</w:t>
      </w:r>
      <w:r w:rsidRPr="00B63033">
        <w:rPr>
          <w:lang w:val="fr-FR"/>
        </w:rPr>
        <w:t xml:space="preserve"> année, n° 1).</w:t>
      </w:r>
    </w:p>
  </w:footnote>
  <w:footnote w:id="911">
    <w:p w14:paraId="035914A0" w14:textId="77777777" w:rsidR="00B01930" w:rsidRDefault="00B01930" w:rsidP="00B01930">
      <w:pPr>
        <w:pStyle w:val="Notedebasdepage"/>
      </w:pPr>
      <w:r>
        <w:rPr>
          <w:rStyle w:val="Appelnotedebasdep"/>
        </w:rPr>
        <w:footnoteRef/>
      </w:r>
      <w:r>
        <w:t xml:space="preserve"> </w:t>
      </w:r>
      <w:r>
        <w:tab/>
      </w:r>
      <w:r w:rsidRPr="00FE3208">
        <w:t>« Alors, pour la première fois, nous nous apercevons que notre langue ma</w:t>
      </w:r>
      <w:r w:rsidRPr="00FE3208">
        <w:t>n</w:t>
      </w:r>
      <w:r w:rsidRPr="00FE3208">
        <w:t>que de mots pour exprimer cette avanie : la démolition d’un homme. En un in</w:t>
      </w:r>
      <w:r w:rsidRPr="00FE3208">
        <w:t>s</w:t>
      </w:r>
      <w:r w:rsidRPr="00FE3208">
        <w:t>tant, dans une intuition  quasi prophétique, la réalité nous apparaît : nous avons touché le fond. Il est impossible d’aller plus bas : il n’existe pas, il n’est pas possible de concevoir condition humaine plus misérable que la n</w:t>
      </w:r>
      <w:r w:rsidRPr="00FE3208">
        <w:t>ô</w:t>
      </w:r>
      <w:r w:rsidRPr="00FE3208">
        <w:t>tre. Plus rien ne nous appartient : ils nous ont pris nos vêtements, nos chau</w:t>
      </w:r>
      <w:r w:rsidRPr="00FE3208">
        <w:t>s</w:t>
      </w:r>
      <w:r w:rsidRPr="00FE3208">
        <w:t>sures, et même nos cheveux ; si nous parlons, ils ne nous écouteront pas, et même s’ils nous écoutaient, ils ne nous comprendraient pas. Ils nous enlèv</w:t>
      </w:r>
      <w:r w:rsidRPr="00FE3208">
        <w:t>e</w:t>
      </w:r>
      <w:r w:rsidRPr="00FE3208">
        <w:t>rons jusqu’à notre nom : et si nous voulons le conserver, nous devrons tro</w:t>
      </w:r>
      <w:r w:rsidRPr="00FE3208">
        <w:t>u</w:t>
      </w:r>
      <w:r w:rsidRPr="00FE3208">
        <w:t xml:space="preserve">ver en nous la force nécessaire pour que derrière ce nom, quelque chose de nous, de ce que nous étions, subsiste » ; </w:t>
      </w:r>
      <w:r>
        <w:t>Primo Levi,</w:t>
      </w:r>
      <w:r w:rsidRPr="00FE3208">
        <w:t xml:space="preserve"> Si c’est un homme, Ju</w:t>
      </w:r>
      <w:r w:rsidRPr="00FE3208">
        <w:t>l</w:t>
      </w:r>
      <w:r w:rsidRPr="00FE3208">
        <w:t>liard, 1</w:t>
      </w:r>
      <w:r>
        <w:t>987, page 34</w:t>
      </w:r>
      <w:r w:rsidRPr="00FE3208">
        <w:t>.</w:t>
      </w:r>
    </w:p>
  </w:footnote>
  <w:footnote w:id="912">
    <w:p w14:paraId="0B78F906" w14:textId="77777777" w:rsidR="00B01930" w:rsidRDefault="00B01930" w:rsidP="00B01930">
      <w:pPr>
        <w:pStyle w:val="Notedebasdepage"/>
      </w:pPr>
      <w:r>
        <w:rPr>
          <w:rStyle w:val="Appelnotedebasdep"/>
        </w:rPr>
        <w:footnoteRef/>
      </w:r>
      <w:r>
        <w:t xml:space="preserve"> </w:t>
      </w:r>
      <w:r>
        <w:tab/>
      </w:r>
      <w:r w:rsidRPr="00FE3208">
        <w:t>« Nous savons, en disant cela, que nous serons difficilement compris, et il est bon qu’il en soit ainsi. Mais que chacun considère en soi-même toute la v</w:t>
      </w:r>
      <w:r w:rsidRPr="00FE3208">
        <w:t>a</w:t>
      </w:r>
      <w:r w:rsidRPr="00FE3208">
        <w:t>leur, toute la signification qui s’attache à la plus anodine de nos habitudes quotidiennes, aux mille petites choses qui nous a</w:t>
      </w:r>
      <w:r w:rsidRPr="00FE3208">
        <w:t>p</w:t>
      </w:r>
      <w:r w:rsidRPr="00FE3208">
        <w:t>partiennent et que même le plus humble des mendiants possède un mouchoir, une vieille lettre, la phot</w:t>
      </w:r>
      <w:r w:rsidRPr="00FE3208">
        <w:t>o</w:t>
      </w:r>
      <w:r w:rsidRPr="00FE3208">
        <w:t>graphie d’un être cher. Ces choses-là font partie de nous presque a</w:t>
      </w:r>
      <w:r w:rsidRPr="00FE3208">
        <w:t>u</w:t>
      </w:r>
      <w:r w:rsidRPr="00FE3208">
        <w:t>tant que les membres de notre corps, et il n’est pas concevable en ce monde d’en être privé, qu’aussitôt nous ne trouvions à les remplacer par d’autres objets, d’autres parties de nous-mêmes qui veillent sur nos souvenirs et les font rev</w:t>
      </w:r>
      <w:r w:rsidRPr="00FE3208">
        <w:t>i</w:t>
      </w:r>
      <w:r w:rsidRPr="00FE3208">
        <w:t>vre » ;</w:t>
      </w:r>
      <w:r>
        <w:t xml:space="preserve"> Primo Levi, </w:t>
      </w:r>
      <w:r w:rsidRPr="00FE3208">
        <w:t>Si c’est un homme, Julliard, 1987, page</w:t>
      </w:r>
      <w:r>
        <w:t xml:space="preserve"> 34</w:t>
      </w:r>
      <w:r w:rsidRPr="00FE3208">
        <w:t>.</w:t>
      </w:r>
    </w:p>
  </w:footnote>
  <w:footnote w:id="913">
    <w:p w14:paraId="3AF605D1" w14:textId="77777777" w:rsidR="00B01930" w:rsidRDefault="00B01930" w:rsidP="00B01930">
      <w:pPr>
        <w:pStyle w:val="Notedebasdepage"/>
      </w:pPr>
      <w:r>
        <w:rPr>
          <w:rStyle w:val="Appelnotedebasdep"/>
        </w:rPr>
        <w:footnoteRef/>
      </w:r>
      <w:r>
        <w:t xml:space="preserve"> </w:t>
      </w:r>
      <w:r>
        <w:tab/>
      </w:r>
      <w:r>
        <w:rPr>
          <w:lang w:val="fr-FR"/>
        </w:rPr>
        <w:t xml:space="preserve">Primo </w:t>
      </w:r>
      <w:r>
        <w:t>Levi</w:t>
      </w:r>
      <w:r>
        <w:rPr>
          <w:i/>
          <w:lang w:val="fr-FR"/>
        </w:rPr>
        <w:t>, idem</w:t>
      </w:r>
      <w:r>
        <w:t xml:space="preserve">, page </w:t>
      </w:r>
      <w:r w:rsidRPr="00046B72">
        <w:t>35.</w:t>
      </w:r>
    </w:p>
  </w:footnote>
  <w:footnote w:id="914">
    <w:p w14:paraId="0B49E3F8" w14:textId="77777777" w:rsidR="00B01930" w:rsidRDefault="00B01930" w:rsidP="00B01930">
      <w:pPr>
        <w:pStyle w:val="Notedebasdepage"/>
      </w:pPr>
      <w:r>
        <w:rPr>
          <w:rStyle w:val="Appelnotedebasdep"/>
        </w:rPr>
        <w:footnoteRef/>
      </w:r>
      <w:r>
        <w:t xml:space="preserve"> </w:t>
      </w:r>
      <w:r>
        <w:tab/>
      </w:r>
      <w:r>
        <w:rPr>
          <w:lang w:val="fr-FR"/>
        </w:rPr>
        <w:t xml:space="preserve">Soit le fait que l’extermination, au-delà de son aspect </w:t>
      </w:r>
      <w:r w:rsidRPr="006E4893">
        <w:rPr>
          <w:lang w:val="fr-FR"/>
        </w:rPr>
        <w:t xml:space="preserve">physique, </w:t>
      </w:r>
      <w:r>
        <w:rPr>
          <w:lang w:val="fr-FR"/>
        </w:rPr>
        <w:t>possédait une dimension</w:t>
      </w:r>
      <w:r w:rsidRPr="006E4893">
        <w:rPr>
          <w:lang w:val="fr-FR"/>
        </w:rPr>
        <w:t xml:space="preserve"> psychologique.</w:t>
      </w:r>
    </w:p>
  </w:footnote>
  <w:footnote w:id="915">
    <w:p w14:paraId="2CBB47AF" w14:textId="77777777" w:rsidR="00B01930" w:rsidRDefault="00B01930" w:rsidP="00B01930">
      <w:pPr>
        <w:pStyle w:val="Notedebasdepage"/>
      </w:pPr>
      <w:r>
        <w:rPr>
          <w:rStyle w:val="Appelnotedebasdep"/>
        </w:rPr>
        <w:footnoteRef/>
      </w:r>
      <w:r>
        <w:t xml:space="preserve"> </w:t>
      </w:r>
      <w:r>
        <w:tab/>
      </w:r>
      <w:r>
        <w:rPr>
          <w:lang w:val="fr-FR"/>
        </w:rPr>
        <w:t xml:space="preserve">Soit le fait d’être privé de sa dignité individuelle par les exactions subies et d’en perdre sa dignité collective, oubliant ainsi </w:t>
      </w:r>
      <w:r w:rsidRPr="006E4893">
        <w:rPr>
          <w:i/>
          <w:lang w:val="fr-FR"/>
        </w:rPr>
        <w:t>« toute dignité » ;</w:t>
      </w:r>
      <w:r>
        <w:rPr>
          <w:lang w:val="fr-FR"/>
        </w:rPr>
        <w:t xml:space="preserve"> Primo </w:t>
      </w:r>
      <w:r>
        <w:t>L</w:t>
      </w:r>
      <w:r>
        <w:t>e</w:t>
      </w:r>
      <w:r>
        <w:t>vi</w:t>
      </w:r>
      <w:r>
        <w:rPr>
          <w:i/>
          <w:lang w:val="fr-FR"/>
        </w:rPr>
        <w:t>, ouv. cit.</w:t>
      </w:r>
      <w:r w:rsidRPr="00046B72">
        <w:t>, page 35.</w:t>
      </w:r>
    </w:p>
  </w:footnote>
  <w:footnote w:id="916">
    <w:p w14:paraId="27B9CCF5" w14:textId="77777777" w:rsidR="00B01930" w:rsidRDefault="00B01930" w:rsidP="00B01930">
      <w:pPr>
        <w:pStyle w:val="Notedebasdepage"/>
      </w:pPr>
      <w:r>
        <w:rPr>
          <w:rStyle w:val="Appelnotedebasdep"/>
        </w:rPr>
        <w:footnoteRef/>
      </w:r>
      <w:r>
        <w:t xml:space="preserve"> </w:t>
      </w:r>
      <w:r>
        <w:tab/>
      </w:r>
      <w:r w:rsidRPr="00046B72">
        <w:rPr>
          <w:lang w:val="fr-FR"/>
        </w:rPr>
        <w:t>Admission générale qui témoigne du triomphe momentanée de l’idée.</w:t>
      </w:r>
    </w:p>
  </w:footnote>
  <w:footnote w:id="917">
    <w:p w14:paraId="1DF89851" w14:textId="77777777" w:rsidR="00B01930" w:rsidRDefault="00B01930" w:rsidP="00B01930">
      <w:pPr>
        <w:pStyle w:val="Notedebasdepage"/>
      </w:pPr>
      <w:r>
        <w:rPr>
          <w:rStyle w:val="Appelnotedebasdep"/>
        </w:rPr>
        <w:footnoteRef/>
      </w:r>
      <w:r>
        <w:t xml:space="preserve"> </w:t>
      </w:r>
      <w:r>
        <w:tab/>
        <w:t xml:space="preserve">Avant même le début de la guerre, un surnom considéré comme péjoratif, celui de </w:t>
      </w:r>
      <w:r w:rsidRPr="00BB44B9">
        <w:rPr>
          <w:i/>
        </w:rPr>
        <w:t>« musulmans »,</w:t>
      </w:r>
      <w:r>
        <w:t xml:space="preserve"> avait été appliqué aux concentrationnaires masc</w:t>
      </w:r>
      <w:r>
        <w:t>u</w:t>
      </w:r>
      <w:r>
        <w:t>lins qui, ne réagissant plus aux sollicitations extérieures, étaient sur le point de mourir. Le choix de ce surnom était-il la marque d’une détestation anal</w:t>
      </w:r>
      <w:r>
        <w:t>o</w:t>
      </w:r>
      <w:r>
        <w:t>gue à celle que les nazis portaient aux juifs ? Cela ne peut être exclu com</w:t>
      </w:r>
      <w:r>
        <w:t>p</w:t>
      </w:r>
      <w:r>
        <w:t xml:space="preserve">te tenu du fond de paganisme dans lequel baignait le nazisme : </w:t>
      </w:r>
      <w:r w:rsidRPr="00046B72">
        <w:rPr>
          <w:i/>
        </w:rPr>
        <w:t>« </w:t>
      </w:r>
      <w:r>
        <w:rPr>
          <w:i/>
        </w:rPr>
        <w:t xml:space="preserve">La </w:t>
      </w:r>
      <w:r w:rsidRPr="00046B72">
        <w:rPr>
          <w:i/>
        </w:rPr>
        <w:t>SS les a</w:t>
      </w:r>
      <w:r w:rsidRPr="00046B72">
        <w:rPr>
          <w:i/>
        </w:rPr>
        <w:t>p</w:t>
      </w:r>
      <w:r w:rsidRPr="00046B72">
        <w:rPr>
          <w:i/>
        </w:rPr>
        <w:t>pelait « musulmans » - sans doute pour marquer son mépris et sa</w:t>
      </w:r>
      <w:r>
        <w:rPr>
          <w:i/>
        </w:rPr>
        <w:t xml:space="preserve"> haine à l’égard de ces dernier, </w:t>
      </w:r>
      <w:r w:rsidRPr="00046B72">
        <w:rPr>
          <w:i/>
        </w:rPr>
        <w:t xml:space="preserve">qu’elle aurait tués avec autant d’ardeur que les juifs s’ils n’avaient pas </w:t>
      </w:r>
      <w:r>
        <w:rPr>
          <w:i/>
        </w:rPr>
        <w:t>été à l’abri de la Méditerranée</w:t>
      </w:r>
      <w:r w:rsidRPr="00046B72">
        <w:rPr>
          <w:i/>
        </w:rPr>
        <w:t xml:space="preserve"> » ; </w:t>
      </w:r>
      <w:r w:rsidRPr="00D556E9">
        <w:t>Germaine</w:t>
      </w:r>
      <w:r>
        <w:rPr>
          <w:i/>
        </w:rPr>
        <w:t xml:space="preserve"> </w:t>
      </w:r>
      <w:r>
        <w:t>Tillion</w:t>
      </w:r>
      <w:r w:rsidRPr="00046B72">
        <w:t xml:space="preserve">, </w:t>
      </w:r>
      <w:r>
        <w:rPr>
          <w:i/>
        </w:rPr>
        <w:t>ouv. cit.</w:t>
      </w:r>
      <w:r>
        <w:t>, page</w:t>
      </w:r>
      <w:r w:rsidRPr="00046B72">
        <w:t xml:space="preserve"> 195.</w:t>
      </w:r>
      <w:r>
        <w:t xml:space="preserve"> Il est également possible que le choix de ce terme, déjà en v</w:t>
      </w:r>
      <w:r>
        <w:t>i</w:t>
      </w:r>
      <w:r>
        <w:t>gueur en 1938 et 1939 à Dachau et à Buchenwald, ait exprimé le mépris pour la confession musulmane (parler d’islamophobie serait anachronique), ainsi que sa méconnaissance, alors répandus dans une grande partie de la population a</w:t>
      </w:r>
      <w:r>
        <w:t>l</w:t>
      </w:r>
      <w:r>
        <w:t xml:space="preserve">lemande </w:t>
      </w:r>
      <w:r w:rsidRPr="00BB44B9">
        <w:t xml:space="preserve">: </w:t>
      </w:r>
      <w:r w:rsidRPr="00BB44B9">
        <w:rPr>
          <w:i/>
        </w:rPr>
        <w:t>« Les prisonniers qui en venaient à croire les affi</w:t>
      </w:r>
      <w:r w:rsidRPr="00BB44B9">
        <w:rPr>
          <w:i/>
        </w:rPr>
        <w:t>r</w:t>
      </w:r>
      <w:r w:rsidRPr="00BB44B9">
        <w:rPr>
          <w:i/>
        </w:rPr>
        <w:t>mations répétées des gardes, qu’ils ne quitteraient le camp qu’à l’état de cadavres, et qui étaient convaincus de n’avoir pas le moindre pouvoir sur leur env</w:t>
      </w:r>
      <w:r w:rsidRPr="00BB44B9">
        <w:rPr>
          <w:i/>
        </w:rPr>
        <w:t>i</w:t>
      </w:r>
      <w:r w:rsidRPr="00BB44B9">
        <w:rPr>
          <w:i/>
        </w:rPr>
        <w:t>ronnement, devenaient, littéralement, des cadavres ambulants. Dans les camps, on les a</w:t>
      </w:r>
      <w:r w:rsidRPr="00BB44B9">
        <w:rPr>
          <w:i/>
        </w:rPr>
        <w:t>p</w:t>
      </w:r>
      <w:r w:rsidRPr="00BB44B9">
        <w:rPr>
          <w:i/>
        </w:rPr>
        <w:t>pelait les « musulmans » en attribuant à tort leur comportement à une soumi</w:t>
      </w:r>
      <w:r w:rsidRPr="00BB44B9">
        <w:rPr>
          <w:i/>
        </w:rPr>
        <w:t>s</w:t>
      </w:r>
      <w:r w:rsidRPr="00BB44B9">
        <w:rPr>
          <w:i/>
        </w:rPr>
        <w:t>sion fataliste à l’environnement analogue à celle qu’on impute aux musu</w:t>
      </w:r>
      <w:r w:rsidRPr="00BB44B9">
        <w:rPr>
          <w:i/>
        </w:rPr>
        <w:t>l</w:t>
      </w:r>
      <w:r w:rsidRPr="00BB44B9">
        <w:rPr>
          <w:i/>
        </w:rPr>
        <w:t>mans</w:t>
      </w:r>
      <w:r>
        <w:rPr>
          <w:i/>
        </w:rPr>
        <w:t xml:space="preserve"> </w:t>
      </w:r>
      <w:r w:rsidRPr="00BB44B9">
        <w:rPr>
          <w:i/>
        </w:rPr>
        <w:t xml:space="preserve">», </w:t>
      </w:r>
      <w:r w:rsidRPr="00BB44B9">
        <w:t>B</w:t>
      </w:r>
      <w:r>
        <w:t>runo Bettelheim</w:t>
      </w:r>
      <w:r w:rsidRPr="00BB44B9">
        <w:t xml:space="preserve">, </w:t>
      </w:r>
      <w:r w:rsidRPr="00BB44B9">
        <w:rPr>
          <w:i/>
        </w:rPr>
        <w:t>Le cœur conscient,</w:t>
      </w:r>
      <w:r w:rsidRPr="00BB44B9">
        <w:t xml:space="preserve"> 1972 (première parution, </w:t>
      </w:r>
      <w:r w:rsidRPr="00BB44B9">
        <w:rPr>
          <w:i/>
        </w:rPr>
        <w:t>The informed heat,</w:t>
      </w:r>
      <w:r w:rsidRPr="00BB44B9">
        <w:t xml:space="preserve"> The Free Press, New York, 1960), co</w:t>
      </w:r>
      <w:r w:rsidRPr="00BB44B9">
        <w:t>l</w:t>
      </w:r>
      <w:r w:rsidRPr="00BB44B9">
        <w:t>lection Pluriel, Le livre de poche, Laffont, Paris, 383 pages, pages 206 et 207</w:t>
      </w:r>
      <w:r>
        <w:t xml:space="preserve"> (les remises en cause modernes de la sincérité des récits de Bruno Be</w:t>
      </w:r>
      <w:r>
        <w:t>t</w:t>
      </w:r>
      <w:r>
        <w:t>telheim et de la validité de ses interprétations et travaux ne privent pas toutes ses observations d’intérêt, n</w:t>
      </w:r>
      <w:r>
        <w:t>o</w:t>
      </w:r>
      <w:r>
        <w:t>tamment lorsque l’auteur affirme se faire l’écho de propos de ceux dont il a partagé la détention)</w:t>
      </w:r>
      <w:r w:rsidRPr="00BB44B9">
        <w:t>.</w:t>
      </w:r>
    </w:p>
  </w:footnote>
  <w:footnote w:id="918">
    <w:p w14:paraId="64F80F93" w14:textId="77777777" w:rsidR="00B01930" w:rsidRDefault="00B01930" w:rsidP="00B01930">
      <w:pPr>
        <w:pStyle w:val="Notedebasdepage"/>
      </w:pPr>
      <w:r>
        <w:rPr>
          <w:rStyle w:val="Appelnotedebasdep"/>
        </w:rPr>
        <w:footnoteRef/>
      </w:r>
      <w:r>
        <w:t xml:space="preserve"> </w:t>
      </w:r>
      <w:r>
        <w:tab/>
      </w:r>
      <w:r w:rsidRPr="00B63033">
        <w:rPr>
          <w:lang w:val="fr-FR"/>
        </w:rPr>
        <w:t>« </w:t>
      </w:r>
      <w:r w:rsidRPr="00B63033">
        <w:rPr>
          <w:i/>
          <w:lang w:val="fr-FR"/>
        </w:rPr>
        <w:t>Ayant de très loin dépassé ce que l’on appelle la maigreur et près d’atteindre le degré irréversible de la dénutrition, incapable de discipline i</w:t>
      </w:r>
      <w:r w:rsidRPr="00B63033">
        <w:rPr>
          <w:i/>
          <w:lang w:val="fr-FR"/>
        </w:rPr>
        <w:t>n</w:t>
      </w:r>
      <w:r w:rsidRPr="00B63033">
        <w:rPr>
          <w:i/>
          <w:lang w:val="fr-FR"/>
        </w:rPr>
        <w:t>térieure ou sociale, ne se lavant plus, ne cherchant plus ses poux, vêtue de l</w:t>
      </w:r>
      <w:r w:rsidRPr="00B63033">
        <w:rPr>
          <w:i/>
          <w:lang w:val="fr-FR"/>
        </w:rPr>
        <w:t>o</w:t>
      </w:r>
      <w:r w:rsidRPr="00B63033">
        <w:rPr>
          <w:i/>
          <w:lang w:val="fr-FR"/>
        </w:rPr>
        <w:t>ques invraisemblables, couverte de plaies jamais soignées, de gale infe</w:t>
      </w:r>
      <w:r w:rsidRPr="00B63033">
        <w:rPr>
          <w:i/>
          <w:lang w:val="fr-FR"/>
        </w:rPr>
        <w:t>c</w:t>
      </w:r>
      <w:r w:rsidRPr="00B63033">
        <w:rPr>
          <w:i/>
          <w:lang w:val="fr-FR"/>
        </w:rPr>
        <w:t>tée, sou</w:t>
      </w:r>
      <w:r w:rsidRPr="00B63033">
        <w:rPr>
          <w:i/>
          <w:lang w:val="fr-FR"/>
        </w:rPr>
        <w:t>f</w:t>
      </w:r>
      <w:r w:rsidRPr="00B63033">
        <w:rPr>
          <w:i/>
          <w:lang w:val="fr-FR"/>
        </w:rPr>
        <w:t>frant d’avitaminose, la pauvre créature se jetait à plat ventre dans la boue pour lécher une gamelle de soupe renversée</w:t>
      </w:r>
      <w:r w:rsidRPr="00B63033">
        <w:rPr>
          <w:lang w:val="fr-FR"/>
        </w:rPr>
        <w:t> ».</w:t>
      </w:r>
    </w:p>
  </w:footnote>
  <w:footnote w:id="919">
    <w:p w14:paraId="1B7A646E" w14:textId="77777777" w:rsidR="00B01930" w:rsidRDefault="00B01930" w:rsidP="00B01930">
      <w:pPr>
        <w:pStyle w:val="Notedebasdepage"/>
      </w:pPr>
      <w:r>
        <w:rPr>
          <w:rStyle w:val="Appelnotedebasdep"/>
        </w:rPr>
        <w:footnoteRef/>
      </w:r>
      <w:r>
        <w:t xml:space="preserve"> </w:t>
      </w:r>
      <w:r>
        <w:tab/>
      </w:r>
      <w:r w:rsidRPr="00B63033">
        <w:t xml:space="preserve">Cf. Germaine Tillion., </w:t>
      </w:r>
      <w:r w:rsidRPr="00B63033">
        <w:rPr>
          <w:i/>
        </w:rPr>
        <w:t>Ravensbrück, op. cit.</w:t>
      </w:r>
      <w:r w:rsidRPr="00B63033">
        <w:t>, p. 194.</w:t>
      </w:r>
    </w:p>
  </w:footnote>
  <w:footnote w:id="920">
    <w:p w14:paraId="416B8443" w14:textId="77777777" w:rsidR="00B01930" w:rsidRDefault="00B01930" w:rsidP="00B01930">
      <w:pPr>
        <w:pStyle w:val="Notedebasdepage"/>
      </w:pPr>
      <w:r>
        <w:rPr>
          <w:rStyle w:val="Appelnotedebasdep"/>
        </w:rPr>
        <w:footnoteRef/>
      </w:r>
      <w:r>
        <w:t xml:space="preserve"> </w:t>
      </w:r>
      <w:r>
        <w:tab/>
      </w:r>
      <w:r>
        <w:rPr>
          <w:lang w:val="fr-FR"/>
        </w:rPr>
        <w:t xml:space="preserve">Germaine </w:t>
      </w:r>
      <w:r>
        <w:t>Tillion</w:t>
      </w:r>
      <w:r w:rsidRPr="00F824C1">
        <w:t xml:space="preserve">, </w:t>
      </w:r>
      <w:r>
        <w:rPr>
          <w:i/>
          <w:lang w:val="fr-FR"/>
        </w:rPr>
        <w:t>idem.</w:t>
      </w:r>
    </w:p>
  </w:footnote>
  <w:footnote w:id="921">
    <w:p w14:paraId="54BDCFF0" w14:textId="77777777" w:rsidR="00B01930" w:rsidRDefault="00B01930" w:rsidP="00B01930">
      <w:pPr>
        <w:pStyle w:val="Notedebasdepage"/>
      </w:pPr>
      <w:r>
        <w:rPr>
          <w:rStyle w:val="Appelnotedebasdep"/>
        </w:rPr>
        <w:footnoteRef/>
      </w:r>
      <w:r>
        <w:t xml:space="preserve"> </w:t>
      </w:r>
      <w:r>
        <w:tab/>
      </w:r>
      <w:r w:rsidRPr="00D42584">
        <w:rPr>
          <w:lang w:val="fr-FR"/>
        </w:rPr>
        <w:t>Par rapport à ce que l’on pensait connaître de la nature humaine.</w:t>
      </w:r>
    </w:p>
  </w:footnote>
  <w:footnote w:id="922">
    <w:p w14:paraId="10DEFC9D" w14:textId="77777777" w:rsidR="00B01930" w:rsidRDefault="00B01930" w:rsidP="00B01930">
      <w:pPr>
        <w:pStyle w:val="Notedebasdepage"/>
      </w:pPr>
      <w:r>
        <w:rPr>
          <w:rStyle w:val="Appelnotedebasdep"/>
        </w:rPr>
        <w:footnoteRef/>
      </w:r>
      <w:r>
        <w:t xml:space="preserve"> </w:t>
      </w:r>
      <w:r>
        <w:tab/>
      </w:r>
      <w:r w:rsidRPr="00D42584">
        <w:t>« Nous nous apercevons que notre langue manque de mots pour exprimer ce</w:t>
      </w:r>
      <w:r w:rsidRPr="00D42584">
        <w:t>t</w:t>
      </w:r>
      <w:r w:rsidRPr="00D42584">
        <w:t>te avanie : la démolition d’un homme » ; Primo Lévi, ibidem, p. 34.</w:t>
      </w:r>
    </w:p>
  </w:footnote>
  <w:footnote w:id="923">
    <w:p w14:paraId="558DBF04" w14:textId="77777777" w:rsidR="00B01930" w:rsidRDefault="00B01930" w:rsidP="00B01930">
      <w:pPr>
        <w:pStyle w:val="Notedebasdepage"/>
      </w:pPr>
      <w:r>
        <w:rPr>
          <w:rStyle w:val="Appelnotedebasdep"/>
        </w:rPr>
        <w:footnoteRef/>
      </w:r>
      <w:r>
        <w:t xml:space="preserve"> </w:t>
      </w:r>
      <w:r>
        <w:tab/>
      </w:r>
      <w:r w:rsidRPr="00D42584">
        <w:rPr>
          <w:lang w:val="fr-FR"/>
        </w:rPr>
        <w:t>C’est sur ce point que notre opinion diffère de celle de Giorgio Agamben. Nous ne pensons pas que le témoignage des survivants soit inférieur à celui que les « </w:t>
      </w:r>
      <w:r w:rsidRPr="00D42584">
        <w:rPr>
          <w:i/>
          <w:lang w:val="fr-FR"/>
        </w:rPr>
        <w:t>musulmans</w:t>
      </w:r>
      <w:r w:rsidRPr="00D42584">
        <w:rPr>
          <w:lang w:val="fr-FR"/>
        </w:rPr>
        <w:t> »</w:t>
      </w:r>
      <w:r w:rsidRPr="00D42584">
        <w:rPr>
          <w:i/>
          <w:lang w:val="fr-FR"/>
        </w:rPr>
        <w:t xml:space="preserve"> </w:t>
      </w:r>
      <w:r w:rsidRPr="00D42584">
        <w:rPr>
          <w:lang w:val="fr-FR"/>
        </w:rPr>
        <w:t>auraient pu livrer s’ils en avaient eu la capacité. Nous e</w:t>
      </w:r>
      <w:r w:rsidRPr="00D42584">
        <w:rPr>
          <w:lang w:val="fr-FR"/>
        </w:rPr>
        <w:t>s</w:t>
      </w:r>
      <w:r w:rsidRPr="00D42584">
        <w:rPr>
          <w:lang w:val="fr-FR"/>
        </w:rPr>
        <w:t>timons qu’il existe deux manières complémentaires de témoigner, en lien avec la conservation et la perte de la dignité humaine, et qu’aussi bien les « </w:t>
      </w:r>
      <w:r w:rsidRPr="00D42584">
        <w:rPr>
          <w:i/>
          <w:lang w:val="fr-FR"/>
        </w:rPr>
        <w:t>musulmans</w:t>
      </w:r>
      <w:r w:rsidRPr="00D42584">
        <w:rPr>
          <w:lang w:val="fr-FR"/>
        </w:rPr>
        <w:t> » que les survivants sont en capacité de témoigner. Le «</w:t>
      </w:r>
      <w:r w:rsidRPr="00D42584">
        <w:rPr>
          <w:i/>
          <w:lang w:val="fr-FR"/>
        </w:rPr>
        <w:t xml:space="preserve"> musulman » </w:t>
      </w:r>
      <w:r w:rsidRPr="00D42584">
        <w:rPr>
          <w:lang w:val="fr-FR"/>
        </w:rPr>
        <w:t>témoigne par ce qu’il a perdu. Le peu d’existence qui lui reste garde le souvenir de l’être humain qu’il a été par l’empreinte en creux de sa dignité humaine perdue. Le survivant témoigne par ce qu’il a sauvegardé. En préservant sa dignité humaine, il s’est donné les moyens de témoigner de ce qu’il a vécu.</w:t>
      </w:r>
    </w:p>
  </w:footnote>
  <w:footnote w:id="924">
    <w:p w14:paraId="39E5EE32" w14:textId="77777777" w:rsidR="00B01930" w:rsidRDefault="00B01930" w:rsidP="00B01930">
      <w:pPr>
        <w:pStyle w:val="Notedebasdepage"/>
      </w:pPr>
      <w:r>
        <w:rPr>
          <w:rStyle w:val="Appelnotedebasdep"/>
        </w:rPr>
        <w:footnoteRef/>
      </w:r>
      <w:r>
        <w:t xml:space="preserve"> </w:t>
      </w:r>
      <w:r>
        <w:tab/>
      </w:r>
      <w:r w:rsidRPr="00D42584">
        <w:rPr>
          <w:i/>
          <w:lang w:val="fr-FR"/>
        </w:rPr>
        <w:t>« Ils ne comprenaient pas ce que je voulais dire par « avancer pas à pas », et alors je leur ai raconté comment cela se passait, par exemple, à Au</w:t>
      </w:r>
      <w:r w:rsidRPr="00D42584">
        <w:rPr>
          <w:i/>
          <w:lang w:val="fr-FR"/>
        </w:rPr>
        <w:t>s</w:t>
      </w:r>
      <w:r w:rsidRPr="00D42584">
        <w:rPr>
          <w:i/>
          <w:lang w:val="fr-FR"/>
        </w:rPr>
        <w:t>chwitz. Pour un convoi – je ne dis pas que c’est toujours et nécessairement comme c</w:t>
      </w:r>
      <w:r w:rsidRPr="00D42584">
        <w:rPr>
          <w:i/>
          <w:lang w:val="fr-FR"/>
        </w:rPr>
        <w:t>e</w:t>
      </w:r>
      <w:r w:rsidRPr="00D42584">
        <w:rPr>
          <w:i/>
          <w:lang w:val="fr-FR"/>
        </w:rPr>
        <w:t>la, car je ne peux pas le savoir – mais quoi qu’il en soit, dans n</w:t>
      </w:r>
      <w:r w:rsidRPr="00D42584">
        <w:rPr>
          <w:i/>
          <w:lang w:val="fr-FR"/>
        </w:rPr>
        <w:t>o</w:t>
      </w:r>
      <w:r w:rsidRPr="00D42584">
        <w:rPr>
          <w:i/>
          <w:lang w:val="fr-FR"/>
        </w:rPr>
        <w:t>tre cas, il faut compter à peu près trois mille personnes. Dans cet ensemble, prenons les hommes, disons mille. Pour l’examen, comptons par tête une ou deux s</w:t>
      </w:r>
      <w:r w:rsidRPr="00D42584">
        <w:rPr>
          <w:i/>
          <w:lang w:val="fr-FR"/>
        </w:rPr>
        <w:t>e</w:t>
      </w:r>
      <w:r w:rsidRPr="00D42584">
        <w:rPr>
          <w:i/>
          <w:lang w:val="fr-FR"/>
        </w:rPr>
        <w:t>condes, plus souvent une que deux. Ne regardons ni le premier ni le dernier, vu qu’ils ne comptent jamais. Mais au milieu, là où je me trouvais, il faut a</w:t>
      </w:r>
      <w:r w:rsidRPr="00D42584">
        <w:rPr>
          <w:i/>
          <w:lang w:val="fr-FR"/>
        </w:rPr>
        <w:t>t</w:t>
      </w:r>
      <w:r w:rsidRPr="00D42584">
        <w:rPr>
          <w:i/>
          <w:lang w:val="fr-FR"/>
        </w:rPr>
        <w:t>tendre une quinzaine de minutes pour arriver à l’endroit où tout se décide : tout de suite le gaz, ou encore une chance. Entre-temps, la file bo</w:t>
      </w:r>
      <w:r w:rsidRPr="00D42584">
        <w:rPr>
          <w:i/>
          <w:lang w:val="fr-FR"/>
        </w:rPr>
        <w:t>u</w:t>
      </w:r>
      <w:r w:rsidRPr="00D42584">
        <w:rPr>
          <w:i/>
          <w:lang w:val="fr-FR"/>
        </w:rPr>
        <w:t>ge sans cesse, avance, et tout le monde avance pas à pas, à petits ou à grands pas, s</w:t>
      </w:r>
      <w:r w:rsidRPr="00D42584">
        <w:rPr>
          <w:i/>
          <w:lang w:val="fr-FR"/>
        </w:rPr>
        <w:t>e</w:t>
      </w:r>
      <w:r w:rsidRPr="00D42584">
        <w:rPr>
          <w:i/>
          <w:lang w:val="fr-FR"/>
        </w:rPr>
        <w:t xml:space="preserve">lon les exigences de la rapidité de l’opération » ; </w:t>
      </w:r>
      <w:r w:rsidRPr="00D556E9">
        <w:rPr>
          <w:lang w:val="fr-FR"/>
        </w:rPr>
        <w:t xml:space="preserve">Imre </w:t>
      </w:r>
      <w:r>
        <w:rPr>
          <w:lang w:val="fr-FR"/>
        </w:rPr>
        <w:t>Kertész</w:t>
      </w:r>
      <w:r w:rsidRPr="00D42584">
        <w:rPr>
          <w:lang w:val="fr-FR"/>
        </w:rPr>
        <w:t xml:space="preserve">, </w:t>
      </w:r>
      <w:r w:rsidRPr="00D42584">
        <w:rPr>
          <w:i/>
          <w:caps/>
          <w:lang w:val="fr-FR"/>
        </w:rPr>
        <w:t>ê</w:t>
      </w:r>
      <w:r w:rsidRPr="00D42584">
        <w:rPr>
          <w:i/>
          <w:lang w:val="fr-FR"/>
        </w:rPr>
        <w:t>tre sans de</w:t>
      </w:r>
      <w:r w:rsidRPr="00D42584">
        <w:rPr>
          <w:i/>
          <w:lang w:val="fr-FR"/>
        </w:rPr>
        <w:t>s</w:t>
      </w:r>
      <w:r w:rsidRPr="00D42584">
        <w:rPr>
          <w:i/>
          <w:lang w:val="fr-FR"/>
        </w:rPr>
        <w:t>tin,</w:t>
      </w:r>
      <w:r w:rsidRPr="00D42584">
        <w:rPr>
          <w:lang w:val="fr-FR"/>
        </w:rPr>
        <w:t xml:space="preserve"> Arles, Actes Sud, collection « Babel », 1998 (édition originale 1975), p. 351-352.</w:t>
      </w:r>
    </w:p>
  </w:footnote>
  <w:footnote w:id="925">
    <w:p w14:paraId="44EFC3AA" w14:textId="77777777" w:rsidR="00B01930" w:rsidRDefault="00B01930" w:rsidP="00B01930">
      <w:pPr>
        <w:pStyle w:val="Notedebasdepage"/>
      </w:pPr>
      <w:r>
        <w:rPr>
          <w:rStyle w:val="Appelnotedebasdep"/>
        </w:rPr>
        <w:footnoteRef/>
      </w:r>
      <w:r>
        <w:t xml:space="preserve"> </w:t>
      </w:r>
      <w:r>
        <w:tab/>
      </w:r>
      <w:r>
        <w:rPr>
          <w:lang w:val="fr-FR"/>
        </w:rPr>
        <w:t>Imre Kertész</w:t>
      </w:r>
      <w:r w:rsidRPr="00D42584">
        <w:rPr>
          <w:lang w:val="fr-FR"/>
        </w:rPr>
        <w:t xml:space="preserve">, </w:t>
      </w:r>
      <w:r w:rsidRPr="00D42584">
        <w:rPr>
          <w:i/>
          <w:caps/>
          <w:lang w:val="fr-FR"/>
        </w:rPr>
        <w:t>ê</w:t>
      </w:r>
      <w:r w:rsidRPr="00D42584">
        <w:rPr>
          <w:i/>
          <w:lang w:val="fr-FR"/>
        </w:rPr>
        <w:t>tre sans destin, op. cit.</w:t>
      </w:r>
    </w:p>
  </w:footnote>
  <w:footnote w:id="926">
    <w:p w14:paraId="3D321FE2" w14:textId="77777777" w:rsidR="00B01930" w:rsidRDefault="00B01930" w:rsidP="00B01930">
      <w:pPr>
        <w:pStyle w:val="Notedebasdepage"/>
      </w:pPr>
      <w:r>
        <w:rPr>
          <w:rStyle w:val="Appelnotedebasdep"/>
        </w:rPr>
        <w:footnoteRef/>
      </w:r>
      <w:r>
        <w:t xml:space="preserve"> </w:t>
      </w:r>
      <w:r>
        <w:tab/>
      </w:r>
      <w:r w:rsidRPr="00D42584">
        <w:t>« Des hommes rencontrés de tous les peuples, de toutes les convictions, lor</w:t>
      </w:r>
      <w:r w:rsidRPr="00D42584">
        <w:t>s</w:t>
      </w:r>
      <w:r w:rsidRPr="00D42584">
        <w:t>que vents et neige claquaient sur les épaules, glaçaient les ventres aux rythmes militaires, stridents comme un blasphème cassé et moqueur, sous les phares aveugles, sur la Grand’Place des nuits gelées de Buchenwald ; des hommes sans convictions, hâves et violents ; des hommes porteurs de croyances détru</w:t>
      </w:r>
      <w:r w:rsidRPr="00D42584">
        <w:t>i</w:t>
      </w:r>
      <w:r w:rsidRPr="00D42584">
        <w:t>tes, de dignités défaites ; tout un peuple nu, intérieurement nu, dévêtu de toute culture, de toute civilisation, armé de pelles et de pioches, de pics et de ma</w:t>
      </w:r>
      <w:r w:rsidRPr="00D42584">
        <w:t>r</w:t>
      </w:r>
      <w:r w:rsidRPr="00D42584">
        <w:t>teaux, enchaîné aux Loren roui</w:t>
      </w:r>
      <w:r w:rsidRPr="00D42584">
        <w:t>l</w:t>
      </w:r>
      <w:r w:rsidRPr="00D42584">
        <w:t>lés, perceur de sel, déblayeur de neige, faiseur de béton ; un peuple mordu de coups, obsédé des paradis de nourritures o</w:t>
      </w:r>
      <w:r w:rsidRPr="00D42584">
        <w:t>u</w:t>
      </w:r>
      <w:r w:rsidRPr="00D42584">
        <w:t xml:space="preserve">bliées ; morsure intime des déchéances » ; </w:t>
      </w:r>
      <w:r>
        <w:t>David Rousset</w:t>
      </w:r>
      <w:r w:rsidRPr="00D42584">
        <w:t>, L’univers conce</w:t>
      </w:r>
      <w:r w:rsidRPr="00D42584">
        <w:t>n</w:t>
      </w:r>
      <w:r w:rsidRPr="00D42584">
        <w:t>trationnaire, Librairie Arthème Fayard, collection Pluriel, 2010, (première p</w:t>
      </w:r>
      <w:r w:rsidRPr="00D42584">
        <w:t>a</w:t>
      </w:r>
      <w:r w:rsidRPr="00D42584">
        <w:t>rution sous forme d’article dans La Revue inte</w:t>
      </w:r>
      <w:r w:rsidRPr="00D42584">
        <w:t>r</w:t>
      </w:r>
      <w:r w:rsidRPr="00D42584">
        <w:t>nationale, en trois livraisons, décembre 1945, janvier et février 1946), p. 22-23.</w:t>
      </w:r>
    </w:p>
  </w:footnote>
  <w:footnote w:id="927">
    <w:p w14:paraId="46FDF3BF" w14:textId="77777777" w:rsidR="00B01930" w:rsidRDefault="00B01930" w:rsidP="00B01930">
      <w:pPr>
        <w:pStyle w:val="Notedebasdepage"/>
      </w:pPr>
      <w:r>
        <w:rPr>
          <w:rStyle w:val="Appelnotedebasdep"/>
        </w:rPr>
        <w:footnoteRef/>
      </w:r>
      <w:r>
        <w:t xml:space="preserve"> </w:t>
      </w:r>
      <w:r>
        <w:tab/>
      </w:r>
      <w:r w:rsidRPr="00D42584">
        <w:t>« Militer, ici, c’est lutter raisonnablement contre la mort. Et la plupart des chrétiens la r</w:t>
      </w:r>
      <w:r w:rsidRPr="00D42584">
        <w:t>e</w:t>
      </w:r>
      <w:r w:rsidRPr="00D42584">
        <w:t>fusent ici avec autant d’acharnement que les autres. Elle perd à leurs yeux son sens habituel. Ce n’est pas de cette vie avec le SS, mais de l’autre là-bas, que l’au-delà est visible et peut-être ra</w:t>
      </w:r>
      <w:r w:rsidRPr="00D42584">
        <w:t>s</w:t>
      </w:r>
      <w:r w:rsidRPr="00D42584">
        <w:t>surant. Ici, la tentation n’est pas de jouir, mais de vivre. Et si le chrétien se comporte comme si s’acharner à vivre était une tâche sainte, c’est que la créature n’a jamais été aussi près de se considérer elle-même comme une valeur sacrée. Elle peut s’acharner à refuser la mort, se préférer de façon éclatante : la mort est dev</w:t>
      </w:r>
      <w:r w:rsidRPr="00D42584">
        <w:t>e</w:t>
      </w:r>
      <w:r w:rsidRPr="00D42584">
        <w:t>nue mal absolu, a cessé d’être le débouché possible vers Dieu. Cette lib</w:t>
      </w:r>
      <w:r w:rsidRPr="00D42584">
        <w:t>é</w:t>
      </w:r>
      <w:r w:rsidRPr="00D42584">
        <w:t>ration que le chrétien pouvait penser trouver là-bas dans la mort, il ne peut la trouver ici que dans la délivrance matérielle de son corps prisonnier. C’est-à-dire dans le retour à la vie du péché, qui lui permettra de revenir à son Dieu, d’accepter la mort dans la règle du jeu » ; Robert Antelme, L’Espèce humaine, op. cit., p. 47- 48.</w:t>
      </w:r>
    </w:p>
  </w:footnote>
  <w:footnote w:id="928">
    <w:p w14:paraId="177CCDA4" w14:textId="77777777" w:rsidR="00B01930" w:rsidRDefault="00B01930" w:rsidP="00B01930">
      <w:pPr>
        <w:pStyle w:val="Notedebasdepage"/>
      </w:pPr>
      <w:r>
        <w:rPr>
          <w:rStyle w:val="Appelnotedebasdep"/>
        </w:rPr>
        <w:footnoteRef/>
      </w:r>
      <w:r>
        <w:t xml:space="preserve"> </w:t>
      </w:r>
      <w:r>
        <w:tab/>
      </w:r>
      <w:r w:rsidRPr="002E60D2">
        <w:t>Saul Friedländer a su, dans son œuvre considérable, confronter les propos des « Bourreaux », des « Témoins » et des « Victimes », en donnant lo</w:t>
      </w:r>
      <w:r w:rsidRPr="002E60D2">
        <w:t>n</w:t>
      </w:r>
      <w:r w:rsidRPr="002E60D2">
        <w:t>guement la parole pour la première fois à ces dernières (journaux, lettres…), nota</w:t>
      </w:r>
      <w:r w:rsidRPr="002E60D2">
        <w:t>m</w:t>
      </w:r>
      <w:r w:rsidRPr="002E60D2">
        <w:t xml:space="preserve">ment dans son ouvrage de référence, </w:t>
      </w:r>
      <w:r w:rsidRPr="002E60D2">
        <w:rPr>
          <w:i/>
        </w:rPr>
        <w:t>L’Allemagne nazie et les Juifs</w:t>
      </w:r>
      <w:r w:rsidRPr="002E60D2">
        <w:t xml:space="preserve"> (2 t</w:t>
      </w:r>
      <w:r w:rsidRPr="002E60D2">
        <w:t>o</w:t>
      </w:r>
      <w:r w:rsidRPr="002E60D2">
        <w:t xml:space="preserve">mes, 1. Les Années de persécution, 2. Les Années d’extermination). On consultera également utilement, avec l’ouvrage de Raul Hilberg, </w:t>
      </w:r>
      <w:r w:rsidRPr="002E60D2">
        <w:rPr>
          <w:i/>
        </w:rPr>
        <w:t>La De</w:t>
      </w:r>
      <w:r w:rsidRPr="002E60D2">
        <w:rPr>
          <w:i/>
        </w:rPr>
        <w:t>s</w:t>
      </w:r>
      <w:r w:rsidRPr="002E60D2">
        <w:rPr>
          <w:i/>
        </w:rPr>
        <w:t>truction des Juifs d’Europe</w:t>
      </w:r>
      <w:r w:rsidRPr="002E60D2">
        <w:t>, Paris, Fayard, 1988 (réédition Paris, Gallimard, col. « Folio Histo</w:t>
      </w:r>
      <w:r w:rsidRPr="002E60D2">
        <w:t>i</w:t>
      </w:r>
      <w:r w:rsidRPr="002E60D2">
        <w:t xml:space="preserve">re », 3 vol. 2006). De Saul Friedländer, cf. notamment : </w:t>
      </w:r>
      <w:r w:rsidRPr="002E60D2">
        <w:rPr>
          <w:i/>
        </w:rPr>
        <w:t>Hitler et les États-Unis</w:t>
      </w:r>
      <w:r w:rsidRPr="002E60D2">
        <w:t xml:space="preserve">, Paris, Seuil, 1966 ; </w:t>
      </w:r>
      <w:r w:rsidRPr="002E60D2">
        <w:rPr>
          <w:i/>
        </w:rPr>
        <w:t>L’Antisémitisme nazie : histoire d’une psychose co</w:t>
      </w:r>
      <w:r w:rsidRPr="002E60D2">
        <w:rPr>
          <w:i/>
        </w:rPr>
        <w:t>l</w:t>
      </w:r>
      <w:r w:rsidRPr="002E60D2">
        <w:rPr>
          <w:i/>
        </w:rPr>
        <w:t>lective</w:t>
      </w:r>
      <w:r w:rsidRPr="002E60D2">
        <w:t xml:space="preserve">, Paris, Seuil, 1971 ; </w:t>
      </w:r>
      <w:r w:rsidRPr="002E60D2">
        <w:rPr>
          <w:i/>
        </w:rPr>
        <w:t>Histoire et psychanalyse</w:t>
      </w:r>
      <w:r w:rsidRPr="002E60D2">
        <w:t>, P</w:t>
      </w:r>
      <w:r w:rsidRPr="002E60D2">
        <w:t>a</w:t>
      </w:r>
      <w:r w:rsidRPr="002E60D2">
        <w:t xml:space="preserve">ris Seuil, 1975 ; </w:t>
      </w:r>
      <w:r w:rsidRPr="002E60D2">
        <w:rPr>
          <w:i/>
        </w:rPr>
        <w:t>L’Allemagne nazie et les Juifs</w:t>
      </w:r>
      <w:r w:rsidRPr="002E60D2">
        <w:t xml:space="preserve">, 2 tomes, 1. </w:t>
      </w:r>
      <w:r w:rsidRPr="002E60D2">
        <w:rPr>
          <w:i/>
        </w:rPr>
        <w:t>Les Années de persécution (1933-1939)</w:t>
      </w:r>
      <w:r w:rsidRPr="002E60D2">
        <w:t xml:space="preserve"> ; 2. </w:t>
      </w:r>
      <w:r w:rsidRPr="002E60D2">
        <w:rPr>
          <w:i/>
        </w:rPr>
        <w:t>Les Années d’extermination (1939-1945)</w:t>
      </w:r>
      <w:r w:rsidRPr="002E60D2">
        <w:t>, P</w:t>
      </w:r>
      <w:r w:rsidRPr="002E60D2">
        <w:t>a</w:t>
      </w:r>
      <w:r w:rsidRPr="002E60D2">
        <w:t xml:space="preserve">ris, Seuil, col. « Points Histoire », 2012 ; </w:t>
      </w:r>
      <w:r w:rsidRPr="002E60D2">
        <w:rPr>
          <w:i/>
        </w:rPr>
        <w:t>Réflexions sur le nazisme. Entr</w:t>
      </w:r>
      <w:r w:rsidRPr="002E60D2">
        <w:rPr>
          <w:i/>
        </w:rPr>
        <w:t>e</w:t>
      </w:r>
      <w:r w:rsidRPr="002E60D2">
        <w:rPr>
          <w:i/>
        </w:rPr>
        <w:t>tiens avec Stéphane Bou</w:t>
      </w:r>
      <w:r w:rsidRPr="002E60D2">
        <w:t>, Paris, Seuil, 2016.</w:t>
      </w:r>
    </w:p>
  </w:footnote>
  <w:footnote w:id="929">
    <w:p w14:paraId="29E9CB98" w14:textId="77777777" w:rsidR="00B01930" w:rsidRDefault="00B01930" w:rsidP="00B01930">
      <w:pPr>
        <w:pStyle w:val="Notedebasdepage"/>
      </w:pPr>
      <w:r>
        <w:rPr>
          <w:rStyle w:val="Appelnotedebasdep"/>
        </w:rPr>
        <w:footnoteRef/>
      </w:r>
      <w:r>
        <w:t xml:space="preserve"> </w:t>
      </w:r>
      <w:r>
        <w:tab/>
      </w:r>
      <w:r w:rsidRPr="002E60D2">
        <w:rPr>
          <w:lang w:val="fr-FR"/>
        </w:rPr>
        <w:t>Nous partageons sur ce point l’idée, mise en avant par Pierre-Antoine Cha</w:t>
      </w:r>
      <w:r w:rsidRPr="002E60D2">
        <w:rPr>
          <w:lang w:val="fr-FR"/>
        </w:rPr>
        <w:t>r</w:t>
      </w:r>
      <w:r w:rsidRPr="002E60D2">
        <w:rPr>
          <w:lang w:val="fr-FR"/>
        </w:rPr>
        <w:t>del (art. cit.), de l’intérêt, voire de la nécessité, d’une lecture herméneutique des témoignages. En revanche, nous ne pensons pas qu’il soit nécessaire de tenter de les justifier par l’existence d’une prétendue lacune dans le témo</w:t>
      </w:r>
      <w:r w:rsidRPr="002E60D2">
        <w:rPr>
          <w:lang w:val="fr-FR"/>
        </w:rPr>
        <w:t>i</w:t>
      </w:r>
      <w:r w:rsidRPr="002E60D2">
        <w:rPr>
          <w:lang w:val="fr-FR"/>
        </w:rPr>
        <w:t>gnage des survivants. L’étrangeté de l’expérience vécue y suffit amplement.</w:t>
      </w:r>
    </w:p>
  </w:footnote>
  <w:footnote w:id="930">
    <w:p w14:paraId="093456D8" w14:textId="77777777" w:rsidR="00B01930" w:rsidRDefault="00B01930" w:rsidP="00B01930">
      <w:pPr>
        <w:pStyle w:val="Notedebasdepage"/>
      </w:pPr>
      <w:r>
        <w:rPr>
          <w:rStyle w:val="Appelnotedebasdep"/>
        </w:rPr>
        <w:footnoteRef/>
      </w:r>
      <w:r>
        <w:t xml:space="preserve"> </w:t>
      </w:r>
      <w:r>
        <w:tab/>
      </w:r>
      <w:r w:rsidRPr="002E60D2">
        <w:t>Cette recherche de gain d’efficacité a fini par céder le pas devant les conti</w:t>
      </w:r>
      <w:r w:rsidRPr="002E60D2">
        <w:t>n</w:t>
      </w:r>
      <w:r w:rsidRPr="002E60D2">
        <w:t>gences pratiques découlant de la massification du programme d’extermination et de l’avancée de la guerre, ce qui a masqué pour partie le souci qui avait été celui des concepteurs du projet de faire appel à toutes les ressources de la science pour le mener à bien.</w:t>
      </w:r>
    </w:p>
  </w:footnote>
  <w:footnote w:id="931">
    <w:p w14:paraId="37F46107" w14:textId="77777777" w:rsidR="00B01930" w:rsidRDefault="00B01930" w:rsidP="00B01930">
      <w:pPr>
        <w:pStyle w:val="Notedebasdepage"/>
      </w:pPr>
      <w:r>
        <w:rPr>
          <w:rStyle w:val="Appelnotedebasdep"/>
        </w:rPr>
        <w:footnoteRef/>
      </w:r>
      <w:r>
        <w:t xml:space="preserve"> </w:t>
      </w:r>
      <w:r>
        <w:tab/>
      </w:r>
      <w:r w:rsidRPr="004B3B7B">
        <w:t>« Cependant, dans toutes les cités de cet étrange univers, des hommes ont r</w:t>
      </w:r>
      <w:r w:rsidRPr="004B3B7B">
        <w:t>é</w:t>
      </w:r>
      <w:r w:rsidRPr="004B3B7B">
        <w:t>si</w:t>
      </w:r>
      <w:r w:rsidRPr="004B3B7B">
        <w:t>s</w:t>
      </w:r>
      <w:r w:rsidRPr="004B3B7B">
        <w:t xml:space="preserve">té » ; </w:t>
      </w:r>
      <w:r>
        <w:t>David Rousset</w:t>
      </w:r>
      <w:r w:rsidRPr="004B3B7B">
        <w:t>, L’univers concentrationnaire, Librairie Arthème Fayard, collection Pluriel, 2010, 190 pages, page 182.</w:t>
      </w:r>
    </w:p>
  </w:footnote>
  <w:footnote w:id="932">
    <w:p w14:paraId="353B2B1A" w14:textId="77777777" w:rsidR="00B01930" w:rsidRDefault="00B01930" w:rsidP="00B01930">
      <w:pPr>
        <w:pStyle w:val="Notedebasdepage"/>
      </w:pPr>
      <w:r>
        <w:rPr>
          <w:rStyle w:val="Appelnotedebasdep"/>
        </w:rPr>
        <w:footnoteRef/>
      </w:r>
      <w:r>
        <w:t xml:space="preserve"> </w:t>
      </w:r>
      <w:r>
        <w:tab/>
      </w:r>
      <w:r w:rsidRPr="006E34B5">
        <w:rPr>
          <w:lang w:val="fr-FR"/>
        </w:rPr>
        <w:t>De la même façon qu’elle a échoué dans son intention d’exterminer tous les juifs d’Europe.</w:t>
      </w:r>
    </w:p>
  </w:footnote>
  <w:footnote w:id="933">
    <w:p w14:paraId="39F14AF4" w14:textId="77777777" w:rsidR="00B01930" w:rsidRDefault="00B01930" w:rsidP="00B01930">
      <w:pPr>
        <w:pStyle w:val="Notedebasdepage"/>
      </w:pPr>
      <w:r>
        <w:rPr>
          <w:rStyle w:val="Appelnotedebasdep"/>
        </w:rPr>
        <w:footnoteRef/>
      </w:r>
      <w:r>
        <w:t xml:space="preserve"> </w:t>
      </w:r>
      <w:r>
        <w:tab/>
      </w:r>
      <w:r w:rsidRPr="00816B81">
        <w:rPr>
          <w:i/>
          <w:lang w:val="fr-FR"/>
        </w:rPr>
        <w:t>« Le Mal ne l’a pas emporté »</w:t>
      </w:r>
      <w:r w:rsidRPr="00816B81">
        <w:rPr>
          <w:lang w:val="fr-FR"/>
        </w:rPr>
        <w:t xml:space="preserve"> écrirait un tenant de l’opposition entre le Bien et le Mal.</w:t>
      </w:r>
    </w:p>
  </w:footnote>
  <w:footnote w:id="934">
    <w:p w14:paraId="78D5498E" w14:textId="77777777" w:rsidR="00B01930" w:rsidRDefault="00B01930" w:rsidP="00B01930">
      <w:pPr>
        <w:pStyle w:val="Notedebasdepage"/>
      </w:pPr>
      <w:r>
        <w:rPr>
          <w:rStyle w:val="Appelnotedebasdep"/>
        </w:rPr>
        <w:footnoteRef/>
      </w:r>
      <w:r>
        <w:t xml:space="preserve"> </w:t>
      </w:r>
      <w:r>
        <w:tab/>
        <w:t>David Rousset</w:t>
      </w:r>
      <w:r w:rsidRPr="004B3B7B">
        <w:t xml:space="preserve">, </w:t>
      </w:r>
      <w:r w:rsidRPr="004B3B7B">
        <w:rPr>
          <w:i/>
        </w:rPr>
        <w:t>L’univers concentrationnaire,</w:t>
      </w:r>
      <w:r w:rsidRPr="004B3B7B">
        <w:t xml:space="preserve"> Librairie Arthème Fayard, co</w:t>
      </w:r>
      <w:r w:rsidRPr="004B3B7B">
        <w:t>l</w:t>
      </w:r>
      <w:r w:rsidRPr="004B3B7B">
        <w:t>lection Pluriel, 2010, 190 pages, page 184</w:t>
      </w:r>
      <w:r>
        <w:t xml:space="preserve"> (première parution sous forme d’articles dans la Revue internationale en trois livraisons : décembre 1945, janvier et février 1946)</w:t>
      </w:r>
      <w:r w:rsidRPr="004B3B7B">
        <w:t>.</w:t>
      </w:r>
    </w:p>
  </w:footnote>
  <w:footnote w:id="935">
    <w:p w14:paraId="2973C167" w14:textId="77777777" w:rsidR="00B01930" w:rsidRDefault="00B01930" w:rsidP="00B01930">
      <w:pPr>
        <w:pStyle w:val="Notedebasdepage"/>
      </w:pPr>
      <w:r>
        <w:rPr>
          <w:rStyle w:val="Appelnotedebasdep"/>
        </w:rPr>
        <w:footnoteRef/>
      </w:r>
      <w:r>
        <w:t xml:space="preserve"> </w:t>
      </w:r>
      <w:r>
        <w:tab/>
      </w:r>
      <w:r w:rsidRPr="009E0AF8">
        <w:t xml:space="preserve">Lebrun J., </w:t>
      </w:r>
      <w:r w:rsidRPr="009E0AF8">
        <w:rPr>
          <w:i/>
        </w:rPr>
        <w:t>Entretien avec Imre Kertész,</w:t>
      </w:r>
      <w:r w:rsidRPr="009E0AF8">
        <w:t xml:space="preserve"> émission </w:t>
      </w:r>
      <w:r>
        <w:rPr>
          <w:lang w:val="fr-FR"/>
        </w:rPr>
        <w:t>« </w:t>
      </w:r>
      <w:r w:rsidRPr="009E0AF8">
        <w:rPr>
          <w:lang w:val="fr-FR"/>
        </w:rPr>
        <w:t>Travaux publics », Fra</w:t>
      </w:r>
      <w:r w:rsidRPr="009E0AF8">
        <w:rPr>
          <w:lang w:val="fr-FR"/>
        </w:rPr>
        <w:t>n</w:t>
      </w:r>
      <w:r w:rsidRPr="009E0AF8">
        <w:rPr>
          <w:lang w:val="fr-FR"/>
        </w:rPr>
        <w:t>ce-Culture, février 2008.</w:t>
      </w:r>
    </w:p>
  </w:footnote>
  <w:footnote w:id="936">
    <w:p w14:paraId="58CF46C9" w14:textId="77777777" w:rsidR="00B01930" w:rsidRDefault="00B01930" w:rsidP="00B01930">
      <w:pPr>
        <w:pStyle w:val="Notedebasdepage"/>
      </w:pPr>
      <w:r>
        <w:rPr>
          <w:rStyle w:val="Appelnotedebasdep"/>
        </w:rPr>
        <w:footnoteRef/>
      </w:r>
      <w:r>
        <w:t xml:space="preserve"> </w:t>
      </w:r>
      <w:r>
        <w:tab/>
      </w:r>
      <w:r w:rsidRPr="002E60D2">
        <w:t>Notamment lors du procès de Nuremberg face aux juges de dix-neuf n</w:t>
      </w:r>
      <w:r w:rsidRPr="002E60D2">
        <w:t>a</w:t>
      </w:r>
      <w:r w:rsidRPr="002E60D2">
        <w:t>tions.</w:t>
      </w:r>
    </w:p>
  </w:footnote>
  <w:footnote w:id="937">
    <w:p w14:paraId="22DB79F8" w14:textId="77777777" w:rsidR="00B01930" w:rsidRDefault="00B01930" w:rsidP="00B01930">
      <w:pPr>
        <w:pStyle w:val="Notedebasdepage"/>
      </w:pPr>
      <w:r>
        <w:rPr>
          <w:rStyle w:val="Appelnotedebasdep"/>
        </w:rPr>
        <w:footnoteRef/>
      </w:r>
      <w:r>
        <w:t xml:space="preserve"> </w:t>
      </w:r>
      <w:r>
        <w:tab/>
      </w:r>
      <w:r w:rsidRPr="002E60D2">
        <w:rPr>
          <w:lang w:val="fr-FR"/>
        </w:rPr>
        <w:t xml:space="preserve">Robert Antelme, </w:t>
      </w:r>
      <w:r w:rsidRPr="002E60D2">
        <w:rPr>
          <w:i/>
          <w:lang w:val="fr-FR"/>
        </w:rPr>
        <w:t>op. cit</w:t>
      </w:r>
      <w:r w:rsidRPr="002E60D2">
        <w:rPr>
          <w:lang w:val="fr-FR"/>
        </w:rPr>
        <w:t>., p. 239-240.</w:t>
      </w:r>
    </w:p>
  </w:footnote>
  <w:footnote w:id="938">
    <w:p w14:paraId="58E2D69D" w14:textId="77777777" w:rsidR="00B01930" w:rsidRDefault="00B01930" w:rsidP="00B01930">
      <w:pPr>
        <w:pStyle w:val="Notedebasdepage"/>
      </w:pPr>
      <w:r>
        <w:rPr>
          <w:rStyle w:val="Appelnotedebasdep"/>
        </w:rPr>
        <w:footnoteRef/>
      </w:r>
      <w:r>
        <w:t xml:space="preserve"> </w:t>
      </w:r>
      <w:r>
        <w:tab/>
      </w:r>
      <w:r w:rsidRPr="000F3E33">
        <w:rPr>
          <w:lang w:val="fr-FR"/>
        </w:rPr>
        <w:t>Ce n’est pas un hasard si la plus ancienne des Organisations Internationales Non Gouvernementales (OING), soit le Comité International de la Croix Ro</w:t>
      </w:r>
      <w:r w:rsidRPr="000F3E33">
        <w:rPr>
          <w:lang w:val="fr-FR"/>
        </w:rPr>
        <w:t>u</w:t>
      </w:r>
      <w:r w:rsidRPr="000F3E33">
        <w:rPr>
          <w:lang w:val="fr-FR"/>
        </w:rPr>
        <w:t xml:space="preserve">ge (CICR), créé en 1863, s’est donné comme mission </w:t>
      </w:r>
      <w:r w:rsidRPr="000F3E33">
        <w:rPr>
          <w:i/>
          <w:lang w:val="fr-FR"/>
        </w:rPr>
        <w:t>« exclusivement hum</w:t>
      </w:r>
      <w:r w:rsidRPr="000F3E33">
        <w:rPr>
          <w:i/>
          <w:lang w:val="fr-FR"/>
        </w:rPr>
        <w:t>a</w:t>
      </w:r>
      <w:r w:rsidRPr="000F3E33">
        <w:rPr>
          <w:i/>
          <w:lang w:val="fr-FR"/>
        </w:rPr>
        <w:t>nitaire de protéger la vie et la dignité des victimes de conflits armés et d’autres situations de violence et de l</w:t>
      </w:r>
      <w:r>
        <w:rPr>
          <w:i/>
          <w:lang w:val="fr-FR"/>
        </w:rPr>
        <w:t>eur</w:t>
      </w:r>
      <w:r w:rsidRPr="000F3E33">
        <w:rPr>
          <w:i/>
          <w:lang w:val="fr-FR"/>
        </w:rPr>
        <w:t xml:space="preserve"> porter assistance ».</w:t>
      </w:r>
    </w:p>
  </w:footnote>
  <w:footnote w:id="939">
    <w:p w14:paraId="115035BB" w14:textId="77777777" w:rsidR="00B01930" w:rsidRDefault="00B01930" w:rsidP="00B01930">
      <w:pPr>
        <w:pStyle w:val="Notedebasdepage"/>
      </w:pPr>
      <w:r>
        <w:rPr>
          <w:rStyle w:val="Appelnotedebasdep"/>
        </w:rPr>
        <w:footnoteRef/>
      </w:r>
      <w:r>
        <w:t xml:space="preserve"> </w:t>
      </w:r>
      <w:r>
        <w:tab/>
      </w:r>
      <w:r w:rsidRPr="007F2121">
        <w:rPr>
          <w:lang w:val="fr-FR"/>
        </w:rPr>
        <w:t xml:space="preserve">Serge Courtois S. et André Rayski (dir.) </w:t>
      </w:r>
      <w:r w:rsidRPr="007F2121">
        <w:rPr>
          <w:i/>
          <w:lang w:val="fr-FR"/>
        </w:rPr>
        <w:t>et alii</w:t>
      </w:r>
      <w:r w:rsidRPr="007F2121">
        <w:rPr>
          <w:lang w:val="fr-FR"/>
        </w:rPr>
        <w:t xml:space="preserve">, </w:t>
      </w:r>
      <w:r w:rsidRPr="007F2121">
        <w:rPr>
          <w:i/>
          <w:lang w:val="fr-FR"/>
        </w:rPr>
        <w:t>Qui savait quoi ? L’extermination des juifs, 1945-1945,</w:t>
      </w:r>
      <w:r w:rsidRPr="007F2121">
        <w:rPr>
          <w:lang w:val="fr-FR"/>
        </w:rPr>
        <w:t xml:space="preserve"> Paris, La Découverte, 1987 ; William Laqueur, </w:t>
      </w:r>
      <w:r w:rsidRPr="007F2121">
        <w:rPr>
          <w:i/>
          <w:lang w:val="fr-FR"/>
        </w:rPr>
        <w:t>Le Terrifiant Secret. La solution finale et l’information étouffée,</w:t>
      </w:r>
      <w:r w:rsidRPr="007F2121">
        <w:rPr>
          <w:lang w:val="fr-FR"/>
        </w:rPr>
        <w:t xml:space="preserve"> P</w:t>
      </w:r>
      <w:r w:rsidRPr="007F2121">
        <w:rPr>
          <w:lang w:val="fr-FR"/>
        </w:rPr>
        <w:t>a</w:t>
      </w:r>
      <w:r w:rsidRPr="007F2121">
        <w:rPr>
          <w:lang w:val="fr-FR"/>
        </w:rPr>
        <w:t>ris, Gallimard, collection « Témoins », 2010 (première parution 1981)…</w:t>
      </w:r>
    </w:p>
  </w:footnote>
  <w:footnote w:id="940">
    <w:p w14:paraId="4D2A019A" w14:textId="77777777" w:rsidR="00B01930" w:rsidRDefault="00B01930" w:rsidP="00B01930">
      <w:pPr>
        <w:pStyle w:val="Notedebasdepage"/>
      </w:pPr>
      <w:r>
        <w:rPr>
          <w:rStyle w:val="Appelnotedebasdep"/>
        </w:rPr>
        <w:footnoteRef/>
      </w:r>
      <w:r>
        <w:t xml:space="preserve"> </w:t>
      </w:r>
      <w:r>
        <w:tab/>
      </w:r>
      <w:r w:rsidRPr="007F2121">
        <w:rPr>
          <w:lang w:val="fr-FR"/>
        </w:rPr>
        <w:t>Pour ceux d’entre eux qui n’adhéraient pas à l’idéologie national-socialiste.</w:t>
      </w:r>
    </w:p>
  </w:footnote>
  <w:footnote w:id="941">
    <w:p w14:paraId="5F8C5366" w14:textId="77777777" w:rsidR="00B01930" w:rsidRDefault="00B01930" w:rsidP="00B01930">
      <w:pPr>
        <w:pStyle w:val="Notedebasdepage"/>
      </w:pPr>
      <w:r>
        <w:rPr>
          <w:rStyle w:val="Appelnotedebasdep"/>
        </w:rPr>
        <w:footnoteRef/>
      </w:r>
      <w:r>
        <w:t xml:space="preserve"> </w:t>
      </w:r>
      <w:r>
        <w:tab/>
      </w:r>
      <w:r w:rsidRPr="007F2121">
        <w:t>Comme le montre l’œuvre de l’historien Saul Friedländer, beaucoup d’Allemands « savaient »</w:t>
      </w:r>
      <w:r w:rsidRPr="007F2121">
        <w:rPr>
          <w:lang w:val="fr-FR"/>
        </w:rPr>
        <w:t xml:space="preserve"> un certain nombre de chose</w:t>
      </w:r>
      <w:r w:rsidRPr="007F2121">
        <w:t xml:space="preserve">, ne serait-ce que par les lettres </w:t>
      </w:r>
      <w:r w:rsidRPr="007F2121">
        <w:rPr>
          <w:lang w:val="fr-FR"/>
        </w:rPr>
        <w:t>des soldats</w:t>
      </w:r>
      <w:r w:rsidRPr="007F2121">
        <w:t xml:space="preserve"> ou par </w:t>
      </w:r>
      <w:r w:rsidRPr="007F2121">
        <w:rPr>
          <w:lang w:val="fr-FR"/>
        </w:rPr>
        <w:t>les séjours</w:t>
      </w:r>
      <w:r w:rsidRPr="007F2121">
        <w:t xml:space="preserve"> des permissionnaires.</w:t>
      </w:r>
    </w:p>
  </w:footnote>
  <w:footnote w:id="942">
    <w:p w14:paraId="256863D2" w14:textId="77777777" w:rsidR="00B01930" w:rsidRDefault="00B01930" w:rsidP="00B01930">
      <w:pPr>
        <w:pStyle w:val="Notedebasdepage"/>
      </w:pPr>
      <w:r>
        <w:rPr>
          <w:rStyle w:val="Appelnotedebasdep"/>
        </w:rPr>
        <w:footnoteRef/>
      </w:r>
      <w:r>
        <w:t xml:space="preserve"> </w:t>
      </w:r>
      <w:r>
        <w:tab/>
      </w:r>
      <w:r>
        <w:rPr>
          <w:lang w:val="fr-FR"/>
        </w:rPr>
        <w:t>Si tant est que cela ait été possible. Evoquant</w:t>
      </w:r>
      <w:r w:rsidRPr="00357DFF">
        <w:rPr>
          <w:lang w:val="fr-FR"/>
        </w:rPr>
        <w:t xml:space="preserve"> son séjour comme enseignante en chine populaire, l’historienne Annette Wieviorka</w:t>
      </w:r>
      <w:r>
        <w:rPr>
          <w:lang w:val="fr-FR"/>
        </w:rPr>
        <w:t xml:space="preserve"> </w:t>
      </w:r>
      <w:r w:rsidRPr="00357DFF">
        <w:rPr>
          <w:lang w:val="fr-FR"/>
        </w:rPr>
        <w:t xml:space="preserve">déclare : </w:t>
      </w:r>
      <w:r w:rsidRPr="00357DFF">
        <w:rPr>
          <w:i/>
          <w:lang w:val="fr-FR"/>
        </w:rPr>
        <w:t>« Quand j’essaie de réfléchir à la grande question de qui savait quoi de la déport</w:t>
      </w:r>
      <w:r w:rsidRPr="00357DFF">
        <w:rPr>
          <w:i/>
          <w:lang w:val="fr-FR"/>
        </w:rPr>
        <w:t>a</w:t>
      </w:r>
      <w:r w:rsidRPr="00357DFF">
        <w:rPr>
          <w:i/>
          <w:lang w:val="fr-FR"/>
        </w:rPr>
        <w:t>tion des juifs pendant que celle-ci avait lieu, de l’extermination, cette exp</w:t>
      </w:r>
      <w:r w:rsidRPr="00357DFF">
        <w:rPr>
          <w:i/>
          <w:lang w:val="fr-FR"/>
        </w:rPr>
        <w:t>é</w:t>
      </w:r>
      <w:r w:rsidRPr="00357DFF">
        <w:rPr>
          <w:i/>
          <w:lang w:val="fr-FR"/>
        </w:rPr>
        <w:t>rience-là est toujours en arrière-plan. On peut ne pas avoir le désir de s</w:t>
      </w:r>
      <w:r w:rsidRPr="00357DFF">
        <w:rPr>
          <w:i/>
          <w:lang w:val="fr-FR"/>
        </w:rPr>
        <w:t>a</w:t>
      </w:r>
      <w:r w:rsidRPr="00357DFF">
        <w:rPr>
          <w:i/>
          <w:lang w:val="fr-FR"/>
        </w:rPr>
        <w:t>voir. Même quand on a le désir de savoir, ces régimes ont les moyens de fa</w:t>
      </w:r>
      <w:r w:rsidRPr="00357DFF">
        <w:rPr>
          <w:i/>
          <w:lang w:val="fr-FR"/>
        </w:rPr>
        <w:t>i</w:t>
      </w:r>
      <w:r w:rsidRPr="00357DFF">
        <w:rPr>
          <w:i/>
          <w:lang w:val="fr-FR"/>
        </w:rPr>
        <w:t>re barrage. Il y a des informations auxquelles on ne peut pas avoir accès, à moins de faire partie d’organisations de résistance » ;</w:t>
      </w:r>
      <w:r>
        <w:rPr>
          <w:lang w:val="fr-FR"/>
        </w:rPr>
        <w:t xml:space="preserve"> Wieviorka A</w:t>
      </w:r>
      <w:r w:rsidRPr="00357DFF">
        <w:rPr>
          <w:lang w:val="fr-FR"/>
        </w:rPr>
        <w:t xml:space="preserve">., </w:t>
      </w:r>
      <w:r>
        <w:rPr>
          <w:i/>
          <w:lang w:val="fr-FR"/>
        </w:rPr>
        <w:t>ouv. cit.</w:t>
      </w:r>
      <w:r w:rsidRPr="00357DFF">
        <w:rPr>
          <w:lang w:val="fr-FR"/>
        </w:rPr>
        <w:t>, page 48.</w:t>
      </w:r>
    </w:p>
  </w:footnote>
  <w:footnote w:id="943">
    <w:p w14:paraId="30CA3B1E" w14:textId="77777777" w:rsidR="00B01930" w:rsidRDefault="00B01930" w:rsidP="00B01930">
      <w:pPr>
        <w:pStyle w:val="Notedebasdepage"/>
      </w:pPr>
      <w:r>
        <w:rPr>
          <w:rStyle w:val="Appelnotedebasdep"/>
        </w:rPr>
        <w:footnoteRef/>
      </w:r>
      <w:r>
        <w:t xml:space="preserve"> </w:t>
      </w:r>
      <w:r>
        <w:tab/>
      </w:r>
      <w:r w:rsidRPr="002720AB">
        <w:rPr>
          <w:lang w:val="fr-FR"/>
        </w:rPr>
        <w:t xml:space="preserve">Kogon E., </w:t>
      </w:r>
      <w:r w:rsidRPr="002720AB">
        <w:rPr>
          <w:i/>
          <w:lang w:val="fr-FR"/>
        </w:rPr>
        <w:t>L’</w:t>
      </w:r>
      <w:r>
        <w:rPr>
          <w:i/>
          <w:lang w:val="fr-FR"/>
        </w:rPr>
        <w:t>État</w:t>
      </w:r>
      <w:r w:rsidRPr="002720AB">
        <w:rPr>
          <w:i/>
          <w:lang w:val="fr-FR"/>
        </w:rPr>
        <w:t xml:space="preserve"> SS. Le système des camps de concentration allemands,</w:t>
      </w:r>
      <w:r w:rsidRPr="002720AB">
        <w:rPr>
          <w:lang w:val="fr-FR"/>
        </w:rPr>
        <w:t xml:space="preserve"> Paris, 1970, éditions du Seuil, collection Point politique, n°34 (première tr</w:t>
      </w:r>
      <w:r w:rsidRPr="002720AB">
        <w:rPr>
          <w:lang w:val="fr-FR"/>
        </w:rPr>
        <w:t>a</w:t>
      </w:r>
      <w:r w:rsidRPr="002720AB">
        <w:rPr>
          <w:lang w:val="fr-FR"/>
        </w:rPr>
        <w:t>duction française 1947).</w:t>
      </w:r>
    </w:p>
  </w:footnote>
  <w:footnote w:id="944">
    <w:p w14:paraId="594AC0D8" w14:textId="77777777" w:rsidR="00B01930" w:rsidRDefault="00B01930" w:rsidP="00B01930">
      <w:pPr>
        <w:pStyle w:val="Notedebasdepage"/>
      </w:pPr>
      <w:r>
        <w:rPr>
          <w:rStyle w:val="Appelnotedebasdep"/>
        </w:rPr>
        <w:footnoteRef/>
      </w:r>
      <w:r>
        <w:t xml:space="preserve"> </w:t>
      </w:r>
      <w:r>
        <w:tab/>
      </w:r>
      <w:r w:rsidRPr="005F4EBA">
        <w:t>Et que penser du silence gêné, voire de la désapprobation, auxquels se heurt</w:t>
      </w:r>
      <w:r w:rsidRPr="005F4EBA">
        <w:t>è</w:t>
      </w:r>
      <w:r w:rsidRPr="005F4EBA">
        <w:t>rent les rescapés lorsque ceux-ci voulurent témoigner à leur retour ?</w:t>
      </w:r>
    </w:p>
  </w:footnote>
  <w:footnote w:id="945">
    <w:p w14:paraId="23D4FB3B" w14:textId="77777777" w:rsidR="00B01930" w:rsidRDefault="00B01930" w:rsidP="00B01930">
      <w:pPr>
        <w:pStyle w:val="Notedebasdepage"/>
      </w:pPr>
      <w:r>
        <w:rPr>
          <w:rStyle w:val="Appelnotedebasdep"/>
        </w:rPr>
        <w:footnoteRef/>
      </w:r>
      <w:r>
        <w:t xml:space="preserve"> </w:t>
      </w:r>
      <w:r>
        <w:tab/>
      </w:r>
      <w:r w:rsidRPr="00357DFF">
        <w:t>L’édition du 7 août 1929 du Völkischer Beobachter, par exemple, fait état d’un discours d’Hitler dans lequel celui-ci évoque la possibilité d’éliminer à la naissance 7 ou 8 enfants all</w:t>
      </w:r>
      <w:r w:rsidRPr="00357DFF">
        <w:t>e</w:t>
      </w:r>
      <w:r w:rsidRPr="00357DFF">
        <w:t>mands sur 10 dans le cadre d’une politique d’amélioration de la « race ».</w:t>
      </w:r>
    </w:p>
  </w:footnote>
  <w:footnote w:id="946">
    <w:p w14:paraId="3CB6DB54" w14:textId="77777777" w:rsidR="00B01930" w:rsidRDefault="00B01930" w:rsidP="00B01930">
      <w:pPr>
        <w:pStyle w:val="Notedebasdepage"/>
      </w:pPr>
      <w:r>
        <w:rPr>
          <w:rStyle w:val="Appelnotedebasdep"/>
        </w:rPr>
        <w:footnoteRef/>
      </w:r>
      <w:r>
        <w:t xml:space="preserve"> </w:t>
      </w:r>
      <w:r>
        <w:tab/>
      </w:r>
      <w:r>
        <w:rPr>
          <w:lang w:val="fr-FR"/>
        </w:rPr>
        <w:t>É</w:t>
      </w:r>
      <w:r w:rsidRPr="00815A17">
        <w:rPr>
          <w:lang w:val="fr-FR"/>
        </w:rPr>
        <w:t>lu en 1932.</w:t>
      </w:r>
    </w:p>
  </w:footnote>
  <w:footnote w:id="947">
    <w:p w14:paraId="4E08F7A3" w14:textId="77777777" w:rsidR="00B01930" w:rsidRDefault="00B01930" w:rsidP="00B01930">
      <w:pPr>
        <w:pStyle w:val="Notedebasdepage"/>
      </w:pPr>
      <w:r>
        <w:rPr>
          <w:rStyle w:val="Appelnotedebasdep"/>
        </w:rPr>
        <w:footnoteRef/>
      </w:r>
      <w:r>
        <w:t xml:space="preserve"> </w:t>
      </w:r>
      <w:r>
        <w:tab/>
      </w:r>
      <w:r w:rsidRPr="007F2121">
        <w:rPr>
          <w:lang w:val="fr-FR"/>
        </w:rPr>
        <w:t xml:space="preserve">Dans </w:t>
      </w:r>
      <w:r w:rsidRPr="007F2121">
        <w:rPr>
          <w:i/>
          <w:lang w:val="fr-FR"/>
        </w:rPr>
        <w:t>Avant-guerre,</w:t>
      </w:r>
      <w:r w:rsidRPr="007F2121">
        <w:rPr>
          <w:lang w:val="fr-FR"/>
        </w:rPr>
        <w:t xml:space="preserve"> Robert Brasillach, écrivain connu pour son antisémiti</w:t>
      </w:r>
      <w:r w:rsidRPr="007F2121">
        <w:rPr>
          <w:lang w:val="fr-FR"/>
        </w:rPr>
        <w:t>s</w:t>
      </w:r>
      <w:r w:rsidRPr="007F2121">
        <w:rPr>
          <w:lang w:val="fr-FR"/>
        </w:rPr>
        <w:t xml:space="preserve">me, </w:t>
      </w:r>
      <w:r>
        <w:rPr>
          <w:lang w:val="fr-FR"/>
        </w:rPr>
        <w:t xml:space="preserve">fusillé à la Libération pour « intelligence avec l’ennemi », </w:t>
      </w:r>
      <w:r w:rsidRPr="007F2121">
        <w:rPr>
          <w:lang w:val="fr-FR"/>
        </w:rPr>
        <w:t>prête les pr</w:t>
      </w:r>
      <w:r w:rsidRPr="007F2121">
        <w:rPr>
          <w:lang w:val="fr-FR"/>
        </w:rPr>
        <w:t>o</w:t>
      </w:r>
      <w:r w:rsidRPr="007F2121">
        <w:rPr>
          <w:lang w:val="fr-FR"/>
        </w:rPr>
        <w:t>pos suivants à des militants communistes, qui les auraient, selon lui, tenus en 1938 : «</w:t>
      </w:r>
      <w:r w:rsidRPr="007F2121">
        <w:rPr>
          <w:i/>
          <w:lang w:val="fr-FR"/>
        </w:rPr>
        <w:t> La guerre est voulue… par les Juifs et les Américains qui ve</w:t>
      </w:r>
      <w:r w:rsidRPr="007F2121">
        <w:rPr>
          <w:i/>
          <w:lang w:val="fr-FR"/>
        </w:rPr>
        <w:t>u</w:t>
      </w:r>
      <w:r w:rsidRPr="007F2121">
        <w:rPr>
          <w:i/>
          <w:lang w:val="fr-FR"/>
        </w:rPr>
        <w:t>lent nous vendre des stocks. D’ailleurs, les Américains, c’est tous des Juifs</w:t>
      </w:r>
      <w:r w:rsidRPr="007F2121">
        <w:rPr>
          <w:lang w:val="fr-FR"/>
        </w:rPr>
        <w:t> » ;</w:t>
      </w:r>
      <w:r w:rsidRPr="007F2121">
        <w:rPr>
          <w:i/>
          <w:lang w:val="fr-FR"/>
        </w:rPr>
        <w:t xml:space="preserve"> </w:t>
      </w:r>
      <w:r w:rsidRPr="007F2121">
        <w:rPr>
          <w:lang w:val="fr-FR"/>
        </w:rPr>
        <w:t>R</w:t>
      </w:r>
      <w:r w:rsidRPr="007F2121">
        <w:rPr>
          <w:lang w:val="fr-FR"/>
        </w:rPr>
        <w:t>o</w:t>
      </w:r>
      <w:r w:rsidRPr="007F2121">
        <w:rPr>
          <w:lang w:val="fr-FR"/>
        </w:rPr>
        <w:t xml:space="preserve">bert Brasillach, </w:t>
      </w:r>
      <w:r w:rsidRPr="007F2121">
        <w:rPr>
          <w:i/>
          <w:lang w:val="fr-FR"/>
        </w:rPr>
        <w:t>Avant-guerre,</w:t>
      </w:r>
      <w:r w:rsidRPr="007F2121">
        <w:rPr>
          <w:lang w:val="fr-FR"/>
        </w:rPr>
        <w:t xml:space="preserve"> Paris, Plon, 1941.</w:t>
      </w:r>
    </w:p>
  </w:footnote>
  <w:footnote w:id="948">
    <w:p w14:paraId="4911050D" w14:textId="77777777" w:rsidR="00B01930" w:rsidRDefault="00B01930" w:rsidP="00B01930">
      <w:pPr>
        <w:pStyle w:val="Notedebasdepage"/>
      </w:pPr>
      <w:r>
        <w:rPr>
          <w:rStyle w:val="Appelnotedebasdep"/>
        </w:rPr>
        <w:footnoteRef/>
      </w:r>
      <w:r>
        <w:t xml:space="preserve"> </w:t>
      </w:r>
      <w:r>
        <w:tab/>
      </w:r>
      <w:r w:rsidRPr="007F2121">
        <w:rPr>
          <w:lang w:val="fr-FR"/>
        </w:rPr>
        <w:t>L’archétype en était, dans l’entre-deux guerres, Basil Zaharoff (1849-1936) et ce alors que sa judéité était des plus incertaines.</w:t>
      </w:r>
    </w:p>
  </w:footnote>
  <w:footnote w:id="949">
    <w:p w14:paraId="2CFB9F96" w14:textId="77777777" w:rsidR="00B01930" w:rsidRDefault="00B01930" w:rsidP="00B01930">
      <w:pPr>
        <w:pStyle w:val="Notedebasdepage"/>
      </w:pPr>
      <w:r>
        <w:rPr>
          <w:rStyle w:val="Appelnotedebasdep"/>
        </w:rPr>
        <w:footnoteRef/>
      </w:r>
      <w:r>
        <w:t xml:space="preserve"> </w:t>
      </w:r>
      <w:r>
        <w:tab/>
      </w:r>
      <w:r w:rsidRPr="00AA3CED">
        <w:rPr>
          <w:lang w:val="fr-FR"/>
        </w:rPr>
        <w:t>De là à penser qu’il avait une part de responsabilité dans la détestation croi</w:t>
      </w:r>
      <w:r w:rsidRPr="00AA3CED">
        <w:rPr>
          <w:lang w:val="fr-FR"/>
        </w:rPr>
        <w:t>s</w:t>
      </w:r>
      <w:r w:rsidRPr="00AA3CED">
        <w:rPr>
          <w:lang w:val="fr-FR"/>
        </w:rPr>
        <w:t>sante dont il était l’objet, il n’y avait qu’un pas. Beaucoup le firent, s’engageant ainsi, plus ou moins consciemment, dans la voie de l’antisémitisme.</w:t>
      </w:r>
    </w:p>
  </w:footnote>
  <w:footnote w:id="950">
    <w:p w14:paraId="4C260B7E" w14:textId="77777777" w:rsidR="00B01930" w:rsidRDefault="00B01930" w:rsidP="00B01930">
      <w:pPr>
        <w:pStyle w:val="Notedebasdepage"/>
      </w:pPr>
      <w:r>
        <w:rPr>
          <w:rStyle w:val="Appelnotedebasdep"/>
        </w:rPr>
        <w:footnoteRef/>
      </w:r>
      <w:r>
        <w:t xml:space="preserve"> </w:t>
      </w:r>
      <w:r>
        <w:tab/>
      </w:r>
      <w:r w:rsidRPr="00AA3CED">
        <w:t>C’est ce qui explique probablement que la proposition de Concordat faite par l’Allemagne nazie en 1933 ait été bien accueillie, au Vatican comme dans d’autres pays d’Europe. Ce positionnement ne faisait toutefois pas l’unanimité. Selon l’historien Giovanni Miccoli, au cours des derniers mois de son pontificat, Pie XI, changeant de ligne directrice (l’introduction de lois r</w:t>
      </w:r>
      <w:r w:rsidRPr="00AA3CED">
        <w:t>a</w:t>
      </w:r>
      <w:r w:rsidRPr="00AA3CED">
        <w:t>ciales en Italie contribua à ce revirement), s’était décidé à protester officiell</w:t>
      </w:r>
      <w:r w:rsidRPr="00AA3CED">
        <w:t>e</w:t>
      </w:r>
      <w:r w:rsidRPr="00AA3CED">
        <w:t>ment  contre l’antisémitisme nazi. Il ne vécut pas suffisamment pour cela. Son successeur, Pie XII opta malheureusement pour une absence de condamnation des agiss</w:t>
      </w:r>
      <w:r w:rsidRPr="00AA3CED">
        <w:t>e</w:t>
      </w:r>
      <w:r w:rsidRPr="00AA3CED">
        <w:t xml:space="preserve">ments des nazis, qui lui valut par la suite d’âpres reproches, ce qu’a montré documents à l’appui, Saul Friedländer (cf. </w:t>
      </w:r>
      <w:r w:rsidRPr="00AA3CED">
        <w:rPr>
          <w:i/>
        </w:rPr>
        <w:t>Pie XII et le Troisième Reich</w:t>
      </w:r>
      <w:r w:rsidRPr="00AA3CED">
        <w:t>). Ceux-ci portèrent d’autant plus que ce Pape hésitant disposait de no</w:t>
      </w:r>
      <w:r w:rsidRPr="00AA3CED">
        <w:t>m</w:t>
      </w:r>
      <w:r w:rsidRPr="00AA3CED">
        <w:t>breuses sources d’information sur le sort réservé aux Juifs. Outre par l’épiscopat, présent dans tous les pays, il était directement rense</w:t>
      </w:r>
      <w:r w:rsidRPr="00AA3CED">
        <w:t>i</w:t>
      </w:r>
      <w:r w:rsidRPr="00AA3CED">
        <w:t>gné par les nonces apostoliques, ainsi que par les comptes-rendus qu’effectuaient les ch</w:t>
      </w:r>
      <w:r w:rsidRPr="00AA3CED">
        <w:t>a</w:t>
      </w:r>
      <w:r w:rsidRPr="00AA3CED">
        <w:t>pelains qui suivaient les armées italiennes, sans parler de sa correspondance et de sa diplomatie. Dès le mois d’octobre 1942, par exemple, l’évêque de Berlin l’avait avisé du fait qu’il existait des chambres à gaz capables de mettre à mort 6 000 juifs par jour, sans que cela ne prov</w:t>
      </w:r>
      <w:r w:rsidRPr="00AA3CED">
        <w:t>o</w:t>
      </w:r>
      <w:r w:rsidRPr="00AA3CED">
        <w:t xml:space="preserve">que de sa part aucune réaction. Cf. l’entretien avec Giovanni Miccoli, dans </w:t>
      </w:r>
      <w:r w:rsidRPr="00AA3CED">
        <w:rPr>
          <w:i/>
        </w:rPr>
        <w:t>Auschwitz, le monde savait-il ?</w:t>
      </w:r>
      <w:r w:rsidRPr="00AA3CED">
        <w:t>, d</w:t>
      </w:r>
      <w:r w:rsidRPr="00AA3CED">
        <w:t>o</w:t>
      </w:r>
      <w:r w:rsidRPr="00AA3CED">
        <w:t>cumentaire de Didier Martini.</w:t>
      </w:r>
    </w:p>
  </w:footnote>
  <w:footnote w:id="951">
    <w:p w14:paraId="6A93BDFB" w14:textId="77777777" w:rsidR="00B01930" w:rsidRDefault="00B01930" w:rsidP="00B01930">
      <w:pPr>
        <w:pStyle w:val="Notedebasdepage"/>
      </w:pPr>
      <w:r>
        <w:rPr>
          <w:rStyle w:val="Appelnotedebasdep"/>
        </w:rPr>
        <w:footnoteRef/>
      </w:r>
      <w:r>
        <w:t xml:space="preserve"> </w:t>
      </w:r>
      <w:r>
        <w:tab/>
      </w:r>
      <w:r w:rsidRPr="00AA3CED">
        <w:t xml:space="preserve">Entretien avec Giovanni Miccoli, dans </w:t>
      </w:r>
      <w:r w:rsidRPr="00AA3CED">
        <w:rPr>
          <w:i/>
        </w:rPr>
        <w:t>Auschwitz, le monde savait-il ?</w:t>
      </w:r>
      <w:r w:rsidRPr="00AA3CED">
        <w:t>, doc</w:t>
      </w:r>
      <w:r w:rsidRPr="00AA3CED">
        <w:t>u</w:t>
      </w:r>
      <w:r w:rsidRPr="00AA3CED">
        <w:t>mentaire de D</w:t>
      </w:r>
      <w:r w:rsidRPr="00AA3CED">
        <w:t>i</w:t>
      </w:r>
      <w:r w:rsidRPr="00AA3CED">
        <w:t>dier Martini.</w:t>
      </w:r>
    </w:p>
  </w:footnote>
  <w:footnote w:id="952">
    <w:p w14:paraId="40EC44E3" w14:textId="77777777" w:rsidR="00B01930" w:rsidRDefault="00B01930" w:rsidP="00B01930">
      <w:pPr>
        <w:pStyle w:val="Notedebasdepage"/>
      </w:pPr>
      <w:r>
        <w:rPr>
          <w:rStyle w:val="Appelnotedebasdep"/>
        </w:rPr>
        <w:footnoteRef/>
      </w:r>
      <w:r>
        <w:t xml:space="preserve"> </w:t>
      </w:r>
      <w:r>
        <w:tab/>
      </w:r>
      <w:r w:rsidRPr="00AA3CED">
        <w:t>Évoquant le sort de ses grands-parents et de leur famille, Annette Wieviorka écrit, en commençant par sa famille maternelle : « </w:t>
      </w:r>
      <w:r w:rsidRPr="00AA3CED">
        <w:rPr>
          <w:i/>
        </w:rPr>
        <w:t>Ils sont tous revenus à P</w:t>
      </w:r>
      <w:r w:rsidRPr="00AA3CED">
        <w:rPr>
          <w:i/>
        </w:rPr>
        <w:t>a</w:t>
      </w:r>
      <w:r w:rsidRPr="00AA3CED">
        <w:rPr>
          <w:i/>
        </w:rPr>
        <w:t>ris, malgré l’interdiction faite aux juifs de regagner la zone dite “libre” après l’armistice. Seul Wolf n’est pas retourné dans la capitale. Du côté de la fami</w:t>
      </w:r>
      <w:r w:rsidRPr="00AA3CED">
        <w:rPr>
          <w:i/>
        </w:rPr>
        <w:t>l</w:t>
      </w:r>
      <w:r w:rsidRPr="00AA3CED">
        <w:rPr>
          <w:i/>
        </w:rPr>
        <w:t>le paternelle, dès que la France a été vaincue et occupée, on a eu une intu</w:t>
      </w:r>
      <w:r w:rsidRPr="00AA3CED">
        <w:rPr>
          <w:i/>
        </w:rPr>
        <w:t>i</w:t>
      </w:r>
      <w:r w:rsidRPr="00AA3CED">
        <w:rPr>
          <w:i/>
        </w:rPr>
        <w:t>tion aiguë de ce qu’il allait advenir des Juifs : le pire … Notre grand-père était écrivain et journaliste. Il a écrit après l’arrivée d’Hitler au pouvoir de nombreux portraits de réfugiés Juifs allemands, autrichiens, tchèques. De leur fréquent</w:t>
      </w:r>
      <w:r w:rsidRPr="00AA3CED">
        <w:rPr>
          <w:i/>
        </w:rPr>
        <w:t>a</w:t>
      </w:r>
      <w:r w:rsidRPr="00AA3CED">
        <w:rPr>
          <w:i/>
        </w:rPr>
        <w:t>tion, il avait retiré une parfaite lucidité sur ce qu’était le nazisme </w:t>
      </w:r>
      <w:r w:rsidRPr="00AA3CED">
        <w:t xml:space="preserve">». Cf. Annette Wieviorka, </w:t>
      </w:r>
      <w:r w:rsidRPr="00AA3CED">
        <w:rPr>
          <w:i/>
        </w:rPr>
        <w:t>op. cit.</w:t>
      </w:r>
      <w:r w:rsidRPr="00AA3CED">
        <w:t>, p. 18.</w:t>
      </w:r>
    </w:p>
  </w:footnote>
  <w:footnote w:id="953">
    <w:p w14:paraId="431B9839" w14:textId="77777777" w:rsidR="00B01930" w:rsidRDefault="00B01930" w:rsidP="00B01930">
      <w:pPr>
        <w:pStyle w:val="Notedebasdepage"/>
      </w:pPr>
      <w:r>
        <w:rPr>
          <w:rStyle w:val="Appelnotedebasdep"/>
        </w:rPr>
        <w:footnoteRef/>
      </w:r>
      <w:r>
        <w:t xml:space="preserve"> </w:t>
      </w:r>
      <w:r>
        <w:tab/>
      </w:r>
      <w:r w:rsidRPr="00BB0041">
        <w:t xml:space="preserve">Entretien avec </w:t>
      </w:r>
      <w:r w:rsidRPr="00BB0041">
        <w:rPr>
          <w:lang w:val="fr-FR"/>
        </w:rPr>
        <w:t>Jean-Charles Szurek</w:t>
      </w:r>
      <w:r w:rsidRPr="00BB0041">
        <w:t xml:space="preserve">, dans </w:t>
      </w:r>
      <w:r w:rsidRPr="00BB0041">
        <w:rPr>
          <w:i/>
        </w:rPr>
        <w:t>Auschwitz, le monde savait-il ?</w:t>
      </w:r>
      <w:r>
        <w:rPr>
          <w:lang w:val="fr-FR"/>
        </w:rPr>
        <w:t> ;</w:t>
      </w:r>
      <w:r w:rsidRPr="00BB0041">
        <w:t xml:space="preserve"> documentaire de Didier Martini.</w:t>
      </w:r>
    </w:p>
  </w:footnote>
  <w:footnote w:id="954">
    <w:p w14:paraId="14ABA1CB" w14:textId="77777777" w:rsidR="00B01930" w:rsidRDefault="00B01930" w:rsidP="00B01930">
      <w:pPr>
        <w:pStyle w:val="Notedebasdepage"/>
      </w:pPr>
      <w:r>
        <w:rPr>
          <w:rStyle w:val="Appelnotedebasdep"/>
        </w:rPr>
        <w:footnoteRef/>
      </w:r>
      <w:r>
        <w:t xml:space="preserve"> </w:t>
      </w:r>
      <w:r>
        <w:tab/>
      </w:r>
      <w:r w:rsidRPr="00AA3CED">
        <w:t>13 000 arrestations, dont de très nombreux enfants, effectuées à Paris et en banlieue les 16 et 17 juillet 1942.</w:t>
      </w:r>
    </w:p>
  </w:footnote>
  <w:footnote w:id="955">
    <w:p w14:paraId="176AAF7B" w14:textId="77777777" w:rsidR="00B01930" w:rsidRDefault="00B01930" w:rsidP="00B01930">
      <w:pPr>
        <w:pStyle w:val="Notedebasdepage"/>
      </w:pPr>
      <w:r>
        <w:rPr>
          <w:rStyle w:val="Appelnotedebasdep"/>
        </w:rPr>
        <w:footnoteRef/>
      </w:r>
      <w:r>
        <w:t xml:space="preserve"> </w:t>
      </w:r>
      <w:r>
        <w:tab/>
      </w:r>
      <w:r w:rsidRPr="00AA3CED">
        <w:t>« J’ai examiné l’écart entre ce que les dirigeants racontaient ou les textes qu’ils produisaient – par exemple, le tract prévenant de la rafle du Vel’ d’Hiv’ – et la façon dont les choses s’étaient réellement passées. Je notais ce paradoxe que ceux des militants ou responsables qui prétendaient avoir été l</w:t>
      </w:r>
      <w:r w:rsidRPr="00AA3CED">
        <w:t>u</w:t>
      </w:r>
      <w:r w:rsidRPr="00AA3CED">
        <w:t>cides n’avaient pas mis à l’abri leurs propres femmes et enfants, ni organ</w:t>
      </w:r>
      <w:r w:rsidRPr="00AA3CED">
        <w:t>i</w:t>
      </w:r>
      <w:r w:rsidRPr="00AA3CED">
        <w:t>sé de façon massive le sauvetage ». Cf. Annette</w:t>
      </w:r>
      <w:r>
        <w:t xml:space="preserve"> </w:t>
      </w:r>
      <w:r w:rsidRPr="00AA3CED">
        <w:t>Wieviorka, op. cit., p. 77.</w:t>
      </w:r>
    </w:p>
  </w:footnote>
  <w:footnote w:id="956">
    <w:p w14:paraId="72DAC724" w14:textId="77777777" w:rsidR="00B01930" w:rsidRDefault="00B01930" w:rsidP="00B01930">
      <w:pPr>
        <w:pStyle w:val="Notedebasdepage"/>
      </w:pPr>
      <w:r>
        <w:rPr>
          <w:rStyle w:val="Appelnotedebasdep"/>
        </w:rPr>
        <w:footnoteRef/>
      </w:r>
      <w:r>
        <w:t xml:space="preserve"> </w:t>
      </w:r>
      <w:r>
        <w:tab/>
      </w:r>
      <w:r w:rsidRPr="00AA3CED">
        <w:t>L’entrée officielle (nombre de militants communistes, en désaccord avec la ligne du Parti sur ce point, s’étaient engagés avant cette date dans la lutte contre l’occupant) des communistes français en Résistance fut consécutive à la rupture, le 22 juin 1941, du pacte germano-soviétique (traité de non-agression) signé le 23 août 1939.</w:t>
      </w:r>
    </w:p>
  </w:footnote>
  <w:footnote w:id="957">
    <w:p w14:paraId="4E169887" w14:textId="77777777" w:rsidR="00B01930" w:rsidRDefault="00B01930" w:rsidP="00B01930">
      <w:pPr>
        <w:pStyle w:val="Notedebasdepage"/>
      </w:pPr>
      <w:r>
        <w:rPr>
          <w:rStyle w:val="Appelnotedebasdep"/>
        </w:rPr>
        <w:footnoteRef/>
      </w:r>
      <w:r>
        <w:t xml:space="preserve"> </w:t>
      </w:r>
      <w:r>
        <w:tab/>
      </w:r>
      <w:r w:rsidRPr="00AA3CED">
        <w:t xml:space="preserve">De la même façon que les voisins de Moshé-le-Bedeau, dans </w:t>
      </w:r>
      <w:r w:rsidRPr="00AA3CED">
        <w:rPr>
          <w:i/>
        </w:rPr>
        <w:t>La Nuit</w:t>
      </w:r>
      <w:r w:rsidRPr="00AA3CED">
        <w:t xml:space="preserve"> d’Elie Wiesel, se refusent à le croire lorsqu’ils les pressent de fuir, préférant le tra</w:t>
      </w:r>
      <w:r w:rsidRPr="00AA3CED">
        <w:t>i</w:t>
      </w:r>
      <w:r w:rsidRPr="00AA3CED">
        <w:t>ter de fou : «</w:t>
      </w:r>
      <w:r w:rsidRPr="00AA3CED">
        <w:rPr>
          <w:i/>
        </w:rPr>
        <w:t> (Ils) refusaient non seulement de croire à ses histoires, mais encore de les écouter. “Il essaye de nous apitoyer sur son sort. Quelle imagin</w:t>
      </w:r>
      <w:r w:rsidRPr="00AA3CED">
        <w:rPr>
          <w:i/>
        </w:rPr>
        <w:t>a</w:t>
      </w:r>
      <w:r w:rsidRPr="00AA3CED">
        <w:rPr>
          <w:i/>
        </w:rPr>
        <w:t>tion”… ou bien : “Le pauvre, il est devenu fou”. Et lui, il pleurait </w:t>
      </w:r>
      <w:r w:rsidRPr="00AA3CED">
        <w:t>» ;</w:t>
      </w:r>
      <w:r w:rsidRPr="00AA3CED">
        <w:rPr>
          <w:i/>
        </w:rPr>
        <w:t xml:space="preserve"> </w:t>
      </w:r>
      <w:r w:rsidRPr="00AA3CED">
        <w:t xml:space="preserve">Elie Wiesel, </w:t>
      </w:r>
      <w:r w:rsidRPr="00AA3CED">
        <w:rPr>
          <w:i/>
        </w:rPr>
        <w:t>La Nuit,</w:t>
      </w:r>
      <w:r w:rsidRPr="00AA3CED">
        <w:t xml:space="preserve"> Paris, Éditions de Minuit, 2007, (première édition 1958).</w:t>
      </w:r>
    </w:p>
  </w:footnote>
  <w:footnote w:id="958">
    <w:p w14:paraId="53E654F9" w14:textId="77777777" w:rsidR="00B01930" w:rsidRDefault="00B01930" w:rsidP="00B01930">
      <w:pPr>
        <w:pStyle w:val="Notedebasdepage"/>
      </w:pPr>
      <w:r>
        <w:rPr>
          <w:rStyle w:val="Appelnotedebasdep"/>
        </w:rPr>
        <w:footnoteRef/>
      </w:r>
      <w:r>
        <w:t xml:space="preserve"> </w:t>
      </w:r>
      <w:r>
        <w:tab/>
      </w:r>
      <w:r w:rsidRPr="002F2048">
        <w:t>« Certains ne croyaient pas au contenu des tracts qu’ils distribuaient. L’un d’entre eux d’ailleurs, Sam Radzynski, déporté à Auschwitz, raconta, dans un recueil de témoignages consacré au Kommando auquel il avait été affecté, J</w:t>
      </w:r>
      <w:r w:rsidRPr="002F2048">
        <w:t>a</w:t>
      </w:r>
      <w:r w:rsidRPr="002F2048">
        <w:t>wischowitz, son horreur et sa frayeur quand, lors du tatouage, un dét</w:t>
      </w:r>
      <w:r w:rsidRPr="002F2048">
        <w:t>e</w:t>
      </w:r>
      <w:r w:rsidRPr="002F2048">
        <w:t>nu lui expliqua ce qu’était la chambre à gaz : « Je me suis alors souvenu que, à la fin de 1942 ou au tout début 1943, j’avais eu entre les mains un tract de notre o</w:t>
      </w:r>
      <w:r w:rsidRPr="002F2048">
        <w:t>r</w:t>
      </w:r>
      <w:r w:rsidRPr="002F2048">
        <w:t>ganisation disant l’horreur des camps de concentration, d</w:t>
      </w:r>
      <w:r w:rsidRPr="002F2048">
        <w:t>i</w:t>
      </w:r>
      <w:r w:rsidRPr="002F2048">
        <w:t>sant presque toute la vérité. En lisant ce tract, j’avais été horrifié, mais j’avais pensé que c’était exag</w:t>
      </w:r>
      <w:r w:rsidRPr="002F2048">
        <w:t>é</w:t>
      </w:r>
      <w:r w:rsidRPr="002F2048">
        <w:t>ré, qu’il y avait une part de « propagande ». Je me suis dit : après tout, mieux vaut en dire un peu plus, il en restera quelque chose », Annie Wievio</w:t>
      </w:r>
      <w:r w:rsidRPr="002F2048">
        <w:t>r</w:t>
      </w:r>
      <w:r w:rsidRPr="002F2048">
        <w:t>ka, ibidem, p. 77.</w:t>
      </w:r>
    </w:p>
  </w:footnote>
  <w:footnote w:id="959">
    <w:p w14:paraId="4656BDCE" w14:textId="77777777" w:rsidR="00B01930" w:rsidRDefault="00B01930" w:rsidP="00B01930">
      <w:pPr>
        <w:pStyle w:val="Notedebasdepage"/>
      </w:pPr>
      <w:r>
        <w:rPr>
          <w:rStyle w:val="Appelnotedebasdep"/>
        </w:rPr>
        <w:footnoteRef/>
      </w:r>
      <w:r>
        <w:t xml:space="preserve"> </w:t>
      </w:r>
      <w:r>
        <w:tab/>
      </w:r>
      <w:r w:rsidRPr="002F2048">
        <w:t xml:space="preserve">Entretien avec Jean-Charles Szurek, dans </w:t>
      </w:r>
      <w:r w:rsidRPr="002F2048">
        <w:rPr>
          <w:i/>
        </w:rPr>
        <w:t>Auschwitz, le monde savait-il ?</w:t>
      </w:r>
      <w:r w:rsidRPr="002F2048">
        <w:t>, documentaire de Didier Martini.</w:t>
      </w:r>
    </w:p>
  </w:footnote>
  <w:footnote w:id="960">
    <w:p w14:paraId="08BC7084" w14:textId="77777777" w:rsidR="00B01930" w:rsidRDefault="00B01930" w:rsidP="00B01930">
      <w:pPr>
        <w:pStyle w:val="Notedebasdepage"/>
      </w:pPr>
      <w:r>
        <w:rPr>
          <w:rStyle w:val="Appelnotedebasdep"/>
        </w:rPr>
        <w:footnoteRef/>
      </w:r>
      <w:r>
        <w:t xml:space="preserve"> </w:t>
      </w:r>
      <w:r>
        <w:tab/>
      </w:r>
      <w:r w:rsidRPr="002F2048">
        <w:rPr>
          <w:lang w:val="fr-FR"/>
        </w:rPr>
        <w:t>War</w:t>
      </w:r>
      <w:r>
        <w:rPr>
          <w:lang w:val="fr-FR"/>
        </w:rPr>
        <w:t xml:space="preserve"> </w:t>
      </w:r>
      <w:r w:rsidRPr="002F2048">
        <w:rPr>
          <w:lang w:val="fr-FR"/>
        </w:rPr>
        <w:t>Refugee</w:t>
      </w:r>
      <w:r>
        <w:rPr>
          <w:lang w:val="fr-FR"/>
        </w:rPr>
        <w:t xml:space="preserve"> </w:t>
      </w:r>
      <w:r w:rsidRPr="002F2048">
        <w:rPr>
          <w:lang w:val="fr-FR"/>
        </w:rPr>
        <w:t>Board.</w:t>
      </w:r>
    </w:p>
  </w:footnote>
  <w:footnote w:id="961">
    <w:p w14:paraId="403521EA" w14:textId="77777777" w:rsidR="00B01930" w:rsidRDefault="00B01930" w:rsidP="00B01930">
      <w:pPr>
        <w:pStyle w:val="Notedebasdepage"/>
      </w:pPr>
      <w:r>
        <w:rPr>
          <w:rStyle w:val="Appelnotedebasdep"/>
        </w:rPr>
        <w:footnoteRef/>
      </w:r>
      <w:r>
        <w:t xml:space="preserve"> </w:t>
      </w:r>
      <w:r>
        <w:tab/>
      </w:r>
      <w:r w:rsidRPr="00AA3CED">
        <w:rPr>
          <w:lang w:val="fr-FR"/>
        </w:rPr>
        <w:t>Le rapport fut publié dans son intégralité le 25 novembre 1944.</w:t>
      </w:r>
    </w:p>
  </w:footnote>
  <w:footnote w:id="962">
    <w:p w14:paraId="5162DD0E" w14:textId="77777777" w:rsidR="00B01930" w:rsidRDefault="00B01930" w:rsidP="00B01930">
      <w:pPr>
        <w:pStyle w:val="Notedebasdepage"/>
      </w:pPr>
      <w:r>
        <w:rPr>
          <w:rStyle w:val="Appelnotedebasdep"/>
        </w:rPr>
        <w:footnoteRef/>
      </w:r>
      <w:r>
        <w:t xml:space="preserve"> </w:t>
      </w:r>
      <w:r>
        <w:tab/>
      </w:r>
      <w:r w:rsidRPr="00AA3CED">
        <w:rPr>
          <w:lang w:val="fr-FR"/>
        </w:rPr>
        <w:t>Ce héros insuffisamment connu de la résistance polonaise se fit volontair</w:t>
      </w:r>
      <w:r w:rsidRPr="00AA3CED">
        <w:rPr>
          <w:lang w:val="fr-FR"/>
        </w:rPr>
        <w:t>e</w:t>
      </w:r>
      <w:r w:rsidRPr="00AA3CED">
        <w:rPr>
          <w:lang w:val="fr-FR"/>
        </w:rPr>
        <w:t>ment arrêter et interner pour recueillir de l’intérieur des informations sur les camps, avant de s’évader pour les transmettre.</w:t>
      </w:r>
    </w:p>
  </w:footnote>
  <w:footnote w:id="963">
    <w:p w14:paraId="58C75420" w14:textId="77777777" w:rsidR="00B01930" w:rsidRDefault="00B01930" w:rsidP="00B01930">
      <w:pPr>
        <w:pStyle w:val="Notedebasdepage"/>
      </w:pPr>
      <w:r>
        <w:rPr>
          <w:rStyle w:val="Appelnotedebasdep"/>
        </w:rPr>
        <w:footnoteRef/>
      </w:r>
      <w:r>
        <w:t xml:space="preserve"> </w:t>
      </w:r>
      <w:r>
        <w:tab/>
      </w:r>
      <w:r w:rsidRPr="00AA3CED">
        <w:rPr>
          <w:lang w:val="fr-FR"/>
        </w:rPr>
        <w:t>La première reconnaissance aérienne alliée de Monowitz-Buna (Auschwitz III), qui fournissait la main d’œuvre de l’usine de caoutchouc de synthèse B</w:t>
      </w:r>
      <w:r w:rsidRPr="00AA3CED">
        <w:rPr>
          <w:lang w:val="fr-FR"/>
        </w:rPr>
        <w:t>u</w:t>
      </w:r>
      <w:r w:rsidRPr="00AA3CED">
        <w:rPr>
          <w:lang w:val="fr-FR"/>
        </w:rPr>
        <w:t>na-Werke,  eut lieu le 4 avril 1944. Le 26 juin de la même année, une form</w:t>
      </w:r>
      <w:r w:rsidRPr="00AA3CED">
        <w:rPr>
          <w:lang w:val="fr-FR"/>
        </w:rPr>
        <w:t>a</w:t>
      </w:r>
      <w:r w:rsidRPr="00AA3CED">
        <w:rPr>
          <w:lang w:val="fr-FR"/>
        </w:rPr>
        <w:t>tion de bombardiers américains passa à proximité immédiate d’Auschwitz I, dont elle survola les voies d’accès.</w:t>
      </w:r>
    </w:p>
  </w:footnote>
  <w:footnote w:id="964">
    <w:p w14:paraId="71F33AFF" w14:textId="77777777" w:rsidR="00B01930" w:rsidRDefault="00B01930" w:rsidP="00B01930">
      <w:pPr>
        <w:pStyle w:val="Notedebasdepage"/>
      </w:pPr>
      <w:r>
        <w:rPr>
          <w:rStyle w:val="Appelnotedebasdep"/>
        </w:rPr>
        <w:footnoteRef/>
      </w:r>
      <w:r>
        <w:t xml:space="preserve"> </w:t>
      </w:r>
      <w:r>
        <w:tab/>
      </w:r>
      <w:r w:rsidRPr="00AA3CED">
        <w:rPr>
          <w:lang w:val="fr-FR"/>
        </w:rPr>
        <w:t>Le 24 août 1944, le bombardement par les avions américains d’usines reco</w:t>
      </w:r>
      <w:r w:rsidRPr="00AA3CED">
        <w:rPr>
          <w:lang w:val="fr-FR"/>
        </w:rPr>
        <w:t>u</w:t>
      </w:r>
      <w:r w:rsidRPr="00AA3CED">
        <w:rPr>
          <w:lang w:val="fr-FR"/>
        </w:rPr>
        <w:t>rant à la main d’œuvre de Buchenwald tua plus de 300 concentrationnaires et en blessa plus de 1400, dont plus de 500 grièvement.</w:t>
      </w:r>
    </w:p>
  </w:footnote>
  <w:footnote w:id="965">
    <w:p w14:paraId="1B2B2DA5" w14:textId="77777777" w:rsidR="00B01930" w:rsidRDefault="00B01930" w:rsidP="00B01930">
      <w:pPr>
        <w:pStyle w:val="Notedebasdepage"/>
      </w:pPr>
      <w:r>
        <w:rPr>
          <w:rStyle w:val="Appelnotedebasdep"/>
        </w:rPr>
        <w:footnoteRef/>
      </w:r>
      <w:r>
        <w:t xml:space="preserve"> </w:t>
      </w:r>
      <w:r>
        <w:tab/>
      </w:r>
      <w:r w:rsidRPr="00BE62E2">
        <w:rPr>
          <w:lang w:val="fr-FR"/>
        </w:rPr>
        <w:t>L’explication peut-elle être, pour autant, réduite au constat du fait qu’il ne s’agissait pas d’objectifs militaires à proprement parler, le but premier des A</w:t>
      </w:r>
      <w:r w:rsidRPr="00BE62E2">
        <w:rPr>
          <w:lang w:val="fr-FR"/>
        </w:rPr>
        <w:t>l</w:t>
      </w:r>
      <w:r w:rsidRPr="00BE62E2">
        <w:rPr>
          <w:lang w:val="fr-FR"/>
        </w:rPr>
        <w:t>liés étant de gagner la guerre et non de venir en aide aux victimes du nazi</w:t>
      </w:r>
      <w:r w:rsidRPr="00BE62E2">
        <w:rPr>
          <w:lang w:val="fr-FR"/>
        </w:rPr>
        <w:t>s</w:t>
      </w:r>
      <w:r w:rsidRPr="00BE62E2">
        <w:rPr>
          <w:lang w:val="fr-FR"/>
        </w:rPr>
        <w:t>me ? La question n’est pas aussi simple. Un projet de bombardement d’Auschwitz fut notamment étudié et rejeté. Pour aboutir à cette décision te</w:t>
      </w:r>
      <w:r w:rsidRPr="00BE62E2">
        <w:rPr>
          <w:lang w:val="fr-FR"/>
        </w:rPr>
        <w:t>r</w:t>
      </w:r>
      <w:r w:rsidRPr="00BE62E2">
        <w:rPr>
          <w:lang w:val="fr-FR"/>
        </w:rPr>
        <w:t>rible dans ses conséquences, deux éléments pesèrent sans doute lourd dans la balance : la crainte de tuer des concentrationnaires ou de leur nuire et la diff</w:t>
      </w:r>
      <w:r w:rsidRPr="00BE62E2">
        <w:rPr>
          <w:lang w:val="fr-FR"/>
        </w:rPr>
        <w:t>i</w:t>
      </w:r>
      <w:r w:rsidRPr="00BE62E2">
        <w:rPr>
          <w:lang w:val="fr-FR"/>
        </w:rPr>
        <w:t>culté opérationnelle. Imposer aux aviateurs de ne pas prendre le risque de to</w:t>
      </w:r>
      <w:r w:rsidRPr="00BE62E2">
        <w:rPr>
          <w:lang w:val="fr-FR"/>
        </w:rPr>
        <w:t>u</w:t>
      </w:r>
      <w:r w:rsidRPr="00BE62E2">
        <w:rPr>
          <w:lang w:val="fr-FR"/>
        </w:rPr>
        <w:t>cher les prisonniers revenait à leur ordonner d’effectuer un bombardement de précision, alors que les dégâts occasionnés par ce type d’attaque pouvaient apparaître faibles par rapport aux risques de subir des pertes en appareils et en équipages. Si les dirigeants qui connaissait l’horreur du sort vécu par les concentrationnaires n’avaient pas pris la peine d’en informer les techniciens appelés à juger de l’intérêt du bombardement, il est possible que ceux-ci aient pu estimer de bonne foi que le jeu n’en v</w:t>
      </w:r>
      <w:r w:rsidRPr="00BE62E2">
        <w:rPr>
          <w:lang w:val="fr-FR"/>
        </w:rPr>
        <w:t>a</w:t>
      </w:r>
      <w:r w:rsidRPr="00BE62E2">
        <w:rPr>
          <w:lang w:val="fr-FR"/>
        </w:rPr>
        <w:t>lait pas la chandelle, aussi choquant que cela puisse apparaître à ceux qui, comme nous, disposent d’informations précises sur ce qui se passait dans les camps.</w:t>
      </w:r>
    </w:p>
  </w:footnote>
  <w:footnote w:id="966">
    <w:p w14:paraId="6282C0B9" w14:textId="77777777" w:rsidR="00B01930" w:rsidRDefault="00B01930" w:rsidP="00B01930">
      <w:pPr>
        <w:pStyle w:val="Notedebasdepage"/>
      </w:pPr>
      <w:r>
        <w:rPr>
          <w:rStyle w:val="Appelnotedebasdep"/>
        </w:rPr>
        <w:footnoteRef/>
      </w:r>
      <w:r>
        <w:t xml:space="preserve"> </w:t>
      </w:r>
      <w:r>
        <w:tab/>
      </w:r>
      <w:r w:rsidRPr="00090E1D">
        <w:rPr>
          <w:lang w:val="fr-FR"/>
        </w:rPr>
        <w:t>C’est</w:t>
      </w:r>
      <w:r>
        <w:rPr>
          <w:lang w:val="fr-FR"/>
        </w:rPr>
        <w:t xml:space="preserve"> pourtant ce qu’écrit, dans ses</w:t>
      </w:r>
      <w:r w:rsidRPr="00090E1D">
        <w:t xml:space="preserve"> </w:t>
      </w:r>
      <w:r w:rsidRPr="00E854D6">
        <w:rPr>
          <w:i/>
          <w:lang w:val="fr-FR"/>
        </w:rPr>
        <w:t>M</w:t>
      </w:r>
      <w:r>
        <w:rPr>
          <w:i/>
          <w:lang w:val="fr-FR"/>
        </w:rPr>
        <w:t>émoires</w:t>
      </w:r>
      <w:r w:rsidRPr="00E854D6">
        <w:rPr>
          <w:i/>
        </w:rPr>
        <w:t xml:space="preserve"> de guerre</w:t>
      </w:r>
      <w:r w:rsidRPr="00E854D6">
        <w:rPr>
          <w:i/>
          <w:lang w:val="fr-FR"/>
        </w:rPr>
        <w:t>,</w:t>
      </w:r>
      <w:r>
        <w:rPr>
          <w:lang w:val="fr-FR"/>
        </w:rPr>
        <w:t xml:space="preserve"> le</w:t>
      </w:r>
      <w:r w:rsidRPr="00090E1D">
        <w:t xml:space="preserve"> général Eisenh</w:t>
      </w:r>
      <w:r w:rsidRPr="00090E1D">
        <w:t>o</w:t>
      </w:r>
      <w:r w:rsidRPr="00090E1D">
        <w:t>wer, responsable des opérations alliées sur le Théâtre européen, lorsque celui-ci affirme n’avoir pris conscience de l’horreur de la Shoah qu’en vis</w:t>
      </w:r>
      <w:r w:rsidRPr="00090E1D">
        <w:t>i</w:t>
      </w:r>
      <w:r w:rsidRPr="00090E1D">
        <w:t>tant l’un des camps libérés :</w:t>
      </w:r>
      <w:r w:rsidRPr="00090E1D">
        <w:rPr>
          <w:i/>
        </w:rPr>
        <w:t xml:space="preserve"> </w:t>
      </w:r>
      <w:r w:rsidRPr="00090E1D">
        <w:t>«</w:t>
      </w:r>
      <w:r w:rsidRPr="00090E1D">
        <w:rPr>
          <w:i/>
        </w:rPr>
        <w:t> Le même jour, je vis pour la première fois un camp d’épouvante. C’était près de Gotha. Jamais je ne pourrai décrire l’émotion qui m’envahit quand je me trouvai devant la preuve évidente de la brutalité des nazis et de leur mépris profond de tout sentiment humanitaire. Jusque-là, ce que j’en savais était basé sur des informations générales ou de sources s</w:t>
      </w:r>
      <w:r w:rsidRPr="00090E1D">
        <w:rPr>
          <w:i/>
        </w:rPr>
        <w:t>e</w:t>
      </w:r>
      <w:r w:rsidRPr="00090E1D">
        <w:rPr>
          <w:i/>
        </w:rPr>
        <w:t>condaires. Je suis sûr, toutefois, que jamais je n’ai ressenti un tel sentiment de stupeur </w:t>
      </w:r>
      <w:r w:rsidRPr="00090E1D">
        <w:t>» </w:t>
      </w:r>
      <w:r w:rsidRPr="00090E1D">
        <w:rPr>
          <w:lang w:val="fr-FR"/>
        </w:rPr>
        <w:t xml:space="preserve">; </w:t>
      </w:r>
      <w:r>
        <w:rPr>
          <w:lang w:val="fr-FR"/>
        </w:rPr>
        <w:t xml:space="preserve">Eisenhower </w:t>
      </w:r>
      <w:r>
        <w:t>D. D.</w:t>
      </w:r>
      <w:r w:rsidRPr="00090E1D">
        <w:t xml:space="preserve">, </w:t>
      </w:r>
      <w:r w:rsidRPr="00090E1D">
        <w:rPr>
          <w:i/>
        </w:rPr>
        <w:t>Croisade en Europe</w:t>
      </w:r>
      <w:r w:rsidRPr="00090E1D">
        <w:t>, traduction de</w:t>
      </w:r>
      <w:r>
        <w:rPr>
          <w:lang w:val="fr-FR"/>
        </w:rPr>
        <w:t xml:space="preserve"> Beaumont</w:t>
      </w:r>
      <w:r w:rsidRPr="00090E1D">
        <w:t xml:space="preserve"> </w:t>
      </w:r>
      <w:r>
        <w:rPr>
          <w:lang w:val="fr-FR"/>
        </w:rPr>
        <w:t>(</w:t>
      </w:r>
      <w:r w:rsidRPr="00090E1D">
        <w:t>P.</w:t>
      </w:r>
      <w:r>
        <w:rPr>
          <w:lang w:val="fr-FR"/>
        </w:rPr>
        <w:t xml:space="preserve"> de)</w:t>
      </w:r>
      <w:r w:rsidRPr="00090E1D">
        <w:t>, Paris, Robert Laffont, 1949, 593 p., p. 461 et 462.</w:t>
      </w:r>
    </w:p>
  </w:footnote>
  <w:footnote w:id="967">
    <w:p w14:paraId="4D28525F" w14:textId="77777777" w:rsidR="00B01930" w:rsidRDefault="00B01930" w:rsidP="00B01930">
      <w:pPr>
        <w:pStyle w:val="Notedebasdepage"/>
      </w:pPr>
      <w:r>
        <w:rPr>
          <w:rStyle w:val="Appelnotedebasdep"/>
        </w:rPr>
        <w:footnoteRef/>
      </w:r>
      <w:r>
        <w:t xml:space="preserve"> </w:t>
      </w:r>
      <w:r>
        <w:tab/>
      </w:r>
      <w:r w:rsidRPr="0043615C">
        <w:t>Cela lui évite notamment d’avoir à s’interroger sur ce qui peut faire d’un homme l’auteur de tels agissements.</w:t>
      </w:r>
    </w:p>
  </w:footnote>
  <w:footnote w:id="968">
    <w:p w14:paraId="1EECE633" w14:textId="77777777" w:rsidR="00B01930" w:rsidRDefault="00B01930" w:rsidP="00B01930">
      <w:pPr>
        <w:pStyle w:val="Notedebasdepage"/>
      </w:pPr>
      <w:r>
        <w:rPr>
          <w:rStyle w:val="Appelnotedebasdep"/>
        </w:rPr>
        <w:footnoteRef/>
      </w:r>
      <w:r>
        <w:t xml:space="preserve"> </w:t>
      </w:r>
      <w:r>
        <w:tab/>
      </w:r>
      <w:r w:rsidRPr="005B13F8">
        <w:t>« On peine aujourd’hui à imaginer comment avaient été accueillis dans tous les pays, y compris Israël, ceux qui avaient survécu. Ils furent parfois sou</w:t>
      </w:r>
      <w:r w:rsidRPr="005B13F8">
        <w:t>p</w:t>
      </w:r>
      <w:r w:rsidRPr="005B13F8">
        <w:t>çonnés d’avoir commis le pire pour sauver leur vie. Ils rencontrèrent le m</w:t>
      </w:r>
      <w:r w:rsidRPr="005B13F8">
        <w:t>é</w:t>
      </w:r>
      <w:r w:rsidRPr="005B13F8">
        <w:t>pris, l’indifférence ou l’incrédulité quand ils tentèrent de raconter Leurs pr</w:t>
      </w:r>
      <w:r w:rsidRPr="005B13F8">
        <w:t>o</w:t>
      </w:r>
      <w:r w:rsidRPr="005B13F8">
        <w:t>ches comme ceux qui avaient perdus des membres de leur famille – quelle famille juive n’avait pas eu de déportés ? – ne supportaient pas d’entendre ce qu’ils avaient end</w:t>
      </w:r>
      <w:r w:rsidRPr="005B13F8">
        <w:t>u</w:t>
      </w:r>
      <w:r w:rsidRPr="005B13F8">
        <w:t xml:space="preserve">ré » ; </w:t>
      </w:r>
      <w:r>
        <w:t>Annette Wieviorka</w:t>
      </w:r>
      <w:r w:rsidRPr="005B13F8">
        <w:t xml:space="preserve">, </w:t>
      </w:r>
      <w:r>
        <w:t>ouv. cit.,</w:t>
      </w:r>
      <w:r w:rsidRPr="005B13F8">
        <w:t xml:space="preserve"> page 148.</w:t>
      </w:r>
    </w:p>
  </w:footnote>
  <w:footnote w:id="969">
    <w:p w14:paraId="0147E449" w14:textId="77777777" w:rsidR="00B01930" w:rsidRDefault="00B01930" w:rsidP="00B01930">
      <w:pPr>
        <w:pStyle w:val="Notedebasdepage"/>
      </w:pPr>
      <w:r>
        <w:rPr>
          <w:rStyle w:val="Appelnotedebasdep"/>
        </w:rPr>
        <w:footnoteRef/>
      </w:r>
      <w:r>
        <w:t xml:space="preserve"> </w:t>
      </w:r>
      <w:r>
        <w:tab/>
      </w:r>
      <w:r w:rsidRPr="005B13F8">
        <w:t>« Beaucoup avaient aspiré à parler dès la sortie du camp. « Etre interviewé, note Primo Lévi, était une occasion unique et mémorable, l’évènement qu’on avait attendu dès le jour de la libération, et qui a donné sens à notre libération même ». Car « en tout déporté, il y a un humilié qui sommeille » explique Henri Borlant, qui a choisi d’intituler son récit Merci d’avoir su</w:t>
      </w:r>
      <w:r w:rsidRPr="005B13F8">
        <w:t>r</w:t>
      </w:r>
      <w:r w:rsidRPr="005B13F8">
        <w:t>vécu. Quand l’ancien déporté sait qu’il est sinon compris, du moins vérit</w:t>
      </w:r>
      <w:r w:rsidRPr="005B13F8">
        <w:t>a</w:t>
      </w:r>
      <w:r w:rsidRPr="005B13F8">
        <w:t>blement écouté, son témo</w:t>
      </w:r>
      <w:r w:rsidRPr="005B13F8">
        <w:t>i</w:t>
      </w:r>
      <w:r w:rsidRPr="005B13F8">
        <w:t xml:space="preserve">gnage lui rend sa dignité dans la partie même de son identité qui a été humiliée » ; </w:t>
      </w:r>
      <w:r>
        <w:t>Annette Wi</w:t>
      </w:r>
      <w:r>
        <w:t>e</w:t>
      </w:r>
      <w:r>
        <w:t>viorka</w:t>
      </w:r>
      <w:r w:rsidRPr="005B13F8">
        <w:t xml:space="preserve">, </w:t>
      </w:r>
      <w:r>
        <w:t>ouv. cit.</w:t>
      </w:r>
      <w:r w:rsidRPr="005B13F8">
        <w:t>, page 150.</w:t>
      </w:r>
    </w:p>
  </w:footnote>
  <w:footnote w:id="970">
    <w:p w14:paraId="3E0D6903" w14:textId="77777777" w:rsidR="00B01930" w:rsidRDefault="00B01930" w:rsidP="00B01930">
      <w:pPr>
        <w:pStyle w:val="Notedebasdepage"/>
      </w:pPr>
      <w:r>
        <w:rPr>
          <w:rStyle w:val="Appelnotedebasdep"/>
        </w:rPr>
        <w:footnoteRef/>
      </w:r>
      <w:r>
        <w:t xml:space="preserve"> </w:t>
      </w:r>
      <w:r>
        <w:tab/>
      </w:r>
      <w:r w:rsidRPr="00D21CC2">
        <w:rPr>
          <w:lang w:val="fr-FR"/>
        </w:rPr>
        <w:t>Celle-ci n’ayant trouvé à s’exprimer que bien des années plus tard.</w:t>
      </w:r>
    </w:p>
  </w:footnote>
  <w:footnote w:id="971">
    <w:p w14:paraId="23825D2D" w14:textId="77777777" w:rsidR="00B01930" w:rsidRDefault="00B01930" w:rsidP="00B01930">
      <w:pPr>
        <w:pStyle w:val="Notedebasdepage"/>
      </w:pPr>
      <w:r>
        <w:rPr>
          <w:rStyle w:val="Appelnotedebasdep"/>
        </w:rPr>
        <w:footnoteRef/>
      </w:r>
      <w:r>
        <w:t xml:space="preserve"> </w:t>
      </w:r>
      <w:r>
        <w:tab/>
      </w:r>
      <w:r w:rsidRPr="00E854D6">
        <w:rPr>
          <w:lang w:val="fr-FR"/>
        </w:rPr>
        <w:t>Cf</w:t>
      </w:r>
      <w:r>
        <w:rPr>
          <w:lang w:val="fr-FR"/>
        </w:rPr>
        <w:t>.</w:t>
      </w:r>
      <w:r w:rsidRPr="00E854D6">
        <w:rPr>
          <w:lang w:val="fr-FR"/>
        </w:rPr>
        <w:t xml:space="preserve"> Eise</w:t>
      </w:r>
      <w:r>
        <w:rPr>
          <w:lang w:val="fr-FR"/>
        </w:rPr>
        <w:t xml:space="preserve">nhower, 1949, </w:t>
      </w:r>
      <w:r w:rsidRPr="00782DF0">
        <w:rPr>
          <w:i/>
          <w:lang w:val="fr-FR"/>
        </w:rPr>
        <w:t>idem,</w:t>
      </w:r>
      <w:r>
        <w:rPr>
          <w:lang w:val="fr-FR"/>
        </w:rPr>
        <w:t xml:space="preserve"> pages 461 et 462.</w:t>
      </w:r>
    </w:p>
  </w:footnote>
  <w:footnote w:id="972">
    <w:p w14:paraId="5B3D586B" w14:textId="77777777" w:rsidR="00B01930" w:rsidRDefault="00B01930">
      <w:pPr>
        <w:pStyle w:val="Notedebasdepage"/>
      </w:pPr>
      <w:r>
        <w:rPr>
          <w:rStyle w:val="Appelnotedebasdep"/>
        </w:rPr>
        <w:footnoteRef/>
      </w:r>
      <w:r>
        <w:t xml:space="preserve"> </w:t>
      </w:r>
      <w:r>
        <w:tab/>
      </w:r>
      <w:r w:rsidRPr="0004576F">
        <w:t xml:space="preserve">Pierre Teilhard de Chardin, </w:t>
      </w:r>
      <w:hyperlink r:id="rId40" w:history="1">
        <w:r w:rsidRPr="006D27F8">
          <w:rPr>
            <w:rStyle w:val="Hyperlien"/>
            <w:i/>
          </w:rPr>
          <w:t>Hymne de l’univers</w:t>
        </w:r>
      </w:hyperlink>
      <w:r w:rsidRPr="0004576F">
        <w:t>, Paris, Le Seuil Seuil, 1961.</w:t>
      </w:r>
    </w:p>
  </w:footnote>
  <w:footnote w:id="973">
    <w:p w14:paraId="5B75EF3D" w14:textId="77777777" w:rsidR="00B01930" w:rsidRDefault="00B01930">
      <w:pPr>
        <w:pStyle w:val="Notedebasdepage"/>
      </w:pPr>
      <w:r>
        <w:rPr>
          <w:rStyle w:val="Appelnotedebasdep"/>
        </w:rPr>
        <w:footnoteRef/>
      </w:r>
      <w:r>
        <w:t xml:space="preserve"> </w:t>
      </w:r>
      <w:r>
        <w:tab/>
      </w:r>
      <w:r w:rsidRPr="0004576F">
        <w:t xml:space="preserve">Joseph V. Kopp, </w:t>
      </w:r>
      <w:r w:rsidRPr="0004576F">
        <w:rPr>
          <w:i/>
        </w:rPr>
        <w:t>Teilhard de Chardin</w:t>
      </w:r>
      <w:r w:rsidRPr="0004576F">
        <w:t>, Cork, The Mercier Press, 1965, p. 18.</w:t>
      </w:r>
    </w:p>
  </w:footnote>
  <w:footnote w:id="974">
    <w:p w14:paraId="5667E65A" w14:textId="77777777" w:rsidR="00B01930" w:rsidRDefault="00B01930">
      <w:pPr>
        <w:pStyle w:val="Notedebasdepage"/>
      </w:pPr>
      <w:r>
        <w:rPr>
          <w:rStyle w:val="Appelnotedebasdep"/>
        </w:rPr>
        <w:footnoteRef/>
      </w:r>
      <w:r>
        <w:t xml:space="preserve"> </w:t>
      </w:r>
      <w:r>
        <w:tab/>
      </w:r>
      <w:r w:rsidRPr="0004576F">
        <w:t xml:space="preserve">Pour une première approche de l’œuvre de Teilhard de Chardin, voir Pierre Teilhard de Chardin, </w:t>
      </w:r>
      <w:r w:rsidRPr="0004576F">
        <w:rPr>
          <w:i/>
        </w:rPr>
        <w:t>Je m’explique. Textes choisis et ordonnés par J.-P. D</w:t>
      </w:r>
      <w:r w:rsidRPr="0004576F">
        <w:rPr>
          <w:i/>
        </w:rPr>
        <w:t>e</w:t>
      </w:r>
      <w:r w:rsidRPr="0004576F">
        <w:rPr>
          <w:i/>
        </w:rPr>
        <w:t>moulin</w:t>
      </w:r>
      <w:r w:rsidRPr="0004576F">
        <w:t>, Paris, Le Seuil, 1966.</w:t>
      </w:r>
    </w:p>
  </w:footnote>
  <w:footnote w:id="975">
    <w:p w14:paraId="6AFCF9D0" w14:textId="77777777" w:rsidR="00B01930" w:rsidRDefault="00B01930">
      <w:pPr>
        <w:pStyle w:val="Notedebasdepage"/>
      </w:pPr>
      <w:r>
        <w:rPr>
          <w:rStyle w:val="Appelnotedebasdep"/>
        </w:rPr>
        <w:footnoteRef/>
      </w:r>
      <w:r>
        <w:t xml:space="preserve"> </w:t>
      </w:r>
      <w:r>
        <w:tab/>
      </w:r>
      <w:r w:rsidRPr="0004576F">
        <w:t xml:space="preserve">Madeleine Barthélémy-Madaule, </w:t>
      </w:r>
      <w:r w:rsidRPr="0004576F">
        <w:rPr>
          <w:i/>
        </w:rPr>
        <w:t>Bergson et Teilhard de Cha</w:t>
      </w:r>
      <w:r w:rsidRPr="0004576F">
        <w:rPr>
          <w:i/>
        </w:rPr>
        <w:t>r</w:t>
      </w:r>
      <w:r w:rsidRPr="0004576F">
        <w:rPr>
          <w:i/>
        </w:rPr>
        <w:t>din</w:t>
      </w:r>
      <w:r w:rsidRPr="0004576F">
        <w:t>, Paris, Le Seuil, 1963, p. 402.</w:t>
      </w:r>
    </w:p>
  </w:footnote>
  <w:footnote w:id="976">
    <w:p w14:paraId="060888B7" w14:textId="77777777" w:rsidR="00B01930" w:rsidRDefault="00B01930">
      <w:pPr>
        <w:pStyle w:val="Notedebasdepage"/>
      </w:pPr>
      <w:r>
        <w:rPr>
          <w:rStyle w:val="Appelnotedebasdep"/>
        </w:rPr>
        <w:footnoteRef/>
      </w:r>
      <w:r>
        <w:t xml:space="preserve"> </w:t>
      </w:r>
      <w:r>
        <w:tab/>
      </w:r>
      <w:r w:rsidRPr="0004576F">
        <w:t xml:space="preserve">Léopold Sédar Senghor, </w:t>
      </w:r>
      <w:r w:rsidRPr="0004576F">
        <w:rPr>
          <w:i/>
        </w:rPr>
        <w:t>Pierre Teilhard de Chardin et la polit</w:t>
      </w:r>
      <w:r w:rsidRPr="0004576F">
        <w:rPr>
          <w:i/>
        </w:rPr>
        <w:t>i</w:t>
      </w:r>
      <w:r w:rsidRPr="0004576F">
        <w:rPr>
          <w:i/>
        </w:rPr>
        <w:t>que africaine</w:t>
      </w:r>
      <w:r w:rsidRPr="0004576F">
        <w:t>, Paris, Le Seuil, 1962, p. 15.</w:t>
      </w:r>
    </w:p>
  </w:footnote>
  <w:footnote w:id="977">
    <w:p w14:paraId="10719A8B" w14:textId="77777777" w:rsidR="00B01930" w:rsidRDefault="00B01930">
      <w:pPr>
        <w:pStyle w:val="Notedebasdepage"/>
      </w:pPr>
      <w:r>
        <w:rPr>
          <w:rStyle w:val="Appelnotedebasdep"/>
        </w:rPr>
        <w:footnoteRef/>
      </w:r>
      <w:r>
        <w:t xml:space="preserve"> </w:t>
      </w:r>
      <w:r>
        <w:tab/>
      </w:r>
      <w:r w:rsidRPr="0004576F">
        <w:t xml:space="preserve">Paul Grenet, </w:t>
      </w:r>
      <w:r w:rsidRPr="0004576F">
        <w:rPr>
          <w:i/>
        </w:rPr>
        <w:t>Teilhard de Chardin. Un évolutionniste chrétien</w:t>
      </w:r>
      <w:r w:rsidRPr="0004576F">
        <w:t>, Paris, Seghers, 1961, p. 132.</w:t>
      </w:r>
    </w:p>
  </w:footnote>
  <w:footnote w:id="978">
    <w:p w14:paraId="7142739A" w14:textId="77777777" w:rsidR="00B01930" w:rsidRDefault="00B01930">
      <w:pPr>
        <w:pStyle w:val="Notedebasdepage"/>
      </w:pPr>
      <w:r>
        <w:rPr>
          <w:rStyle w:val="Appelnotedebasdep"/>
        </w:rPr>
        <w:footnoteRef/>
      </w:r>
      <w:r>
        <w:t xml:space="preserve"> </w:t>
      </w:r>
      <w:r>
        <w:tab/>
      </w:r>
      <w:r w:rsidRPr="0004576F">
        <w:t xml:space="preserve">R. Teldy Naïm, </w:t>
      </w:r>
      <w:r w:rsidRPr="0004576F">
        <w:rPr>
          <w:i/>
        </w:rPr>
        <w:t>Faut-il brûler Teilhard de Chardin ?</w:t>
      </w:r>
      <w:r w:rsidRPr="0004576F">
        <w:t>, Paris, Calmann-Lévy, 1959.</w:t>
      </w:r>
    </w:p>
  </w:footnote>
  <w:footnote w:id="979">
    <w:p w14:paraId="1D59C220" w14:textId="77777777" w:rsidR="00B01930" w:rsidRDefault="00B01930">
      <w:pPr>
        <w:pStyle w:val="Notedebasdepage"/>
      </w:pPr>
      <w:r>
        <w:rPr>
          <w:rStyle w:val="Appelnotedebasdep"/>
        </w:rPr>
        <w:footnoteRef/>
      </w:r>
      <w:r>
        <w:t xml:space="preserve"> </w:t>
      </w:r>
      <w:r>
        <w:tab/>
      </w:r>
      <w:r w:rsidRPr="0004576F">
        <w:t xml:space="preserve">Georges La Fay, </w:t>
      </w:r>
      <w:r w:rsidRPr="0004576F">
        <w:rPr>
          <w:i/>
        </w:rPr>
        <w:t>La montée de conscience. Essai de synthèse de la pensée de Teilhard de Chardin</w:t>
      </w:r>
      <w:r w:rsidRPr="0004576F">
        <w:t>, Paris, Les éditions ouvrières, 1964, p. 9.</w:t>
      </w:r>
    </w:p>
  </w:footnote>
  <w:footnote w:id="980">
    <w:p w14:paraId="1778FDC0" w14:textId="77777777" w:rsidR="00B01930" w:rsidRDefault="00B01930">
      <w:pPr>
        <w:pStyle w:val="Notedebasdepage"/>
      </w:pPr>
      <w:r>
        <w:rPr>
          <w:rStyle w:val="Appelnotedebasdep"/>
        </w:rPr>
        <w:footnoteRef/>
      </w:r>
      <w:r>
        <w:t xml:space="preserve"> </w:t>
      </w:r>
      <w:r>
        <w:tab/>
      </w:r>
      <w:r w:rsidRPr="0004576F">
        <w:t xml:space="preserve">Voir notamment Jacques Arnould, </w:t>
      </w:r>
      <w:r w:rsidRPr="0004576F">
        <w:rPr>
          <w:i/>
        </w:rPr>
        <w:t>Teilhard de Chardin</w:t>
      </w:r>
      <w:r w:rsidRPr="0004576F">
        <w:t>, Paris, Perrin, 2005.</w:t>
      </w:r>
    </w:p>
  </w:footnote>
  <w:footnote w:id="981">
    <w:p w14:paraId="17AB641A" w14:textId="77777777" w:rsidR="00B01930" w:rsidRDefault="00B01930">
      <w:pPr>
        <w:pStyle w:val="Notedebasdepage"/>
      </w:pPr>
      <w:r>
        <w:rPr>
          <w:rStyle w:val="Appelnotedebasdep"/>
        </w:rPr>
        <w:footnoteRef/>
      </w:r>
      <w:r>
        <w:t xml:space="preserve"> </w:t>
      </w:r>
      <w:r>
        <w:tab/>
      </w:r>
      <w:r w:rsidRPr="0004576F">
        <w:t xml:space="preserve">Michael H. Murray, </w:t>
      </w:r>
      <w:r w:rsidRPr="0004576F">
        <w:rPr>
          <w:i/>
        </w:rPr>
        <w:t>The Thought of Teilhard de Chardin</w:t>
      </w:r>
      <w:r w:rsidRPr="0004576F">
        <w:t>, New York, The Se</w:t>
      </w:r>
      <w:r w:rsidRPr="0004576F">
        <w:t>a</w:t>
      </w:r>
      <w:r w:rsidRPr="0004576F">
        <w:t>bury Press, 1966.</w:t>
      </w:r>
    </w:p>
  </w:footnote>
  <w:footnote w:id="982">
    <w:p w14:paraId="252BF983" w14:textId="77777777" w:rsidR="00B01930" w:rsidRDefault="00B01930">
      <w:pPr>
        <w:pStyle w:val="Notedebasdepage"/>
      </w:pPr>
      <w:r>
        <w:rPr>
          <w:rStyle w:val="Appelnotedebasdep"/>
        </w:rPr>
        <w:footnoteRef/>
      </w:r>
      <w:r>
        <w:t xml:space="preserve"> </w:t>
      </w:r>
      <w:r>
        <w:tab/>
      </w:r>
      <w:r w:rsidRPr="0004576F">
        <w:t xml:space="preserve">Pierre Teilhard de Chardin, </w:t>
      </w:r>
      <w:hyperlink r:id="rId41" w:history="1">
        <w:r w:rsidRPr="006D27F8">
          <w:rPr>
            <w:rStyle w:val="Hyperlien"/>
            <w:i/>
          </w:rPr>
          <w:t>Le cœur de la matière</w:t>
        </w:r>
      </w:hyperlink>
      <w:r w:rsidRPr="0004576F">
        <w:t>, Paris, Le Seuil, 1976, p. 25.</w:t>
      </w:r>
    </w:p>
  </w:footnote>
  <w:footnote w:id="983">
    <w:p w14:paraId="230FD5AE" w14:textId="77777777" w:rsidR="00B01930" w:rsidRDefault="00B01930">
      <w:pPr>
        <w:pStyle w:val="Notedebasdepage"/>
      </w:pPr>
      <w:r>
        <w:rPr>
          <w:rStyle w:val="Appelnotedebasdep"/>
        </w:rPr>
        <w:footnoteRef/>
      </w:r>
      <w:r>
        <w:t xml:space="preserve"> </w:t>
      </w:r>
      <w:r>
        <w:tab/>
      </w:r>
      <w:r w:rsidRPr="0004576F">
        <w:t xml:space="preserve">Jean-Pierre Cartier, </w:t>
      </w:r>
      <w:r w:rsidRPr="0004576F">
        <w:rPr>
          <w:i/>
        </w:rPr>
        <w:t>Teilhard de Chardin. Un pont entre deux rives</w:t>
      </w:r>
      <w:r w:rsidRPr="0004576F">
        <w:t>, Paris, La Table Ro</w:t>
      </w:r>
      <w:r w:rsidRPr="0004576F">
        <w:t>n</w:t>
      </w:r>
      <w:r w:rsidRPr="0004576F">
        <w:t>de, 2007, p. 58.</w:t>
      </w:r>
    </w:p>
  </w:footnote>
  <w:footnote w:id="984">
    <w:p w14:paraId="31854BCE" w14:textId="77777777" w:rsidR="00B01930" w:rsidRDefault="00B01930">
      <w:pPr>
        <w:pStyle w:val="Notedebasdepage"/>
      </w:pPr>
      <w:r>
        <w:rPr>
          <w:rStyle w:val="Appelnotedebasdep"/>
        </w:rPr>
        <w:footnoteRef/>
      </w:r>
      <w:r>
        <w:t xml:space="preserve"> </w:t>
      </w:r>
      <w:r>
        <w:tab/>
      </w:r>
      <w:r w:rsidRPr="0004576F">
        <w:t xml:space="preserve">Pierre Teilhard de Chardin, </w:t>
      </w:r>
      <w:r w:rsidRPr="0004576F">
        <w:rPr>
          <w:i/>
        </w:rPr>
        <w:t>Genèse d’une pensée. Lettres (1914-1919)</w:t>
      </w:r>
      <w:r w:rsidRPr="0004576F">
        <w:t xml:space="preserve">, Paris, Grasset, 1961 ; </w:t>
      </w:r>
      <w:r w:rsidRPr="0004576F">
        <w:rPr>
          <w:i/>
        </w:rPr>
        <w:t>idem</w:t>
      </w:r>
      <w:r w:rsidRPr="0004576F">
        <w:t xml:space="preserve">., </w:t>
      </w:r>
      <w:r w:rsidRPr="0004576F">
        <w:rPr>
          <w:i/>
        </w:rPr>
        <w:t>Écrits du temps de la guerre (1916-1919)</w:t>
      </w:r>
      <w:r w:rsidRPr="0004576F">
        <w:t>, Paris, Gra</w:t>
      </w:r>
      <w:r w:rsidRPr="0004576F">
        <w:t>s</w:t>
      </w:r>
      <w:r w:rsidRPr="0004576F">
        <w:t>set, 1965.</w:t>
      </w:r>
    </w:p>
  </w:footnote>
  <w:footnote w:id="985">
    <w:p w14:paraId="61B9DE46" w14:textId="77777777" w:rsidR="00B01930" w:rsidRDefault="00B01930">
      <w:pPr>
        <w:pStyle w:val="Notedebasdepage"/>
      </w:pPr>
      <w:r>
        <w:rPr>
          <w:rStyle w:val="Appelnotedebasdep"/>
        </w:rPr>
        <w:footnoteRef/>
      </w:r>
      <w:r>
        <w:t xml:space="preserve"> </w:t>
      </w:r>
      <w:r>
        <w:tab/>
      </w:r>
      <w:r w:rsidRPr="0004576F">
        <w:t>Paris, Masson, 1922.</w:t>
      </w:r>
    </w:p>
  </w:footnote>
  <w:footnote w:id="986">
    <w:p w14:paraId="3291055D" w14:textId="77777777" w:rsidR="00B01930" w:rsidRDefault="00B01930">
      <w:pPr>
        <w:pStyle w:val="Notedebasdepage"/>
      </w:pPr>
      <w:r>
        <w:rPr>
          <w:rStyle w:val="Appelnotedebasdep"/>
        </w:rPr>
        <w:footnoteRef/>
      </w:r>
      <w:r>
        <w:t xml:space="preserve"> </w:t>
      </w:r>
      <w:r>
        <w:tab/>
      </w:r>
      <w:r w:rsidRPr="0004576F">
        <w:t xml:space="preserve">Pierre Teilhard de Chardin, « La découverte du Sinanthrope », </w:t>
      </w:r>
      <w:r w:rsidRPr="0004576F">
        <w:rPr>
          <w:i/>
        </w:rPr>
        <w:t>Études</w:t>
      </w:r>
      <w:r w:rsidRPr="0004576F">
        <w:t>, juillet-août-septembre 1937, p. 5-13.</w:t>
      </w:r>
    </w:p>
  </w:footnote>
  <w:footnote w:id="987">
    <w:p w14:paraId="008783C6" w14:textId="77777777" w:rsidR="00B01930" w:rsidRDefault="00B01930">
      <w:pPr>
        <w:pStyle w:val="Notedebasdepage"/>
      </w:pPr>
      <w:r>
        <w:rPr>
          <w:rStyle w:val="Appelnotedebasdep"/>
        </w:rPr>
        <w:footnoteRef/>
      </w:r>
      <w:r>
        <w:t xml:space="preserve"> </w:t>
      </w:r>
      <w:r>
        <w:tab/>
      </w:r>
      <w:r w:rsidRPr="0004576F">
        <w:t xml:space="preserve">Bernard Honoré, </w:t>
      </w:r>
      <w:r w:rsidRPr="0004576F">
        <w:rPr>
          <w:i/>
        </w:rPr>
        <w:t>Lecture de Teilhard de Chardin. L’ouverture de la pensée et de la foi</w:t>
      </w:r>
      <w:r w:rsidRPr="0004576F">
        <w:t>, Paris, Aubin éditeur, 2008, p. 191.</w:t>
      </w:r>
    </w:p>
  </w:footnote>
  <w:footnote w:id="988">
    <w:p w14:paraId="69D7053D" w14:textId="77777777" w:rsidR="00B01930" w:rsidRDefault="00B01930">
      <w:pPr>
        <w:pStyle w:val="Notedebasdepage"/>
      </w:pPr>
      <w:r>
        <w:rPr>
          <w:rStyle w:val="Appelnotedebasdep"/>
        </w:rPr>
        <w:footnoteRef/>
      </w:r>
      <w:r>
        <w:t xml:space="preserve"> </w:t>
      </w:r>
      <w:r>
        <w:tab/>
      </w:r>
      <w:r w:rsidRPr="0004576F">
        <w:t xml:space="preserve">Henri de Lubac, </w:t>
      </w:r>
      <w:r w:rsidRPr="0004576F">
        <w:rPr>
          <w:i/>
        </w:rPr>
        <w:t>La Prière du père Teilhard de Chardin</w:t>
      </w:r>
      <w:r w:rsidRPr="0004576F">
        <w:t>, Paris, Fayard, 1968, p. 130-131.</w:t>
      </w:r>
    </w:p>
  </w:footnote>
  <w:footnote w:id="989">
    <w:p w14:paraId="78F0EBD8" w14:textId="77777777" w:rsidR="00B01930" w:rsidRDefault="00B01930">
      <w:pPr>
        <w:pStyle w:val="Notedebasdepage"/>
      </w:pPr>
      <w:r>
        <w:rPr>
          <w:rStyle w:val="Appelnotedebasdep"/>
        </w:rPr>
        <w:footnoteRef/>
      </w:r>
      <w:r>
        <w:t xml:space="preserve"> </w:t>
      </w:r>
      <w:r>
        <w:tab/>
      </w:r>
      <w:r w:rsidRPr="0004576F">
        <w:t xml:space="preserve">Sur la question, voir notamment Mary Linscott, </w:t>
      </w:r>
      <w:r w:rsidRPr="0004576F">
        <w:rPr>
          <w:i/>
        </w:rPr>
        <w:t>Teilhard today</w:t>
      </w:r>
      <w:r w:rsidRPr="0004576F">
        <w:t>, s. n., 1972.</w:t>
      </w:r>
    </w:p>
  </w:footnote>
  <w:footnote w:id="990">
    <w:p w14:paraId="4D94BE58" w14:textId="77777777" w:rsidR="00B01930" w:rsidRDefault="00B01930">
      <w:pPr>
        <w:pStyle w:val="Notedebasdepage"/>
      </w:pPr>
      <w:r>
        <w:rPr>
          <w:rStyle w:val="Appelnotedebasdep"/>
        </w:rPr>
        <w:footnoteRef/>
      </w:r>
      <w:r>
        <w:t xml:space="preserve"> </w:t>
      </w:r>
      <w:r>
        <w:tab/>
      </w:r>
      <w:r w:rsidRPr="0004576F">
        <w:t xml:space="preserve">Sur la question, voir notamment George Magloire, Hubert Cuypers, </w:t>
      </w:r>
      <w:r w:rsidRPr="0004576F">
        <w:rPr>
          <w:i/>
        </w:rPr>
        <w:t>Teilhard de Chardin. L’homme et l’œuvre</w:t>
      </w:r>
      <w:r w:rsidRPr="0004576F">
        <w:t>, Paris, Éditions universitaires, 1964, p. 167.</w:t>
      </w:r>
    </w:p>
  </w:footnote>
  <w:footnote w:id="991">
    <w:p w14:paraId="5E571FFE" w14:textId="77777777" w:rsidR="00B01930" w:rsidRDefault="00B01930">
      <w:pPr>
        <w:pStyle w:val="Notedebasdepage"/>
      </w:pPr>
      <w:r>
        <w:rPr>
          <w:rStyle w:val="Appelnotedebasdep"/>
        </w:rPr>
        <w:footnoteRef/>
      </w:r>
      <w:r>
        <w:t xml:space="preserve"> </w:t>
      </w:r>
      <w:r>
        <w:tab/>
      </w:r>
      <w:r w:rsidRPr="0004576F">
        <w:t xml:space="preserve">Voir notamment Claude Soucy, </w:t>
      </w:r>
      <w:r w:rsidRPr="0004576F">
        <w:rPr>
          <w:i/>
        </w:rPr>
        <w:t>Pensée logique et pensée politique chez Tei</w:t>
      </w:r>
      <w:r w:rsidRPr="0004576F">
        <w:rPr>
          <w:i/>
        </w:rPr>
        <w:t>l</w:t>
      </w:r>
      <w:r w:rsidRPr="0004576F">
        <w:rPr>
          <w:i/>
        </w:rPr>
        <w:t>hard de Chardin</w:t>
      </w:r>
      <w:r w:rsidRPr="0004576F">
        <w:t xml:space="preserve">, Paris, </w:t>
      </w:r>
      <w:r w:rsidRPr="0004576F">
        <w:rPr>
          <w:smallCaps/>
        </w:rPr>
        <w:t>Puf,</w:t>
      </w:r>
      <w:r w:rsidRPr="0004576F">
        <w:t xml:space="preserve"> 1967, p. 29.</w:t>
      </w:r>
    </w:p>
  </w:footnote>
  <w:footnote w:id="992">
    <w:p w14:paraId="4F732DF0" w14:textId="77777777" w:rsidR="00B01930" w:rsidRDefault="00B01930">
      <w:pPr>
        <w:pStyle w:val="Notedebasdepage"/>
      </w:pPr>
      <w:r>
        <w:rPr>
          <w:rStyle w:val="Appelnotedebasdep"/>
        </w:rPr>
        <w:footnoteRef/>
      </w:r>
      <w:r>
        <w:t xml:space="preserve"> </w:t>
      </w:r>
      <w:r>
        <w:tab/>
      </w:r>
      <w:r w:rsidRPr="0004576F">
        <w:t xml:space="preserve">Pierre Teilhard de Chardin, </w:t>
      </w:r>
      <w:r w:rsidRPr="0004576F">
        <w:rPr>
          <w:i/>
        </w:rPr>
        <w:t>Le Phénomène humain</w:t>
      </w:r>
      <w:r w:rsidRPr="0004576F">
        <w:t>, Paris, Le Seuil, 1955, p. 181.</w:t>
      </w:r>
    </w:p>
  </w:footnote>
  <w:footnote w:id="993">
    <w:p w14:paraId="10B621CA" w14:textId="77777777" w:rsidR="00B01930" w:rsidRDefault="00B01930">
      <w:pPr>
        <w:pStyle w:val="Notedebasdepage"/>
      </w:pPr>
      <w:r>
        <w:rPr>
          <w:rStyle w:val="Appelnotedebasdep"/>
        </w:rPr>
        <w:footnoteRef/>
      </w:r>
      <w:r>
        <w:t xml:space="preserve"> </w:t>
      </w:r>
      <w:r>
        <w:tab/>
      </w:r>
      <w:r w:rsidRPr="0004576F">
        <w:t xml:space="preserve">Claude Cuénot, </w:t>
      </w:r>
      <w:r w:rsidRPr="0004576F">
        <w:rPr>
          <w:i/>
        </w:rPr>
        <w:t>Teilhard de Chardin</w:t>
      </w:r>
      <w:r w:rsidRPr="0004576F">
        <w:t>, Paris, Le Seuil, coll. « Écrivains de to</w:t>
      </w:r>
      <w:r w:rsidRPr="0004576F">
        <w:t>u</w:t>
      </w:r>
      <w:r w:rsidRPr="0004576F">
        <w:t>jours », 1962, p. 125-126.</w:t>
      </w:r>
    </w:p>
  </w:footnote>
  <w:footnote w:id="994">
    <w:p w14:paraId="363AEE71" w14:textId="77777777" w:rsidR="00B01930" w:rsidRDefault="00B01930">
      <w:pPr>
        <w:pStyle w:val="Notedebasdepage"/>
      </w:pPr>
      <w:r>
        <w:rPr>
          <w:rStyle w:val="Appelnotedebasdep"/>
        </w:rPr>
        <w:footnoteRef/>
      </w:r>
      <w:r>
        <w:t xml:space="preserve"> </w:t>
      </w:r>
      <w:r>
        <w:tab/>
      </w:r>
      <w:r w:rsidRPr="0004576F">
        <w:t xml:space="preserve">Denis Mermod, </w:t>
      </w:r>
      <w:r w:rsidRPr="0004576F">
        <w:rPr>
          <w:i/>
        </w:rPr>
        <w:t>La Morale chez Teilhard</w:t>
      </w:r>
      <w:r w:rsidRPr="0004576F">
        <w:t>, Paris, Éditions unive</w:t>
      </w:r>
      <w:r w:rsidRPr="0004576F">
        <w:t>r</w:t>
      </w:r>
      <w:r w:rsidRPr="0004576F">
        <w:t>sitaires, 1967, p. 112-113.</w:t>
      </w:r>
    </w:p>
  </w:footnote>
  <w:footnote w:id="995">
    <w:p w14:paraId="0DDA3766" w14:textId="77777777" w:rsidR="00B01930" w:rsidRDefault="00B01930">
      <w:pPr>
        <w:pStyle w:val="Notedebasdepage"/>
      </w:pPr>
      <w:r>
        <w:rPr>
          <w:rStyle w:val="Appelnotedebasdep"/>
        </w:rPr>
        <w:footnoteRef/>
      </w:r>
      <w:r>
        <w:t xml:space="preserve"> </w:t>
      </w:r>
      <w:r>
        <w:tab/>
      </w:r>
      <w:r w:rsidRPr="0004576F">
        <w:t xml:space="preserve">Pierre Teilhard de Chardin, </w:t>
      </w:r>
      <w:r w:rsidRPr="0004576F">
        <w:rPr>
          <w:i/>
        </w:rPr>
        <w:t>L’Énergie humaine</w:t>
      </w:r>
      <w:r w:rsidRPr="0004576F">
        <w:t>, Paris, Le Seuil, 1962, p. 450.</w:t>
      </w:r>
    </w:p>
  </w:footnote>
  <w:footnote w:id="996">
    <w:p w14:paraId="078C0F70" w14:textId="77777777" w:rsidR="00B01930" w:rsidRDefault="00B01930">
      <w:pPr>
        <w:pStyle w:val="Notedebasdepage"/>
      </w:pPr>
      <w:r>
        <w:rPr>
          <w:rStyle w:val="Appelnotedebasdep"/>
        </w:rPr>
        <w:footnoteRef/>
      </w:r>
      <w:r>
        <w:t xml:space="preserve"> </w:t>
      </w:r>
      <w:r>
        <w:tab/>
      </w:r>
      <w:r w:rsidRPr="0004576F">
        <w:t xml:space="preserve">Pierre Teilhard de Chardin, </w:t>
      </w:r>
      <w:r w:rsidRPr="0004576F">
        <w:rPr>
          <w:i/>
        </w:rPr>
        <w:t>La Vision du Passé</w:t>
      </w:r>
      <w:r w:rsidRPr="0004576F">
        <w:t>, Paris, Le Seuil, 1957, p. 349.</w:t>
      </w:r>
    </w:p>
  </w:footnote>
  <w:footnote w:id="997">
    <w:p w14:paraId="2338E4D3" w14:textId="77777777" w:rsidR="00B01930" w:rsidRDefault="00B01930">
      <w:pPr>
        <w:pStyle w:val="Notedebasdepage"/>
      </w:pPr>
      <w:r>
        <w:rPr>
          <w:rStyle w:val="Appelnotedebasdep"/>
        </w:rPr>
        <w:footnoteRef/>
      </w:r>
      <w:r>
        <w:t xml:space="preserve"> </w:t>
      </w:r>
      <w:r>
        <w:tab/>
      </w:r>
      <w:r w:rsidRPr="0004576F">
        <w:t xml:space="preserve">Second mémoire du père Teilhard de Chardin au père Auguste Valensin, du 29 décembre 1919, cité </w:t>
      </w:r>
      <w:r w:rsidRPr="0004576F">
        <w:rPr>
          <w:i/>
        </w:rPr>
        <w:t xml:space="preserve">in </w:t>
      </w:r>
      <w:r w:rsidRPr="0004576F">
        <w:t xml:space="preserve">Henri de Lubac, </w:t>
      </w:r>
      <w:r w:rsidRPr="0004576F">
        <w:rPr>
          <w:i/>
        </w:rPr>
        <w:t>Blondel et Teilhard de Chardin. Correspondance comme</w:t>
      </w:r>
      <w:r w:rsidRPr="0004576F">
        <w:rPr>
          <w:i/>
        </w:rPr>
        <w:t>n</w:t>
      </w:r>
      <w:r w:rsidRPr="0004576F">
        <w:rPr>
          <w:i/>
        </w:rPr>
        <w:t>tée</w:t>
      </w:r>
      <w:r w:rsidRPr="0004576F">
        <w:t>, Paris, Beauchesne, 1965, p. 43.</w:t>
      </w:r>
    </w:p>
  </w:footnote>
  <w:footnote w:id="998">
    <w:p w14:paraId="58AF41C7" w14:textId="77777777" w:rsidR="00B01930" w:rsidRDefault="00B01930">
      <w:pPr>
        <w:pStyle w:val="Notedebasdepage"/>
      </w:pPr>
      <w:r>
        <w:rPr>
          <w:rStyle w:val="Appelnotedebasdep"/>
        </w:rPr>
        <w:footnoteRef/>
      </w:r>
      <w:r>
        <w:t xml:space="preserve"> </w:t>
      </w:r>
      <w:r>
        <w:tab/>
      </w:r>
      <w:r w:rsidRPr="0004576F">
        <w:t xml:space="preserve">Voir Nicolas Corte, </w:t>
      </w:r>
      <w:r w:rsidRPr="0004576F">
        <w:rPr>
          <w:i/>
        </w:rPr>
        <w:t>La Vie et l’âme de Teilhard de Chardin</w:t>
      </w:r>
      <w:r w:rsidRPr="0004576F">
        <w:t>, P</w:t>
      </w:r>
      <w:r w:rsidRPr="0004576F">
        <w:t>a</w:t>
      </w:r>
      <w:r w:rsidRPr="0004576F">
        <w:t>ris, Fayard, 1957, p. 128-129.</w:t>
      </w:r>
    </w:p>
  </w:footnote>
  <w:footnote w:id="999">
    <w:p w14:paraId="567B41F0" w14:textId="77777777" w:rsidR="00B01930" w:rsidRDefault="00B01930">
      <w:pPr>
        <w:pStyle w:val="Notedebasdepage"/>
      </w:pPr>
      <w:r>
        <w:rPr>
          <w:rStyle w:val="Appelnotedebasdep"/>
        </w:rPr>
        <w:footnoteRef/>
      </w:r>
      <w:r>
        <w:t xml:space="preserve"> </w:t>
      </w:r>
      <w:r>
        <w:tab/>
      </w:r>
      <w:r w:rsidRPr="0004576F">
        <w:t xml:space="preserve">Ainsi, </w:t>
      </w:r>
      <w:r w:rsidRPr="0004576F">
        <w:rPr>
          <w:i/>
        </w:rPr>
        <w:t>Le Phénomène humain</w:t>
      </w:r>
      <w:r w:rsidRPr="0004576F">
        <w:t xml:space="preserve"> s’ouvre par un avertissement : « </w:t>
      </w:r>
      <w:r w:rsidRPr="0004576F">
        <w:rPr>
          <w:i/>
        </w:rPr>
        <w:t>Pour être corre</w:t>
      </w:r>
      <w:r w:rsidRPr="0004576F">
        <w:rPr>
          <w:i/>
        </w:rPr>
        <w:t>c</w:t>
      </w:r>
      <w:r w:rsidRPr="0004576F">
        <w:rPr>
          <w:i/>
        </w:rPr>
        <w:t>tement compris, le livre que je présente demande à être lu, non pas comme un ouvrage métaph</w:t>
      </w:r>
      <w:r w:rsidRPr="0004576F">
        <w:rPr>
          <w:i/>
        </w:rPr>
        <w:t>y</w:t>
      </w:r>
      <w:r w:rsidRPr="0004576F">
        <w:rPr>
          <w:i/>
        </w:rPr>
        <w:t>sique, encore moins comme une sorte d’essai théologique, mais uniquement et exclusiv</w:t>
      </w:r>
      <w:r w:rsidRPr="0004576F">
        <w:rPr>
          <w:i/>
        </w:rPr>
        <w:t>e</w:t>
      </w:r>
      <w:r w:rsidRPr="0004576F">
        <w:rPr>
          <w:i/>
        </w:rPr>
        <w:t>ment comme un mémoire scientifique</w:t>
      </w:r>
      <w:r w:rsidRPr="0004576F">
        <w:t>. »</w:t>
      </w:r>
    </w:p>
  </w:footnote>
  <w:footnote w:id="1000">
    <w:p w14:paraId="519D7B70" w14:textId="77777777" w:rsidR="00B01930" w:rsidRDefault="00B01930">
      <w:pPr>
        <w:pStyle w:val="Notedebasdepage"/>
      </w:pPr>
      <w:r>
        <w:rPr>
          <w:rStyle w:val="Appelnotedebasdep"/>
        </w:rPr>
        <w:footnoteRef/>
      </w:r>
      <w:r>
        <w:t xml:space="preserve"> </w:t>
      </w:r>
      <w:r>
        <w:tab/>
      </w:r>
      <w:r w:rsidRPr="0004576F">
        <w:t>L’œuvre théologique de Teilhard de Chardin est d’une grande r</w:t>
      </w:r>
      <w:r w:rsidRPr="0004576F">
        <w:t>i</w:t>
      </w:r>
      <w:r w:rsidRPr="0004576F">
        <w:t xml:space="preserve">chesse. Sur la question, voir notamment Jeanne-Marie Mortier, </w:t>
      </w:r>
      <w:r w:rsidRPr="0004576F">
        <w:rPr>
          <w:i/>
        </w:rPr>
        <w:t>Avec Teilhard de Chardin. « Vues ardentes »</w:t>
      </w:r>
      <w:r w:rsidRPr="0004576F">
        <w:t>, P</w:t>
      </w:r>
      <w:r w:rsidRPr="0004576F">
        <w:t>a</w:t>
      </w:r>
      <w:r w:rsidRPr="0004576F">
        <w:t>ris, Le Seuil, 1967.</w:t>
      </w:r>
    </w:p>
  </w:footnote>
  <w:footnote w:id="1001">
    <w:p w14:paraId="21955D11" w14:textId="77777777" w:rsidR="00B01930" w:rsidRDefault="00B01930">
      <w:pPr>
        <w:pStyle w:val="Notedebasdepage"/>
      </w:pPr>
      <w:r>
        <w:rPr>
          <w:rStyle w:val="Appelnotedebasdep"/>
        </w:rPr>
        <w:footnoteRef/>
      </w:r>
      <w:r>
        <w:t xml:space="preserve"> </w:t>
      </w:r>
      <w:r>
        <w:tab/>
      </w:r>
      <w:r w:rsidRPr="0004576F">
        <w:t>Nous utilisons sciemment le terme « apparent » car le chaos était lui-même po</w:t>
      </w:r>
      <w:r w:rsidRPr="0004576F">
        <w:t>r</w:t>
      </w:r>
      <w:r w:rsidRPr="0004576F">
        <w:t>teur des grandes lois de la physique sans lesquelles l’univers serait resté à l’état de chaos et n’aurait jamais franchi le mur de Planck.</w:t>
      </w:r>
    </w:p>
  </w:footnote>
  <w:footnote w:id="1002">
    <w:p w14:paraId="7A2025CC" w14:textId="77777777" w:rsidR="00B01930" w:rsidRDefault="00B01930">
      <w:pPr>
        <w:pStyle w:val="Notedebasdepage"/>
      </w:pPr>
      <w:r>
        <w:rPr>
          <w:rStyle w:val="Appelnotedebasdep"/>
        </w:rPr>
        <w:footnoteRef/>
      </w:r>
      <w:r>
        <w:t xml:space="preserve"> </w:t>
      </w:r>
      <w:r>
        <w:tab/>
      </w:r>
      <w:r w:rsidRPr="0004576F">
        <w:t>Il est intéressant de noter que, contrairement à l’histoire officielle de la scie</w:t>
      </w:r>
      <w:r w:rsidRPr="0004576F">
        <w:t>n</w:t>
      </w:r>
      <w:r w:rsidRPr="0004576F">
        <w:t>ce, trop so</w:t>
      </w:r>
      <w:r w:rsidRPr="0004576F">
        <w:t>u</w:t>
      </w:r>
      <w:r w:rsidRPr="0004576F">
        <w:t xml:space="preserve">vent réécrite à son avantage et contre la religion, la théorie du </w:t>
      </w:r>
      <w:r w:rsidRPr="0004576F">
        <w:rPr>
          <w:i/>
        </w:rPr>
        <w:t>Big bang</w:t>
      </w:r>
      <w:r w:rsidRPr="0004576F">
        <w:t xml:space="preserve"> n’a pas été établie par l’astronome américain Edwin Hubble en 1929, mais deux ans plus tôt par un religieux, le chanoine belge Georges Lemaître, Hubble se contentant de la confi</w:t>
      </w:r>
      <w:r w:rsidRPr="0004576F">
        <w:t>r</w:t>
      </w:r>
      <w:r w:rsidRPr="0004576F">
        <w:t>mer… et de se l’approprier ; cf. Georges Lemaître, « Un Univers h</w:t>
      </w:r>
      <w:r w:rsidRPr="0004576F">
        <w:t>o</w:t>
      </w:r>
      <w:r w:rsidRPr="0004576F">
        <w:t xml:space="preserve">mogène de masse constante et de rayon croissant rendant compte de la vitesse radiale des nébuleuses extragalactiques », </w:t>
      </w:r>
      <w:r w:rsidRPr="0004576F">
        <w:rPr>
          <w:i/>
        </w:rPr>
        <w:t>Ann</w:t>
      </w:r>
      <w:r w:rsidRPr="0004576F">
        <w:rPr>
          <w:i/>
        </w:rPr>
        <w:t>a</w:t>
      </w:r>
      <w:r w:rsidRPr="0004576F">
        <w:rPr>
          <w:i/>
        </w:rPr>
        <w:t>les de la Soci</w:t>
      </w:r>
      <w:r w:rsidRPr="0004576F">
        <w:rPr>
          <w:i/>
        </w:rPr>
        <w:t>é</w:t>
      </w:r>
      <w:r w:rsidRPr="0004576F">
        <w:rPr>
          <w:i/>
        </w:rPr>
        <w:t>té des Sciences Sociales de Bruxelles</w:t>
      </w:r>
      <w:r w:rsidRPr="0004576F">
        <w:t xml:space="preserve">, vol. A 47, 1927 ; </w:t>
      </w:r>
      <w:r w:rsidRPr="0004576F">
        <w:rPr>
          <w:i/>
        </w:rPr>
        <w:t>Idem</w:t>
      </w:r>
      <w:r w:rsidRPr="0004576F">
        <w:t xml:space="preserve">, « L’Univers en expansion », </w:t>
      </w:r>
      <w:r w:rsidRPr="0004576F">
        <w:rPr>
          <w:i/>
        </w:rPr>
        <w:t>Annales de la Société des sciences de Bruxelles</w:t>
      </w:r>
      <w:r w:rsidRPr="0004576F">
        <w:t>, vol. 53A, 1933, p. 51-83 ; Eugenie Samuel Reich, « Edwin Hubble in transl</w:t>
      </w:r>
      <w:r w:rsidRPr="0004576F">
        <w:t>a</w:t>
      </w:r>
      <w:r w:rsidRPr="0004576F">
        <w:t>tion tro</w:t>
      </w:r>
      <w:r w:rsidRPr="0004576F">
        <w:t>u</w:t>
      </w:r>
      <w:r w:rsidRPr="0004576F">
        <w:t xml:space="preserve">ble », </w:t>
      </w:r>
      <w:hyperlink r:id="rId42" w:history="1">
        <w:r w:rsidRPr="007605B6">
          <w:rPr>
            <w:rStyle w:val="Hyperlien"/>
            <w:i/>
          </w:rPr>
          <w:t>Nature</w:t>
        </w:r>
      </w:hyperlink>
      <w:r>
        <w:t xml:space="preserve">. </w:t>
      </w:r>
      <w:r w:rsidRPr="0004576F">
        <w:t>[consulté le 17 septembre 2014] ; Mario Livio, « </w:t>
      </w:r>
      <w:hyperlink r:id="rId43" w:history="1">
        <w:r w:rsidRPr="007605B6">
          <w:rPr>
            <w:rStyle w:val="Hyperlien"/>
            <w:i/>
          </w:rPr>
          <w:t>The expanding universe : lost (in translation) and foun</w:t>
        </w:r>
      </w:hyperlink>
      <w:r w:rsidRPr="0004576F">
        <w:rPr>
          <w:i/>
        </w:rPr>
        <w:t>d </w:t>
      </w:r>
      <w:r>
        <w:t xml:space="preserve">» </w:t>
      </w:r>
      <w:r w:rsidRPr="0004576F">
        <w:t>[consulté le 17 septe</w:t>
      </w:r>
      <w:r w:rsidRPr="0004576F">
        <w:t>m</w:t>
      </w:r>
      <w:r w:rsidRPr="0004576F">
        <w:t>bre 2014].</w:t>
      </w:r>
    </w:p>
  </w:footnote>
  <w:footnote w:id="1003">
    <w:p w14:paraId="3E56EE08" w14:textId="77777777" w:rsidR="00B01930" w:rsidRDefault="00B01930">
      <w:pPr>
        <w:pStyle w:val="Notedebasdepage"/>
      </w:pPr>
      <w:r>
        <w:rPr>
          <w:rStyle w:val="Appelnotedebasdep"/>
        </w:rPr>
        <w:footnoteRef/>
      </w:r>
      <w:r>
        <w:t xml:space="preserve"> </w:t>
      </w:r>
      <w:r>
        <w:tab/>
      </w:r>
      <w:r w:rsidRPr="0004576F">
        <w:t>Henri Bergson,</w:t>
      </w:r>
      <w:r w:rsidRPr="0004576F">
        <w:rPr>
          <w:i/>
        </w:rPr>
        <w:t xml:space="preserve"> </w:t>
      </w:r>
      <w:hyperlink r:id="rId44" w:history="1">
        <w:r w:rsidRPr="007605B6">
          <w:rPr>
            <w:rStyle w:val="Hyperlien"/>
            <w:i/>
          </w:rPr>
          <w:t>La Pensée et le mouvant. Essais et conférences</w:t>
        </w:r>
      </w:hyperlink>
      <w:r w:rsidRPr="0004576F">
        <w:t>, Paris, P</w:t>
      </w:r>
      <w:r w:rsidRPr="0004576F">
        <w:rPr>
          <w:smallCaps/>
        </w:rPr>
        <w:t>uf</w:t>
      </w:r>
      <w:r w:rsidRPr="0004576F">
        <w:t>, 79</w:t>
      </w:r>
      <w:r w:rsidRPr="0004576F">
        <w:rPr>
          <w:vertAlign w:val="superscript"/>
        </w:rPr>
        <w:t>e</w:t>
      </w:r>
      <w:r w:rsidRPr="0004576F">
        <w:t xml:space="preserve"> éd., 1969, p. 111.</w:t>
      </w:r>
    </w:p>
  </w:footnote>
  <w:footnote w:id="1004">
    <w:p w14:paraId="27F68A8A" w14:textId="77777777" w:rsidR="00B01930" w:rsidRDefault="00B01930">
      <w:pPr>
        <w:pStyle w:val="Notedebasdepage"/>
      </w:pPr>
      <w:r>
        <w:rPr>
          <w:rStyle w:val="Appelnotedebasdep"/>
        </w:rPr>
        <w:footnoteRef/>
      </w:r>
      <w:r>
        <w:t xml:space="preserve"> </w:t>
      </w:r>
      <w:r>
        <w:tab/>
      </w:r>
      <w:r w:rsidRPr="0004576F">
        <w:t xml:space="preserve">Zhang Zai, </w:t>
      </w:r>
      <w:r w:rsidRPr="0004576F">
        <w:rPr>
          <w:i/>
        </w:rPr>
        <w:t>Zhengmeng</w:t>
      </w:r>
      <w:r w:rsidRPr="0004576F">
        <w:t xml:space="preserve">, Pékin, 1971, p. 24, cité </w:t>
      </w:r>
      <w:r w:rsidRPr="0004576F">
        <w:rPr>
          <w:i/>
        </w:rPr>
        <w:t xml:space="preserve">in </w:t>
      </w:r>
      <w:r w:rsidRPr="0004576F">
        <w:t xml:space="preserve">Anne Cheng, </w:t>
      </w:r>
      <w:r w:rsidRPr="0004576F">
        <w:rPr>
          <w:i/>
        </w:rPr>
        <w:t>Histoire de la pensée chinoise</w:t>
      </w:r>
      <w:r w:rsidRPr="0004576F">
        <w:t>, Le Seuil, 1997, p. 436.</w:t>
      </w:r>
    </w:p>
  </w:footnote>
  <w:footnote w:id="1005">
    <w:p w14:paraId="382D9D9C" w14:textId="77777777" w:rsidR="00B01930" w:rsidRDefault="00B01930">
      <w:pPr>
        <w:pStyle w:val="Notedebasdepage"/>
      </w:pPr>
      <w:r>
        <w:rPr>
          <w:rStyle w:val="Appelnotedebasdep"/>
        </w:rPr>
        <w:footnoteRef/>
      </w:r>
      <w:r>
        <w:t xml:space="preserve"> </w:t>
      </w:r>
      <w:r>
        <w:tab/>
      </w:r>
      <w:r w:rsidRPr="0004576F">
        <w:t xml:space="preserve">Voir Bernard Charbonneau, </w:t>
      </w:r>
      <w:r w:rsidRPr="0004576F">
        <w:rPr>
          <w:i/>
        </w:rPr>
        <w:t>Teilhard de Chardin, prophète d’un âge totalita</w:t>
      </w:r>
      <w:r w:rsidRPr="0004576F">
        <w:rPr>
          <w:i/>
        </w:rPr>
        <w:t>i</w:t>
      </w:r>
      <w:r w:rsidRPr="0004576F">
        <w:rPr>
          <w:i/>
        </w:rPr>
        <w:t>re</w:t>
      </w:r>
      <w:r w:rsidRPr="0004576F">
        <w:t>, Paris, Denoël, 1963.</w:t>
      </w:r>
    </w:p>
  </w:footnote>
  <w:footnote w:id="1006">
    <w:p w14:paraId="49043C78" w14:textId="77777777" w:rsidR="00B01930" w:rsidRDefault="00B01930">
      <w:pPr>
        <w:pStyle w:val="Notedebasdepage"/>
      </w:pPr>
      <w:r>
        <w:rPr>
          <w:rStyle w:val="Appelnotedebasdep"/>
        </w:rPr>
        <w:footnoteRef/>
      </w:r>
      <w:r>
        <w:t xml:space="preserve"> </w:t>
      </w:r>
      <w:r>
        <w:tab/>
      </w:r>
      <w:r w:rsidRPr="0004576F">
        <w:t xml:space="preserve">Pierre Teilhard de Chardin, </w:t>
      </w:r>
      <w:r w:rsidRPr="0004576F">
        <w:rPr>
          <w:i/>
        </w:rPr>
        <w:t>L’Énergie humaine</w:t>
      </w:r>
      <w:r w:rsidRPr="0004576F">
        <w:t xml:space="preserve">, </w:t>
      </w:r>
      <w:r w:rsidRPr="0004576F">
        <w:rPr>
          <w:i/>
        </w:rPr>
        <w:t>op. cit.</w:t>
      </w:r>
      <w:r w:rsidRPr="0004576F">
        <w:t>, 1962, p. 46.</w:t>
      </w:r>
    </w:p>
  </w:footnote>
  <w:footnote w:id="1007">
    <w:p w14:paraId="4290966B" w14:textId="77777777" w:rsidR="00B01930" w:rsidRDefault="00B01930">
      <w:pPr>
        <w:pStyle w:val="Notedebasdepage"/>
      </w:pPr>
      <w:r>
        <w:rPr>
          <w:rStyle w:val="Appelnotedebasdep"/>
        </w:rPr>
        <w:footnoteRef/>
      </w:r>
      <w:r>
        <w:t xml:space="preserve"> </w:t>
      </w:r>
      <w:r>
        <w:tab/>
      </w:r>
      <w:r w:rsidRPr="0004576F">
        <w:t xml:space="preserve">Pierre Teilhard de Chardin, « Conférence prononcée à Pékin, le 25 décembre 1945 », </w:t>
      </w:r>
      <w:r w:rsidRPr="0004576F">
        <w:rPr>
          <w:i/>
        </w:rPr>
        <w:t>C</w:t>
      </w:r>
      <w:r w:rsidRPr="0004576F">
        <w:rPr>
          <w:i/>
        </w:rPr>
        <w:t>a</w:t>
      </w:r>
      <w:r w:rsidRPr="0004576F">
        <w:rPr>
          <w:i/>
        </w:rPr>
        <w:t>hiers du Monde Nouveau</w:t>
      </w:r>
      <w:r w:rsidRPr="0004576F">
        <w:t>, août-septembre 1946.</w:t>
      </w:r>
    </w:p>
  </w:footnote>
  <w:footnote w:id="1008">
    <w:p w14:paraId="3FE76402" w14:textId="77777777" w:rsidR="00B01930" w:rsidRDefault="00B01930">
      <w:pPr>
        <w:pStyle w:val="Notedebasdepage"/>
      </w:pPr>
      <w:r>
        <w:rPr>
          <w:rStyle w:val="Appelnotedebasdep"/>
        </w:rPr>
        <w:footnoteRef/>
      </w:r>
      <w:r>
        <w:t xml:space="preserve"> </w:t>
      </w:r>
      <w:r>
        <w:tab/>
      </w:r>
      <w:r w:rsidRPr="0004576F">
        <w:t xml:space="preserve">Voir notamment Robert Coffy, </w:t>
      </w:r>
      <w:r w:rsidRPr="0004576F">
        <w:rPr>
          <w:i/>
        </w:rPr>
        <w:t>Teilhard de Chardin et le soci</w:t>
      </w:r>
      <w:r w:rsidRPr="0004576F">
        <w:rPr>
          <w:i/>
        </w:rPr>
        <w:t>a</w:t>
      </w:r>
      <w:r w:rsidRPr="0004576F">
        <w:rPr>
          <w:i/>
        </w:rPr>
        <w:t>lisme</w:t>
      </w:r>
      <w:r w:rsidRPr="0004576F">
        <w:t>, Paris, Chroniques sociales de France, 1966.</w:t>
      </w:r>
    </w:p>
  </w:footnote>
  <w:footnote w:id="1009">
    <w:p w14:paraId="2AF4721A" w14:textId="77777777" w:rsidR="00B01930" w:rsidRDefault="00B01930">
      <w:pPr>
        <w:pStyle w:val="Notedebasdepage"/>
      </w:pPr>
      <w:r>
        <w:rPr>
          <w:rStyle w:val="Appelnotedebasdep"/>
        </w:rPr>
        <w:footnoteRef/>
      </w:r>
      <w:r>
        <w:t xml:space="preserve"> </w:t>
      </w:r>
      <w:r>
        <w:tab/>
      </w:r>
      <w:r w:rsidRPr="0004576F">
        <w:t xml:space="preserve">Pierre Teilhard de Chardin, </w:t>
      </w:r>
      <w:hyperlink r:id="rId45" w:history="1">
        <w:r w:rsidRPr="007605B6">
          <w:rPr>
            <w:rStyle w:val="Hyperlien"/>
            <w:i/>
          </w:rPr>
          <w:t>Le Phénomène humain</w:t>
        </w:r>
      </w:hyperlink>
      <w:r w:rsidRPr="0004576F">
        <w:t xml:space="preserve">, </w:t>
      </w:r>
      <w:r w:rsidRPr="0004576F">
        <w:rPr>
          <w:i/>
        </w:rPr>
        <w:t>op. cit.</w:t>
      </w:r>
      <w:r w:rsidRPr="0004576F">
        <w:t>, p. 265.</w:t>
      </w:r>
    </w:p>
  </w:footnote>
  <w:footnote w:id="1010">
    <w:p w14:paraId="7ECA0CF5" w14:textId="77777777" w:rsidR="00B01930" w:rsidRDefault="00B01930">
      <w:pPr>
        <w:pStyle w:val="Notedebasdepage"/>
      </w:pPr>
      <w:r>
        <w:rPr>
          <w:rStyle w:val="Appelnotedebasdep"/>
        </w:rPr>
        <w:footnoteRef/>
      </w:r>
      <w:r>
        <w:t xml:space="preserve"> </w:t>
      </w:r>
      <w:r>
        <w:tab/>
      </w:r>
      <w:r w:rsidRPr="0004576F">
        <w:rPr>
          <w:i/>
          <w:szCs w:val="18"/>
        </w:rPr>
        <w:t>Ibid</w:t>
      </w:r>
      <w:r w:rsidRPr="0004576F">
        <w:t>., p. 266-267.</w:t>
      </w:r>
    </w:p>
  </w:footnote>
  <w:footnote w:id="1011">
    <w:p w14:paraId="28601814" w14:textId="77777777" w:rsidR="00B01930" w:rsidRDefault="00B01930">
      <w:pPr>
        <w:pStyle w:val="Notedebasdepage"/>
      </w:pPr>
      <w:r>
        <w:rPr>
          <w:rStyle w:val="Appelnotedebasdep"/>
        </w:rPr>
        <w:footnoteRef/>
      </w:r>
      <w:r>
        <w:t xml:space="preserve"> </w:t>
      </w:r>
      <w:r>
        <w:tab/>
      </w:r>
      <w:r w:rsidRPr="0004576F">
        <w:rPr>
          <w:i/>
          <w:szCs w:val="18"/>
        </w:rPr>
        <w:t>Ibid</w:t>
      </w:r>
      <w:r w:rsidRPr="0004576F">
        <w:t>., p. 268.</w:t>
      </w:r>
    </w:p>
  </w:footnote>
  <w:footnote w:id="1012">
    <w:p w14:paraId="09888186" w14:textId="77777777" w:rsidR="00B01930" w:rsidRDefault="00B01930">
      <w:pPr>
        <w:pStyle w:val="Notedebasdepage"/>
      </w:pPr>
      <w:r>
        <w:rPr>
          <w:rStyle w:val="Appelnotedebasdep"/>
        </w:rPr>
        <w:footnoteRef/>
      </w:r>
      <w:r>
        <w:t xml:space="preserve"> </w:t>
      </w:r>
      <w:r>
        <w:tab/>
      </w:r>
      <w:r w:rsidRPr="0004576F">
        <w:rPr>
          <w:i/>
          <w:szCs w:val="18"/>
        </w:rPr>
        <w:t>Ibid</w:t>
      </w:r>
      <w:r w:rsidRPr="0004576F">
        <w:t>., p. 269.</w:t>
      </w:r>
    </w:p>
  </w:footnote>
  <w:footnote w:id="1013">
    <w:p w14:paraId="54DDA561" w14:textId="77777777" w:rsidR="00B01930" w:rsidRDefault="00B01930">
      <w:pPr>
        <w:pStyle w:val="Notedebasdepage"/>
      </w:pPr>
      <w:r>
        <w:rPr>
          <w:rStyle w:val="Appelnotedebasdep"/>
        </w:rPr>
        <w:footnoteRef/>
      </w:r>
      <w:r>
        <w:t xml:space="preserve"> </w:t>
      </w:r>
      <w:r>
        <w:tab/>
      </w:r>
      <w:r w:rsidRPr="0004576F">
        <w:rPr>
          <w:i/>
        </w:rPr>
        <w:t>Ibid.</w:t>
      </w:r>
    </w:p>
  </w:footnote>
  <w:footnote w:id="1014">
    <w:p w14:paraId="561E60D0" w14:textId="77777777" w:rsidR="00B01930" w:rsidRDefault="00B01930">
      <w:pPr>
        <w:pStyle w:val="Notedebasdepage"/>
      </w:pPr>
      <w:r>
        <w:rPr>
          <w:rStyle w:val="Appelnotedebasdep"/>
        </w:rPr>
        <w:footnoteRef/>
      </w:r>
      <w:r>
        <w:t xml:space="preserve"> </w:t>
      </w:r>
      <w:r>
        <w:tab/>
      </w:r>
      <w:r w:rsidRPr="0004576F">
        <w:t xml:space="preserve">Jeanne-Marie Mortier, </w:t>
      </w:r>
      <w:r w:rsidRPr="0004576F">
        <w:rPr>
          <w:i/>
        </w:rPr>
        <w:t>Pierre Teilhard de Chardin, penseur un</w:t>
      </w:r>
      <w:r w:rsidRPr="0004576F">
        <w:rPr>
          <w:i/>
        </w:rPr>
        <w:t>i</w:t>
      </w:r>
      <w:r w:rsidRPr="0004576F">
        <w:rPr>
          <w:i/>
        </w:rPr>
        <w:t>versel</w:t>
      </w:r>
      <w:r w:rsidRPr="0004576F">
        <w:t>, Paris, Le Seuil, 1981.</w:t>
      </w:r>
    </w:p>
  </w:footnote>
  <w:footnote w:id="1015">
    <w:p w14:paraId="6674FEF3" w14:textId="77777777" w:rsidR="00B01930" w:rsidRDefault="00B01930">
      <w:pPr>
        <w:pStyle w:val="Notedebasdepage"/>
      </w:pPr>
      <w:r>
        <w:rPr>
          <w:rStyle w:val="Appelnotedebasdep"/>
        </w:rPr>
        <w:footnoteRef/>
      </w:r>
      <w:r>
        <w:t xml:space="preserve"> </w:t>
      </w:r>
      <w:r>
        <w:tab/>
      </w:r>
      <w:r w:rsidRPr="0004576F">
        <w:rPr>
          <w:szCs w:val="18"/>
        </w:rPr>
        <w:t xml:space="preserve">Pierre Teilhard de Chardin, </w:t>
      </w:r>
      <w:hyperlink r:id="rId46" w:history="1">
        <w:r w:rsidRPr="007605B6">
          <w:rPr>
            <w:rStyle w:val="Hyperlien"/>
            <w:i/>
            <w:szCs w:val="18"/>
          </w:rPr>
          <w:t>Le Phénomène humain</w:t>
        </w:r>
      </w:hyperlink>
      <w:r w:rsidRPr="0004576F">
        <w:rPr>
          <w:szCs w:val="18"/>
        </w:rPr>
        <w:t xml:space="preserve">, </w:t>
      </w:r>
      <w:r w:rsidRPr="0004576F">
        <w:rPr>
          <w:i/>
          <w:szCs w:val="18"/>
        </w:rPr>
        <w:t>op. cit.</w:t>
      </w:r>
      <w:r w:rsidRPr="0004576F">
        <w:rPr>
          <w:szCs w:val="18"/>
        </w:rPr>
        <w:t xml:space="preserve">, </w:t>
      </w:r>
      <w:r w:rsidRPr="0004576F">
        <w:t>p. 272-273.</w:t>
      </w:r>
    </w:p>
  </w:footnote>
  <w:footnote w:id="1016">
    <w:p w14:paraId="3165A5FE" w14:textId="77777777" w:rsidR="00B01930" w:rsidRDefault="00B01930">
      <w:pPr>
        <w:pStyle w:val="Notedebasdepage"/>
      </w:pPr>
      <w:r>
        <w:rPr>
          <w:rStyle w:val="Appelnotedebasdep"/>
        </w:rPr>
        <w:footnoteRef/>
      </w:r>
      <w:r>
        <w:t xml:space="preserve"> </w:t>
      </w:r>
      <w:r>
        <w:tab/>
      </w:r>
      <w:r w:rsidRPr="0004576F">
        <w:rPr>
          <w:i/>
          <w:szCs w:val="18"/>
        </w:rPr>
        <w:t>Ibid.</w:t>
      </w:r>
    </w:p>
  </w:footnote>
  <w:footnote w:id="1017">
    <w:p w14:paraId="239DC277" w14:textId="77777777" w:rsidR="00B01930" w:rsidRDefault="00B01930">
      <w:pPr>
        <w:pStyle w:val="Notedebasdepage"/>
      </w:pPr>
      <w:r>
        <w:rPr>
          <w:rStyle w:val="Appelnotedebasdep"/>
        </w:rPr>
        <w:footnoteRef/>
      </w:r>
      <w:r>
        <w:t xml:space="preserve"> </w:t>
      </w:r>
      <w:r>
        <w:tab/>
      </w:r>
      <w:r w:rsidRPr="0004576F">
        <w:rPr>
          <w:i/>
        </w:rPr>
        <w:t>Ibid.</w:t>
      </w:r>
      <w:r w:rsidRPr="0004576F">
        <w:t>, p. 273.</w:t>
      </w:r>
    </w:p>
  </w:footnote>
  <w:footnote w:id="1018">
    <w:p w14:paraId="763A03C1" w14:textId="77777777" w:rsidR="00B01930" w:rsidRDefault="00B01930">
      <w:pPr>
        <w:pStyle w:val="Notedebasdepage"/>
      </w:pPr>
      <w:r>
        <w:rPr>
          <w:rStyle w:val="Appelnotedebasdep"/>
        </w:rPr>
        <w:footnoteRef/>
      </w:r>
      <w:r>
        <w:t xml:space="preserve"> </w:t>
      </w:r>
      <w:r>
        <w:tab/>
      </w:r>
      <w:r w:rsidRPr="0004576F">
        <w:t xml:space="preserve">Pierre Teilhard de Chardin, </w:t>
      </w:r>
      <w:hyperlink r:id="rId47" w:history="1">
        <w:r w:rsidRPr="007605B6">
          <w:rPr>
            <w:rStyle w:val="Hyperlien"/>
            <w:i/>
          </w:rPr>
          <w:t>Le Phénomène humain</w:t>
        </w:r>
      </w:hyperlink>
      <w:r w:rsidRPr="0004576F">
        <w:t xml:space="preserve">, </w:t>
      </w:r>
      <w:r w:rsidRPr="0004576F">
        <w:rPr>
          <w:i/>
        </w:rPr>
        <w:t>op. cit.</w:t>
      </w:r>
      <w:r w:rsidRPr="0004576F">
        <w:t>, p. 263.</w:t>
      </w:r>
    </w:p>
  </w:footnote>
  <w:footnote w:id="1019">
    <w:p w14:paraId="2AAEE99E" w14:textId="77777777" w:rsidR="00B01930" w:rsidRDefault="00B01930">
      <w:pPr>
        <w:pStyle w:val="Notedebasdepage"/>
      </w:pPr>
      <w:r>
        <w:rPr>
          <w:rStyle w:val="Appelnotedebasdep"/>
        </w:rPr>
        <w:footnoteRef/>
      </w:r>
      <w:r>
        <w:t xml:space="preserve"> </w:t>
      </w:r>
      <w:r>
        <w:tab/>
      </w:r>
      <w:r w:rsidRPr="0004576F">
        <w:rPr>
          <w:i/>
          <w:szCs w:val="18"/>
        </w:rPr>
        <w:t>Ibid</w:t>
      </w:r>
      <w:r w:rsidRPr="0004576F">
        <w:t>., p. 263-264.</w:t>
      </w:r>
    </w:p>
  </w:footnote>
  <w:footnote w:id="1020">
    <w:p w14:paraId="13451876" w14:textId="77777777" w:rsidR="00B01930" w:rsidRDefault="00B01930">
      <w:pPr>
        <w:pStyle w:val="Notedebasdepage"/>
      </w:pPr>
      <w:r>
        <w:rPr>
          <w:rStyle w:val="Appelnotedebasdep"/>
        </w:rPr>
        <w:footnoteRef/>
      </w:r>
      <w:r>
        <w:t xml:space="preserve"> </w:t>
      </w:r>
      <w:r>
        <w:tab/>
      </w:r>
      <w:r w:rsidRPr="0004576F">
        <w:rPr>
          <w:i/>
          <w:szCs w:val="18"/>
        </w:rPr>
        <w:t>Ibid.</w:t>
      </w:r>
    </w:p>
  </w:footnote>
  <w:footnote w:id="1021">
    <w:p w14:paraId="5CC813F9" w14:textId="77777777" w:rsidR="00B01930" w:rsidRDefault="00B01930">
      <w:pPr>
        <w:pStyle w:val="Notedebasdepage"/>
      </w:pPr>
      <w:r>
        <w:rPr>
          <w:rStyle w:val="Appelnotedebasdep"/>
        </w:rPr>
        <w:footnoteRef/>
      </w:r>
      <w:r>
        <w:t xml:space="preserve"> </w:t>
      </w:r>
      <w:r>
        <w:tab/>
      </w:r>
      <w:r w:rsidRPr="0004576F">
        <w:rPr>
          <w:i/>
          <w:szCs w:val="18"/>
        </w:rPr>
        <w:t>Ibid.</w:t>
      </w:r>
    </w:p>
  </w:footnote>
  <w:footnote w:id="1022">
    <w:p w14:paraId="02B31EA3" w14:textId="77777777" w:rsidR="00B01930" w:rsidRDefault="00B01930">
      <w:pPr>
        <w:pStyle w:val="Notedebasdepage"/>
      </w:pPr>
      <w:r>
        <w:rPr>
          <w:rStyle w:val="Appelnotedebasdep"/>
        </w:rPr>
        <w:footnoteRef/>
      </w:r>
      <w:r>
        <w:t xml:space="preserve"> </w:t>
      </w:r>
      <w:r>
        <w:tab/>
      </w:r>
      <w:r w:rsidRPr="0004576F">
        <w:rPr>
          <w:i/>
          <w:szCs w:val="18"/>
        </w:rPr>
        <w:t>Ibid.</w:t>
      </w:r>
    </w:p>
  </w:footnote>
  <w:footnote w:id="1023">
    <w:p w14:paraId="2CAB0B43" w14:textId="77777777" w:rsidR="00B01930" w:rsidRDefault="00B01930">
      <w:pPr>
        <w:pStyle w:val="Notedebasdepage"/>
      </w:pPr>
      <w:r>
        <w:rPr>
          <w:rStyle w:val="Appelnotedebasdep"/>
        </w:rPr>
        <w:footnoteRef/>
      </w:r>
      <w:r>
        <w:t xml:space="preserve"> </w:t>
      </w:r>
      <w:r>
        <w:tab/>
      </w:r>
      <w:r w:rsidRPr="0004576F">
        <w:rPr>
          <w:i/>
          <w:szCs w:val="18"/>
        </w:rPr>
        <w:t>Ibid.</w:t>
      </w:r>
    </w:p>
  </w:footnote>
  <w:footnote w:id="1024">
    <w:p w14:paraId="38DBDE16" w14:textId="77777777" w:rsidR="00B01930" w:rsidRDefault="00B01930">
      <w:pPr>
        <w:pStyle w:val="Notedebasdepage"/>
      </w:pPr>
      <w:r>
        <w:rPr>
          <w:rStyle w:val="Appelnotedebasdep"/>
        </w:rPr>
        <w:footnoteRef/>
      </w:r>
      <w:r>
        <w:t xml:space="preserve"> </w:t>
      </w:r>
      <w:r>
        <w:tab/>
      </w:r>
      <w:r w:rsidRPr="0004576F">
        <w:rPr>
          <w:i/>
          <w:szCs w:val="18"/>
        </w:rPr>
        <w:t>Ibid</w:t>
      </w:r>
      <w:r w:rsidRPr="0004576F">
        <w:t>., p. 264.</w:t>
      </w:r>
    </w:p>
  </w:footnote>
  <w:footnote w:id="1025">
    <w:p w14:paraId="65E3CD2E" w14:textId="77777777" w:rsidR="00B01930" w:rsidRDefault="00B01930">
      <w:pPr>
        <w:pStyle w:val="Notedebasdepage"/>
      </w:pPr>
      <w:r>
        <w:rPr>
          <w:rStyle w:val="Appelnotedebasdep"/>
        </w:rPr>
        <w:footnoteRef/>
      </w:r>
      <w:r>
        <w:t xml:space="preserve"> </w:t>
      </w:r>
      <w:r>
        <w:tab/>
      </w:r>
      <w:r w:rsidRPr="0004576F">
        <w:t xml:space="preserve">Jean-Yves Calvez, </w:t>
      </w:r>
      <w:r w:rsidRPr="0004576F">
        <w:rPr>
          <w:i/>
        </w:rPr>
        <w:t>Chrétiens penseurs du social</w:t>
      </w:r>
      <w:r w:rsidRPr="0004576F">
        <w:t>, Paris, Cerf, 2010, p. 109.</w:t>
      </w:r>
    </w:p>
  </w:footnote>
  <w:footnote w:id="1026">
    <w:p w14:paraId="6F4339B8" w14:textId="77777777" w:rsidR="00B01930" w:rsidRDefault="00B01930">
      <w:pPr>
        <w:pStyle w:val="Notedebasdepage"/>
      </w:pPr>
      <w:r>
        <w:rPr>
          <w:rStyle w:val="Appelnotedebasdep"/>
        </w:rPr>
        <w:footnoteRef/>
      </w:r>
      <w:r>
        <w:t xml:space="preserve"> </w:t>
      </w:r>
      <w:r>
        <w:tab/>
      </w:r>
      <w:r w:rsidRPr="0004576F">
        <w:t xml:space="preserve">Pierre Teilhard de Chardin, </w:t>
      </w:r>
      <w:hyperlink r:id="rId48" w:history="1">
        <w:r w:rsidRPr="007605B6">
          <w:rPr>
            <w:rStyle w:val="Hyperlien"/>
            <w:i/>
          </w:rPr>
          <w:t>Le Phénomène humain</w:t>
        </w:r>
      </w:hyperlink>
      <w:r w:rsidRPr="0004576F">
        <w:t xml:space="preserve">, </w:t>
      </w:r>
      <w:r w:rsidRPr="0004576F">
        <w:rPr>
          <w:i/>
        </w:rPr>
        <w:t>op. cit.</w:t>
      </w:r>
      <w:r w:rsidRPr="0004576F">
        <w:t>, p. 265.</w:t>
      </w:r>
    </w:p>
  </w:footnote>
  <w:footnote w:id="1027">
    <w:p w14:paraId="010A4A26" w14:textId="77777777" w:rsidR="00B01930" w:rsidRDefault="00B01930">
      <w:pPr>
        <w:pStyle w:val="Notedebasdepage"/>
      </w:pPr>
      <w:r>
        <w:rPr>
          <w:rStyle w:val="Appelnotedebasdep"/>
        </w:rPr>
        <w:footnoteRef/>
      </w:r>
      <w:r>
        <w:t xml:space="preserve"> </w:t>
      </w:r>
      <w:r>
        <w:tab/>
      </w:r>
      <w:r w:rsidRPr="0004576F">
        <w:rPr>
          <w:i/>
        </w:rPr>
        <w:t>Idem.</w:t>
      </w:r>
    </w:p>
  </w:footnote>
  <w:footnote w:id="1028">
    <w:p w14:paraId="02CB427D" w14:textId="77777777" w:rsidR="00B01930" w:rsidRDefault="00B01930">
      <w:pPr>
        <w:pStyle w:val="Notedebasdepage"/>
      </w:pPr>
      <w:r>
        <w:rPr>
          <w:rStyle w:val="Appelnotedebasdep"/>
        </w:rPr>
        <w:footnoteRef/>
      </w:r>
      <w:r>
        <w:t xml:space="preserve"> </w:t>
      </w:r>
      <w:r>
        <w:tab/>
      </w:r>
      <w:r w:rsidRPr="0004576F">
        <w:rPr>
          <w:i/>
          <w:szCs w:val="18"/>
        </w:rPr>
        <w:t>Ibid</w:t>
      </w:r>
      <w:r w:rsidRPr="0004576F">
        <w:t>., p. 279.</w:t>
      </w:r>
    </w:p>
  </w:footnote>
  <w:footnote w:id="1029">
    <w:p w14:paraId="4AC26F1B" w14:textId="77777777" w:rsidR="00B01930" w:rsidRDefault="00B01930">
      <w:pPr>
        <w:pStyle w:val="Notedebasdepage"/>
      </w:pPr>
      <w:r>
        <w:rPr>
          <w:rStyle w:val="Appelnotedebasdep"/>
        </w:rPr>
        <w:footnoteRef/>
      </w:r>
      <w:r>
        <w:t xml:space="preserve"> </w:t>
      </w:r>
      <w:r>
        <w:tab/>
      </w:r>
      <w:r w:rsidRPr="0004576F">
        <w:rPr>
          <w:i/>
          <w:szCs w:val="18"/>
        </w:rPr>
        <w:t>Idem.</w:t>
      </w:r>
    </w:p>
  </w:footnote>
  <w:footnote w:id="1030">
    <w:p w14:paraId="202D3EE7" w14:textId="77777777" w:rsidR="00B01930" w:rsidRDefault="00B01930">
      <w:pPr>
        <w:pStyle w:val="Notedebasdepage"/>
      </w:pPr>
      <w:r>
        <w:rPr>
          <w:rStyle w:val="Appelnotedebasdep"/>
        </w:rPr>
        <w:footnoteRef/>
      </w:r>
      <w:r>
        <w:t xml:space="preserve"> </w:t>
      </w:r>
      <w:r>
        <w:tab/>
      </w:r>
      <w:r w:rsidRPr="0004576F">
        <w:rPr>
          <w:i/>
          <w:szCs w:val="18"/>
        </w:rPr>
        <w:t>Ibid</w:t>
      </w:r>
      <w:r w:rsidRPr="0004576F">
        <w:t>., p. 281.</w:t>
      </w:r>
    </w:p>
  </w:footnote>
  <w:footnote w:id="1031">
    <w:p w14:paraId="02D2F837" w14:textId="77777777" w:rsidR="00B01930" w:rsidRDefault="00B01930">
      <w:pPr>
        <w:pStyle w:val="Notedebasdepage"/>
      </w:pPr>
      <w:r>
        <w:rPr>
          <w:rStyle w:val="Appelnotedebasdep"/>
        </w:rPr>
        <w:footnoteRef/>
      </w:r>
      <w:r>
        <w:t xml:space="preserve"> </w:t>
      </w:r>
      <w:r>
        <w:tab/>
      </w:r>
      <w:r w:rsidRPr="0004576F">
        <w:rPr>
          <w:i/>
          <w:szCs w:val="18"/>
        </w:rPr>
        <w:t>Idem.</w:t>
      </w:r>
    </w:p>
  </w:footnote>
  <w:footnote w:id="1032">
    <w:p w14:paraId="728916B7" w14:textId="77777777" w:rsidR="00B01930" w:rsidRDefault="00B01930">
      <w:pPr>
        <w:pStyle w:val="Notedebasdepage"/>
      </w:pPr>
      <w:r>
        <w:rPr>
          <w:rStyle w:val="Appelnotedebasdep"/>
        </w:rPr>
        <w:footnoteRef/>
      </w:r>
      <w:r>
        <w:t xml:space="preserve"> </w:t>
      </w:r>
      <w:r>
        <w:tab/>
      </w:r>
      <w:r w:rsidRPr="0004576F">
        <w:rPr>
          <w:i/>
          <w:szCs w:val="18"/>
        </w:rPr>
        <w:t>Ibid</w:t>
      </w:r>
      <w:r w:rsidRPr="0004576F">
        <w:t>., p. 283.</w:t>
      </w:r>
    </w:p>
  </w:footnote>
  <w:footnote w:id="1033">
    <w:p w14:paraId="1039684A" w14:textId="77777777" w:rsidR="00B01930" w:rsidRDefault="00B01930">
      <w:pPr>
        <w:pStyle w:val="Notedebasdepage"/>
      </w:pPr>
      <w:r>
        <w:rPr>
          <w:rStyle w:val="Appelnotedebasdep"/>
        </w:rPr>
        <w:footnoteRef/>
      </w:r>
      <w:r>
        <w:t xml:space="preserve"> </w:t>
      </w:r>
      <w:r>
        <w:tab/>
      </w:r>
      <w:r w:rsidRPr="0004576F">
        <w:rPr>
          <w:i/>
          <w:szCs w:val="18"/>
        </w:rPr>
        <w:t>Ibid</w:t>
      </w:r>
      <w:r w:rsidRPr="0004576F">
        <w:t>., p. 285.</w:t>
      </w:r>
    </w:p>
  </w:footnote>
  <w:footnote w:id="1034">
    <w:p w14:paraId="0562A864" w14:textId="77777777" w:rsidR="00B01930" w:rsidRDefault="00B01930">
      <w:pPr>
        <w:pStyle w:val="Notedebasdepage"/>
      </w:pPr>
      <w:r>
        <w:rPr>
          <w:rStyle w:val="Appelnotedebasdep"/>
        </w:rPr>
        <w:footnoteRef/>
      </w:r>
      <w:r>
        <w:t xml:space="preserve"> </w:t>
      </w:r>
      <w:r>
        <w:tab/>
      </w:r>
      <w:r w:rsidRPr="0004576F">
        <w:rPr>
          <w:i/>
        </w:rPr>
        <w:t>Idem.</w:t>
      </w:r>
    </w:p>
  </w:footnote>
  <w:footnote w:id="1035">
    <w:p w14:paraId="34E2BF13" w14:textId="77777777" w:rsidR="00B01930" w:rsidRDefault="00B01930">
      <w:pPr>
        <w:pStyle w:val="Notedebasdepage"/>
      </w:pPr>
      <w:r>
        <w:rPr>
          <w:rStyle w:val="Appelnotedebasdep"/>
        </w:rPr>
        <w:footnoteRef/>
      </w:r>
      <w:r>
        <w:t xml:space="preserve"> </w:t>
      </w:r>
      <w:r>
        <w:tab/>
      </w:r>
      <w:r w:rsidRPr="0004576F">
        <w:t xml:space="preserve">Pierre Teilhard de Chardin, « Conférence prononcée à Pékin, le 25 décembre 1945 », </w:t>
      </w:r>
      <w:r w:rsidRPr="0004576F">
        <w:rPr>
          <w:i/>
        </w:rPr>
        <w:t>C</w:t>
      </w:r>
      <w:r w:rsidRPr="0004576F">
        <w:rPr>
          <w:i/>
        </w:rPr>
        <w:t>a</w:t>
      </w:r>
      <w:r w:rsidRPr="0004576F">
        <w:rPr>
          <w:i/>
        </w:rPr>
        <w:t>hiers du Monde Nouveau</w:t>
      </w:r>
      <w:r w:rsidRPr="0004576F">
        <w:t>, août-septembre 1946.</w:t>
      </w:r>
    </w:p>
  </w:footnote>
  <w:footnote w:id="1036">
    <w:p w14:paraId="79C8FEF6" w14:textId="77777777" w:rsidR="00B01930" w:rsidRDefault="00B01930">
      <w:pPr>
        <w:pStyle w:val="Notedebasdepage"/>
      </w:pPr>
      <w:r>
        <w:rPr>
          <w:rStyle w:val="Appelnotedebasdep"/>
        </w:rPr>
        <w:footnoteRef/>
      </w:r>
      <w:r>
        <w:t xml:space="preserve"> </w:t>
      </w:r>
      <w:r>
        <w:tab/>
      </w:r>
      <w:r w:rsidRPr="0004576F">
        <w:rPr>
          <w:i/>
          <w:szCs w:val="18"/>
        </w:rPr>
        <w:t>Idem.</w:t>
      </w:r>
    </w:p>
  </w:footnote>
  <w:footnote w:id="1037">
    <w:p w14:paraId="2EEA1303" w14:textId="77777777" w:rsidR="00B01930" w:rsidRDefault="00B01930">
      <w:pPr>
        <w:pStyle w:val="Notedebasdepage"/>
      </w:pPr>
      <w:r>
        <w:rPr>
          <w:rStyle w:val="Appelnotedebasdep"/>
        </w:rPr>
        <w:footnoteRef/>
      </w:r>
      <w:r>
        <w:t xml:space="preserve"> </w:t>
      </w:r>
      <w:r>
        <w:tab/>
      </w:r>
      <w:r w:rsidRPr="0004576F">
        <w:rPr>
          <w:i/>
          <w:szCs w:val="18"/>
        </w:rPr>
        <w:t>Idem.</w:t>
      </w:r>
    </w:p>
  </w:footnote>
  <w:footnote w:id="1038">
    <w:p w14:paraId="64E82671" w14:textId="77777777" w:rsidR="00B01930" w:rsidRDefault="00B01930">
      <w:pPr>
        <w:pStyle w:val="Notedebasdepage"/>
      </w:pPr>
      <w:r>
        <w:rPr>
          <w:rStyle w:val="Appelnotedebasdep"/>
        </w:rPr>
        <w:footnoteRef/>
      </w:r>
      <w:r>
        <w:t xml:space="preserve"> </w:t>
      </w:r>
      <w:r>
        <w:tab/>
      </w:r>
      <w:r w:rsidRPr="0004576F">
        <w:rPr>
          <w:i/>
          <w:szCs w:val="18"/>
        </w:rPr>
        <w:t>Ibid.</w:t>
      </w:r>
    </w:p>
  </w:footnote>
  <w:footnote w:id="1039">
    <w:p w14:paraId="39179A6A" w14:textId="77777777" w:rsidR="00B01930" w:rsidRDefault="00B01930">
      <w:pPr>
        <w:pStyle w:val="Notedebasdepage"/>
      </w:pPr>
      <w:r>
        <w:rPr>
          <w:rStyle w:val="Appelnotedebasdep"/>
        </w:rPr>
        <w:footnoteRef/>
      </w:r>
      <w:r>
        <w:t xml:space="preserve"> </w:t>
      </w:r>
      <w:r>
        <w:tab/>
      </w:r>
      <w:r w:rsidRPr="0004576F">
        <w:rPr>
          <w:i/>
          <w:szCs w:val="18"/>
        </w:rPr>
        <w:t>Ibid.</w:t>
      </w:r>
    </w:p>
  </w:footnote>
  <w:footnote w:id="1040">
    <w:p w14:paraId="598B946C" w14:textId="77777777" w:rsidR="00B01930" w:rsidRDefault="00B01930">
      <w:pPr>
        <w:pStyle w:val="Notedebasdepage"/>
      </w:pPr>
      <w:r>
        <w:rPr>
          <w:rStyle w:val="Appelnotedebasdep"/>
        </w:rPr>
        <w:footnoteRef/>
      </w:r>
      <w:r>
        <w:t xml:space="preserve"> </w:t>
      </w:r>
      <w:r>
        <w:tab/>
      </w:r>
      <w:r w:rsidRPr="0004576F">
        <w:t xml:space="preserve">Voir Jacques Ellul, « Victoire d’Hitler ? », </w:t>
      </w:r>
      <w:r w:rsidRPr="0004576F">
        <w:rPr>
          <w:i/>
        </w:rPr>
        <w:t>Réforme</w:t>
      </w:r>
      <w:r w:rsidRPr="0004576F">
        <w:t>, 23 juin 1945.</w:t>
      </w:r>
    </w:p>
  </w:footnote>
  <w:footnote w:id="1041">
    <w:p w14:paraId="5AC9CAC0" w14:textId="77777777" w:rsidR="00B01930" w:rsidRDefault="00B01930">
      <w:pPr>
        <w:pStyle w:val="Notedebasdepage"/>
      </w:pPr>
      <w:r>
        <w:rPr>
          <w:rStyle w:val="Appelnotedebasdep"/>
        </w:rPr>
        <w:footnoteRef/>
      </w:r>
      <w:r>
        <w:t xml:space="preserve"> </w:t>
      </w:r>
      <w:r>
        <w:tab/>
      </w:r>
      <w:r w:rsidRPr="0004576F">
        <w:t xml:space="preserve">Pierre Teilhard de Chardin, « Conférence prononcée à Pékin, le 25 décembre 1945 », </w:t>
      </w:r>
      <w:r w:rsidRPr="0004576F">
        <w:rPr>
          <w:i/>
        </w:rPr>
        <w:t>op. cit.</w:t>
      </w:r>
      <w:r w:rsidRPr="0004576F">
        <w:t>.</w:t>
      </w:r>
    </w:p>
  </w:footnote>
  <w:footnote w:id="1042">
    <w:p w14:paraId="0A740796" w14:textId="77777777" w:rsidR="00B01930" w:rsidRDefault="00B01930">
      <w:pPr>
        <w:pStyle w:val="Notedebasdepage"/>
      </w:pPr>
      <w:r>
        <w:rPr>
          <w:rStyle w:val="Appelnotedebasdep"/>
        </w:rPr>
        <w:footnoteRef/>
      </w:r>
      <w:r>
        <w:t xml:space="preserve"> </w:t>
      </w:r>
      <w:r>
        <w:tab/>
      </w:r>
      <w:r w:rsidRPr="0004576F">
        <w:rPr>
          <w:i/>
          <w:szCs w:val="18"/>
        </w:rPr>
        <w:t>Idem.</w:t>
      </w:r>
    </w:p>
  </w:footnote>
  <w:footnote w:id="1043">
    <w:p w14:paraId="2053C52F" w14:textId="77777777" w:rsidR="00B01930" w:rsidRDefault="00B01930">
      <w:pPr>
        <w:pStyle w:val="Notedebasdepage"/>
      </w:pPr>
      <w:r>
        <w:rPr>
          <w:rStyle w:val="Appelnotedebasdep"/>
        </w:rPr>
        <w:footnoteRef/>
      </w:r>
      <w:r>
        <w:t xml:space="preserve"> </w:t>
      </w:r>
      <w:r>
        <w:tab/>
      </w:r>
      <w:r>
        <w:rPr>
          <w:i/>
        </w:rPr>
        <w:t>I</w:t>
      </w:r>
      <w:r w:rsidRPr="0004576F">
        <w:rPr>
          <w:i/>
          <w:szCs w:val="18"/>
        </w:rPr>
        <w:t>dem.</w:t>
      </w:r>
    </w:p>
  </w:footnote>
  <w:footnote w:id="1044">
    <w:p w14:paraId="48C05EAF" w14:textId="77777777" w:rsidR="00B01930" w:rsidRDefault="00B01930">
      <w:pPr>
        <w:pStyle w:val="Notedebasdepage"/>
      </w:pPr>
      <w:r>
        <w:rPr>
          <w:rStyle w:val="Appelnotedebasdep"/>
        </w:rPr>
        <w:footnoteRef/>
      </w:r>
      <w:r>
        <w:t xml:space="preserve"> </w:t>
      </w:r>
      <w:r>
        <w:tab/>
      </w:r>
      <w:r w:rsidRPr="0004576F">
        <w:rPr>
          <w:i/>
          <w:szCs w:val="18"/>
        </w:rPr>
        <w:t>Idem.</w:t>
      </w:r>
    </w:p>
  </w:footnote>
  <w:footnote w:id="1045">
    <w:p w14:paraId="16FD4BC6" w14:textId="77777777" w:rsidR="00B01930" w:rsidRDefault="00B01930">
      <w:pPr>
        <w:pStyle w:val="Notedebasdepage"/>
      </w:pPr>
      <w:r>
        <w:rPr>
          <w:rStyle w:val="Appelnotedebasdep"/>
        </w:rPr>
        <w:footnoteRef/>
      </w:r>
      <w:r>
        <w:t xml:space="preserve"> </w:t>
      </w:r>
      <w:r>
        <w:tab/>
      </w:r>
      <w:r w:rsidRPr="0004576F">
        <w:rPr>
          <w:i/>
          <w:szCs w:val="18"/>
        </w:rPr>
        <w:t>Idem.</w:t>
      </w:r>
    </w:p>
  </w:footnote>
  <w:footnote w:id="1046">
    <w:p w14:paraId="0E50A980" w14:textId="77777777" w:rsidR="00B01930" w:rsidRDefault="00B01930">
      <w:pPr>
        <w:pStyle w:val="Notedebasdepage"/>
      </w:pPr>
      <w:r>
        <w:rPr>
          <w:rStyle w:val="Appelnotedebasdep"/>
        </w:rPr>
        <w:footnoteRef/>
      </w:r>
      <w:r>
        <w:t xml:space="preserve"> </w:t>
      </w:r>
      <w:r>
        <w:tab/>
      </w:r>
      <w:r w:rsidRPr="0004576F">
        <w:rPr>
          <w:i/>
          <w:szCs w:val="18"/>
        </w:rPr>
        <w:t>Idem.</w:t>
      </w:r>
    </w:p>
  </w:footnote>
  <w:footnote w:id="1047">
    <w:p w14:paraId="47833A50" w14:textId="77777777" w:rsidR="00B01930" w:rsidRDefault="00B01930">
      <w:pPr>
        <w:pStyle w:val="Notedebasdepage"/>
      </w:pPr>
      <w:r>
        <w:rPr>
          <w:rStyle w:val="Appelnotedebasdep"/>
        </w:rPr>
        <w:footnoteRef/>
      </w:r>
      <w:r>
        <w:t xml:space="preserve"> </w:t>
      </w:r>
      <w:r>
        <w:tab/>
      </w:r>
      <w:r w:rsidRPr="0004576F">
        <w:rPr>
          <w:i/>
          <w:szCs w:val="18"/>
        </w:rPr>
        <w:t>Idem.</w:t>
      </w:r>
    </w:p>
  </w:footnote>
  <w:footnote w:id="1048">
    <w:p w14:paraId="1060EC5A" w14:textId="77777777" w:rsidR="00B01930" w:rsidRDefault="00B01930">
      <w:pPr>
        <w:pStyle w:val="Notedebasdepage"/>
      </w:pPr>
      <w:r>
        <w:rPr>
          <w:rStyle w:val="Appelnotedebasdep"/>
        </w:rPr>
        <w:footnoteRef/>
      </w:r>
      <w:r>
        <w:t xml:space="preserve"> </w:t>
      </w:r>
      <w:r>
        <w:tab/>
      </w:r>
      <w:r w:rsidRPr="0004576F">
        <w:rPr>
          <w:i/>
          <w:szCs w:val="18"/>
        </w:rPr>
        <w:t>Idem.</w:t>
      </w:r>
    </w:p>
  </w:footnote>
  <w:footnote w:id="1049">
    <w:p w14:paraId="7157F1A3" w14:textId="77777777" w:rsidR="00B01930" w:rsidRDefault="00B01930">
      <w:pPr>
        <w:pStyle w:val="Notedebasdepage"/>
      </w:pPr>
      <w:r>
        <w:rPr>
          <w:rStyle w:val="Appelnotedebasdep"/>
        </w:rPr>
        <w:footnoteRef/>
      </w:r>
      <w:r>
        <w:t xml:space="preserve"> </w:t>
      </w:r>
      <w:r>
        <w:tab/>
      </w:r>
      <w:r w:rsidRPr="0004576F">
        <w:rPr>
          <w:i/>
          <w:szCs w:val="18"/>
        </w:rPr>
        <w:t>Idem.</w:t>
      </w:r>
    </w:p>
  </w:footnote>
  <w:footnote w:id="1050">
    <w:p w14:paraId="55DDFC37" w14:textId="77777777" w:rsidR="00B01930" w:rsidRDefault="00B01930">
      <w:pPr>
        <w:pStyle w:val="Notedebasdepage"/>
      </w:pPr>
      <w:r>
        <w:rPr>
          <w:rStyle w:val="Appelnotedebasdep"/>
        </w:rPr>
        <w:footnoteRef/>
      </w:r>
      <w:r>
        <w:t xml:space="preserve"> </w:t>
      </w:r>
      <w:r>
        <w:tab/>
      </w:r>
      <w:r w:rsidRPr="0004576F">
        <w:t xml:space="preserve">Georges Ordonnaud, </w:t>
      </w:r>
      <w:r w:rsidRPr="0004576F">
        <w:rPr>
          <w:i/>
        </w:rPr>
        <w:t>L’Aube de l’âge teilhardien. « L’ère nouvelle » de la coresponsabil</w:t>
      </w:r>
      <w:r w:rsidRPr="0004576F">
        <w:rPr>
          <w:i/>
        </w:rPr>
        <w:t>i</w:t>
      </w:r>
      <w:r w:rsidRPr="0004576F">
        <w:rPr>
          <w:i/>
        </w:rPr>
        <w:t>té</w:t>
      </w:r>
      <w:r w:rsidRPr="0004576F">
        <w:t>, Paris, L’Harmattan, 2006, p. 90.</w:t>
      </w:r>
    </w:p>
  </w:footnote>
  <w:footnote w:id="1051">
    <w:p w14:paraId="4021A984" w14:textId="77777777" w:rsidR="00B01930" w:rsidRDefault="00B01930">
      <w:pPr>
        <w:pStyle w:val="Notedebasdepage"/>
      </w:pPr>
      <w:r>
        <w:rPr>
          <w:rStyle w:val="Appelnotedebasdep"/>
        </w:rPr>
        <w:footnoteRef/>
      </w:r>
      <w:r>
        <w:t xml:space="preserve"> </w:t>
      </w:r>
      <w:r>
        <w:tab/>
      </w:r>
      <w:r w:rsidRPr="0004576F">
        <w:t xml:space="preserve">Pierre Teilhard de Chardin, « La crise présente. Réflexions d’un naturaliste », </w:t>
      </w:r>
      <w:r w:rsidRPr="0004576F">
        <w:rPr>
          <w:i/>
        </w:rPr>
        <w:t>Études</w:t>
      </w:r>
      <w:r w:rsidRPr="0004576F">
        <w:t>, 20 octobre 1937, p. 145.</w:t>
      </w:r>
    </w:p>
  </w:footnote>
  <w:footnote w:id="1052">
    <w:p w14:paraId="6670F721" w14:textId="77777777" w:rsidR="00B01930" w:rsidRDefault="00B01930">
      <w:pPr>
        <w:pStyle w:val="Notedebasdepage"/>
      </w:pPr>
      <w:r>
        <w:rPr>
          <w:rStyle w:val="Appelnotedebasdep"/>
        </w:rPr>
        <w:footnoteRef/>
      </w:r>
      <w:r>
        <w:t xml:space="preserve"> </w:t>
      </w:r>
      <w:r>
        <w:tab/>
      </w:r>
      <w:r w:rsidRPr="0004576F">
        <w:t xml:space="preserve">Voir notamment Gérard-Henry Baudry, </w:t>
      </w:r>
      <w:r w:rsidRPr="0004576F">
        <w:rPr>
          <w:i/>
        </w:rPr>
        <w:t>Socialisme et humani</w:t>
      </w:r>
      <w:r w:rsidRPr="0004576F">
        <w:rPr>
          <w:i/>
        </w:rPr>
        <w:t>s</w:t>
      </w:r>
      <w:r w:rsidRPr="0004576F">
        <w:rPr>
          <w:i/>
        </w:rPr>
        <w:t>me</w:t>
      </w:r>
      <w:r w:rsidRPr="0004576F">
        <w:t xml:space="preserve">, Lille, G.-H. Baudry, Cahiers Teihardiens n° 5, 1978, p. 29 et </w:t>
      </w:r>
      <w:r w:rsidRPr="0004576F">
        <w:rPr>
          <w:i/>
        </w:rPr>
        <w:t>sq</w:t>
      </w:r>
      <w:r w:rsidRPr="0004576F">
        <w:t>.</w:t>
      </w:r>
    </w:p>
  </w:footnote>
  <w:footnote w:id="1053">
    <w:p w14:paraId="16C5A673" w14:textId="77777777" w:rsidR="00B01930" w:rsidRDefault="00B01930">
      <w:pPr>
        <w:pStyle w:val="Notedebasdepage"/>
      </w:pPr>
      <w:r>
        <w:rPr>
          <w:rStyle w:val="Appelnotedebasdep"/>
        </w:rPr>
        <w:footnoteRef/>
      </w:r>
      <w:r>
        <w:t xml:space="preserve"> </w:t>
      </w:r>
      <w:r>
        <w:tab/>
      </w:r>
      <w:r w:rsidRPr="0004576F">
        <w:t xml:space="preserve">Pierre Teilhard de Chardin, « La crise présente. Réflexions d’un naturaliste », </w:t>
      </w:r>
      <w:r w:rsidRPr="0004576F">
        <w:rPr>
          <w:i/>
        </w:rPr>
        <w:t>op. cit.</w:t>
      </w:r>
    </w:p>
  </w:footnote>
  <w:footnote w:id="1054">
    <w:p w14:paraId="378F4E1D" w14:textId="77777777" w:rsidR="00B01930" w:rsidRDefault="00B01930">
      <w:pPr>
        <w:pStyle w:val="Notedebasdepage"/>
      </w:pPr>
      <w:r>
        <w:rPr>
          <w:rStyle w:val="Appelnotedebasdep"/>
        </w:rPr>
        <w:footnoteRef/>
      </w:r>
      <w:r>
        <w:t xml:space="preserve"> </w:t>
      </w:r>
      <w:r>
        <w:tab/>
      </w:r>
      <w:r w:rsidRPr="0004576F">
        <w:rPr>
          <w:i/>
          <w:szCs w:val="18"/>
        </w:rPr>
        <w:t>Idem.</w:t>
      </w:r>
    </w:p>
  </w:footnote>
  <w:footnote w:id="1055">
    <w:p w14:paraId="0FB47B31" w14:textId="77777777" w:rsidR="00B01930" w:rsidRDefault="00B01930">
      <w:pPr>
        <w:pStyle w:val="Notedebasdepage"/>
      </w:pPr>
      <w:r>
        <w:rPr>
          <w:rStyle w:val="Appelnotedebasdep"/>
        </w:rPr>
        <w:footnoteRef/>
      </w:r>
      <w:r>
        <w:t xml:space="preserve"> </w:t>
      </w:r>
      <w:r>
        <w:tab/>
      </w:r>
      <w:r w:rsidRPr="0004576F">
        <w:rPr>
          <w:i/>
          <w:szCs w:val="18"/>
        </w:rPr>
        <w:t>Idem.</w:t>
      </w:r>
    </w:p>
  </w:footnote>
  <w:footnote w:id="1056">
    <w:p w14:paraId="19E6B350" w14:textId="77777777" w:rsidR="00B01930" w:rsidRDefault="00B01930">
      <w:pPr>
        <w:pStyle w:val="Notedebasdepage"/>
      </w:pPr>
      <w:r>
        <w:rPr>
          <w:rStyle w:val="Appelnotedebasdep"/>
        </w:rPr>
        <w:footnoteRef/>
      </w:r>
      <w:r>
        <w:t xml:space="preserve"> </w:t>
      </w:r>
      <w:r>
        <w:tab/>
      </w:r>
      <w:r w:rsidRPr="0004576F">
        <w:t xml:space="preserve">Pierre Teilhard de Chardin, </w:t>
      </w:r>
      <w:r w:rsidRPr="0004576F">
        <w:rPr>
          <w:i/>
        </w:rPr>
        <w:t>L’Avenir de l’Homme</w:t>
      </w:r>
      <w:r w:rsidRPr="0004576F">
        <w:t xml:space="preserve">, </w:t>
      </w:r>
      <w:r w:rsidRPr="0004576F">
        <w:rPr>
          <w:i/>
        </w:rPr>
        <w:t>op. cit.</w:t>
      </w:r>
      <w:r w:rsidRPr="0004576F">
        <w:t>, p. 242.</w:t>
      </w:r>
    </w:p>
  </w:footnote>
  <w:footnote w:id="1057">
    <w:p w14:paraId="4279B37E" w14:textId="77777777" w:rsidR="00B01930" w:rsidRDefault="00B01930">
      <w:pPr>
        <w:pStyle w:val="Notedebasdepage"/>
      </w:pPr>
      <w:r>
        <w:rPr>
          <w:rStyle w:val="Appelnotedebasdep"/>
        </w:rPr>
        <w:footnoteRef/>
      </w:r>
      <w:r>
        <w:t xml:space="preserve"> </w:t>
      </w:r>
      <w:r>
        <w:tab/>
      </w:r>
      <w:r w:rsidRPr="0004576F">
        <w:t xml:space="preserve">Léopold Sédar Senghor, </w:t>
      </w:r>
      <w:r w:rsidRPr="0004576F">
        <w:rPr>
          <w:i/>
        </w:rPr>
        <w:t>op. cit.</w:t>
      </w:r>
      <w:r w:rsidRPr="0004576F">
        <w:t>, p. 34.</w:t>
      </w:r>
    </w:p>
  </w:footnote>
  <w:footnote w:id="1058">
    <w:p w14:paraId="51E7C1CA" w14:textId="77777777" w:rsidR="00B01930" w:rsidRDefault="00B01930">
      <w:pPr>
        <w:pStyle w:val="Notedebasdepage"/>
      </w:pPr>
      <w:r>
        <w:rPr>
          <w:rStyle w:val="Appelnotedebasdep"/>
        </w:rPr>
        <w:footnoteRef/>
      </w:r>
      <w:r>
        <w:t xml:space="preserve"> </w:t>
      </w:r>
      <w:r>
        <w:tab/>
      </w:r>
      <w:r w:rsidRPr="0004576F">
        <w:rPr>
          <w:i/>
        </w:rPr>
        <w:t>Ibidem</w:t>
      </w:r>
      <w:r w:rsidRPr="0004576F">
        <w:t>, p. 35.</w:t>
      </w:r>
    </w:p>
  </w:footnote>
  <w:footnote w:id="1059">
    <w:p w14:paraId="43023421" w14:textId="77777777" w:rsidR="00B01930" w:rsidRDefault="00B01930">
      <w:pPr>
        <w:pStyle w:val="Notedebasdepage"/>
      </w:pPr>
      <w:r>
        <w:rPr>
          <w:rStyle w:val="Appelnotedebasdep"/>
        </w:rPr>
        <w:footnoteRef/>
      </w:r>
      <w:r>
        <w:t xml:space="preserve"> </w:t>
      </w:r>
      <w:r>
        <w:tab/>
      </w:r>
      <w:r w:rsidRPr="0004576F">
        <w:t xml:space="preserve">Pierre-Louis Mathieu, </w:t>
      </w:r>
      <w:r w:rsidRPr="0004576F">
        <w:rPr>
          <w:i/>
        </w:rPr>
        <w:t>La Pensée politique et économique de Teilhard de Cha</w:t>
      </w:r>
      <w:r w:rsidRPr="0004576F">
        <w:rPr>
          <w:i/>
        </w:rPr>
        <w:t>r</w:t>
      </w:r>
      <w:r w:rsidRPr="0004576F">
        <w:rPr>
          <w:i/>
        </w:rPr>
        <w:t>din</w:t>
      </w:r>
      <w:r w:rsidRPr="0004576F">
        <w:t>, Paris, Le Seuil, 1969, p. 54.</w:t>
      </w:r>
    </w:p>
  </w:footnote>
  <w:footnote w:id="1060">
    <w:p w14:paraId="4696B659" w14:textId="77777777" w:rsidR="00B01930" w:rsidRDefault="00B01930">
      <w:pPr>
        <w:pStyle w:val="Notedebasdepage"/>
      </w:pPr>
      <w:r>
        <w:rPr>
          <w:rStyle w:val="Appelnotedebasdep"/>
        </w:rPr>
        <w:footnoteRef/>
      </w:r>
      <w:r>
        <w:t xml:space="preserve"> </w:t>
      </w:r>
      <w:r>
        <w:tab/>
      </w:r>
      <w:r w:rsidRPr="0004576F">
        <w:t>Lettre, 9 décembre 1933.</w:t>
      </w:r>
    </w:p>
  </w:footnote>
  <w:footnote w:id="1061">
    <w:p w14:paraId="1EDE3E70" w14:textId="77777777" w:rsidR="00B01930" w:rsidRDefault="00B01930">
      <w:pPr>
        <w:pStyle w:val="Notedebasdepage"/>
      </w:pPr>
      <w:r>
        <w:rPr>
          <w:rStyle w:val="Appelnotedebasdep"/>
        </w:rPr>
        <w:footnoteRef/>
      </w:r>
      <w:r>
        <w:t xml:space="preserve"> </w:t>
      </w:r>
      <w:r>
        <w:tab/>
      </w:r>
      <w:r w:rsidRPr="0004576F">
        <w:t xml:space="preserve">Pierre Teilhard de Chardin, </w:t>
      </w:r>
      <w:r w:rsidRPr="0004576F">
        <w:rPr>
          <w:i/>
        </w:rPr>
        <w:t>Science et Christ</w:t>
      </w:r>
      <w:r w:rsidRPr="0004576F">
        <w:t>, Paris, Le Seuil, 1965, p. 181.</w:t>
      </w:r>
    </w:p>
  </w:footnote>
  <w:footnote w:id="1062">
    <w:p w14:paraId="4F0E1AD0" w14:textId="77777777" w:rsidR="00B01930" w:rsidRDefault="00B01930">
      <w:pPr>
        <w:pStyle w:val="Notedebasdepage"/>
      </w:pPr>
      <w:r>
        <w:rPr>
          <w:rStyle w:val="Appelnotedebasdep"/>
        </w:rPr>
        <w:footnoteRef/>
      </w:r>
      <w:r>
        <w:t xml:space="preserve"> </w:t>
      </w:r>
      <w:r>
        <w:tab/>
      </w:r>
      <w:r w:rsidRPr="0004576F">
        <w:t xml:space="preserve">Pierre Teilhard de Chardin, </w:t>
      </w:r>
      <w:r w:rsidRPr="0004576F">
        <w:rPr>
          <w:i/>
        </w:rPr>
        <w:t>L’Avenir de l’Homme</w:t>
      </w:r>
      <w:r w:rsidRPr="0004576F">
        <w:t xml:space="preserve">, </w:t>
      </w:r>
      <w:r w:rsidRPr="0004576F">
        <w:rPr>
          <w:i/>
        </w:rPr>
        <w:t>op. cit.</w:t>
      </w:r>
      <w:r w:rsidRPr="0004576F">
        <w:t>, 1959, p. 242.</w:t>
      </w:r>
    </w:p>
  </w:footnote>
  <w:footnote w:id="1063">
    <w:p w14:paraId="6B278C61" w14:textId="77777777" w:rsidR="00B01930" w:rsidRDefault="00B01930">
      <w:pPr>
        <w:pStyle w:val="Notedebasdepage"/>
      </w:pPr>
      <w:r>
        <w:rPr>
          <w:rStyle w:val="Appelnotedebasdep"/>
        </w:rPr>
        <w:footnoteRef/>
      </w:r>
      <w:r>
        <w:t xml:space="preserve"> </w:t>
      </w:r>
      <w:r>
        <w:tab/>
      </w:r>
      <w:r w:rsidRPr="0004576F">
        <w:rPr>
          <w:i/>
          <w:szCs w:val="18"/>
        </w:rPr>
        <w:t>Ibidem</w:t>
      </w:r>
      <w:r w:rsidRPr="0004576F">
        <w:t>, p. 394-395.</w:t>
      </w:r>
    </w:p>
  </w:footnote>
  <w:footnote w:id="1064">
    <w:p w14:paraId="674157E0" w14:textId="77777777" w:rsidR="00B01930" w:rsidRDefault="00B01930">
      <w:pPr>
        <w:pStyle w:val="Notedebasdepage"/>
      </w:pPr>
      <w:r>
        <w:rPr>
          <w:rStyle w:val="Appelnotedebasdep"/>
        </w:rPr>
        <w:footnoteRef/>
      </w:r>
      <w:r>
        <w:t xml:space="preserve"> </w:t>
      </w:r>
      <w:r>
        <w:tab/>
      </w:r>
      <w:r w:rsidRPr="0004576F">
        <w:rPr>
          <w:i/>
          <w:szCs w:val="18"/>
        </w:rPr>
        <w:t>Ibid</w:t>
      </w:r>
      <w:r w:rsidRPr="0004576F">
        <w:t>., p. 156.</w:t>
      </w:r>
    </w:p>
  </w:footnote>
  <w:footnote w:id="1065">
    <w:p w14:paraId="50D52948" w14:textId="77777777" w:rsidR="00B01930" w:rsidRDefault="00B01930">
      <w:pPr>
        <w:pStyle w:val="Notedebasdepage"/>
      </w:pPr>
      <w:r>
        <w:rPr>
          <w:rStyle w:val="Appelnotedebasdep"/>
        </w:rPr>
        <w:footnoteRef/>
      </w:r>
      <w:r>
        <w:t xml:space="preserve"> </w:t>
      </w:r>
      <w:r>
        <w:tab/>
      </w:r>
      <w:r w:rsidRPr="0004576F">
        <w:rPr>
          <w:i/>
          <w:szCs w:val="18"/>
        </w:rPr>
        <w:t>Idem.</w:t>
      </w:r>
    </w:p>
  </w:footnote>
  <w:footnote w:id="1066">
    <w:p w14:paraId="1C9D8121" w14:textId="77777777" w:rsidR="00B01930" w:rsidRDefault="00B01930">
      <w:pPr>
        <w:pStyle w:val="Notedebasdepage"/>
      </w:pPr>
      <w:r>
        <w:rPr>
          <w:rStyle w:val="Appelnotedebasdep"/>
        </w:rPr>
        <w:footnoteRef/>
      </w:r>
      <w:r>
        <w:t xml:space="preserve"> </w:t>
      </w:r>
      <w:r>
        <w:tab/>
      </w:r>
      <w:r w:rsidRPr="0004576F">
        <w:t xml:space="preserve">Lettre, </w:t>
      </w:r>
      <w:r w:rsidRPr="0004576F">
        <w:rPr>
          <w:i/>
        </w:rPr>
        <w:t xml:space="preserve">in </w:t>
      </w:r>
      <w:r w:rsidRPr="0004576F">
        <w:t xml:space="preserve">Émile Rideau, </w:t>
      </w:r>
      <w:r w:rsidRPr="0004576F">
        <w:rPr>
          <w:i/>
        </w:rPr>
        <w:t>La Pensée du père Teilhard de Chardin</w:t>
      </w:r>
      <w:r w:rsidRPr="0004576F">
        <w:t>, Paris, Éd. du Seuil, 1965, p. 309-310.</w:t>
      </w:r>
    </w:p>
  </w:footnote>
  <w:footnote w:id="1067">
    <w:p w14:paraId="616F9DE3" w14:textId="77777777" w:rsidR="00B01930" w:rsidRDefault="00B01930">
      <w:pPr>
        <w:pStyle w:val="Notedebasdepage"/>
      </w:pPr>
      <w:r>
        <w:rPr>
          <w:rStyle w:val="Appelnotedebasdep"/>
        </w:rPr>
        <w:footnoteRef/>
      </w:r>
      <w:r>
        <w:t xml:space="preserve"> </w:t>
      </w:r>
      <w:r>
        <w:tab/>
      </w:r>
      <w:r w:rsidRPr="0004576F">
        <w:t>Lettre, 15 septembre 1936.</w:t>
      </w:r>
    </w:p>
  </w:footnote>
  <w:footnote w:id="1068">
    <w:p w14:paraId="1208F192" w14:textId="77777777" w:rsidR="00B01930" w:rsidRDefault="00B01930">
      <w:pPr>
        <w:pStyle w:val="Notedebasdepage"/>
      </w:pPr>
      <w:r>
        <w:rPr>
          <w:rStyle w:val="Appelnotedebasdep"/>
        </w:rPr>
        <w:footnoteRef/>
      </w:r>
      <w:r>
        <w:t xml:space="preserve"> </w:t>
      </w:r>
      <w:r>
        <w:tab/>
      </w:r>
      <w:r w:rsidRPr="0004576F">
        <w:t>Jean-Marie Domenach, « Le personnalisme de Teilhard de Cha</w:t>
      </w:r>
      <w:r w:rsidRPr="0004576F">
        <w:t>r</w:t>
      </w:r>
      <w:r w:rsidRPr="0004576F">
        <w:t xml:space="preserve">din », </w:t>
      </w:r>
      <w:r w:rsidRPr="0004576F">
        <w:rPr>
          <w:i/>
        </w:rPr>
        <w:t>Esprit</w:t>
      </w:r>
      <w:r w:rsidRPr="0004576F">
        <w:t>, n° 315, 1963, p. 353.</w:t>
      </w:r>
    </w:p>
  </w:footnote>
  <w:footnote w:id="1069">
    <w:p w14:paraId="7C283B49" w14:textId="77777777" w:rsidR="00B01930" w:rsidRDefault="00B01930">
      <w:pPr>
        <w:pStyle w:val="Notedebasdepage"/>
      </w:pPr>
      <w:r>
        <w:rPr>
          <w:rStyle w:val="Appelnotedebasdep"/>
        </w:rPr>
        <w:footnoteRef/>
      </w:r>
      <w:r>
        <w:t xml:space="preserve"> </w:t>
      </w:r>
      <w:r>
        <w:tab/>
      </w:r>
      <w:r w:rsidRPr="0004576F">
        <w:t>Pierre Teilhard de Chardin, « </w:t>
      </w:r>
      <w:hyperlink r:id="rId49" w:history="1">
        <w:r w:rsidRPr="00A63A6E">
          <w:rPr>
            <w:rStyle w:val="Hyperlien"/>
          </w:rPr>
          <w:t>Que se passe-il en ce moment sur terre </w:t>
        </w:r>
      </w:hyperlink>
      <w:r>
        <w:t xml:space="preserve">» (Pékin 10 mars 1945), Association lyonnaise Pierre Teilhard de Chardin </w:t>
      </w:r>
      <w:r w:rsidRPr="0004576F">
        <w:t>[consulté le 18 septe</w:t>
      </w:r>
      <w:r w:rsidRPr="0004576F">
        <w:t>m</w:t>
      </w:r>
      <w:r w:rsidRPr="0004576F">
        <w:t>bre 2014].</w:t>
      </w:r>
    </w:p>
  </w:footnote>
  <w:footnote w:id="1070">
    <w:p w14:paraId="2E776A23" w14:textId="77777777" w:rsidR="00B01930" w:rsidRDefault="00B01930">
      <w:pPr>
        <w:pStyle w:val="Notedebasdepage"/>
      </w:pPr>
      <w:r>
        <w:rPr>
          <w:rStyle w:val="Appelnotedebasdep"/>
        </w:rPr>
        <w:footnoteRef/>
      </w:r>
      <w:r>
        <w:t xml:space="preserve"> </w:t>
      </w:r>
      <w:r>
        <w:tab/>
      </w:r>
      <w:r w:rsidRPr="0004576F">
        <w:t>Lettre, 21 août 1946.</w:t>
      </w:r>
    </w:p>
  </w:footnote>
  <w:footnote w:id="1071">
    <w:p w14:paraId="362F9C0E" w14:textId="77777777" w:rsidR="00B01930" w:rsidRDefault="00B01930">
      <w:pPr>
        <w:pStyle w:val="Notedebasdepage"/>
      </w:pPr>
      <w:r>
        <w:rPr>
          <w:rStyle w:val="Appelnotedebasdep"/>
        </w:rPr>
        <w:footnoteRef/>
      </w:r>
      <w:r>
        <w:t xml:space="preserve"> </w:t>
      </w:r>
      <w:r>
        <w:tab/>
      </w:r>
      <w:r w:rsidRPr="0004576F">
        <w:rPr>
          <w:i/>
          <w:szCs w:val="18"/>
        </w:rPr>
        <w:t>Idem.</w:t>
      </w:r>
    </w:p>
  </w:footnote>
  <w:footnote w:id="1072">
    <w:p w14:paraId="5B8288AB" w14:textId="77777777" w:rsidR="00B01930" w:rsidRDefault="00B01930">
      <w:pPr>
        <w:pStyle w:val="Notedebasdepage"/>
      </w:pPr>
      <w:r>
        <w:rPr>
          <w:rStyle w:val="Appelnotedebasdep"/>
        </w:rPr>
        <w:footnoteRef/>
      </w:r>
      <w:r>
        <w:t xml:space="preserve"> </w:t>
      </w:r>
      <w:r>
        <w:tab/>
      </w:r>
      <w:r w:rsidRPr="0004576F">
        <w:rPr>
          <w:i/>
          <w:szCs w:val="18"/>
        </w:rPr>
        <w:t>Idem.</w:t>
      </w:r>
    </w:p>
  </w:footnote>
  <w:footnote w:id="1073">
    <w:p w14:paraId="39C2022E" w14:textId="77777777" w:rsidR="00B01930" w:rsidRDefault="00B01930">
      <w:pPr>
        <w:pStyle w:val="Notedebasdepage"/>
      </w:pPr>
      <w:r>
        <w:rPr>
          <w:rStyle w:val="Appelnotedebasdep"/>
        </w:rPr>
        <w:footnoteRef/>
      </w:r>
      <w:r>
        <w:t xml:space="preserve"> </w:t>
      </w:r>
      <w:r>
        <w:tab/>
      </w:r>
      <w:r w:rsidRPr="0004576F">
        <w:rPr>
          <w:i/>
          <w:szCs w:val="18"/>
        </w:rPr>
        <w:t>Idem.</w:t>
      </w:r>
    </w:p>
  </w:footnote>
  <w:footnote w:id="1074">
    <w:p w14:paraId="62DA746D" w14:textId="77777777" w:rsidR="00B01930" w:rsidRDefault="00B01930">
      <w:pPr>
        <w:pStyle w:val="Notedebasdepage"/>
      </w:pPr>
      <w:r>
        <w:rPr>
          <w:rStyle w:val="Appelnotedebasdep"/>
        </w:rPr>
        <w:footnoteRef/>
      </w:r>
      <w:r>
        <w:t xml:space="preserve"> </w:t>
      </w:r>
      <w:r>
        <w:tab/>
      </w:r>
      <w:r w:rsidRPr="0004576F">
        <w:rPr>
          <w:i/>
          <w:szCs w:val="18"/>
        </w:rPr>
        <w:t>Idem.</w:t>
      </w:r>
    </w:p>
  </w:footnote>
  <w:footnote w:id="1075">
    <w:p w14:paraId="71B17201" w14:textId="77777777" w:rsidR="00B01930" w:rsidRDefault="00B01930">
      <w:pPr>
        <w:pStyle w:val="Notedebasdepage"/>
      </w:pPr>
      <w:r>
        <w:rPr>
          <w:rStyle w:val="Appelnotedebasdep"/>
        </w:rPr>
        <w:footnoteRef/>
      </w:r>
      <w:r>
        <w:t xml:space="preserve"> </w:t>
      </w:r>
      <w:r>
        <w:tab/>
      </w:r>
      <w:r w:rsidRPr="0004576F">
        <w:t xml:space="preserve">Pierre Teilhard de Chardin, « Comment concevoir que se réalise sur terre l’unanimisation humaine ? », </w:t>
      </w:r>
      <w:r w:rsidRPr="0004576F">
        <w:rPr>
          <w:i/>
        </w:rPr>
        <w:t>in L’Avenir de l’Homme</w:t>
      </w:r>
      <w:r w:rsidRPr="0004576F">
        <w:t xml:space="preserve">, </w:t>
      </w:r>
      <w:r w:rsidRPr="0004576F">
        <w:rPr>
          <w:i/>
        </w:rPr>
        <w:t>op. cit.</w:t>
      </w:r>
      <w:r w:rsidRPr="0004576F">
        <w:t>, p. 367.</w:t>
      </w:r>
    </w:p>
  </w:footnote>
  <w:footnote w:id="1076">
    <w:p w14:paraId="3F6F8C98" w14:textId="77777777" w:rsidR="00B01930" w:rsidRDefault="00B01930">
      <w:pPr>
        <w:pStyle w:val="Notedebasdepage"/>
      </w:pPr>
      <w:r>
        <w:rPr>
          <w:rStyle w:val="Appelnotedebasdep"/>
        </w:rPr>
        <w:footnoteRef/>
      </w:r>
      <w:r>
        <w:t xml:space="preserve"> </w:t>
      </w:r>
      <w:r>
        <w:tab/>
      </w:r>
      <w:r w:rsidRPr="0004576F">
        <w:rPr>
          <w:i/>
          <w:szCs w:val="18"/>
        </w:rPr>
        <w:t>Idem.</w:t>
      </w:r>
    </w:p>
  </w:footnote>
  <w:footnote w:id="1077">
    <w:p w14:paraId="3571835A" w14:textId="77777777" w:rsidR="00B01930" w:rsidRDefault="00B01930">
      <w:pPr>
        <w:pStyle w:val="Notedebasdepage"/>
      </w:pPr>
      <w:r>
        <w:rPr>
          <w:rStyle w:val="Appelnotedebasdep"/>
        </w:rPr>
        <w:footnoteRef/>
      </w:r>
      <w:r>
        <w:t xml:space="preserve"> </w:t>
      </w:r>
      <w:r>
        <w:tab/>
      </w:r>
      <w:r w:rsidRPr="0004576F">
        <w:rPr>
          <w:i/>
          <w:szCs w:val="18"/>
        </w:rPr>
        <w:t>Idem.</w:t>
      </w:r>
    </w:p>
  </w:footnote>
  <w:footnote w:id="1078">
    <w:p w14:paraId="5EC8EF42" w14:textId="77777777" w:rsidR="00B01930" w:rsidRDefault="00B01930">
      <w:pPr>
        <w:pStyle w:val="Notedebasdepage"/>
      </w:pPr>
      <w:r>
        <w:rPr>
          <w:rStyle w:val="Appelnotedebasdep"/>
        </w:rPr>
        <w:footnoteRef/>
      </w:r>
      <w:r>
        <w:t xml:space="preserve"> </w:t>
      </w:r>
      <w:r>
        <w:tab/>
      </w:r>
      <w:r w:rsidRPr="0004576F">
        <w:rPr>
          <w:i/>
          <w:szCs w:val="18"/>
        </w:rPr>
        <w:t>Idem.</w:t>
      </w:r>
    </w:p>
  </w:footnote>
  <w:footnote w:id="1079">
    <w:p w14:paraId="5D8F8F77" w14:textId="77777777" w:rsidR="00B01930" w:rsidRDefault="00B01930">
      <w:pPr>
        <w:pStyle w:val="Notedebasdepage"/>
      </w:pPr>
      <w:r>
        <w:rPr>
          <w:rStyle w:val="Appelnotedebasdep"/>
        </w:rPr>
        <w:footnoteRef/>
      </w:r>
      <w:r>
        <w:t xml:space="preserve"> </w:t>
      </w:r>
      <w:r>
        <w:tab/>
      </w:r>
      <w:r w:rsidRPr="0004576F">
        <w:rPr>
          <w:i/>
          <w:szCs w:val="18"/>
        </w:rPr>
        <w:t>Idem.</w:t>
      </w:r>
    </w:p>
  </w:footnote>
  <w:footnote w:id="1080">
    <w:p w14:paraId="677FB5EC" w14:textId="77777777" w:rsidR="00B01930" w:rsidRDefault="00B01930">
      <w:pPr>
        <w:pStyle w:val="Notedebasdepage"/>
      </w:pPr>
      <w:r>
        <w:rPr>
          <w:rStyle w:val="Appelnotedebasdep"/>
        </w:rPr>
        <w:footnoteRef/>
      </w:r>
      <w:r>
        <w:t xml:space="preserve"> </w:t>
      </w:r>
      <w:r>
        <w:tab/>
      </w:r>
      <w:r w:rsidRPr="0004576F">
        <w:rPr>
          <w:i/>
          <w:szCs w:val="18"/>
        </w:rPr>
        <w:t>Idem.</w:t>
      </w:r>
    </w:p>
  </w:footnote>
  <w:footnote w:id="1081">
    <w:p w14:paraId="29731BF1" w14:textId="77777777" w:rsidR="00B01930" w:rsidRDefault="00B01930">
      <w:pPr>
        <w:pStyle w:val="Notedebasdepage"/>
      </w:pPr>
      <w:r>
        <w:rPr>
          <w:rStyle w:val="Appelnotedebasdep"/>
        </w:rPr>
        <w:footnoteRef/>
      </w:r>
      <w:r>
        <w:t xml:space="preserve"> </w:t>
      </w:r>
      <w:r>
        <w:tab/>
      </w:r>
      <w:r w:rsidRPr="0004576F">
        <w:t xml:space="preserve">Voir, par exemple, le Livre VIII de </w:t>
      </w:r>
      <w:hyperlink r:id="rId50" w:history="1">
        <w:r w:rsidRPr="009F77A9">
          <w:rPr>
            <w:rStyle w:val="Hyperlien"/>
            <w:i/>
          </w:rPr>
          <w:t>La République</w:t>
        </w:r>
      </w:hyperlink>
      <w:r w:rsidRPr="0004576F">
        <w:t xml:space="preserve"> de Platon.</w:t>
      </w:r>
    </w:p>
  </w:footnote>
  <w:footnote w:id="1082">
    <w:p w14:paraId="4003B408" w14:textId="77777777" w:rsidR="00B01930" w:rsidRDefault="00B01930">
      <w:pPr>
        <w:pStyle w:val="Notedebasdepage"/>
      </w:pPr>
      <w:r>
        <w:rPr>
          <w:rStyle w:val="Appelnotedebasdep"/>
        </w:rPr>
        <w:footnoteRef/>
      </w:r>
      <w:r>
        <w:t xml:space="preserve"> </w:t>
      </w:r>
      <w:r>
        <w:tab/>
      </w:r>
      <w:r w:rsidRPr="0004576F">
        <w:t xml:space="preserve">Sur la question, voir notamment Dieudonné Zognong, </w:t>
      </w:r>
      <w:r w:rsidRPr="0004576F">
        <w:rPr>
          <w:i/>
        </w:rPr>
        <w:t>L’éthique des droits de l’homme chez Teilhard de Chardin. De l’évolutionnisme à l’humanisme jur</w:t>
      </w:r>
      <w:r w:rsidRPr="0004576F">
        <w:rPr>
          <w:i/>
        </w:rPr>
        <w:t>i</w:t>
      </w:r>
      <w:r w:rsidRPr="0004576F">
        <w:rPr>
          <w:i/>
        </w:rPr>
        <w:t>dique</w:t>
      </w:r>
      <w:r w:rsidRPr="0004576F">
        <w:t>, Paris, L’Harmattan, 2012.</w:t>
      </w:r>
    </w:p>
  </w:footnote>
  <w:footnote w:id="1083">
    <w:p w14:paraId="691E7BAF" w14:textId="77777777" w:rsidR="00B01930" w:rsidRDefault="00B01930">
      <w:pPr>
        <w:pStyle w:val="Notedebasdepage"/>
      </w:pPr>
      <w:r>
        <w:rPr>
          <w:rStyle w:val="Appelnotedebasdep"/>
        </w:rPr>
        <w:footnoteRef/>
      </w:r>
      <w:r>
        <w:t xml:space="preserve"> </w:t>
      </w:r>
      <w:r>
        <w:tab/>
      </w:r>
      <w:r w:rsidRPr="0004576F">
        <w:t>Pierre Teilhard de Chardin, « L’essence de l’idée de démocratie. Approche biologique du problème », U</w:t>
      </w:r>
      <w:r w:rsidRPr="0004576F">
        <w:rPr>
          <w:smallCaps/>
        </w:rPr>
        <w:t>ne</w:t>
      </w:r>
      <w:r w:rsidRPr="0004576F">
        <w:rPr>
          <w:smallCaps/>
        </w:rPr>
        <w:t>s</w:t>
      </w:r>
      <w:r w:rsidRPr="0004576F">
        <w:rPr>
          <w:smallCaps/>
        </w:rPr>
        <w:t>co</w:t>
      </w:r>
      <w:r w:rsidRPr="0004576F">
        <w:t>, 2 février 1949.</w:t>
      </w:r>
    </w:p>
  </w:footnote>
  <w:footnote w:id="1084">
    <w:p w14:paraId="517BCE2D" w14:textId="77777777" w:rsidR="00B01930" w:rsidRDefault="00B01930">
      <w:pPr>
        <w:pStyle w:val="Notedebasdepage"/>
      </w:pPr>
      <w:r>
        <w:rPr>
          <w:rStyle w:val="Appelnotedebasdep"/>
        </w:rPr>
        <w:footnoteRef/>
      </w:r>
      <w:r>
        <w:t xml:space="preserve"> </w:t>
      </w:r>
      <w:r>
        <w:tab/>
      </w:r>
      <w:r w:rsidRPr="0004576F">
        <w:rPr>
          <w:i/>
          <w:szCs w:val="18"/>
        </w:rPr>
        <w:t>Idem.</w:t>
      </w:r>
    </w:p>
  </w:footnote>
  <w:footnote w:id="1085">
    <w:p w14:paraId="15A179E1" w14:textId="77777777" w:rsidR="00B01930" w:rsidRDefault="00B01930">
      <w:pPr>
        <w:pStyle w:val="Notedebasdepage"/>
      </w:pPr>
      <w:r>
        <w:rPr>
          <w:rStyle w:val="Appelnotedebasdep"/>
        </w:rPr>
        <w:footnoteRef/>
      </w:r>
      <w:r>
        <w:t xml:space="preserve"> </w:t>
      </w:r>
      <w:r>
        <w:tab/>
      </w:r>
      <w:r w:rsidRPr="0004576F">
        <w:rPr>
          <w:i/>
          <w:szCs w:val="18"/>
        </w:rPr>
        <w:t>Idem.</w:t>
      </w:r>
    </w:p>
  </w:footnote>
  <w:footnote w:id="1086">
    <w:p w14:paraId="6ECD64EF" w14:textId="77777777" w:rsidR="00B01930" w:rsidRDefault="00B01930">
      <w:pPr>
        <w:pStyle w:val="Notedebasdepage"/>
      </w:pPr>
      <w:r>
        <w:rPr>
          <w:rStyle w:val="Appelnotedebasdep"/>
        </w:rPr>
        <w:footnoteRef/>
      </w:r>
      <w:r>
        <w:t xml:space="preserve"> </w:t>
      </w:r>
      <w:r>
        <w:tab/>
      </w:r>
      <w:r w:rsidRPr="0004576F">
        <w:t xml:space="preserve">Voir notamment Maxence Hecquart, </w:t>
      </w:r>
      <w:r w:rsidRPr="0004576F">
        <w:rPr>
          <w:i/>
        </w:rPr>
        <w:t>Les Fondements philos</w:t>
      </w:r>
      <w:r w:rsidRPr="0004576F">
        <w:rPr>
          <w:i/>
        </w:rPr>
        <w:t>o</w:t>
      </w:r>
      <w:r w:rsidRPr="0004576F">
        <w:rPr>
          <w:i/>
        </w:rPr>
        <w:t>phiques de la démocratie moderne</w:t>
      </w:r>
      <w:r w:rsidRPr="0004576F">
        <w:t>, Paris, Fra</w:t>
      </w:r>
      <w:r w:rsidRPr="0004576F">
        <w:t>n</w:t>
      </w:r>
      <w:r w:rsidRPr="0004576F">
        <w:t>çois-Xavier de Guibert, 2007, p. 191.</w:t>
      </w:r>
    </w:p>
  </w:footnote>
  <w:footnote w:id="1087">
    <w:p w14:paraId="58A60781" w14:textId="77777777" w:rsidR="00B01930" w:rsidRDefault="00B01930">
      <w:pPr>
        <w:pStyle w:val="Notedebasdepage"/>
      </w:pPr>
      <w:r>
        <w:rPr>
          <w:rStyle w:val="Appelnotedebasdep"/>
        </w:rPr>
        <w:footnoteRef/>
      </w:r>
      <w:r>
        <w:t xml:space="preserve"> </w:t>
      </w:r>
      <w:r>
        <w:tab/>
      </w:r>
      <w:r w:rsidRPr="0004576F">
        <w:t>Pierre Teilhard de Chardin, « L’essence de l’idée de démocratie. Approche bi</w:t>
      </w:r>
      <w:r w:rsidRPr="0004576F">
        <w:t>o</w:t>
      </w:r>
      <w:r w:rsidRPr="0004576F">
        <w:t xml:space="preserve">logique du problème », </w:t>
      </w:r>
      <w:r w:rsidRPr="0004576F">
        <w:rPr>
          <w:i/>
        </w:rPr>
        <w:t>op. cit.</w:t>
      </w:r>
    </w:p>
  </w:footnote>
  <w:footnote w:id="1088">
    <w:p w14:paraId="747AC23E" w14:textId="77777777" w:rsidR="00B01930" w:rsidRDefault="00B01930">
      <w:pPr>
        <w:pStyle w:val="Notedebasdepage"/>
      </w:pPr>
      <w:r>
        <w:rPr>
          <w:rStyle w:val="Appelnotedebasdep"/>
        </w:rPr>
        <w:footnoteRef/>
      </w:r>
      <w:r>
        <w:t xml:space="preserve"> </w:t>
      </w:r>
      <w:r>
        <w:tab/>
      </w:r>
      <w:r w:rsidRPr="0004576F">
        <w:rPr>
          <w:i/>
          <w:szCs w:val="18"/>
        </w:rPr>
        <w:t>Idem.</w:t>
      </w:r>
    </w:p>
  </w:footnote>
  <w:footnote w:id="1089">
    <w:p w14:paraId="247AB152" w14:textId="77777777" w:rsidR="00B01930" w:rsidRDefault="00B01930">
      <w:pPr>
        <w:pStyle w:val="Notedebasdepage"/>
      </w:pPr>
      <w:r>
        <w:rPr>
          <w:rStyle w:val="Appelnotedebasdep"/>
        </w:rPr>
        <w:footnoteRef/>
      </w:r>
      <w:r>
        <w:t xml:space="preserve"> </w:t>
      </w:r>
      <w:r>
        <w:tab/>
      </w:r>
      <w:r w:rsidRPr="0004576F">
        <w:rPr>
          <w:i/>
          <w:szCs w:val="18"/>
        </w:rPr>
        <w:t>Idem.</w:t>
      </w:r>
    </w:p>
  </w:footnote>
  <w:footnote w:id="1090">
    <w:p w14:paraId="11F166BE" w14:textId="77777777" w:rsidR="00B01930" w:rsidRDefault="00B01930">
      <w:pPr>
        <w:pStyle w:val="Notedebasdepage"/>
      </w:pPr>
      <w:r>
        <w:rPr>
          <w:rStyle w:val="Appelnotedebasdep"/>
        </w:rPr>
        <w:footnoteRef/>
      </w:r>
      <w:r>
        <w:t xml:space="preserve"> </w:t>
      </w:r>
      <w:r>
        <w:tab/>
      </w:r>
      <w:r w:rsidRPr="0004576F">
        <w:rPr>
          <w:i/>
          <w:szCs w:val="18"/>
        </w:rPr>
        <w:t>Idem.</w:t>
      </w:r>
    </w:p>
  </w:footnote>
  <w:footnote w:id="1091">
    <w:p w14:paraId="74FF333A" w14:textId="77777777" w:rsidR="00B01930" w:rsidRDefault="00B01930">
      <w:pPr>
        <w:pStyle w:val="Notedebasdepage"/>
      </w:pPr>
      <w:r>
        <w:rPr>
          <w:rStyle w:val="Appelnotedebasdep"/>
        </w:rPr>
        <w:footnoteRef/>
      </w:r>
      <w:r>
        <w:t xml:space="preserve"> </w:t>
      </w:r>
      <w:r>
        <w:tab/>
      </w:r>
      <w:r w:rsidRPr="0004576F">
        <w:t>Pierre Teilhard de Chardin, « La lutte contre la multitude », 1917.</w:t>
      </w:r>
    </w:p>
  </w:footnote>
  <w:footnote w:id="1092">
    <w:p w14:paraId="7D5D3EB7" w14:textId="77777777" w:rsidR="00B01930" w:rsidRDefault="00B01930">
      <w:pPr>
        <w:pStyle w:val="Notedebasdepage"/>
      </w:pPr>
      <w:r>
        <w:rPr>
          <w:rStyle w:val="Appelnotedebasdep"/>
        </w:rPr>
        <w:footnoteRef/>
      </w:r>
      <w:r>
        <w:t xml:space="preserve"> </w:t>
      </w:r>
      <w:r>
        <w:tab/>
      </w:r>
      <w:r w:rsidRPr="0004576F">
        <w:t>Pierre Teilhard de Chardin, « Terre promise », 1919.</w:t>
      </w:r>
    </w:p>
  </w:footnote>
  <w:footnote w:id="1093">
    <w:p w14:paraId="7D3BDC0D" w14:textId="77777777" w:rsidR="00B01930" w:rsidRDefault="00B01930">
      <w:pPr>
        <w:pStyle w:val="Notedebasdepage"/>
      </w:pPr>
      <w:r>
        <w:rPr>
          <w:rStyle w:val="Appelnotedebasdep"/>
        </w:rPr>
        <w:footnoteRef/>
      </w:r>
      <w:r>
        <w:t xml:space="preserve"> </w:t>
      </w:r>
      <w:r>
        <w:tab/>
      </w:r>
      <w:r w:rsidRPr="0004576F">
        <w:t xml:space="preserve">Pierre Teilhard de Chardin, </w:t>
      </w:r>
      <w:hyperlink r:id="rId51" w:history="1">
        <w:r w:rsidRPr="009F77A9">
          <w:rPr>
            <w:rStyle w:val="Hyperlien"/>
            <w:i/>
          </w:rPr>
          <w:t>L’Activation de l’Énergie</w:t>
        </w:r>
      </w:hyperlink>
      <w:r w:rsidRPr="0004576F">
        <w:t>, Paris, Le Seuil, 1963, p. 25.</w:t>
      </w:r>
    </w:p>
  </w:footnote>
  <w:footnote w:id="1094">
    <w:p w14:paraId="7C75DC60" w14:textId="77777777" w:rsidR="00B01930" w:rsidRDefault="00B01930">
      <w:pPr>
        <w:pStyle w:val="Notedebasdepage"/>
      </w:pPr>
      <w:r>
        <w:rPr>
          <w:rStyle w:val="Appelnotedebasdep"/>
        </w:rPr>
        <w:footnoteRef/>
      </w:r>
      <w:r>
        <w:t xml:space="preserve"> </w:t>
      </w:r>
      <w:r>
        <w:tab/>
      </w:r>
      <w:r w:rsidRPr="0004576F">
        <w:t xml:space="preserve">Cité </w:t>
      </w:r>
      <w:r w:rsidRPr="0004576F">
        <w:rPr>
          <w:i/>
        </w:rPr>
        <w:t xml:space="preserve">in </w:t>
      </w:r>
      <w:r w:rsidRPr="0004576F">
        <w:t xml:space="preserve">Jacques Duquesne, </w:t>
      </w:r>
      <w:r w:rsidRPr="0004576F">
        <w:rPr>
          <w:i/>
        </w:rPr>
        <w:t>La gauche du Christ</w:t>
      </w:r>
      <w:r w:rsidRPr="0004576F">
        <w:t>, Paris, Grasset, 1972.</w:t>
      </w:r>
    </w:p>
  </w:footnote>
  <w:footnote w:id="1095">
    <w:p w14:paraId="5094403E" w14:textId="77777777" w:rsidR="00B01930" w:rsidRDefault="00B01930">
      <w:pPr>
        <w:pStyle w:val="Notedebasdepage"/>
      </w:pPr>
      <w:r>
        <w:rPr>
          <w:rStyle w:val="Appelnotedebasdep"/>
        </w:rPr>
        <w:footnoteRef/>
      </w:r>
      <w:r>
        <w:t xml:space="preserve"> </w:t>
      </w:r>
      <w:r>
        <w:tab/>
      </w:r>
      <w:r w:rsidRPr="0004576F">
        <w:t>Déclaration à Robert Barrat, 1950.</w:t>
      </w:r>
    </w:p>
  </w:footnote>
  <w:footnote w:id="1096">
    <w:p w14:paraId="62715D9E" w14:textId="77777777" w:rsidR="00B01930" w:rsidRDefault="00B01930">
      <w:pPr>
        <w:pStyle w:val="Notedebasdepage"/>
      </w:pPr>
      <w:r>
        <w:rPr>
          <w:rStyle w:val="Appelnotedebasdep"/>
        </w:rPr>
        <w:footnoteRef/>
      </w:r>
      <w:r>
        <w:t xml:space="preserve"> </w:t>
      </w:r>
      <w:r>
        <w:tab/>
      </w:r>
      <w:r w:rsidRPr="0004576F">
        <w:t>Lettre, 22 novembre 1936.</w:t>
      </w:r>
    </w:p>
  </w:footnote>
  <w:footnote w:id="1097">
    <w:p w14:paraId="32216119" w14:textId="77777777" w:rsidR="00B01930" w:rsidRDefault="00B01930">
      <w:pPr>
        <w:pStyle w:val="Notedebasdepage"/>
      </w:pPr>
      <w:r>
        <w:rPr>
          <w:rStyle w:val="Appelnotedebasdep"/>
        </w:rPr>
        <w:footnoteRef/>
      </w:r>
      <w:r>
        <w:t xml:space="preserve"> </w:t>
      </w:r>
      <w:r>
        <w:tab/>
      </w:r>
      <w:r w:rsidRPr="0004576F">
        <w:t>Notes, 3 août 1946.</w:t>
      </w:r>
    </w:p>
  </w:footnote>
  <w:footnote w:id="1098">
    <w:p w14:paraId="4596C8BC" w14:textId="77777777" w:rsidR="00B01930" w:rsidRDefault="00B01930">
      <w:pPr>
        <w:pStyle w:val="Notedebasdepage"/>
      </w:pPr>
      <w:r>
        <w:rPr>
          <w:rStyle w:val="Appelnotedebasdep"/>
        </w:rPr>
        <w:footnoteRef/>
      </w:r>
      <w:r>
        <w:t xml:space="preserve"> </w:t>
      </w:r>
      <w:r>
        <w:tab/>
      </w:r>
      <w:r w:rsidRPr="0004576F">
        <w:t>Paris, 22 mars 1947, U</w:t>
      </w:r>
      <w:r w:rsidRPr="0004576F">
        <w:rPr>
          <w:smallCaps/>
        </w:rPr>
        <w:t>nesco</w:t>
      </w:r>
      <w:r w:rsidRPr="0004576F">
        <w:t>, 1949, p. 88-89.</w:t>
      </w:r>
    </w:p>
  </w:footnote>
  <w:footnote w:id="1099">
    <w:p w14:paraId="449FA72B" w14:textId="77777777" w:rsidR="00B01930" w:rsidRDefault="00B01930">
      <w:pPr>
        <w:pStyle w:val="Notedebasdepage"/>
      </w:pPr>
      <w:r>
        <w:rPr>
          <w:rStyle w:val="Appelnotedebasdep"/>
        </w:rPr>
        <w:footnoteRef/>
      </w:r>
      <w:r>
        <w:t xml:space="preserve"> </w:t>
      </w:r>
      <w:r>
        <w:tab/>
      </w:r>
      <w:r w:rsidRPr="0004576F">
        <w:rPr>
          <w:i/>
          <w:szCs w:val="18"/>
        </w:rPr>
        <w:t>Idem.</w:t>
      </w:r>
    </w:p>
  </w:footnote>
  <w:footnote w:id="1100">
    <w:p w14:paraId="3BDCF26A" w14:textId="77777777" w:rsidR="00B01930" w:rsidRDefault="00B01930">
      <w:pPr>
        <w:pStyle w:val="Notedebasdepage"/>
      </w:pPr>
      <w:r>
        <w:rPr>
          <w:rStyle w:val="Appelnotedebasdep"/>
        </w:rPr>
        <w:footnoteRef/>
      </w:r>
      <w:r>
        <w:t xml:space="preserve"> </w:t>
      </w:r>
      <w:r>
        <w:tab/>
      </w:r>
      <w:r w:rsidRPr="0004576F">
        <w:rPr>
          <w:i/>
          <w:szCs w:val="18"/>
        </w:rPr>
        <w:t>Idem.</w:t>
      </w:r>
    </w:p>
  </w:footnote>
  <w:footnote w:id="1101">
    <w:p w14:paraId="264CA586" w14:textId="77777777" w:rsidR="00B01930" w:rsidRDefault="00B01930">
      <w:pPr>
        <w:pStyle w:val="Notedebasdepage"/>
      </w:pPr>
      <w:r>
        <w:rPr>
          <w:rStyle w:val="Appelnotedebasdep"/>
        </w:rPr>
        <w:footnoteRef/>
      </w:r>
      <w:r>
        <w:t xml:space="preserve"> </w:t>
      </w:r>
      <w:r>
        <w:tab/>
      </w:r>
      <w:r w:rsidRPr="0004576F">
        <w:rPr>
          <w:i/>
          <w:szCs w:val="18"/>
        </w:rPr>
        <w:t>Idem.</w:t>
      </w:r>
    </w:p>
  </w:footnote>
  <w:footnote w:id="1102">
    <w:p w14:paraId="6576D76D" w14:textId="77777777" w:rsidR="00B01930" w:rsidRDefault="00B01930">
      <w:pPr>
        <w:pStyle w:val="Notedebasdepage"/>
      </w:pPr>
      <w:r>
        <w:rPr>
          <w:rStyle w:val="Appelnotedebasdep"/>
        </w:rPr>
        <w:footnoteRef/>
      </w:r>
      <w:r>
        <w:t xml:space="preserve"> </w:t>
      </w:r>
      <w:r>
        <w:tab/>
      </w:r>
      <w:r w:rsidRPr="0004576F">
        <w:t xml:space="preserve">Sur la question, voir notamment Michel Salomon, </w:t>
      </w:r>
      <w:r w:rsidRPr="0004576F">
        <w:rPr>
          <w:i/>
        </w:rPr>
        <w:t>L’Avenir de la vie</w:t>
      </w:r>
      <w:r w:rsidRPr="0004576F">
        <w:t>, Paris, Seghers, 1981.</w:t>
      </w:r>
    </w:p>
  </w:footnote>
  <w:footnote w:id="1103">
    <w:p w14:paraId="1B3350F5" w14:textId="77777777" w:rsidR="00B01930" w:rsidRDefault="00B01930">
      <w:pPr>
        <w:pStyle w:val="Notedebasdepage"/>
      </w:pPr>
      <w:r>
        <w:rPr>
          <w:rStyle w:val="Appelnotedebasdep"/>
        </w:rPr>
        <w:footnoteRef/>
      </w:r>
      <w:r>
        <w:t xml:space="preserve"> </w:t>
      </w:r>
      <w:r>
        <w:tab/>
      </w:r>
      <w:r w:rsidRPr="0004576F">
        <w:t xml:space="preserve">Julian Huxley, « Préface », </w:t>
      </w:r>
      <w:r w:rsidRPr="0004576F">
        <w:rPr>
          <w:i/>
        </w:rPr>
        <w:t>in</w:t>
      </w:r>
      <w:r w:rsidRPr="0004576F">
        <w:t xml:space="preserve"> George B. Barbour, </w:t>
      </w:r>
      <w:r w:rsidRPr="0004576F">
        <w:rPr>
          <w:i/>
        </w:rPr>
        <w:t>In the Field with Teilhard de Chardin</w:t>
      </w:r>
      <w:r w:rsidRPr="0004576F">
        <w:t>, Herder and Herder, 1965, p. 6.</w:t>
      </w:r>
    </w:p>
  </w:footnote>
  <w:footnote w:id="1104">
    <w:p w14:paraId="1AB5911C" w14:textId="77777777" w:rsidR="00B01930" w:rsidRDefault="00B01930">
      <w:pPr>
        <w:pStyle w:val="Notedebasdepage"/>
      </w:pPr>
      <w:r>
        <w:rPr>
          <w:rStyle w:val="Appelnotedebasdep"/>
        </w:rPr>
        <w:footnoteRef/>
      </w:r>
      <w:r>
        <w:t xml:space="preserve"> </w:t>
      </w:r>
      <w:r>
        <w:tab/>
      </w:r>
      <w:r w:rsidRPr="0004576F">
        <w:t xml:space="preserve">Francis Galton, cité </w:t>
      </w:r>
      <w:r w:rsidRPr="0004576F">
        <w:rPr>
          <w:i/>
        </w:rPr>
        <w:t>in</w:t>
      </w:r>
      <w:r w:rsidRPr="0004576F">
        <w:t xml:space="preserve"> Daniel Becquemont, « Eugénisme et socialisme en Gra</w:t>
      </w:r>
      <w:r w:rsidRPr="0004576F">
        <w:t>n</w:t>
      </w:r>
      <w:r w:rsidRPr="0004576F">
        <w:t xml:space="preserve">de-Bretagne », </w:t>
      </w:r>
      <w:r w:rsidRPr="0004576F">
        <w:rPr>
          <w:i/>
        </w:rPr>
        <w:t>Mil neuf cent</w:t>
      </w:r>
      <w:r w:rsidRPr="0004576F">
        <w:t>, 18 (1), 2000, p. 53-54.</w:t>
      </w:r>
    </w:p>
  </w:footnote>
  <w:footnote w:id="1105">
    <w:p w14:paraId="428CAB4D" w14:textId="77777777" w:rsidR="00B01930" w:rsidRDefault="00B01930">
      <w:pPr>
        <w:pStyle w:val="Notedebasdepage"/>
      </w:pPr>
      <w:r>
        <w:rPr>
          <w:rStyle w:val="Appelnotedebasdep"/>
        </w:rPr>
        <w:footnoteRef/>
      </w:r>
      <w:r>
        <w:t xml:space="preserve"> </w:t>
      </w:r>
      <w:r>
        <w:tab/>
      </w:r>
      <w:r w:rsidRPr="0004576F">
        <w:t xml:space="preserve">Pierre Teilhard de Chardin, </w:t>
      </w:r>
      <w:hyperlink r:id="rId52" w:history="1">
        <w:r w:rsidRPr="009F77A9">
          <w:rPr>
            <w:rStyle w:val="Hyperlien"/>
            <w:i/>
          </w:rPr>
          <w:t>Le Phénomène humain</w:t>
        </w:r>
      </w:hyperlink>
      <w:r w:rsidRPr="0004576F">
        <w:t xml:space="preserve">, </w:t>
      </w:r>
      <w:r w:rsidRPr="0004576F">
        <w:rPr>
          <w:i/>
        </w:rPr>
        <w:t>op. cit.</w:t>
      </w:r>
      <w:r w:rsidRPr="0004576F">
        <w:t>, p. 314-315.</w:t>
      </w:r>
    </w:p>
  </w:footnote>
  <w:footnote w:id="1106">
    <w:p w14:paraId="2994716E" w14:textId="77777777" w:rsidR="00B01930" w:rsidRDefault="00B01930">
      <w:pPr>
        <w:pStyle w:val="Notedebasdepage"/>
      </w:pPr>
      <w:r>
        <w:rPr>
          <w:rStyle w:val="Appelnotedebasdep"/>
        </w:rPr>
        <w:footnoteRef/>
      </w:r>
      <w:r>
        <w:t xml:space="preserve"> </w:t>
      </w:r>
      <w:r>
        <w:tab/>
      </w:r>
      <w:r w:rsidRPr="0004576F">
        <w:rPr>
          <w:i/>
          <w:szCs w:val="18"/>
        </w:rPr>
        <w:t>Ibid</w:t>
      </w:r>
      <w:r w:rsidRPr="0004576F">
        <w:rPr>
          <w:i/>
        </w:rPr>
        <w:t>em</w:t>
      </w:r>
      <w:r w:rsidRPr="0004576F">
        <w:t>, p. 315.</w:t>
      </w:r>
    </w:p>
  </w:footnote>
  <w:footnote w:id="1107">
    <w:p w14:paraId="3ED0553D" w14:textId="77777777" w:rsidR="00B01930" w:rsidRDefault="00B01930">
      <w:pPr>
        <w:pStyle w:val="Notedebasdepage"/>
      </w:pPr>
      <w:r>
        <w:rPr>
          <w:rStyle w:val="Appelnotedebasdep"/>
        </w:rPr>
        <w:footnoteRef/>
      </w:r>
      <w:r>
        <w:t xml:space="preserve"> </w:t>
      </w:r>
      <w:r>
        <w:tab/>
      </w:r>
      <w:r w:rsidRPr="0004576F">
        <w:rPr>
          <w:i/>
          <w:szCs w:val="18"/>
        </w:rPr>
        <w:t>Idem.</w:t>
      </w:r>
    </w:p>
  </w:footnote>
  <w:footnote w:id="1108">
    <w:p w14:paraId="5962DB8D" w14:textId="77777777" w:rsidR="00B01930" w:rsidRDefault="00B01930">
      <w:pPr>
        <w:pStyle w:val="Notedebasdepage"/>
      </w:pPr>
      <w:r>
        <w:rPr>
          <w:rStyle w:val="Appelnotedebasdep"/>
        </w:rPr>
        <w:footnoteRef/>
      </w:r>
      <w:r>
        <w:t xml:space="preserve"> </w:t>
      </w:r>
      <w:r>
        <w:tab/>
      </w:r>
      <w:r w:rsidRPr="0004576F">
        <w:t xml:space="preserve">Pierre Teilhard de Chardin, </w:t>
      </w:r>
      <w:r w:rsidRPr="0004576F">
        <w:rPr>
          <w:i/>
        </w:rPr>
        <w:t>L’Avenir de l’Homme</w:t>
      </w:r>
      <w:r w:rsidRPr="0004576F">
        <w:t xml:space="preserve">, </w:t>
      </w:r>
      <w:r w:rsidRPr="0004576F">
        <w:rPr>
          <w:i/>
        </w:rPr>
        <w:t>op. cit.</w:t>
      </w:r>
      <w:r w:rsidRPr="0004576F">
        <w:t>, p. 301.</w:t>
      </w:r>
    </w:p>
  </w:footnote>
  <w:footnote w:id="1109">
    <w:p w14:paraId="408D9A9F" w14:textId="77777777" w:rsidR="00B01930" w:rsidRDefault="00B01930">
      <w:pPr>
        <w:pStyle w:val="Notedebasdepage"/>
      </w:pPr>
      <w:r>
        <w:rPr>
          <w:rStyle w:val="Appelnotedebasdep"/>
        </w:rPr>
        <w:footnoteRef/>
      </w:r>
      <w:r>
        <w:t xml:space="preserve"> </w:t>
      </w:r>
      <w:r>
        <w:tab/>
      </w:r>
      <w:r w:rsidRPr="0004576F">
        <w:t xml:space="preserve">Pierre Teilhard de Chardin, </w:t>
      </w:r>
      <w:r w:rsidRPr="0004576F">
        <w:rPr>
          <w:i/>
        </w:rPr>
        <w:t>L’Énergie humaine</w:t>
      </w:r>
      <w:r w:rsidRPr="0004576F">
        <w:t xml:space="preserve">, </w:t>
      </w:r>
      <w:r w:rsidRPr="0004576F">
        <w:rPr>
          <w:i/>
        </w:rPr>
        <w:t>op. cit.</w:t>
      </w:r>
      <w:r w:rsidRPr="0004576F">
        <w:t>, p. 166-167.</w:t>
      </w:r>
    </w:p>
  </w:footnote>
  <w:footnote w:id="1110">
    <w:p w14:paraId="13719CE8" w14:textId="77777777" w:rsidR="00B01930" w:rsidRDefault="00B01930">
      <w:pPr>
        <w:pStyle w:val="Notedebasdepage"/>
      </w:pPr>
      <w:r>
        <w:rPr>
          <w:rStyle w:val="Appelnotedebasdep"/>
        </w:rPr>
        <w:footnoteRef/>
      </w:r>
      <w:r>
        <w:t xml:space="preserve"> </w:t>
      </w:r>
      <w:r>
        <w:tab/>
      </w:r>
      <w:r w:rsidRPr="0004576F">
        <w:t>En 1950, la F</w:t>
      </w:r>
      <w:r w:rsidRPr="0004576F">
        <w:rPr>
          <w:smallCaps/>
        </w:rPr>
        <w:t>ao</w:t>
      </w:r>
      <w:r w:rsidRPr="0004576F">
        <w:t xml:space="preserve"> a publié sa première étude sur la famine et la disette dans le monde, so</w:t>
      </w:r>
      <w:r w:rsidRPr="0004576F">
        <w:t>u</w:t>
      </w:r>
      <w:r w:rsidRPr="0004576F">
        <w:t>lignant que plus de la moitie de l’humanité souffrait d’un manque de calories ou de pr</w:t>
      </w:r>
      <w:r w:rsidRPr="0004576F">
        <w:t>o</w:t>
      </w:r>
      <w:r w:rsidRPr="0004576F">
        <w:t>téines.</w:t>
      </w:r>
    </w:p>
  </w:footnote>
  <w:footnote w:id="1111">
    <w:p w14:paraId="089D2D47" w14:textId="77777777" w:rsidR="00B01930" w:rsidRDefault="00B01930">
      <w:pPr>
        <w:pStyle w:val="Notedebasdepage"/>
      </w:pPr>
      <w:r>
        <w:rPr>
          <w:rStyle w:val="Appelnotedebasdep"/>
        </w:rPr>
        <w:footnoteRef/>
      </w:r>
      <w:r>
        <w:t xml:space="preserve"> </w:t>
      </w:r>
      <w:r>
        <w:tab/>
      </w:r>
      <w:r w:rsidRPr="0004576F">
        <w:t xml:space="preserve">Cité </w:t>
      </w:r>
      <w:r w:rsidRPr="0004576F">
        <w:rPr>
          <w:i/>
        </w:rPr>
        <w:t xml:space="preserve">in </w:t>
      </w:r>
      <w:r w:rsidRPr="0004576F">
        <w:t xml:space="preserve">Claude Cuénot, </w:t>
      </w:r>
      <w:r w:rsidRPr="0004576F">
        <w:rPr>
          <w:i/>
        </w:rPr>
        <w:t>Pierre Teilhard de Chardin</w:t>
      </w:r>
      <w:r w:rsidRPr="0004576F">
        <w:t>, Paris, Le Club des Éd</w:t>
      </w:r>
      <w:r w:rsidRPr="0004576F">
        <w:t>i</w:t>
      </w:r>
      <w:r w:rsidRPr="0004576F">
        <w:t>teurs, p. 364.</w:t>
      </w:r>
    </w:p>
  </w:footnote>
  <w:footnote w:id="1112">
    <w:p w14:paraId="10DEAABA" w14:textId="77777777" w:rsidR="00B01930" w:rsidRDefault="00B01930">
      <w:pPr>
        <w:pStyle w:val="Notedebasdepage"/>
      </w:pPr>
      <w:r>
        <w:rPr>
          <w:rStyle w:val="Appelnotedebasdep"/>
        </w:rPr>
        <w:footnoteRef/>
      </w:r>
      <w:r>
        <w:t xml:space="preserve"> </w:t>
      </w:r>
      <w:r>
        <w:tab/>
      </w:r>
      <w:r w:rsidRPr="0004576F">
        <w:t>Pierre Teilhard de Chardin, Lettre au père André Ravier, 24 se</w:t>
      </w:r>
      <w:r w:rsidRPr="0004576F">
        <w:t>p</w:t>
      </w:r>
      <w:r w:rsidRPr="0004576F">
        <w:t xml:space="preserve">tembre 1954, cité </w:t>
      </w:r>
      <w:r w:rsidRPr="0004576F">
        <w:rPr>
          <w:i/>
        </w:rPr>
        <w:t xml:space="preserve">in </w:t>
      </w:r>
      <w:r w:rsidRPr="0004576F">
        <w:t xml:space="preserve">André Arnould, </w:t>
      </w:r>
      <w:r w:rsidRPr="0004576F">
        <w:rPr>
          <w:i/>
        </w:rPr>
        <w:t xml:space="preserve">Teilhard de </w:t>
      </w:r>
      <w:r w:rsidRPr="0004576F">
        <w:t>Chardin, Paris, Éd</w:t>
      </w:r>
      <w:r w:rsidRPr="0004576F">
        <w:t>i</w:t>
      </w:r>
      <w:r w:rsidRPr="0004576F">
        <w:t>tions Perrin, 2005, p. 297.</w:t>
      </w:r>
    </w:p>
  </w:footnote>
  <w:footnote w:id="1113">
    <w:p w14:paraId="4948624F" w14:textId="77777777" w:rsidR="00B01930" w:rsidRDefault="00B01930">
      <w:pPr>
        <w:pStyle w:val="Notedebasdepage"/>
      </w:pPr>
      <w:r>
        <w:rPr>
          <w:rStyle w:val="Appelnotedebasdep"/>
        </w:rPr>
        <w:footnoteRef/>
      </w:r>
      <w:r>
        <w:t xml:space="preserve"> </w:t>
      </w:r>
      <w:r>
        <w:tab/>
      </w:r>
      <w:r w:rsidRPr="0004576F">
        <w:t>Le dépistage pénatal de la trisomie 21 et l’élimination de 96 % des fœtus tr</w:t>
      </w:r>
      <w:r w:rsidRPr="0004576F">
        <w:t>i</w:t>
      </w:r>
      <w:r w:rsidRPr="0004576F">
        <w:t>somiques, qui relèvent très cla</w:t>
      </w:r>
      <w:r w:rsidRPr="0004576F">
        <w:t>i</w:t>
      </w:r>
      <w:r w:rsidRPr="0004576F">
        <w:t xml:space="preserve">rement de l’eugénisme, sont un premier pas vers </w:t>
      </w:r>
      <w:r w:rsidRPr="0004576F">
        <w:rPr>
          <w:i/>
        </w:rPr>
        <w:t>Le meilleur des mondes</w:t>
      </w:r>
      <w:r w:rsidRPr="0004576F">
        <w:t xml:space="preserve"> qu’annonçait Aldoux Huxley.</w:t>
      </w:r>
    </w:p>
  </w:footnote>
  <w:footnote w:id="1114">
    <w:p w14:paraId="78F04823" w14:textId="77777777" w:rsidR="00B01930" w:rsidRDefault="00B01930">
      <w:pPr>
        <w:pStyle w:val="Notedebasdepage"/>
      </w:pPr>
      <w:r>
        <w:rPr>
          <w:rStyle w:val="Appelnotedebasdep"/>
        </w:rPr>
        <w:footnoteRef/>
      </w:r>
      <w:r>
        <w:t xml:space="preserve"> </w:t>
      </w:r>
      <w:r>
        <w:tab/>
      </w:r>
      <w:r w:rsidRPr="0004576F">
        <w:t>Ce n’est, en effet, qu’en 1944 qu’Oswald Avery a découvert que l’A</w:t>
      </w:r>
      <w:r w:rsidRPr="0004576F">
        <w:rPr>
          <w:smallCaps/>
        </w:rPr>
        <w:t>dn</w:t>
      </w:r>
      <w:r w:rsidRPr="0004576F">
        <w:t xml:space="preserve"> était le support de l’hérédité.</w:t>
      </w:r>
    </w:p>
  </w:footnote>
  <w:footnote w:id="1115">
    <w:p w14:paraId="350C65F2" w14:textId="77777777" w:rsidR="00B01930" w:rsidRDefault="00B01930">
      <w:pPr>
        <w:pStyle w:val="Notedebasdepage"/>
      </w:pPr>
      <w:r>
        <w:rPr>
          <w:rStyle w:val="Appelnotedebasdep"/>
        </w:rPr>
        <w:footnoteRef/>
      </w:r>
      <w:r>
        <w:t xml:space="preserve"> </w:t>
      </w:r>
      <w:r>
        <w:tab/>
      </w:r>
      <w:r w:rsidRPr="0004576F">
        <w:rPr>
          <w:i/>
        </w:rPr>
        <w:t>Psyché</w:t>
      </w:r>
      <w:r w:rsidRPr="0004576F">
        <w:t>, septembre 1953.</w:t>
      </w:r>
    </w:p>
  </w:footnote>
  <w:footnote w:id="1116">
    <w:p w14:paraId="37AFB8E0" w14:textId="77777777" w:rsidR="00B01930" w:rsidRDefault="00B01930">
      <w:pPr>
        <w:pStyle w:val="Notedebasdepage"/>
      </w:pPr>
      <w:r>
        <w:rPr>
          <w:rStyle w:val="Appelnotedebasdep"/>
        </w:rPr>
        <w:footnoteRef/>
      </w:r>
      <w:r>
        <w:t xml:space="preserve"> </w:t>
      </w:r>
      <w:r>
        <w:tab/>
      </w:r>
      <w:r w:rsidRPr="0004576F">
        <w:rPr>
          <w:i/>
          <w:szCs w:val="18"/>
        </w:rPr>
        <w:t>Idem.</w:t>
      </w:r>
    </w:p>
  </w:footnote>
  <w:footnote w:id="1117">
    <w:p w14:paraId="6B54398C" w14:textId="77777777" w:rsidR="00B01930" w:rsidRDefault="00B01930">
      <w:pPr>
        <w:pStyle w:val="Notedebasdepage"/>
      </w:pPr>
      <w:r>
        <w:rPr>
          <w:rStyle w:val="Appelnotedebasdep"/>
        </w:rPr>
        <w:footnoteRef/>
      </w:r>
      <w:r>
        <w:t xml:space="preserve"> </w:t>
      </w:r>
      <w:r>
        <w:tab/>
      </w:r>
      <w:r w:rsidRPr="0004576F">
        <w:rPr>
          <w:i/>
          <w:szCs w:val="18"/>
        </w:rPr>
        <w:t>Idem.</w:t>
      </w:r>
    </w:p>
  </w:footnote>
  <w:footnote w:id="1118">
    <w:p w14:paraId="19309757" w14:textId="77777777" w:rsidR="00B01930" w:rsidRDefault="00B01930">
      <w:pPr>
        <w:pStyle w:val="Notedebasdepage"/>
      </w:pPr>
      <w:r>
        <w:rPr>
          <w:rStyle w:val="Appelnotedebasdep"/>
        </w:rPr>
        <w:footnoteRef/>
      </w:r>
      <w:r>
        <w:t xml:space="preserve"> </w:t>
      </w:r>
      <w:r>
        <w:tab/>
      </w:r>
      <w:r w:rsidRPr="0004576F">
        <w:rPr>
          <w:i/>
          <w:szCs w:val="18"/>
        </w:rPr>
        <w:t>Idem.</w:t>
      </w:r>
    </w:p>
  </w:footnote>
  <w:footnote w:id="1119">
    <w:p w14:paraId="782A923C" w14:textId="77777777" w:rsidR="00B01930" w:rsidRDefault="00B01930">
      <w:pPr>
        <w:pStyle w:val="Notedebasdepage"/>
      </w:pPr>
      <w:r>
        <w:rPr>
          <w:rStyle w:val="Appelnotedebasdep"/>
        </w:rPr>
        <w:footnoteRef/>
      </w:r>
      <w:r>
        <w:t xml:space="preserve"> </w:t>
      </w:r>
      <w:r>
        <w:tab/>
      </w:r>
      <w:r w:rsidRPr="0004576F">
        <w:rPr>
          <w:i/>
          <w:szCs w:val="18"/>
        </w:rPr>
        <w:t>Idem.</w:t>
      </w:r>
    </w:p>
  </w:footnote>
  <w:footnote w:id="1120">
    <w:p w14:paraId="1438F964" w14:textId="77777777" w:rsidR="00B01930" w:rsidRDefault="00B01930">
      <w:pPr>
        <w:pStyle w:val="Notedebasdepage"/>
      </w:pPr>
      <w:r>
        <w:rPr>
          <w:rStyle w:val="Appelnotedebasdep"/>
        </w:rPr>
        <w:footnoteRef/>
      </w:r>
      <w:r>
        <w:t xml:space="preserve"> </w:t>
      </w:r>
      <w:r>
        <w:tab/>
      </w:r>
      <w:r w:rsidRPr="0004576F">
        <w:rPr>
          <w:i/>
          <w:szCs w:val="18"/>
        </w:rPr>
        <w:t>Idem.</w:t>
      </w:r>
    </w:p>
  </w:footnote>
  <w:footnote w:id="1121">
    <w:p w14:paraId="68C432E3" w14:textId="77777777" w:rsidR="00B01930" w:rsidRDefault="00B01930">
      <w:pPr>
        <w:pStyle w:val="Notedebasdepage"/>
      </w:pPr>
      <w:r>
        <w:rPr>
          <w:rStyle w:val="Appelnotedebasdep"/>
        </w:rPr>
        <w:footnoteRef/>
      </w:r>
      <w:r>
        <w:t xml:space="preserve"> </w:t>
      </w:r>
      <w:r>
        <w:tab/>
      </w:r>
      <w:r w:rsidRPr="0004576F">
        <w:rPr>
          <w:i/>
          <w:szCs w:val="18"/>
        </w:rPr>
        <w:t>Idem.</w:t>
      </w:r>
    </w:p>
  </w:footnote>
  <w:footnote w:id="1122">
    <w:p w14:paraId="49E12C32" w14:textId="77777777" w:rsidR="00B01930" w:rsidRDefault="00B01930">
      <w:pPr>
        <w:pStyle w:val="Notedebasdepage"/>
      </w:pPr>
      <w:r>
        <w:rPr>
          <w:rStyle w:val="Appelnotedebasdep"/>
        </w:rPr>
        <w:footnoteRef/>
      </w:r>
      <w:r>
        <w:t xml:space="preserve"> </w:t>
      </w:r>
      <w:r>
        <w:tab/>
      </w:r>
      <w:r w:rsidRPr="0004576F">
        <w:t xml:space="preserve">Voir notamment Dominique de Courcelles et Ghislain Waterlot (dir.), </w:t>
      </w:r>
      <w:r w:rsidRPr="0004576F">
        <w:rPr>
          <w:i/>
        </w:rPr>
        <w:t>La my</w:t>
      </w:r>
      <w:r w:rsidRPr="0004576F">
        <w:rPr>
          <w:i/>
        </w:rPr>
        <w:t>s</w:t>
      </w:r>
      <w:r w:rsidRPr="0004576F">
        <w:rPr>
          <w:i/>
        </w:rPr>
        <w:t>tique face aux guerres mondi</w:t>
      </w:r>
      <w:r w:rsidRPr="0004576F">
        <w:rPr>
          <w:i/>
        </w:rPr>
        <w:t>a</w:t>
      </w:r>
      <w:r w:rsidRPr="0004576F">
        <w:rPr>
          <w:i/>
        </w:rPr>
        <w:t>les</w:t>
      </w:r>
      <w:r w:rsidRPr="0004576F">
        <w:t xml:space="preserve">, Paris, </w:t>
      </w:r>
      <w:r w:rsidRPr="0004576F">
        <w:rPr>
          <w:smallCaps/>
        </w:rPr>
        <w:t>Puf</w:t>
      </w:r>
      <w:r w:rsidRPr="0004576F">
        <w:t>, 2010, p. 15 et s.</w:t>
      </w:r>
    </w:p>
  </w:footnote>
  <w:footnote w:id="1123">
    <w:p w14:paraId="5E694C0F" w14:textId="77777777" w:rsidR="00B01930" w:rsidRDefault="00B01930">
      <w:pPr>
        <w:pStyle w:val="Notedebasdepage"/>
      </w:pPr>
      <w:r>
        <w:rPr>
          <w:rStyle w:val="Appelnotedebasdep"/>
        </w:rPr>
        <w:footnoteRef/>
      </w:r>
      <w:r>
        <w:t xml:space="preserve"> </w:t>
      </w:r>
      <w:r>
        <w:tab/>
      </w:r>
      <w:r w:rsidRPr="0004576F">
        <w:rPr>
          <w:i/>
        </w:rPr>
        <w:t>Études</w:t>
      </w:r>
      <w:r w:rsidRPr="0004576F">
        <w:t>, septembre 1946.</w:t>
      </w:r>
    </w:p>
  </w:footnote>
  <w:footnote w:id="1124">
    <w:p w14:paraId="0897C9BF" w14:textId="77777777" w:rsidR="00B01930" w:rsidRDefault="00B01930">
      <w:pPr>
        <w:pStyle w:val="Notedebasdepage"/>
      </w:pPr>
      <w:r>
        <w:rPr>
          <w:rStyle w:val="Appelnotedebasdep"/>
        </w:rPr>
        <w:footnoteRef/>
      </w:r>
      <w:r>
        <w:t xml:space="preserve"> </w:t>
      </w:r>
      <w:r>
        <w:tab/>
      </w:r>
      <w:r w:rsidRPr="0004576F">
        <w:rPr>
          <w:i/>
          <w:szCs w:val="18"/>
        </w:rPr>
        <w:t>Idem.</w:t>
      </w:r>
    </w:p>
  </w:footnote>
  <w:footnote w:id="1125">
    <w:p w14:paraId="42236640" w14:textId="77777777" w:rsidR="00B01930" w:rsidRDefault="00B01930">
      <w:pPr>
        <w:pStyle w:val="Notedebasdepage"/>
      </w:pPr>
      <w:r>
        <w:rPr>
          <w:rStyle w:val="Appelnotedebasdep"/>
        </w:rPr>
        <w:footnoteRef/>
      </w:r>
      <w:r>
        <w:t xml:space="preserve"> </w:t>
      </w:r>
      <w:r>
        <w:tab/>
      </w:r>
      <w:r w:rsidRPr="0004576F">
        <w:rPr>
          <w:i/>
          <w:szCs w:val="18"/>
        </w:rPr>
        <w:t>Idem.</w:t>
      </w:r>
    </w:p>
  </w:footnote>
  <w:footnote w:id="1126">
    <w:p w14:paraId="63167220" w14:textId="77777777" w:rsidR="00B01930" w:rsidRDefault="00B01930">
      <w:pPr>
        <w:pStyle w:val="Notedebasdepage"/>
      </w:pPr>
      <w:r>
        <w:rPr>
          <w:rStyle w:val="Appelnotedebasdep"/>
        </w:rPr>
        <w:footnoteRef/>
      </w:r>
      <w:r>
        <w:t xml:space="preserve"> </w:t>
      </w:r>
      <w:r>
        <w:tab/>
      </w:r>
      <w:r w:rsidRPr="0004576F">
        <w:rPr>
          <w:i/>
          <w:szCs w:val="18"/>
        </w:rPr>
        <w:t>Idem.</w:t>
      </w:r>
    </w:p>
  </w:footnote>
  <w:footnote w:id="1127">
    <w:p w14:paraId="6F251D66" w14:textId="77777777" w:rsidR="00B01930" w:rsidRDefault="00B01930">
      <w:pPr>
        <w:pStyle w:val="Notedebasdepage"/>
      </w:pPr>
      <w:r>
        <w:rPr>
          <w:rStyle w:val="Appelnotedebasdep"/>
        </w:rPr>
        <w:footnoteRef/>
      </w:r>
      <w:r>
        <w:t xml:space="preserve"> </w:t>
      </w:r>
      <w:r>
        <w:tab/>
      </w:r>
      <w:r w:rsidRPr="0004576F">
        <w:rPr>
          <w:i/>
          <w:szCs w:val="18"/>
        </w:rPr>
        <w:t>Idem.</w:t>
      </w:r>
    </w:p>
  </w:footnote>
  <w:footnote w:id="1128">
    <w:p w14:paraId="7DE5C1D8" w14:textId="77777777" w:rsidR="00B01930" w:rsidRDefault="00B01930">
      <w:pPr>
        <w:pStyle w:val="Notedebasdepage"/>
      </w:pPr>
      <w:r>
        <w:rPr>
          <w:rStyle w:val="Appelnotedebasdep"/>
        </w:rPr>
        <w:footnoteRef/>
      </w:r>
      <w:r>
        <w:t xml:space="preserve"> </w:t>
      </w:r>
      <w:r>
        <w:tab/>
      </w:r>
      <w:r w:rsidRPr="0004576F">
        <w:t xml:space="preserve">Pierre Teilhard de Chardin, </w:t>
      </w:r>
      <w:r w:rsidRPr="0004576F">
        <w:rPr>
          <w:i/>
        </w:rPr>
        <w:t>L’Avenir de l’Homme</w:t>
      </w:r>
      <w:r w:rsidRPr="0004576F">
        <w:t xml:space="preserve">, </w:t>
      </w:r>
      <w:r w:rsidRPr="0004576F">
        <w:rPr>
          <w:i/>
        </w:rPr>
        <w:t>op. cit.</w:t>
      </w:r>
      <w:r w:rsidRPr="0004576F">
        <w:t>, p. 186.</w:t>
      </w:r>
    </w:p>
  </w:footnote>
  <w:footnote w:id="1129">
    <w:p w14:paraId="724A7BF8" w14:textId="77777777" w:rsidR="00B01930" w:rsidRDefault="00B01930">
      <w:pPr>
        <w:pStyle w:val="Notedebasdepage"/>
      </w:pPr>
      <w:r>
        <w:rPr>
          <w:rStyle w:val="Appelnotedebasdep"/>
        </w:rPr>
        <w:footnoteRef/>
      </w:r>
      <w:r>
        <w:t xml:space="preserve"> </w:t>
      </w:r>
      <w:r>
        <w:tab/>
      </w:r>
      <w:r w:rsidRPr="0004576F">
        <w:rPr>
          <w:i/>
          <w:szCs w:val="18"/>
        </w:rPr>
        <w:t>Idem.</w:t>
      </w:r>
    </w:p>
  </w:footnote>
  <w:footnote w:id="1130">
    <w:p w14:paraId="2E82C6B7" w14:textId="77777777" w:rsidR="00B01930" w:rsidRDefault="00B01930">
      <w:pPr>
        <w:pStyle w:val="Notedebasdepage"/>
      </w:pPr>
      <w:r>
        <w:rPr>
          <w:rStyle w:val="Appelnotedebasdep"/>
        </w:rPr>
        <w:footnoteRef/>
      </w:r>
      <w:r>
        <w:t xml:space="preserve"> </w:t>
      </w:r>
      <w:r>
        <w:tab/>
      </w:r>
      <w:r w:rsidRPr="0004576F">
        <w:t xml:space="preserve">Pierre Teilhard de Chardin, </w:t>
      </w:r>
      <w:r w:rsidRPr="0004576F">
        <w:rPr>
          <w:i/>
        </w:rPr>
        <w:t>L’Activation de l’Énergie</w:t>
      </w:r>
      <w:r w:rsidRPr="0004576F">
        <w:t xml:space="preserve">, </w:t>
      </w:r>
      <w:r w:rsidRPr="0004576F">
        <w:rPr>
          <w:i/>
        </w:rPr>
        <w:t>op. cit.</w:t>
      </w:r>
      <w:r w:rsidRPr="0004576F">
        <w:t>, p. 22.</w:t>
      </w:r>
    </w:p>
  </w:footnote>
  <w:footnote w:id="1131">
    <w:p w14:paraId="6A0E2A6D" w14:textId="77777777" w:rsidR="00B01930" w:rsidRDefault="00B01930">
      <w:pPr>
        <w:pStyle w:val="Notedebasdepage"/>
      </w:pPr>
      <w:r>
        <w:rPr>
          <w:rStyle w:val="Appelnotedebasdep"/>
        </w:rPr>
        <w:footnoteRef/>
      </w:r>
      <w:r>
        <w:t xml:space="preserve"> </w:t>
      </w:r>
      <w:r>
        <w:tab/>
      </w:r>
      <w:r w:rsidRPr="0004576F">
        <w:t xml:space="preserve">Lettre du 20 janvier 1941, publiée </w:t>
      </w:r>
      <w:r w:rsidRPr="0004576F">
        <w:rPr>
          <w:i/>
        </w:rPr>
        <w:t xml:space="preserve">in </w:t>
      </w:r>
      <w:r w:rsidRPr="0004576F">
        <w:t xml:space="preserve">Pierre Teilhard de Chardin, </w:t>
      </w:r>
      <w:r w:rsidRPr="0004576F">
        <w:rPr>
          <w:i/>
        </w:rPr>
        <w:t>Lettres de voyage. 1923-1955</w:t>
      </w:r>
      <w:r w:rsidRPr="0004576F">
        <w:t>, Paris, Gra</w:t>
      </w:r>
      <w:r w:rsidRPr="0004576F">
        <w:t>s</w:t>
      </w:r>
      <w:r w:rsidRPr="0004576F">
        <w:t>set, 1961, p. 270.</w:t>
      </w:r>
    </w:p>
  </w:footnote>
  <w:footnote w:id="1132">
    <w:p w14:paraId="3C7E9088" w14:textId="77777777" w:rsidR="00B01930" w:rsidRDefault="00B01930">
      <w:pPr>
        <w:pStyle w:val="Notedebasdepage"/>
      </w:pPr>
      <w:r>
        <w:rPr>
          <w:rStyle w:val="Appelnotedebasdep"/>
        </w:rPr>
        <w:footnoteRef/>
      </w:r>
      <w:r>
        <w:t xml:space="preserve"> </w:t>
      </w:r>
      <w:r>
        <w:tab/>
      </w:r>
      <w:r w:rsidRPr="0004576F">
        <w:t>Lettre du 21 janvier 1953.</w:t>
      </w:r>
    </w:p>
  </w:footnote>
  <w:footnote w:id="1133">
    <w:p w14:paraId="5E7B91B0" w14:textId="77777777" w:rsidR="00B01930" w:rsidRDefault="00B01930">
      <w:pPr>
        <w:pStyle w:val="Notedebasdepage"/>
      </w:pPr>
      <w:r>
        <w:rPr>
          <w:rStyle w:val="Appelnotedebasdep"/>
        </w:rPr>
        <w:footnoteRef/>
      </w:r>
      <w:r>
        <w:t xml:space="preserve"> </w:t>
      </w:r>
      <w:r>
        <w:tab/>
      </w:r>
      <w:r w:rsidRPr="0004576F">
        <w:t xml:space="preserve">Pierre Teilhard de Chardin, </w:t>
      </w:r>
      <w:r w:rsidRPr="0004576F">
        <w:rPr>
          <w:i/>
        </w:rPr>
        <w:t>Le Christique</w:t>
      </w:r>
      <w:r w:rsidRPr="0004576F">
        <w:t xml:space="preserve">, New York, mars 1955, publié </w:t>
      </w:r>
      <w:r w:rsidRPr="0004576F">
        <w:rPr>
          <w:i/>
        </w:rPr>
        <w:t>in</w:t>
      </w:r>
      <w:r w:rsidRPr="0004576F">
        <w:t xml:space="preserve"> </w:t>
      </w:r>
      <w:r w:rsidRPr="0004576F">
        <w:rPr>
          <w:i/>
        </w:rPr>
        <w:t>Le Cœur de la matière</w:t>
      </w:r>
      <w:r w:rsidRPr="0004576F">
        <w:t xml:space="preserve">, </w:t>
      </w:r>
      <w:r w:rsidRPr="0004576F">
        <w:rPr>
          <w:i/>
        </w:rPr>
        <w:t>op. cit.</w:t>
      </w:r>
      <w:r w:rsidRPr="0004576F">
        <w:t>, 1976, p. </w:t>
      </w:r>
      <w:r w:rsidRPr="0004576F">
        <w:rPr>
          <w:color w:val="343434"/>
        </w:rPr>
        <w:t>117.</w:t>
      </w:r>
    </w:p>
  </w:footnote>
  <w:footnote w:id="1134">
    <w:p w14:paraId="4590F670" w14:textId="77777777" w:rsidR="00B01930" w:rsidRDefault="00B01930">
      <w:pPr>
        <w:pStyle w:val="Notedebasdepage"/>
      </w:pPr>
      <w:r>
        <w:rPr>
          <w:rStyle w:val="Appelnotedebasdep"/>
        </w:rPr>
        <w:footnoteRef/>
      </w:r>
      <w:r>
        <w:t xml:space="preserve"> </w:t>
      </w:r>
      <w:r>
        <w:tab/>
      </w:r>
      <w:r w:rsidRPr="0004576F">
        <w:t xml:space="preserve">Voir par exemple Jean-Marie Pelt et Pierre Rabhi, </w:t>
      </w:r>
      <w:r w:rsidRPr="0004576F">
        <w:rPr>
          <w:i/>
        </w:rPr>
        <w:t>Le Monde a-t-il un sens ?</w:t>
      </w:r>
      <w:r w:rsidRPr="0004576F">
        <w:t>, Paris, Fayard, 2014. Jean-Marie Pelt y développe nota</w:t>
      </w:r>
      <w:r w:rsidRPr="0004576F">
        <w:t>m</w:t>
      </w:r>
      <w:r w:rsidRPr="0004576F">
        <w:t>ment la notion d’associativité dont l’inspiration est typiquement tei</w:t>
      </w:r>
      <w:r w:rsidRPr="0004576F">
        <w:t>l</w:t>
      </w:r>
      <w:r w:rsidRPr="0004576F">
        <w:t>hardienne.</w:t>
      </w:r>
    </w:p>
  </w:footnote>
  <w:footnote w:id="1135">
    <w:p w14:paraId="654AF6EF" w14:textId="77777777" w:rsidR="00B01930" w:rsidRDefault="00B01930">
      <w:pPr>
        <w:pStyle w:val="Notedebasdepage"/>
      </w:pPr>
      <w:r>
        <w:rPr>
          <w:rStyle w:val="Appelnotedebasdep"/>
        </w:rPr>
        <w:footnoteRef/>
      </w:r>
      <w:r>
        <w:t xml:space="preserve"> </w:t>
      </w:r>
      <w:r>
        <w:tab/>
      </w:r>
      <w:r w:rsidRPr="0004576F">
        <w:t xml:space="preserve">Sur cette question, voir notamment Freeman Dyson, </w:t>
      </w:r>
      <w:r w:rsidRPr="0004576F">
        <w:rPr>
          <w:i/>
        </w:rPr>
        <w:t>Les déra</w:t>
      </w:r>
      <w:r w:rsidRPr="0004576F">
        <w:rPr>
          <w:i/>
        </w:rPr>
        <w:t>n</w:t>
      </w:r>
      <w:r w:rsidRPr="0004576F">
        <w:rPr>
          <w:i/>
        </w:rPr>
        <w:t>geurs de l’univers</w:t>
      </w:r>
      <w:r w:rsidRPr="0004576F">
        <w:t>, Paris, Payot, 1979.</w:t>
      </w:r>
    </w:p>
  </w:footnote>
  <w:footnote w:id="1136">
    <w:p w14:paraId="07F01D46" w14:textId="77777777" w:rsidR="00B01930" w:rsidRDefault="00B01930">
      <w:pPr>
        <w:pStyle w:val="Notedebasdepage"/>
      </w:pPr>
      <w:r>
        <w:rPr>
          <w:rStyle w:val="Appelnotedebasdep"/>
        </w:rPr>
        <w:footnoteRef/>
      </w:r>
      <w:r>
        <w:t xml:space="preserve"> </w:t>
      </w:r>
      <w:r>
        <w:tab/>
      </w:r>
      <w:r w:rsidRPr="0004576F">
        <w:t xml:space="preserve">Aldous Huxley, </w:t>
      </w:r>
      <w:r w:rsidRPr="0004576F">
        <w:rPr>
          <w:i/>
        </w:rPr>
        <w:t>Le meilleur des mondes</w:t>
      </w:r>
      <w:r w:rsidRPr="0004576F">
        <w:t>, Paris, Pocket, 2002.</w:t>
      </w:r>
    </w:p>
  </w:footnote>
  <w:footnote w:id="1137">
    <w:p w14:paraId="219FAFDE" w14:textId="77777777" w:rsidR="00B01930" w:rsidRDefault="00B01930">
      <w:pPr>
        <w:pStyle w:val="Notedebasdepage"/>
      </w:pPr>
      <w:r>
        <w:rPr>
          <w:rStyle w:val="Appelnotedebasdep"/>
        </w:rPr>
        <w:footnoteRef/>
      </w:r>
      <w:r>
        <w:t xml:space="preserve"> </w:t>
      </w:r>
      <w:r>
        <w:tab/>
      </w:r>
      <w:r w:rsidRPr="0004576F">
        <w:t xml:space="preserve">Aldous Huxley, </w:t>
      </w:r>
      <w:r w:rsidRPr="0004576F">
        <w:rPr>
          <w:i/>
        </w:rPr>
        <w:t>Retour au meilleur des mondes</w:t>
      </w:r>
      <w:r w:rsidRPr="0004576F">
        <w:t>, Paris, Pocket, 2006.</w:t>
      </w:r>
    </w:p>
  </w:footnote>
  <w:footnote w:id="1138">
    <w:p w14:paraId="062A9C49" w14:textId="77777777" w:rsidR="00B01930" w:rsidRDefault="00B01930">
      <w:pPr>
        <w:pStyle w:val="Notedebasdepage"/>
      </w:pPr>
      <w:r>
        <w:rPr>
          <w:rStyle w:val="Appelnotedebasdep"/>
        </w:rPr>
        <w:footnoteRef/>
      </w:r>
      <w:r>
        <w:t xml:space="preserve"> </w:t>
      </w:r>
      <w:r>
        <w:tab/>
      </w:r>
      <w:r w:rsidRPr="0004576F">
        <w:t>Cf. dans le présent ouvrage.</w:t>
      </w:r>
    </w:p>
  </w:footnote>
  <w:footnote w:id="1139">
    <w:p w14:paraId="2BBA5EAF" w14:textId="77777777" w:rsidR="00B01930" w:rsidRDefault="00B01930">
      <w:pPr>
        <w:pStyle w:val="Notedebasdepage"/>
      </w:pPr>
      <w:r>
        <w:rPr>
          <w:rStyle w:val="Appelnotedebasdep"/>
        </w:rPr>
        <w:footnoteRef/>
      </w:r>
      <w:r>
        <w:t xml:space="preserve"> </w:t>
      </w:r>
      <w:r>
        <w:tab/>
      </w:r>
      <w:r w:rsidRPr="0004576F">
        <w:t xml:space="preserve">Cf. Daniel Lagraula, </w:t>
      </w:r>
      <w:r w:rsidRPr="0004576F">
        <w:rPr>
          <w:i/>
        </w:rPr>
        <w:t>Introduction critique à la pensée martrienne des idées p</w:t>
      </w:r>
      <w:r w:rsidRPr="0004576F">
        <w:rPr>
          <w:i/>
        </w:rPr>
        <w:t>o</w:t>
      </w:r>
      <w:r w:rsidRPr="0004576F">
        <w:rPr>
          <w:i/>
        </w:rPr>
        <w:t>litiques</w:t>
      </w:r>
      <w:r w:rsidRPr="0004576F">
        <w:t>, dans le présent ouvrage.</w:t>
      </w:r>
    </w:p>
  </w:footnote>
  <w:footnote w:id="1140">
    <w:p w14:paraId="27CF21F6" w14:textId="77777777" w:rsidR="00B01930" w:rsidRDefault="00B01930">
      <w:pPr>
        <w:pStyle w:val="Notedebasdepage"/>
      </w:pPr>
      <w:r>
        <w:rPr>
          <w:rStyle w:val="Appelnotedebasdep"/>
        </w:rPr>
        <w:footnoteRef/>
      </w:r>
      <w:r>
        <w:t xml:space="preserve"> </w:t>
      </w:r>
      <w:r>
        <w:tab/>
      </w:r>
      <w:r w:rsidRPr="0004576F">
        <w:t>Voir Arnaud Martin, contribution précédente, (p. 30).</w:t>
      </w:r>
    </w:p>
  </w:footnote>
  <w:footnote w:id="1141">
    <w:p w14:paraId="5056B1A8" w14:textId="77777777" w:rsidR="00B01930" w:rsidRDefault="00B01930">
      <w:pPr>
        <w:pStyle w:val="Notedebasdepage"/>
      </w:pPr>
      <w:r>
        <w:rPr>
          <w:rStyle w:val="Appelnotedebasdep"/>
        </w:rPr>
        <w:footnoteRef/>
      </w:r>
      <w:r>
        <w:t xml:space="preserve"> </w:t>
      </w:r>
      <w:r>
        <w:tab/>
      </w:r>
      <w:r w:rsidRPr="0004576F">
        <w:t>Géologue et paléontologue.</w:t>
      </w:r>
    </w:p>
  </w:footnote>
  <w:footnote w:id="1142">
    <w:p w14:paraId="28EA6B53" w14:textId="77777777" w:rsidR="00B01930" w:rsidRDefault="00B01930">
      <w:pPr>
        <w:pStyle w:val="Notedebasdepage"/>
      </w:pPr>
      <w:r>
        <w:rPr>
          <w:rStyle w:val="Appelnotedebasdep"/>
        </w:rPr>
        <w:footnoteRef/>
      </w:r>
      <w:r>
        <w:t xml:space="preserve"> </w:t>
      </w:r>
      <w:r>
        <w:tab/>
      </w:r>
      <w:r w:rsidRPr="0004576F">
        <w:t xml:space="preserve">Daniel Lagraula, </w:t>
      </w:r>
      <w:r w:rsidRPr="0004576F">
        <w:rPr>
          <w:i/>
        </w:rPr>
        <w:t>ibidem</w:t>
      </w:r>
      <w:r w:rsidRPr="0004576F">
        <w:t>.</w:t>
      </w:r>
    </w:p>
  </w:footnote>
  <w:footnote w:id="1143">
    <w:p w14:paraId="44241B34" w14:textId="77777777" w:rsidR="00B01930" w:rsidRDefault="00B01930">
      <w:pPr>
        <w:pStyle w:val="Notedebasdepage"/>
      </w:pPr>
      <w:r>
        <w:rPr>
          <w:rStyle w:val="Appelnotedebasdep"/>
        </w:rPr>
        <w:footnoteRef/>
      </w:r>
      <w:r>
        <w:t xml:space="preserve"> </w:t>
      </w:r>
      <w:r>
        <w:tab/>
      </w:r>
      <w:r w:rsidRPr="0004576F">
        <w:t xml:space="preserve">Il y a lieu de se reporter à notre contribution, </w:t>
      </w:r>
      <w:r w:rsidRPr="0004576F">
        <w:rPr>
          <w:i/>
        </w:rPr>
        <w:t>Introduction</w:t>
      </w:r>
      <w:r w:rsidRPr="0004576F">
        <w:t>…</w:t>
      </w:r>
    </w:p>
  </w:footnote>
  <w:footnote w:id="1144">
    <w:p w14:paraId="383481BE" w14:textId="77777777" w:rsidR="00B01930" w:rsidRDefault="00B01930">
      <w:pPr>
        <w:pStyle w:val="Notedebasdepage"/>
      </w:pPr>
      <w:r>
        <w:rPr>
          <w:rStyle w:val="Appelnotedebasdep"/>
        </w:rPr>
        <w:footnoteRef/>
      </w:r>
      <w:r>
        <w:t xml:space="preserve"> </w:t>
      </w:r>
      <w:r>
        <w:tab/>
      </w:r>
      <w:r w:rsidRPr="0004576F">
        <w:t>Il a vécu la Grande Guerre de 1914-1918, l’entre deux guerres, la crise éc</w:t>
      </w:r>
      <w:r w:rsidRPr="0004576F">
        <w:t>o</w:t>
      </w:r>
      <w:r w:rsidRPr="0004576F">
        <w:t>nomique, et le fascisme, puis la Seconde Guerre mondiale et ses suites (« Guerre Froide »).</w:t>
      </w:r>
    </w:p>
  </w:footnote>
  <w:footnote w:id="1145">
    <w:p w14:paraId="5162266C" w14:textId="77777777" w:rsidR="00B01930" w:rsidRDefault="00B01930">
      <w:pPr>
        <w:pStyle w:val="Notedebasdepage"/>
      </w:pPr>
      <w:r>
        <w:rPr>
          <w:rStyle w:val="Appelnotedebasdep"/>
        </w:rPr>
        <w:footnoteRef/>
      </w:r>
      <w:r>
        <w:t xml:space="preserve"> </w:t>
      </w:r>
      <w:r>
        <w:tab/>
      </w:r>
      <w:r w:rsidRPr="0004576F">
        <w:t xml:space="preserve">Cf. </w:t>
      </w:r>
      <w:r w:rsidRPr="0004576F">
        <w:rPr>
          <w:i/>
        </w:rPr>
        <w:t>Infra</w:t>
      </w:r>
      <w:r w:rsidRPr="0004576F">
        <w:t>, II.</w:t>
      </w:r>
    </w:p>
  </w:footnote>
  <w:footnote w:id="1146">
    <w:p w14:paraId="3D68D341" w14:textId="77777777" w:rsidR="00B01930" w:rsidRDefault="00B01930">
      <w:pPr>
        <w:pStyle w:val="Notedebasdepage"/>
      </w:pPr>
      <w:r>
        <w:rPr>
          <w:rStyle w:val="Appelnotedebasdep"/>
        </w:rPr>
        <w:footnoteRef/>
      </w:r>
      <w:r>
        <w:t xml:space="preserve"> </w:t>
      </w:r>
      <w:r>
        <w:tab/>
      </w:r>
      <w:r w:rsidRPr="0004576F">
        <w:t>Puisque la « noosphère » est une entité immatérielle.</w:t>
      </w:r>
    </w:p>
  </w:footnote>
  <w:footnote w:id="1147">
    <w:p w14:paraId="797D2C2B" w14:textId="77777777" w:rsidR="00B01930" w:rsidRDefault="00B01930">
      <w:pPr>
        <w:pStyle w:val="Notedebasdepage"/>
      </w:pPr>
      <w:r>
        <w:rPr>
          <w:rStyle w:val="Appelnotedebasdep"/>
        </w:rPr>
        <w:footnoteRef/>
      </w:r>
      <w:r>
        <w:t xml:space="preserve"> </w:t>
      </w:r>
      <w:r>
        <w:tab/>
      </w:r>
      <w:r w:rsidRPr="0004576F">
        <w:t>Cf. Arnaud Martin, contribution précédente. La libération est une constante du vocabula</w:t>
      </w:r>
      <w:r w:rsidRPr="0004576F">
        <w:t>i</w:t>
      </w:r>
      <w:r w:rsidRPr="0004576F">
        <w:t>re du code n° 1. On ne peut laisser les hommes vivre dans le Mal, il faut briser les chaînes, libérer les hommes pour qu’advienne le Bien qui les rendra libres et heureux.</w:t>
      </w:r>
    </w:p>
  </w:footnote>
  <w:footnote w:id="1148">
    <w:p w14:paraId="5214595E" w14:textId="77777777" w:rsidR="00B01930" w:rsidRDefault="00B01930">
      <w:pPr>
        <w:pStyle w:val="Notedebasdepage"/>
      </w:pPr>
      <w:r>
        <w:rPr>
          <w:rStyle w:val="Appelnotedebasdep"/>
        </w:rPr>
        <w:footnoteRef/>
      </w:r>
      <w:r>
        <w:t xml:space="preserve"> </w:t>
      </w:r>
      <w:r>
        <w:tab/>
      </w:r>
      <w:r w:rsidRPr="0004576F">
        <w:t>On pense à Platon, archétype de l’incarnation du code n° 1, dans la pensée ma</w:t>
      </w:r>
      <w:r w:rsidRPr="0004576F">
        <w:t>r</w:t>
      </w:r>
      <w:r w:rsidRPr="0004576F">
        <w:t>trienne.</w:t>
      </w:r>
    </w:p>
  </w:footnote>
  <w:footnote w:id="1149">
    <w:p w14:paraId="71B54CC7" w14:textId="77777777" w:rsidR="00B01930" w:rsidRDefault="00B01930">
      <w:pPr>
        <w:pStyle w:val="Notedebasdepage"/>
      </w:pPr>
      <w:r>
        <w:rPr>
          <w:rStyle w:val="Appelnotedebasdep"/>
        </w:rPr>
        <w:footnoteRef/>
      </w:r>
      <w:r>
        <w:t xml:space="preserve"> </w:t>
      </w:r>
      <w:r>
        <w:tab/>
      </w:r>
      <w:r w:rsidRPr="0004576F">
        <w:t xml:space="preserve">Arnaud Martin, </w:t>
      </w:r>
      <w:r w:rsidRPr="0004576F">
        <w:rPr>
          <w:i/>
        </w:rPr>
        <w:t>ibidem</w:t>
      </w:r>
      <w:r w:rsidRPr="0004576F">
        <w:t>.</w:t>
      </w:r>
    </w:p>
  </w:footnote>
  <w:footnote w:id="1150">
    <w:p w14:paraId="534F6222" w14:textId="77777777" w:rsidR="00B01930" w:rsidRDefault="00B01930">
      <w:pPr>
        <w:pStyle w:val="Notedebasdepage"/>
      </w:pPr>
      <w:r>
        <w:rPr>
          <w:rStyle w:val="Appelnotedebasdep"/>
        </w:rPr>
        <w:footnoteRef/>
      </w:r>
      <w:r>
        <w:t xml:space="preserve"> </w:t>
      </w:r>
      <w:r>
        <w:tab/>
      </w:r>
      <w:r w:rsidRPr="0004576F">
        <w:t xml:space="preserve">Arnaud Martin, </w:t>
      </w:r>
      <w:r w:rsidRPr="0004576F">
        <w:rPr>
          <w:i/>
        </w:rPr>
        <w:t>idem</w:t>
      </w:r>
      <w:r w:rsidRPr="0004576F">
        <w:t>.</w:t>
      </w:r>
    </w:p>
  </w:footnote>
  <w:footnote w:id="1151">
    <w:p w14:paraId="2774854D" w14:textId="77777777" w:rsidR="00B01930" w:rsidRDefault="00B01930">
      <w:pPr>
        <w:pStyle w:val="Notedebasdepage"/>
      </w:pPr>
      <w:r>
        <w:rPr>
          <w:rStyle w:val="Appelnotedebasdep"/>
        </w:rPr>
        <w:footnoteRef/>
      </w:r>
      <w:r>
        <w:t xml:space="preserve"> </w:t>
      </w:r>
      <w:r>
        <w:tab/>
      </w:r>
      <w:r w:rsidRPr="0004576F">
        <w:t>On retrouve, aussi bien le christianisme, l’islam, et les desseins de Dieu imp</w:t>
      </w:r>
      <w:r w:rsidRPr="0004576F">
        <w:t>é</w:t>
      </w:r>
      <w:r w:rsidRPr="0004576F">
        <w:t>nétrables mais conduisant, quels qu’ils soient vers le Paradis, que le marxi</w:t>
      </w:r>
      <w:r w:rsidRPr="0004576F">
        <w:t>s</w:t>
      </w:r>
      <w:r w:rsidRPr="0004576F">
        <w:t>me.</w:t>
      </w:r>
    </w:p>
  </w:footnote>
  <w:footnote w:id="1152">
    <w:p w14:paraId="3C2A915F" w14:textId="77777777" w:rsidR="00B01930" w:rsidRDefault="00B01930">
      <w:pPr>
        <w:pStyle w:val="Notedebasdepage"/>
      </w:pPr>
      <w:r>
        <w:rPr>
          <w:rStyle w:val="Appelnotedebasdep"/>
        </w:rPr>
        <w:footnoteRef/>
      </w:r>
      <w:r>
        <w:t xml:space="preserve"> </w:t>
      </w:r>
      <w:r>
        <w:tab/>
      </w:r>
      <w:r w:rsidRPr="0004576F">
        <w:t>Cf</w:t>
      </w:r>
      <w:r w:rsidRPr="0004576F">
        <w:rPr>
          <w:i/>
        </w:rPr>
        <w:t>. supra</w:t>
      </w:r>
      <w:r w:rsidRPr="0004576F">
        <w:t>.</w:t>
      </w:r>
    </w:p>
  </w:footnote>
  <w:footnote w:id="1153">
    <w:p w14:paraId="4817BE68" w14:textId="77777777" w:rsidR="00B01930" w:rsidRDefault="00B01930">
      <w:pPr>
        <w:pStyle w:val="Notedebasdepage"/>
      </w:pPr>
      <w:r>
        <w:rPr>
          <w:rStyle w:val="Appelnotedebasdep"/>
        </w:rPr>
        <w:footnoteRef/>
      </w:r>
      <w:r>
        <w:t xml:space="preserve"> </w:t>
      </w:r>
      <w:r>
        <w:tab/>
      </w:r>
      <w:r w:rsidRPr="0004576F">
        <w:t xml:space="preserve">Se reporter à Daniel Lagraula, </w:t>
      </w:r>
      <w:r w:rsidRPr="0004576F">
        <w:rPr>
          <w:i/>
        </w:rPr>
        <w:t>ibidem.</w:t>
      </w:r>
    </w:p>
  </w:footnote>
  <w:footnote w:id="1154">
    <w:p w14:paraId="51F06DE7" w14:textId="77777777" w:rsidR="00B01930" w:rsidRDefault="00B01930">
      <w:pPr>
        <w:pStyle w:val="Notedebasdepage"/>
      </w:pPr>
      <w:r>
        <w:rPr>
          <w:rStyle w:val="Appelnotedebasdep"/>
        </w:rPr>
        <w:footnoteRef/>
      </w:r>
      <w:r>
        <w:t xml:space="preserve"> </w:t>
      </w:r>
      <w:r>
        <w:tab/>
      </w:r>
      <w:r w:rsidRPr="0004576F">
        <w:t xml:space="preserve">Voir Arnaud Martin, </w:t>
      </w:r>
      <w:r w:rsidRPr="0004576F">
        <w:rPr>
          <w:i/>
        </w:rPr>
        <w:t>ibidem</w:t>
      </w:r>
      <w:r w:rsidRPr="0004576F">
        <w:t>.</w:t>
      </w:r>
    </w:p>
  </w:footnote>
  <w:footnote w:id="1155">
    <w:p w14:paraId="0FB513C2" w14:textId="77777777" w:rsidR="00B01930" w:rsidRDefault="00B01930">
      <w:pPr>
        <w:pStyle w:val="Notedebasdepage"/>
      </w:pPr>
      <w:r>
        <w:rPr>
          <w:rStyle w:val="Appelnotedebasdep"/>
        </w:rPr>
        <w:footnoteRef/>
      </w:r>
      <w:r>
        <w:t xml:space="preserve"> </w:t>
      </w:r>
      <w:r>
        <w:tab/>
      </w:r>
      <w:r w:rsidRPr="0004576F">
        <w:t xml:space="preserve">Cf. Daniel Lagraula, </w:t>
      </w:r>
      <w:r w:rsidRPr="0004576F">
        <w:rPr>
          <w:i/>
        </w:rPr>
        <w:t>ibidem.</w:t>
      </w:r>
    </w:p>
  </w:footnote>
  <w:footnote w:id="1156">
    <w:p w14:paraId="30C3AEFA" w14:textId="77777777" w:rsidR="00B01930" w:rsidRDefault="00B01930">
      <w:pPr>
        <w:pStyle w:val="Notedebasdepage"/>
      </w:pPr>
      <w:r>
        <w:rPr>
          <w:rStyle w:val="Appelnotedebasdep"/>
        </w:rPr>
        <w:footnoteRef/>
      </w:r>
      <w:r>
        <w:t xml:space="preserve"> </w:t>
      </w:r>
      <w:r>
        <w:tab/>
      </w:r>
      <w:r w:rsidRPr="0004576F">
        <w:t xml:space="preserve">Arnaud Martin, </w:t>
      </w:r>
      <w:r w:rsidRPr="0004576F">
        <w:rPr>
          <w:i/>
        </w:rPr>
        <w:t>ibidem</w:t>
      </w:r>
      <w:r w:rsidRPr="0004576F">
        <w:t>. On ne saurait mieux trouver ici une parfaite illustr</w:t>
      </w:r>
      <w:r w:rsidRPr="0004576F">
        <w:t>a</w:t>
      </w:r>
      <w:r w:rsidRPr="0004576F">
        <w:t>tion de thèses martriennes.</w:t>
      </w:r>
    </w:p>
  </w:footnote>
  <w:footnote w:id="1157">
    <w:p w14:paraId="5E1C7AD2" w14:textId="77777777" w:rsidR="00B01930" w:rsidRDefault="00B01930">
      <w:pPr>
        <w:pStyle w:val="Notedebasdepage"/>
      </w:pPr>
      <w:r>
        <w:rPr>
          <w:rStyle w:val="Appelnotedebasdep"/>
        </w:rPr>
        <w:footnoteRef/>
      </w:r>
      <w:r>
        <w:t xml:space="preserve"> </w:t>
      </w:r>
      <w:r>
        <w:tab/>
      </w:r>
      <w:r w:rsidRPr="0004576F">
        <w:rPr>
          <w:i/>
        </w:rPr>
        <w:t>Ibidem</w:t>
      </w:r>
      <w:r w:rsidRPr="0004576F">
        <w:t>.</w:t>
      </w:r>
    </w:p>
  </w:footnote>
  <w:footnote w:id="1158">
    <w:p w14:paraId="05A0A781" w14:textId="77777777" w:rsidR="00B01930" w:rsidRDefault="00B01930">
      <w:pPr>
        <w:pStyle w:val="Notedebasdepage"/>
      </w:pPr>
      <w:r>
        <w:rPr>
          <w:rStyle w:val="Appelnotedebasdep"/>
        </w:rPr>
        <w:footnoteRef/>
      </w:r>
      <w:r>
        <w:t xml:space="preserve"> </w:t>
      </w:r>
      <w:r>
        <w:tab/>
      </w:r>
      <w:r w:rsidRPr="0004576F">
        <w:rPr>
          <w:i/>
        </w:rPr>
        <w:t>Ibidem</w:t>
      </w:r>
      <w:r w:rsidRPr="0004576F">
        <w:t>.</w:t>
      </w:r>
    </w:p>
  </w:footnote>
  <w:footnote w:id="1159">
    <w:p w14:paraId="7F46B1D6" w14:textId="77777777" w:rsidR="00B01930" w:rsidRDefault="00B01930">
      <w:pPr>
        <w:pStyle w:val="Notedebasdepage"/>
      </w:pPr>
      <w:r>
        <w:rPr>
          <w:rStyle w:val="Appelnotedebasdep"/>
        </w:rPr>
        <w:footnoteRef/>
      </w:r>
      <w:r>
        <w:t xml:space="preserve"> </w:t>
      </w:r>
      <w:r>
        <w:tab/>
      </w:r>
      <w:r w:rsidRPr="0004576F">
        <w:t>On ne peut s’empêcher de penser aux néoconservateurs américains, qui de façon différente, mais par raisonnement similaire, affirment le caractère n</w:t>
      </w:r>
      <w:r w:rsidRPr="0004576F">
        <w:t>é</w:t>
      </w:r>
      <w:r w:rsidRPr="0004576F">
        <w:t>cessa</w:t>
      </w:r>
      <w:r w:rsidRPr="0004576F">
        <w:t>i</w:t>
      </w:r>
      <w:r w:rsidRPr="0004576F">
        <w:t>re de la démocratie. On pense aussi à la théorie économique d’Hayek. Sur les néoconservateurs américains, cf. Daniel Lagraula</w:t>
      </w:r>
      <w:r w:rsidRPr="0004576F">
        <w:rPr>
          <w:i/>
        </w:rPr>
        <w:t>, Esquisse d’une i</w:t>
      </w:r>
      <w:r w:rsidRPr="0004576F">
        <w:rPr>
          <w:i/>
        </w:rPr>
        <w:t>n</w:t>
      </w:r>
      <w:r w:rsidRPr="0004576F">
        <w:rPr>
          <w:i/>
        </w:rPr>
        <w:t xml:space="preserve">terprétation martrienne du néoconservatisme américain, </w:t>
      </w:r>
      <w:r w:rsidRPr="0004576F">
        <w:t>dans le présent o</w:t>
      </w:r>
      <w:r w:rsidRPr="0004576F">
        <w:t>u</w:t>
      </w:r>
      <w:r w:rsidRPr="0004576F">
        <w:t>vrage.</w:t>
      </w:r>
    </w:p>
  </w:footnote>
  <w:footnote w:id="1160">
    <w:p w14:paraId="562164DD" w14:textId="77777777" w:rsidR="00B01930" w:rsidRDefault="00B01930">
      <w:pPr>
        <w:pStyle w:val="Notedebasdepage"/>
      </w:pPr>
      <w:r>
        <w:rPr>
          <w:rStyle w:val="Appelnotedebasdep"/>
        </w:rPr>
        <w:footnoteRef/>
      </w:r>
      <w:r>
        <w:t xml:space="preserve"> </w:t>
      </w:r>
      <w:r>
        <w:tab/>
      </w:r>
      <w:r w:rsidRPr="0004576F">
        <w:t xml:space="preserve">Arnaud Martin, </w:t>
      </w:r>
      <w:r w:rsidRPr="0004576F">
        <w:rPr>
          <w:i/>
        </w:rPr>
        <w:t>ibidem</w:t>
      </w:r>
      <w:r w:rsidRPr="0004576F">
        <w:t>.</w:t>
      </w:r>
    </w:p>
  </w:footnote>
  <w:footnote w:id="1161">
    <w:p w14:paraId="5A275185" w14:textId="77777777" w:rsidR="00B01930" w:rsidRDefault="00B01930">
      <w:pPr>
        <w:pStyle w:val="Notedebasdepage"/>
      </w:pPr>
      <w:r>
        <w:rPr>
          <w:rStyle w:val="Appelnotedebasdep"/>
        </w:rPr>
        <w:footnoteRef/>
      </w:r>
      <w:r>
        <w:t xml:space="preserve"> </w:t>
      </w:r>
      <w:r>
        <w:tab/>
      </w:r>
      <w:r w:rsidRPr="0004576F">
        <w:t xml:space="preserve">Cf. Platon, l’Église, </w:t>
      </w:r>
      <w:r w:rsidRPr="0004576F">
        <w:rPr>
          <w:i/>
        </w:rPr>
        <w:t>etc</w:t>
      </w:r>
      <w:r w:rsidRPr="0004576F">
        <w:t>.</w:t>
      </w:r>
    </w:p>
  </w:footnote>
  <w:footnote w:id="1162">
    <w:p w14:paraId="316F2FFD" w14:textId="77777777" w:rsidR="00B01930" w:rsidRDefault="00B01930">
      <w:pPr>
        <w:pStyle w:val="Notedebasdepage"/>
      </w:pPr>
      <w:r>
        <w:rPr>
          <w:rStyle w:val="Appelnotedebasdep"/>
        </w:rPr>
        <w:footnoteRef/>
      </w:r>
      <w:r>
        <w:t xml:space="preserve"> </w:t>
      </w:r>
      <w:r>
        <w:tab/>
      </w:r>
      <w:r w:rsidRPr="0004576F">
        <w:t>On comprend mieux ainsi son indulgence pour le régime fasciste.</w:t>
      </w:r>
    </w:p>
  </w:footnote>
  <w:footnote w:id="1163">
    <w:p w14:paraId="1190BA21" w14:textId="77777777" w:rsidR="00B01930" w:rsidRDefault="00B01930">
      <w:pPr>
        <w:pStyle w:val="Notedebasdepage"/>
      </w:pPr>
      <w:r>
        <w:rPr>
          <w:rStyle w:val="Appelnotedebasdep"/>
        </w:rPr>
        <w:footnoteRef/>
      </w:r>
      <w:r>
        <w:t xml:space="preserve"> </w:t>
      </w:r>
      <w:r>
        <w:tab/>
      </w:r>
      <w:r w:rsidRPr="0004576F">
        <w:t>Mais il ne dit rien de concret sur la consistance et les moyens de cette comb</w:t>
      </w:r>
      <w:r w:rsidRPr="0004576F">
        <w:t>i</w:t>
      </w:r>
      <w:r w:rsidRPr="0004576F">
        <w:t>na</w:t>
      </w:r>
      <w:r w:rsidRPr="0004576F">
        <w:t>i</w:t>
      </w:r>
      <w:r w:rsidRPr="0004576F">
        <w:t>son.</w:t>
      </w:r>
    </w:p>
  </w:footnote>
  <w:footnote w:id="1164">
    <w:p w14:paraId="784146D2" w14:textId="77777777" w:rsidR="00B01930" w:rsidRDefault="00B01930">
      <w:pPr>
        <w:pStyle w:val="Notedebasdepage"/>
      </w:pPr>
      <w:r>
        <w:rPr>
          <w:rStyle w:val="Appelnotedebasdep"/>
        </w:rPr>
        <w:footnoteRef/>
      </w:r>
      <w:r>
        <w:t xml:space="preserve"> </w:t>
      </w:r>
      <w:r>
        <w:tab/>
      </w:r>
      <w:r w:rsidRPr="0004576F">
        <w:t xml:space="preserve">Voir Arnaud Martin, </w:t>
      </w:r>
      <w:r w:rsidRPr="0004576F">
        <w:rPr>
          <w:i/>
        </w:rPr>
        <w:t>ibidem</w:t>
      </w:r>
      <w:r w:rsidRPr="0004576F">
        <w:t>.</w:t>
      </w:r>
    </w:p>
  </w:footnote>
  <w:footnote w:id="1165">
    <w:p w14:paraId="7B46E763" w14:textId="77777777" w:rsidR="00B01930" w:rsidRDefault="00B01930">
      <w:pPr>
        <w:pStyle w:val="Notedebasdepage"/>
      </w:pPr>
      <w:r>
        <w:rPr>
          <w:rStyle w:val="Appelnotedebasdep"/>
        </w:rPr>
        <w:footnoteRef/>
      </w:r>
      <w:r>
        <w:t xml:space="preserve"> </w:t>
      </w:r>
      <w:r>
        <w:tab/>
      </w:r>
      <w:r w:rsidRPr="0004576F">
        <w:t>Ce n’est pas un hasard s’il y a similitude entre Teilhard de Chardin et Platon sur la façon d’envisager l’écart entre les régimes existants et le passage à la Cité idé</w:t>
      </w:r>
      <w:r w:rsidRPr="0004576F">
        <w:t>a</w:t>
      </w:r>
      <w:r w:rsidRPr="0004576F">
        <w:t>le. Le régime démocratique, le plus éloigné par ses défauts, est, du fait de sa fa</w:t>
      </w:r>
      <w:r w:rsidRPr="0004576F">
        <w:t>i</w:t>
      </w:r>
      <w:r w:rsidRPr="0004576F">
        <w:t>blesse celui qui est le plus à même d’être « corrigé » par celui, ou ceux, qui  prendront et exerceront le pouvoir au nom du Bien. En revanche la tyrannie, le pire des régimes, est celui qui, si le tyran d</w:t>
      </w:r>
      <w:r w:rsidRPr="0004576F">
        <w:t>e</w:t>
      </w:r>
      <w:r w:rsidRPr="0004576F">
        <w:t>vient « philosophe » (acquis au Bien), permet la mutation rapide vers la Cité du Bien, du fait du pouvoir abs</w:t>
      </w:r>
      <w:r w:rsidRPr="0004576F">
        <w:t>o</w:t>
      </w:r>
      <w:r w:rsidRPr="0004576F">
        <w:t>lu exercé sur les hommes.</w:t>
      </w:r>
    </w:p>
  </w:footnote>
  <w:footnote w:id="1166">
    <w:p w14:paraId="6A27BFF7" w14:textId="77777777" w:rsidR="00B01930" w:rsidRDefault="00B01930">
      <w:pPr>
        <w:pStyle w:val="Notedebasdepage"/>
      </w:pPr>
      <w:r>
        <w:rPr>
          <w:rStyle w:val="Appelnotedebasdep"/>
        </w:rPr>
        <w:footnoteRef/>
      </w:r>
      <w:r>
        <w:t xml:space="preserve"> </w:t>
      </w:r>
      <w:r>
        <w:tab/>
      </w:r>
      <w:r w:rsidRPr="0004576F">
        <w:t>Cf. I. Le code de valeurs.</w:t>
      </w:r>
    </w:p>
  </w:footnote>
  <w:footnote w:id="1167">
    <w:p w14:paraId="11FC6271" w14:textId="77777777" w:rsidR="00B01930" w:rsidRDefault="00B01930">
      <w:pPr>
        <w:pStyle w:val="Notedebasdepage"/>
      </w:pPr>
      <w:r>
        <w:rPr>
          <w:rStyle w:val="Appelnotedebasdep"/>
        </w:rPr>
        <w:footnoteRef/>
      </w:r>
      <w:r>
        <w:t xml:space="preserve"> </w:t>
      </w:r>
      <w:r>
        <w:tab/>
      </w:r>
      <w:r w:rsidRPr="0004576F">
        <w:t xml:space="preserve">Voir </w:t>
      </w:r>
      <w:r w:rsidRPr="0004576F">
        <w:rPr>
          <w:i/>
        </w:rPr>
        <w:t>supra</w:t>
      </w:r>
      <w:r w:rsidRPr="0004576F">
        <w:t>.</w:t>
      </w:r>
    </w:p>
  </w:footnote>
  <w:footnote w:id="1168">
    <w:p w14:paraId="1A593842" w14:textId="77777777" w:rsidR="00B01930" w:rsidRDefault="00B01930">
      <w:pPr>
        <w:pStyle w:val="Notedebasdepage"/>
      </w:pPr>
      <w:r>
        <w:rPr>
          <w:rStyle w:val="Appelnotedebasdep"/>
        </w:rPr>
        <w:footnoteRef/>
      </w:r>
      <w:r>
        <w:t xml:space="preserve"> </w:t>
      </w:r>
      <w:r>
        <w:tab/>
      </w:r>
      <w:r w:rsidRPr="0004576F">
        <w:t xml:space="preserve">Cf. Arnaud Martin, </w:t>
      </w:r>
      <w:r w:rsidRPr="0004576F">
        <w:rPr>
          <w:i/>
        </w:rPr>
        <w:t>ibidem</w:t>
      </w:r>
      <w:r w:rsidRPr="0004576F">
        <w:t>.</w:t>
      </w:r>
    </w:p>
  </w:footnote>
  <w:footnote w:id="1169">
    <w:p w14:paraId="6BD00016" w14:textId="77777777" w:rsidR="00B01930" w:rsidRDefault="00B01930">
      <w:pPr>
        <w:pStyle w:val="Notedebasdepage"/>
      </w:pPr>
      <w:r>
        <w:rPr>
          <w:rStyle w:val="Appelnotedebasdep"/>
        </w:rPr>
        <w:footnoteRef/>
      </w:r>
      <w:r>
        <w:t xml:space="preserve"> </w:t>
      </w:r>
      <w:r>
        <w:tab/>
      </w:r>
      <w:r w:rsidRPr="0004576F">
        <w:t>Cf. Arnaud Martin.</w:t>
      </w:r>
    </w:p>
  </w:footnote>
  <w:footnote w:id="1170">
    <w:p w14:paraId="25A02A1B" w14:textId="77777777" w:rsidR="00B01930" w:rsidRDefault="00B01930">
      <w:pPr>
        <w:pStyle w:val="Notedebasdepage"/>
      </w:pPr>
      <w:r>
        <w:rPr>
          <w:rStyle w:val="Appelnotedebasdep"/>
        </w:rPr>
        <w:footnoteRef/>
      </w:r>
      <w:r>
        <w:t xml:space="preserve"> </w:t>
      </w:r>
      <w:r>
        <w:tab/>
      </w:r>
      <w:r w:rsidRPr="0004576F">
        <w:rPr>
          <w:i/>
        </w:rPr>
        <w:t>Ibidem</w:t>
      </w:r>
      <w:r w:rsidRPr="0004576F">
        <w:t>. Mais Teilhard de Chardin condamnait le racisme car il faisait obstacle à la cré</w:t>
      </w:r>
      <w:r w:rsidRPr="0004576F">
        <w:t>a</w:t>
      </w:r>
      <w:r w:rsidRPr="0004576F">
        <w:t>tion de la  « noosphère » par principe totalisante.</w:t>
      </w:r>
    </w:p>
  </w:footnote>
  <w:footnote w:id="1171">
    <w:p w14:paraId="0C7C06AF" w14:textId="77777777" w:rsidR="00B01930" w:rsidRDefault="00B01930">
      <w:pPr>
        <w:pStyle w:val="Notedebasdepage"/>
      </w:pPr>
      <w:r>
        <w:rPr>
          <w:rStyle w:val="Appelnotedebasdep"/>
        </w:rPr>
        <w:footnoteRef/>
      </w:r>
      <w:r>
        <w:t xml:space="preserve"> </w:t>
      </w:r>
      <w:r>
        <w:tab/>
      </w:r>
      <w:r w:rsidRPr="0004576F">
        <w:t xml:space="preserve">Cf. A.Martin, </w:t>
      </w:r>
      <w:r w:rsidRPr="0004576F">
        <w:rPr>
          <w:i/>
        </w:rPr>
        <w:t>ibidem</w:t>
      </w:r>
      <w:r w:rsidRPr="0004576F">
        <w:t>.</w:t>
      </w:r>
    </w:p>
  </w:footnote>
  <w:footnote w:id="1172">
    <w:p w14:paraId="0D1915E2" w14:textId="77777777" w:rsidR="00B01930" w:rsidRDefault="00B01930">
      <w:pPr>
        <w:pStyle w:val="Notedebasdepage"/>
      </w:pPr>
      <w:r>
        <w:rPr>
          <w:rStyle w:val="Appelnotedebasdep"/>
        </w:rPr>
        <w:footnoteRef/>
      </w:r>
      <w:r>
        <w:t xml:space="preserve"> </w:t>
      </w:r>
      <w:r>
        <w:tab/>
      </w:r>
      <w:r w:rsidRPr="0004576F">
        <w:t xml:space="preserve">Cf. Arnaud Martin, </w:t>
      </w:r>
      <w:r w:rsidRPr="0004576F">
        <w:rPr>
          <w:i/>
        </w:rPr>
        <w:t>ibidem</w:t>
      </w:r>
      <w:r w:rsidRPr="0004576F">
        <w:t>, (p. 38).</w:t>
      </w:r>
    </w:p>
  </w:footnote>
  <w:footnote w:id="1173">
    <w:p w14:paraId="16693C52" w14:textId="77777777" w:rsidR="00B01930" w:rsidRDefault="00B01930">
      <w:pPr>
        <w:pStyle w:val="Notedebasdepage"/>
      </w:pPr>
      <w:r>
        <w:rPr>
          <w:rStyle w:val="Appelnotedebasdep"/>
        </w:rPr>
        <w:footnoteRef/>
      </w:r>
      <w:r>
        <w:t xml:space="preserve"> </w:t>
      </w:r>
      <w:r>
        <w:tab/>
      </w:r>
      <w:r w:rsidRPr="0004576F">
        <w:t>Rappelons que si Hitler ne fût jamais excommunié, ni l’appartenance au n</w:t>
      </w:r>
      <w:r w:rsidRPr="0004576F">
        <w:t>a</w:t>
      </w:r>
      <w:r w:rsidRPr="0004576F">
        <w:t>zisme, en r</w:t>
      </w:r>
      <w:r w:rsidRPr="0004576F">
        <w:t>e</w:t>
      </w:r>
      <w:r w:rsidRPr="0004576F">
        <w:t xml:space="preserve">vanche être communiste entraînait </w:t>
      </w:r>
      <w:r w:rsidRPr="0004576F">
        <w:rPr>
          <w:i/>
        </w:rPr>
        <w:t>ipso facto</w:t>
      </w:r>
      <w:r w:rsidRPr="0004576F">
        <w:t xml:space="preserve"> l’excommunication, lire la presse communi</w:t>
      </w:r>
      <w:r w:rsidRPr="0004576F">
        <w:t>s</w:t>
      </w:r>
      <w:r w:rsidRPr="0004576F">
        <w:t>te était passible de la même sanction, etc.</w:t>
      </w:r>
    </w:p>
  </w:footnote>
  <w:footnote w:id="1174">
    <w:p w14:paraId="5E3BD8A0" w14:textId="77777777" w:rsidR="00B01930" w:rsidRDefault="00B01930">
      <w:pPr>
        <w:pStyle w:val="Notedebasdepage"/>
      </w:pPr>
      <w:r>
        <w:rPr>
          <w:rStyle w:val="Appelnotedebasdep"/>
        </w:rPr>
        <w:footnoteRef/>
      </w:r>
      <w:r>
        <w:t xml:space="preserve"> </w:t>
      </w:r>
      <w:r>
        <w:tab/>
      </w:r>
      <w:r w:rsidRPr="0004576F">
        <w:t xml:space="preserve">Jean-Louis Martres, </w:t>
      </w:r>
      <w:r w:rsidRPr="0004576F">
        <w:rPr>
          <w:i/>
        </w:rPr>
        <w:t>Les Grilles de la pensée politique</w:t>
      </w:r>
      <w:r w:rsidRPr="0004576F">
        <w:t xml:space="preserve">, </w:t>
      </w:r>
      <w:r w:rsidRPr="0004576F">
        <w:rPr>
          <w:i/>
        </w:rPr>
        <w:t>op. cit.</w:t>
      </w:r>
      <w:r w:rsidRPr="0004576F">
        <w:t>, et Daniel L</w:t>
      </w:r>
      <w:r w:rsidRPr="0004576F">
        <w:t>a</w:t>
      </w:r>
      <w:r w:rsidRPr="0004576F">
        <w:t xml:space="preserve">graula, </w:t>
      </w:r>
      <w:r w:rsidRPr="0004576F">
        <w:rPr>
          <w:i/>
        </w:rPr>
        <w:t>Introdu</w:t>
      </w:r>
      <w:r w:rsidRPr="0004576F">
        <w:rPr>
          <w:i/>
        </w:rPr>
        <w:t>c</w:t>
      </w:r>
      <w:r w:rsidRPr="0004576F">
        <w:rPr>
          <w:i/>
        </w:rPr>
        <w:t>tion…</w:t>
      </w:r>
    </w:p>
  </w:footnote>
  <w:footnote w:id="1175">
    <w:p w14:paraId="38F24CDD" w14:textId="77777777" w:rsidR="00B01930" w:rsidRDefault="00B01930">
      <w:pPr>
        <w:pStyle w:val="Notedebasdepage"/>
      </w:pPr>
      <w:r>
        <w:rPr>
          <w:rStyle w:val="Appelnotedebasdep"/>
        </w:rPr>
        <w:footnoteRef/>
      </w:r>
      <w:r>
        <w:t xml:space="preserve"> </w:t>
      </w:r>
      <w:r>
        <w:tab/>
      </w:r>
      <w:r w:rsidRPr="0004576F">
        <w:t>Selon le mot de M</w:t>
      </w:r>
      <w:r w:rsidRPr="0004576F">
        <w:rPr>
          <w:vertAlign w:val="superscript"/>
        </w:rPr>
        <w:t>gr</w:t>
      </w:r>
      <w:r w:rsidRPr="0004576F">
        <w:t xml:space="preserve"> Ricard, évêque de Nice, cité par Philippe Nemo, « </w:t>
      </w:r>
      <w:r w:rsidRPr="0004576F">
        <w:rPr>
          <w:i/>
        </w:rPr>
        <w:t>Histoire des Idées politiques aux Temps modernes et contemporains</w:t>
      </w:r>
      <w:r w:rsidRPr="0004576F">
        <w:t> », P</w:t>
      </w:r>
      <w:r w:rsidRPr="0004576F">
        <w:t>a</w:t>
      </w:r>
      <w:r w:rsidRPr="0004576F">
        <w:t>ris, P</w:t>
      </w:r>
      <w:r w:rsidRPr="0004576F">
        <w:rPr>
          <w:smallCaps/>
          <w:kern w:val="20"/>
        </w:rPr>
        <w:t>uf</w:t>
      </w:r>
      <w:r w:rsidRPr="0004576F">
        <w:t>, 2013.</w:t>
      </w:r>
    </w:p>
  </w:footnote>
  <w:footnote w:id="1176">
    <w:p w14:paraId="427B92DA" w14:textId="77777777" w:rsidR="00B01930" w:rsidRDefault="00B01930">
      <w:pPr>
        <w:pStyle w:val="Notedebasdepage"/>
      </w:pPr>
      <w:r>
        <w:rPr>
          <w:rStyle w:val="Appelnotedebasdep"/>
        </w:rPr>
        <w:footnoteRef/>
      </w:r>
      <w:r>
        <w:t xml:space="preserve"> </w:t>
      </w:r>
      <w:r>
        <w:tab/>
      </w:r>
      <w:r w:rsidRPr="0004576F">
        <w:rPr>
          <w:i/>
        </w:rPr>
        <w:t>589 prêtres et 187 séminaristes au 1</w:t>
      </w:r>
      <w:r w:rsidRPr="0004576F">
        <w:rPr>
          <w:i/>
          <w:vertAlign w:val="superscript"/>
        </w:rPr>
        <w:t>er</w:t>
      </w:r>
      <w:r w:rsidRPr="0004576F">
        <w:rPr>
          <w:i/>
        </w:rPr>
        <w:t xml:space="preserve"> juillet 2014. Source : www.fsspx.org</w:t>
      </w:r>
    </w:p>
  </w:footnote>
  <w:footnote w:id="1177">
    <w:p w14:paraId="19BD837F" w14:textId="77777777" w:rsidR="00B01930" w:rsidRDefault="00B01930">
      <w:pPr>
        <w:pStyle w:val="Notedebasdepage"/>
      </w:pPr>
      <w:r>
        <w:rPr>
          <w:rStyle w:val="Appelnotedebasdep"/>
        </w:rPr>
        <w:footnoteRef/>
      </w:r>
      <w:r>
        <w:t xml:space="preserve"> </w:t>
      </w:r>
      <w:r>
        <w:tab/>
      </w:r>
      <w:r w:rsidRPr="0004576F">
        <w:rPr>
          <w:i/>
        </w:rPr>
        <w:t>Mouvement laïc créé en 1999 « </w:t>
      </w:r>
      <w:r w:rsidRPr="0004576F">
        <w:t>Civitas</w:t>
      </w:r>
      <w:r w:rsidRPr="0004576F">
        <w:rPr>
          <w:i/>
        </w:rPr>
        <w:t> » se donne pour but « l’instauration de la Royauté sociale du Christ sur les nations et le peuples en général, sur la France et les français en particulier », s</w:t>
      </w:r>
      <w:r w:rsidRPr="0004576F">
        <w:rPr>
          <w:i/>
        </w:rPr>
        <w:t>i</w:t>
      </w:r>
      <w:r w:rsidRPr="0004576F">
        <w:rPr>
          <w:i/>
        </w:rPr>
        <w:t>te : www.civitas-institut.com</w:t>
      </w:r>
    </w:p>
  </w:footnote>
  <w:footnote w:id="1178">
    <w:p w14:paraId="166A71DC" w14:textId="77777777" w:rsidR="00B01930" w:rsidRDefault="00B01930">
      <w:pPr>
        <w:pStyle w:val="Notedebasdepage"/>
      </w:pPr>
      <w:r>
        <w:rPr>
          <w:rStyle w:val="Appelnotedebasdep"/>
        </w:rPr>
        <w:footnoteRef/>
      </w:r>
      <w:r>
        <w:t xml:space="preserve"> </w:t>
      </w:r>
      <w:r>
        <w:tab/>
      </w:r>
      <w:r w:rsidRPr="0004576F">
        <w:rPr>
          <w:i/>
        </w:rPr>
        <w:t>À la suite d’une longue histoire qui a vu l’instauration de la Chrétienté en Occ</w:t>
      </w:r>
      <w:r w:rsidRPr="0004576F">
        <w:rPr>
          <w:i/>
        </w:rPr>
        <w:t>i</w:t>
      </w:r>
      <w:r w:rsidRPr="0004576F">
        <w:rPr>
          <w:i/>
        </w:rPr>
        <w:t>dent au XI</w:t>
      </w:r>
      <w:r w:rsidRPr="0004576F">
        <w:rPr>
          <w:i/>
          <w:vertAlign w:val="superscript"/>
        </w:rPr>
        <w:t>e</w:t>
      </w:r>
      <w:r w:rsidRPr="0004576F">
        <w:rPr>
          <w:i/>
        </w:rPr>
        <w:t xml:space="preserve"> siècle.</w:t>
      </w:r>
    </w:p>
  </w:footnote>
  <w:footnote w:id="1179">
    <w:p w14:paraId="0C9ECCC8" w14:textId="77777777" w:rsidR="00B01930" w:rsidRDefault="00B01930">
      <w:pPr>
        <w:pStyle w:val="Notedebasdepage"/>
      </w:pPr>
      <w:r>
        <w:rPr>
          <w:rStyle w:val="Appelnotedebasdep"/>
        </w:rPr>
        <w:footnoteRef/>
      </w:r>
      <w:r>
        <w:t xml:space="preserve"> </w:t>
      </w:r>
      <w:r>
        <w:tab/>
      </w:r>
      <w:r w:rsidRPr="00410B06">
        <w:t>Un point de détail – qui n’en est pas un en fait : nous parlons ici d’« attitude », non de «</w:t>
      </w:r>
      <w:r>
        <w:t> </w:t>
      </w:r>
      <w:r w:rsidRPr="00410B06">
        <w:t>comportement</w:t>
      </w:r>
      <w:r>
        <w:t> </w:t>
      </w:r>
      <w:r w:rsidRPr="00410B06">
        <w:t>». Les premières sont durables, rattachant les c</w:t>
      </w:r>
      <w:r w:rsidRPr="00410B06">
        <w:t>i</w:t>
      </w:r>
      <w:r w:rsidRPr="00410B06">
        <w:t xml:space="preserve">toyens-électeurs dans une culture politique construite et héritée, les seconds apparaîssant plus circonstanciées, car pouvant changer d’une élection à l’autre. Cette différenciation  fut développée notamment par Michel Crozier et Ehrard Freidberg dans l’annexe méthodologique de leur ouvrage de référence, </w:t>
      </w:r>
      <w:r w:rsidRPr="00410B06">
        <w:rPr>
          <w:i/>
        </w:rPr>
        <w:t>L’Acteur et le système</w:t>
      </w:r>
      <w:r w:rsidRPr="00410B06">
        <w:t>, Paris, Le Seuil, 1977.</w:t>
      </w:r>
    </w:p>
  </w:footnote>
  <w:footnote w:id="1180">
    <w:p w14:paraId="4322CF8D" w14:textId="77777777" w:rsidR="00B01930" w:rsidRDefault="00B01930">
      <w:pPr>
        <w:pStyle w:val="Notedebasdepage"/>
      </w:pPr>
      <w:r>
        <w:rPr>
          <w:rStyle w:val="Appelnotedebasdep"/>
        </w:rPr>
        <w:footnoteRef/>
      </w:r>
      <w:r>
        <w:t xml:space="preserve"> </w:t>
      </w:r>
      <w:r>
        <w:tab/>
      </w:r>
      <w:r w:rsidRPr="0004576F">
        <w:t xml:space="preserve">Guy Michelat et Michel Simon, </w:t>
      </w:r>
      <w:r w:rsidRPr="0004576F">
        <w:rPr>
          <w:i/>
        </w:rPr>
        <w:t>« Classe, religion, et comportement polit</w:t>
      </w:r>
      <w:r w:rsidRPr="0004576F">
        <w:rPr>
          <w:i/>
        </w:rPr>
        <w:t>i</w:t>
      </w:r>
      <w:r w:rsidRPr="0004576F">
        <w:rPr>
          <w:i/>
        </w:rPr>
        <w:t>que »</w:t>
      </w:r>
      <w:r w:rsidRPr="0004576F">
        <w:t>, Paris, Presses de Sciences Po, 1977.</w:t>
      </w:r>
    </w:p>
  </w:footnote>
  <w:footnote w:id="1181">
    <w:p w14:paraId="29812539" w14:textId="77777777" w:rsidR="00B01930" w:rsidRDefault="00B01930">
      <w:pPr>
        <w:pStyle w:val="Notedebasdepage"/>
      </w:pPr>
      <w:r>
        <w:rPr>
          <w:rStyle w:val="Appelnotedebasdep"/>
        </w:rPr>
        <w:footnoteRef/>
      </w:r>
      <w:r>
        <w:t xml:space="preserve"> </w:t>
      </w:r>
      <w:r>
        <w:tab/>
      </w:r>
      <w:r w:rsidRPr="0004576F">
        <w:t xml:space="preserve">G. Michelat et M. Simon, « Le comportement électoral des catholiques », </w:t>
      </w:r>
      <w:r w:rsidRPr="0004576F">
        <w:rPr>
          <w:i/>
        </w:rPr>
        <w:t>op. cit.</w:t>
      </w:r>
      <w:r w:rsidRPr="0004576F">
        <w:t>, p. 163.</w:t>
      </w:r>
    </w:p>
  </w:footnote>
  <w:footnote w:id="1182">
    <w:p w14:paraId="5A7DBCBE" w14:textId="77777777" w:rsidR="00B01930" w:rsidRDefault="00B01930">
      <w:pPr>
        <w:pStyle w:val="Notedebasdepage"/>
      </w:pPr>
      <w:r>
        <w:rPr>
          <w:rStyle w:val="Appelnotedebasdep"/>
        </w:rPr>
        <w:footnoteRef/>
      </w:r>
      <w:r>
        <w:t xml:space="preserve"> </w:t>
      </w:r>
      <w:r>
        <w:tab/>
      </w:r>
      <w:r w:rsidRPr="0004576F">
        <w:t xml:space="preserve">Émile Poulat, </w:t>
      </w:r>
      <w:r w:rsidRPr="0004576F">
        <w:rPr>
          <w:i/>
        </w:rPr>
        <w:t>Église contre bourgeoisie : introduction au devenir du cathol</w:t>
      </w:r>
      <w:r w:rsidRPr="0004576F">
        <w:rPr>
          <w:i/>
        </w:rPr>
        <w:t>i</w:t>
      </w:r>
      <w:r w:rsidRPr="0004576F">
        <w:rPr>
          <w:i/>
        </w:rPr>
        <w:t>ci</w:t>
      </w:r>
      <w:r w:rsidRPr="0004576F">
        <w:rPr>
          <w:i/>
        </w:rPr>
        <w:t>s</w:t>
      </w:r>
      <w:r w:rsidRPr="0004576F">
        <w:rPr>
          <w:i/>
        </w:rPr>
        <w:t>me actuel</w:t>
      </w:r>
      <w:r w:rsidRPr="0004576F">
        <w:rPr>
          <w:rFonts w:cs="Byington"/>
        </w:rPr>
        <w:t>, Paris, Casterman, 1996.</w:t>
      </w:r>
    </w:p>
  </w:footnote>
  <w:footnote w:id="1183">
    <w:p w14:paraId="24BEB857" w14:textId="77777777" w:rsidR="00B01930" w:rsidRDefault="00B01930">
      <w:pPr>
        <w:pStyle w:val="Notedebasdepage"/>
      </w:pPr>
      <w:r>
        <w:rPr>
          <w:rStyle w:val="Appelnotedebasdep"/>
        </w:rPr>
        <w:footnoteRef/>
      </w:r>
      <w:r>
        <w:t xml:space="preserve"> </w:t>
      </w:r>
      <w:r>
        <w:tab/>
      </w:r>
      <w:r w:rsidRPr="0004576F">
        <w:t xml:space="preserve">René Rémond, </w:t>
      </w:r>
      <w:r w:rsidRPr="0004576F">
        <w:rPr>
          <w:i/>
        </w:rPr>
        <w:t xml:space="preserve">Les Droites aujourd’hui, </w:t>
      </w:r>
      <w:r w:rsidRPr="0004576F">
        <w:t>Paris, Points, 2007.</w:t>
      </w:r>
    </w:p>
  </w:footnote>
  <w:footnote w:id="1184">
    <w:p w14:paraId="43B2A9FC" w14:textId="77777777" w:rsidR="00B01930" w:rsidRDefault="00B01930">
      <w:pPr>
        <w:pStyle w:val="Notedebasdepage"/>
      </w:pPr>
      <w:r>
        <w:rPr>
          <w:rStyle w:val="Appelnotedebasdep"/>
        </w:rPr>
        <w:footnoteRef/>
      </w:r>
      <w:r>
        <w:t xml:space="preserve"> </w:t>
      </w:r>
      <w:r>
        <w:tab/>
      </w:r>
      <w:r w:rsidRPr="0004576F">
        <w:t xml:space="preserve">Alimentés par le bref du Pape </w:t>
      </w:r>
      <w:r>
        <w:t>Pie </w:t>
      </w:r>
      <w:r w:rsidRPr="0004576F">
        <w:t xml:space="preserve">VI </w:t>
      </w:r>
      <w:r w:rsidRPr="0004576F">
        <w:rPr>
          <w:i/>
        </w:rPr>
        <w:t>Quod Alimentum</w:t>
      </w:r>
      <w:r w:rsidRPr="0004576F">
        <w:t xml:space="preserve"> (1791), édicté en réa</w:t>
      </w:r>
      <w:r w:rsidRPr="0004576F">
        <w:t>c</w:t>
      </w:r>
      <w:r w:rsidRPr="0004576F">
        <w:t>tion à la Constit</w:t>
      </w:r>
      <w:r w:rsidRPr="0004576F">
        <w:t>u</w:t>
      </w:r>
      <w:r w:rsidRPr="0004576F">
        <w:t>tion civile du clergé.</w:t>
      </w:r>
    </w:p>
  </w:footnote>
  <w:footnote w:id="1185">
    <w:p w14:paraId="38301438" w14:textId="77777777" w:rsidR="00B01930" w:rsidRDefault="00B01930">
      <w:pPr>
        <w:pStyle w:val="Notedebasdepage"/>
      </w:pPr>
      <w:r>
        <w:rPr>
          <w:rStyle w:val="Appelnotedebasdep"/>
        </w:rPr>
        <w:footnoteRef/>
      </w:r>
      <w:r>
        <w:t xml:space="preserve"> </w:t>
      </w:r>
      <w:r>
        <w:tab/>
      </w:r>
      <w:r w:rsidRPr="00410B06">
        <w:t>Jean Madiran</w:t>
      </w:r>
      <w:r w:rsidRPr="0004576F">
        <w:rPr>
          <w:i/>
        </w:rPr>
        <w:t xml:space="preserve">, </w:t>
      </w:r>
      <w:r w:rsidRPr="00410B06">
        <w:rPr>
          <w:i/>
        </w:rPr>
        <w:t>L’Intégrisme</w:t>
      </w:r>
      <w:r w:rsidRPr="0004576F">
        <w:rPr>
          <w:i/>
        </w:rPr>
        <w:t xml:space="preserve">, </w:t>
      </w:r>
      <w:r w:rsidRPr="00410B06">
        <w:t>Paris, Éditions latines, 1964.</w:t>
      </w:r>
    </w:p>
  </w:footnote>
  <w:footnote w:id="1186">
    <w:p w14:paraId="278482DC" w14:textId="77777777" w:rsidR="00B01930" w:rsidRDefault="00B01930">
      <w:pPr>
        <w:pStyle w:val="Notedebasdepage"/>
      </w:pPr>
      <w:r>
        <w:rPr>
          <w:rStyle w:val="Appelnotedebasdep"/>
        </w:rPr>
        <w:footnoteRef/>
      </w:r>
      <w:r>
        <w:t xml:space="preserve"> </w:t>
      </w:r>
      <w:r>
        <w:tab/>
      </w:r>
      <w:r w:rsidRPr="00410B06">
        <w:t xml:space="preserve">Philippe Portier, « Catholicisme et politique dans la France contemporaine. Un état de la recherche », in </w:t>
      </w:r>
      <w:r w:rsidRPr="00410B06">
        <w:rPr>
          <w:i/>
        </w:rPr>
        <w:t>L’Histoire religieuse en France et en Espagne</w:t>
      </w:r>
      <w:r w:rsidRPr="00410B06">
        <w:t>, Colloque international des 2-5 avril 2001, Actes réunis et présentés par Benoît Pellistrandi., Madrid, Casa de Vela</w:t>
      </w:r>
      <w:r w:rsidRPr="00410B06">
        <w:t>s</w:t>
      </w:r>
      <w:r w:rsidRPr="00410B06">
        <w:t>quez. 2004.</w:t>
      </w:r>
    </w:p>
  </w:footnote>
  <w:footnote w:id="1187">
    <w:p w14:paraId="219CF596" w14:textId="77777777" w:rsidR="00B01930" w:rsidRPr="00410B06" w:rsidRDefault="00B01930">
      <w:pPr>
        <w:pStyle w:val="Notedebasdepage"/>
      </w:pPr>
      <w:r>
        <w:rPr>
          <w:rStyle w:val="Appelnotedebasdep"/>
        </w:rPr>
        <w:footnoteRef/>
      </w:r>
      <w:r>
        <w:t xml:space="preserve"> </w:t>
      </w:r>
      <w:r>
        <w:tab/>
      </w:r>
      <w:r w:rsidRPr="00410B06">
        <w:rPr>
          <w:i/>
        </w:rPr>
        <w:t>Le Monde</w:t>
      </w:r>
      <w:r w:rsidRPr="0004576F">
        <w:t xml:space="preserve"> </w:t>
      </w:r>
      <w:r w:rsidRPr="00410B06">
        <w:t>du 24 janvier 2014, « Qui sont les catholiques de France ? », Sou</w:t>
      </w:r>
      <w:r w:rsidRPr="00410B06">
        <w:t>r</w:t>
      </w:r>
      <w:r w:rsidRPr="00410B06">
        <w:t xml:space="preserve">ce : </w:t>
      </w:r>
      <w:r w:rsidRPr="00410B06">
        <w:rPr>
          <w:smallCaps/>
        </w:rPr>
        <w:t>Ifop</w:t>
      </w:r>
      <w:r w:rsidRPr="00410B06">
        <w:t>.</w:t>
      </w:r>
    </w:p>
  </w:footnote>
  <w:footnote w:id="1188">
    <w:p w14:paraId="1D862FCB" w14:textId="77777777" w:rsidR="00B01930" w:rsidRDefault="00B01930">
      <w:pPr>
        <w:pStyle w:val="Notedebasdepage"/>
      </w:pPr>
      <w:r>
        <w:rPr>
          <w:rStyle w:val="Appelnotedebasdep"/>
        </w:rPr>
        <w:footnoteRef/>
      </w:r>
      <w:r>
        <w:t xml:space="preserve"> </w:t>
      </w:r>
      <w:r>
        <w:tab/>
      </w:r>
      <w:r w:rsidRPr="0004576F">
        <w:t>Source </w:t>
      </w:r>
      <w:r w:rsidRPr="0004576F">
        <w:rPr>
          <w:i/>
        </w:rPr>
        <w:t xml:space="preserve">: </w:t>
      </w:r>
      <w:r w:rsidRPr="0004576F">
        <w:t xml:space="preserve">Annuaire des statistiques de l’Église </w:t>
      </w:r>
      <w:r w:rsidRPr="0004576F">
        <w:rPr>
          <w:i/>
        </w:rPr>
        <w:t>et Conférence des Évêques de France</w:t>
      </w:r>
      <w:r w:rsidRPr="0004576F">
        <w:t>.</w:t>
      </w:r>
    </w:p>
  </w:footnote>
  <w:footnote w:id="1189">
    <w:p w14:paraId="3FE45058" w14:textId="77777777" w:rsidR="00B01930" w:rsidRDefault="00B01930">
      <w:pPr>
        <w:pStyle w:val="Notedebasdepage"/>
      </w:pPr>
      <w:r>
        <w:rPr>
          <w:rStyle w:val="Appelnotedebasdep"/>
        </w:rPr>
        <w:footnoteRef/>
      </w:r>
      <w:r>
        <w:t xml:space="preserve"> </w:t>
      </w:r>
      <w:r>
        <w:tab/>
      </w:r>
      <w:r w:rsidRPr="0004576F">
        <w:t xml:space="preserve">Jean-Marie Donégani, </w:t>
      </w:r>
      <w:r w:rsidRPr="0004576F">
        <w:rPr>
          <w:i/>
        </w:rPr>
        <w:t>La Liberté de choisir</w:t>
      </w:r>
      <w:r w:rsidRPr="0004576F">
        <w:t>, Paris, Presses de la F</w:t>
      </w:r>
      <w:r w:rsidRPr="0004576F">
        <w:rPr>
          <w:smallCaps/>
          <w:kern w:val="20"/>
        </w:rPr>
        <w:t>nsp</w:t>
      </w:r>
      <w:r w:rsidRPr="0004576F">
        <w:t>, 1994.</w:t>
      </w:r>
    </w:p>
  </w:footnote>
  <w:footnote w:id="1190">
    <w:p w14:paraId="34EB1264" w14:textId="77777777" w:rsidR="00B01930" w:rsidRDefault="00B01930">
      <w:pPr>
        <w:pStyle w:val="Notedebasdepage"/>
      </w:pPr>
      <w:r>
        <w:rPr>
          <w:rStyle w:val="Appelnotedebasdep"/>
        </w:rPr>
        <w:footnoteRef/>
      </w:r>
      <w:r>
        <w:t xml:space="preserve"> </w:t>
      </w:r>
      <w:r>
        <w:tab/>
      </w:r>
      <w:r w:rsidRPr="0004576F">
        <w:t xml:space="preserve">Jean-Marie Donégani, Guy Lescanne, </w:t>
      </w:r>
      <w:r w:rsidRPr="0004576F">
        <w:rPr>
          <w:i/>
        </w:rPr>
        <w:t>Catholicismes en France</w:t>
      </w:r>
      <w:r w:rsidRPr="0004576F">
        <w:t>, Paris, De</w:t>
      </w:r>
      <w:r w:rsidRPr="0004576F">
        <w:t>s</w:t>
      </w:r>
      <w:r w:rsidRPr="0004576F">
        <w:t>clées et Bayard Presse, 1986.</w:t>
      </w:r>
    </w:p>
  </w:footnote>
  <w:footnote w:id="1191">
    <w:p w14:paraId="392D58AD" w14:textId="77777777" w:rsidR="00B01930" w:rsidRDefault="00B01930">
      <w:pPr>
        <w:pStyle w:val="Notedebasdepage"/>
      </w:pPr>
      <w:r>
        <w:rPr>
          <w:rStyle w:val="Appelnotedebasdep"/>
        </w:rPr>
        <w:footnoteRef/>
      </w:r>
      <w:r>
        <w:t xml:space="preserve"> </w:t>
      </w:r>
      <w:r>
        <w:tab/>
      </w:r>
      <w:r w:rsidRPr="0004576F">
        <w:t>Sources</w:t>
      </w:r>
      <w:r>
        <w:t> </w:t>
      </w:r>
      <w:r w:rsidRPr="0004576F">
        <w:t xml:space="preserve">: </w:t>
      </w:r>
      <w:r w:rsidRPr="0004576F">
        <w:rPr>
          <w:i/>
        </w:rPr>
        <w:t>The Pew Forum</w:t>
      </w:r>
      <w:r w:rsidRPr="0004576F">
        <w:t xml:space="preserve">, </w:t>
      </w:r>
      <w:r w:rsidRPr="0004576F">
        <w:rPr>
          <w:i/>
        </w:rPr>
        <w:t>La Croix</w:t>
      </w:r>
      <w:r w:rsidRPr="0004576F">
        <w:t xml:space="preserve">, </w:t>
      </w:r>
      <w:r w:rsidRPr="0004576F">
        <w:rPr>
          <w:i/>
        </w:rPr>
        <w:t>Financial Times</w:t>
      </w:r>
      <w:r w:rsidRPr="0004576F">
        <w:t xml:space="preserve">, repris par </w:t>
      </w:r>
      <w:r w:rsidRPr="0004576F">
        <w:rPr>
          <w:color w:val="333333"/>
          <w:u w:val="single"/>
        </w:rPr>
        <w:t>www.affaires-stratégiques.info</w:t>
      </w:r>
      <w:r w:rsidRPr="0004576F">
        <w:t>, 15 février 2013.</w:t>
      </w:r>
    </w:p>
  </w:footnote>
  <w:footnote w:id="1192">
    <w:p w14:paraId="1BAFB03A" w14:textId="77777777" w:rsidR="00B01930" w:rsidRDefault="00B01930">
      <w:pPr>
        <w:pStyle w:val="Notedebasdepage"/>
      </w:pPr>
      <w:r>
        <w:rPr>
          <w:rStyle w:val="Appelnotedebasdep"/>
        </w:rPr>
        <w:footnoteRef/>
      </w:r>
      <w:r>
        <w:t xml:space="preserve"> </w:t>
      </w:r>
      <w:r>
        <w:tab/>
      </w:r>
      <w:r w:rsidRPr="0004576F">
        <w:t xml:space="preserve">Source : </w:t>
      </w:r>
      <w:r w:rsidRPr="0004576F">
        <w:rPr>
          <w:i/>
        </w:rPr>
        <w:t>Annuaire Pontifical 2012</w:t>
      </w:r>
      <w:r w:rsidRPr="0004576F">
        <w:t xml:space="preserve">, repris par </w:t>
      </w:r>
      <w:r w:rsidRPr="0004576F">
        <w:rPr>
          <w:i/>
        </w:rPr>
        <w:t>Le Monde</w:t>
      </w:r>
      <w:r w:rsidRPr="0004576F">
        <w:t> :</w:t>
      </w:r>
      <w:r w:rsidRPr="0004576F">
        <w:rPr>
          <w:i/>
        </w:rPr>
        <w:t xml:space="preserve"> </w:t>
      </w:r>
      <w:r w:rsidRPr="0004576F">
        <w:rPr>
          <w:rFonts w:eastAsia="Calibri"/>
          <w:szCs w:val="28"/>
        </w:rPr>
        <w:t>«</w:t>
      </w:r>
      <w:r w:rsidRPr="0004576F">
        <w:rPr>
          <w:szCs w:val="28"/>
        </w:rPr>
        <w:t> </w:t>
      </w:r>
      <w:r w:rsidRPr="0004576F">
        <w:rPr>
          <w:i/>
        </w:rPr>
        <w:t>Le catholicisme progresse en Afr</w:t>
      </w:r>
      <w:r w:rsidRPr="0004576F">
        <w:rPr>
          <w:i/>
        </w:rPr>
        <w:t>i</w:t>
      </w:r>
      <w:r w:rsidRPr="0004576F">
        <w:rPr>
          <w:i/>
        </w:rPr>
        <w:t>que et en Asie, recule en Europe</w:t>
      </w:r>
      <w:r w:rsidRPr="0004576F">
        <w:t xml:space="preserve"> », 10 mars 2012.</w:t>
      </w:r>
    </w:p>
  </w:footnote>
  <w:footnote w:id="1193">
    <w:p w14:paraId="3E087092" w14:textId="77777777" w:rsidR="00B01930" w:rsidRDefault="00B01930">
      <w:pPr>
        <w:pStyle w:val="Notedebasdepage"/>
      </w:pPr>
      <w:r>
        <w:rPr>
          <w:rStyle w:val="Appelnotedebasdep"/>
        </w:rPr>
        <w:footnoteRef/>
      </w:r>
      <w:r>
        <w:t xml:space="preserve"> </w:t>
      </w:r>
      <w:r>
        <w:tab/>
      </w:r>
      <w:r w:rsidRPr="0004576F">
        <w:t xml:space="preserve">Selon le </w:t>
      </w:r>
      <w:r w:rsidRPr="0004576F">
        <w:rPr>
          <w:i/>
        </w:rPr>
        <w:t>Guide 2014 de l’Église catholique de France</w:t>
      </w:r>
      <w:r w:rsidRPr="0004576F">
        <w:t>, sur un total de 16 830 prêtres en activité, 1620 sont étrangers, dont 916 Africains et 314 Européens (dont une moitié de P</w:t>
      </w:r>
      <w:r w:rsidRPr="0004576F">
        <w:t>o</w:t>
      </w:r>
      <w:r w:rsidRPr="0004576F">
        <w:t>lonais).</w:t>
      </w:r>
    </w:p>
  </w:footnote>
  <w:footnote w:id="1194">
    <w:p w14:paraId="64D36029" w14:textId="77777777" w:rsidR="00B01930" w:rsidRDefault="00B01930">
      <w:pPr>
        <w:pStyle w:val="Notedebasdepage"/>
      </w:pPr>
      <w:r>
        <w:rPr>
          <w:rStyle w:val="Appelnotedebasdep"/>
        </w:rPr>
        <w:footnoteRef/>
      </w:r>
      <w:r>
        <w:t xml:space="preserve"> </w:t>
      </w:r>
      <w:r>
        <w:tab/>
      </w:r>
      <w:r w:rsidRPr="0004576F">
        <w:t>Qui rappelle sous une forme renouvelée et avec beaucoup moins de moyens, les « missions » engagées en France au XIX</w:t>
      </w:r>
      <w:r w:rsidRPr="0004576F">
        <w:rPr>
          <w:vertAlign w:val="superscript"/>
        </w:rPr>
        <w:t>e</w:t>
      </w:r>
      <w:r w:rsidRPr="0004576F">
        <w:t xml:space="preserve"> siècle.</w:t>
      </w:r>
    </w:p>
  </w:footnote>
  <w:footnote w:id="1195">
    <w:p w14:paraId="1C1CFDE8" w14:textId="77777777" w:rsidR="00B01930" w:rsidRDefault="00B01930">
      <w:pPr>
        <w:pStyle w:val="Notedebasdepage"/>
      </w:pPr>
      <w:r>
        <w:rPr>
          <w:rStyle w:val="Appelnotedebasdep"/>
        </w:rPr>
        <w:footnoteRef/>
      </w:r>
      <w:r>
        <w:t xml:space="preserve"> </w:t>
      </w:r>
      <w:r>
        <w:tab/>
      </w:r>
      <w:r w:rsidRPr="0004576F">
        <w:t>« </w:t>
      </w:r>
      <w:r w:rsidRPr="0004576F">
        <w:rPr>
          <w:rFonts w:eastAsia="Calibri"/>
          <w:i/>
        </w:rPr>
        <w:t>Intégrisme</w:t>
      </w:r>
      <w:r w:rsidRPr="0004576F">
        <w:rPr>
          <w:i/>
        </w:rPr>
        <w:t> : un terme qui vient de loin »</w:t>
      </w:r>
      <w:r w:rsidRPr="0004576F">
        <w:t xml:space="preserve">. Entretien avec Émile Poulat, revue </w:t>
      </w:r>
      <w:r w:rsidRPr="0004576F">
        <w:rPr>
          <w:i/>
        </w:rPr>
        <w:t>Croire</w:t>
      </w:r>
      <w:r w:rsidRPr="0004576F">
        <w:t>, nove</w:t>
      </w:r>
      <w:r w:rsidRPr="0004576F">
        <w:t>m</w:t>
      </w:r>
      <w:r w:rsidRPr="0004576F">
        <w:t>bre 2006.</w:t>
      </w:r>
    </w:p>
  </w:footnote>
  <w:footnote w:id="1196">
    <w:p w14:paraId="1F456E2C" w14:textId="77777777" w:rsidR="00B01930" w:rsidRDefault="00B01930">
      <w:pPr>
        <w:pStyle w:val="Notedebasdepage"/>
      </w:pPr>
      <w:r>
        <w:rPr>
          <w:rStyle w:val="Appelnotedebasdep"/>
        </w:rPr>
        <w:footnoteRef/>
      </w:r>
      <w:r>
        <w:t xml:space="preserve"> </w:t>
      </w:r>
      <w:r>
        <w:tab/>
      </w:r>
      <w:r w:rsidRPr="0004576F">
        <w:t xml:space="preserve">Encyclique </w:t>
      </w:r>
      <w:r w:rsidRPr="0004576F">
        <w:rPr>
          <w:i/>
        </w:rPr>
        <w:t>Pascendi  Dominici Gregis</w:t>
      </w:r>
      <w:r w:rsidRPr="0004576F">
        <w:t>.</w:t>
      </w:r>
    </w:p>
  </w:footnote>
  <w:footnote w:id="1197">
    <w:p w14:paraId="45A04D00" w14:textId="77777777" w:rsidR="00B01930" w:rsidRDefault="00B01930">
      <w:pPr>
        <w:pStyle w:val="Notedebasdepage"/>
      </w:pPr>
      <w:r>
        <w:rPr>
          <w:rStyle w:val="Appelnotedebasdep"/>
        </w:rPr>
        <w:footnoteRef/>
      </w:r>
      <w:r>
        <w:t xml:space="preserve"> </w:t>
      </w:r>
      <w:r>
        <w:tab/>
      </w:r>
      <w:r w:rsidRPr="0004576F">
        <w:t>Dont celle du célèbre exégète bibliste Alfred Loisy.</w:t>
      </w:r>
    </w:p>
  </w:footnote>
  <w:footnote w:id="1198">
    <w:p w14:paraId="31B6C9A0" w14:textId="77777777" w:rsidR="00B01930" w:rsidRDefault="00B01930">
      <w:pPr>
        <w:pStyle w:val="Notedebasdepage"/>
      </w:pPr>
      <w:r>
        <w:rPr>
          <w:rStyle w:val="Appelnotedebasdep"/>
        </w:rPr>
        <w:footnoteRef/>
      </w:r>
      <w:r>
        <w:t xml:space="preserve"> </w:t>
      </w:r>
      <w:r>
        <w:tab/>
      </w:r>
      <w:r w:rsidRPr="0004576F">
        <w:t xml:space="preserve">Émile Poulat, </w:t>
      </w:r>
      <w:r w:rsidRPr="0004576F">
        <w:rPr>
          <w:rFonts w:eastAsia="Calibri"/>
          <w:i/>
        </w:rPr>
        <w:t>Croire</w:t>
      </w:r>
      <w:r w:rsidRPr="0004576F">
        <w:rPr>
          <w:rFonts w:eastAsia="Calibri"/>
        </w:rPr>
        <w:t xml:space="preserve">, </w:t>
      </w:r>
      <w:r w:rsidRPr="0004576F">
        <w:t>novembre 2006, article cité.</w:t>
      </w:r>
    </w:p>
  </w:footnote>
  <w:footnote w:id="1199">
    <w:p w14:paraId="4C61C3AF" w14:textId="77777777" w:rsidR="00B01930" w:rsidRDefault="00B01930">
      <w:pPr>
        <w:pStyle w:val="Notedebasdepage"/>
      </w:pPr>
      <w:r>
        <w:rPr>
          <w:rStyle w:val="Appelnotedebasdep"/>
        </w:rPr>
        <w:footnoteRef/>
      </w:r>
      <w:r>
        <w:t xml:space="preserve"> </w:t>
      </w:r>
      <w:r>
        <w:tab/>
      </w:r>
      <w:r w:rsidRPr="0004576F">
        <w:rPr>
          <w:i/>
        </w:rPr>
        <w:t>Idem</w:t>
      </w:r>
      <w:r w:rsidRPr="0004576F">
        <w:t>.</w:t>
      </w:r>
    </w:p>
  </w:footnote>
  <w:footnote w:id="1200">
    <w:p w14:paraId="5D9CF221" w14:textId="77777777" w:rsidR="00B01930" w:rsidRDefault="00B01930">
      <w:pPr>
        <w:pStyle w:val="Notedebasdepage"/>
      </w:pPr>
      <w:r>
        <w:rPr>
          <w:rStyle w:val="Appelnotedebasdep"/>
        </w:rPr>
        <w:footnoteRef/>
      </w:r>
      <w:r>
        <w:t xml:space="preserve"> </w:t>
      </w:r>
      <w:r>
        <w:tab/>
      </w:r>
      <w:r w:rsidRPr="0004576F">
        <w:rPr>
          <w:rFonts w:cs="Byington"/>
          <w:color w:val="000000"/>
        </w:rPr>
        <w:t xml:space="preserve">Jean-Marie Dognenani et Guy Lescanne, « </w:t>
      </w:r>
      <w:r w:rsidRPr="0004576F">
        <w:rPr>
          <w:rFonts w:cs="Byington"/>
          <w:i/>
          <w:color w:val="000000"/>
        </w:rPr>
        <w:t>Catholicismes en France »</w:t>
      </w:r>
      <w:r w:rsidRPr="0004576F">
        <w:rPr>
          <w:rFonts w:cs="Byington"/>
          <w:color w:val="000000"/>
        </w:rPr>
        <w:t>,</w:t>
      </w:r>
      <w:r w:rsidRPr="0004576F">
        <w:rPr>
          <w:rFonts w:cs="Byington"/>
          <w:i/>
          <w:color w:val="000000"/>
        </w:rPr>
        <w:t xml:space="preserve"> op. cit</w:t>
      </w:r>
      <w:r w:rsidRPr="0004576F">
        <w:rPr>
          <w:rFonts w:cs="Byington"/>
          <w:color w:val="000000"/>
        </w:rPr>
        <w:t>.</w:t>
      </w:r>
    </w:p>
  </w:footnote>
  <w:footnote w:id="1201">
    <w:p w14:paraId="6901C8DB" w14:textId="77777777" w:rsidR="00B01930" w:rsidRDefault="00B01930">
      <w:pPr>
        <w:pStyle w:val="Notedebasdepage"/>
      </w:pPr>
      <w:r>
        <w:rPr>
          <w:rStyle w:val="Appelnotedebasdep"/>
        </w:rPr>
        <w:footnoteRef/>
      </w:r>
      <w:r>
        <w:t xml:space="preserve"> </w:t>
      </w:r>
      <w:r>
        <w:tab/>
      </w:r>
      <w:r w:rsidRPr="0004576F">
        <w:rPr>
          <w:rFonts w:cs="Byington"/>
          <w:color w:val="000000"/>
        </w:rPr>
        <w:t>Jean Louis Ormières, « </w:t>
      </w:r>
      <w:r w:rsidRPr="0004576F">
        <w:rPr>
          <w:rFonts w:cs="Byington"/>
          <w:i/>
          <w:color w:val="000000"/>
        </w:rPr>
        <w:t>Politique et religion en France »</w:t>
      </w:r>
      <w:r w:rsidRPr="0004576F">
        <w:rPr>
          <w:rFonts w:cs="Byington"/>
          <w:color w:val="000000"/>
        </w:rPr>
        <w:t>, Bruxelles, Paris, Éditions Co</w:t>
      </w:r>
      <w:r w:rsidRPr="0004576F">
        <w:rPr>
          <w:rFonts w:cs="Byington"/>
          <w:color w:val="000000"/>
        </w:rPr>
        <w:t>m</w:t>
      </w:r>
      <w:r w:rsidRPr="0004576F">
        <w:rPr>
          <w:rFonts w:cs="Byington"/>
          <w:color w:val="000000"/>
        </w:rPr>
        <w:t>plexes, 2002.</w:t>
      </w:r>
    </w:p>
  </w:footnote>
  <w:footnote w:id="1202">
    <w:p w14:paraId="048376D8" w14:textId="77777777" w:rsidR="00B01930" w:rsidRDefault="00B01930">
      <w:pPr>
        <w:pStyle w:val="Notedebasdepage"/>
      </w:pPr>
      <w:r>
        <w:rPr>
          <w:rStyle w:val="Appelnotedebasdep"/>
        </w:rPr>
        <w:footnoteRef/>
      </w:r>
      <w:r>
        <w:t xml:space="preserve"> </w:t>
      </w:r>
      <w:r>
        <w:tab/>
      </w:r>
      <w:r w:rsidRPr="0004576F">
        <w:t xml:space="preserve">Abbé Guillaume de Tanouärn, </w:t>
      </w:r>
      <w:r w:rsidRPr="0004576F">
        <w:rPr>
          <w:i/>
        </w:rPr>
        <w:t>« Les significations de l’intégrisme »</w:t>
      </w:r>
      <w:r w:rsidRPr="0004576F">
        <w:t>, in no</w:t>
      </w:r>
      <w:r w:rsidRPr="0004576F">
        <w:t>u</w:t>
      </w:r>
      <w:r w:rsidRPr="0004576F">
        <w:t>velle revue</w:t>
      </w:r>
      <w:r w:rsidRPr="0004576F">
        <w:rPr>
          <w:i/>
        </w:rPr>
        <w:t xml:space="preserve"> Cert</w:t>
      </w:r>
      <w:r w:rsidRPr="0004576F">
        <w:rPr>
          <w:i/>
        </w:rPr>
        <w:t>i</w:t>
      </w:r>
      <w:r w:rsidRPr="0004576F">
        <w:rPr>
          <w:i/>
        </w:rPr>
        <w:t>tudes</w:t>
      </w:r>
      <w:r w:rsidRPr="0004576F">
        <w:t>, octobre-novembre-décembre 2001, n° 8.</w:t>
      </w:r>
    </w:p>
  </w:footnote>
  <w:footnote w:id="1203">
    <w:p w14:paraId="4272E48E" w14:textId="77777777" w:rsidR="00B01930" w:rsidRDefault="00B01930">
      <w:pPr>
        <w:pStyle w:val="Notedebasdepage"/>
      </w:pPr>
      <w:r>
        <w:rPr>
          <w:rStyle w:val="Appelnotedebasdep"/>
        </w:rPr>
        <w:footnoteRef/>
      </w:r>
      <w:r>
        <w:t xml:space="preserve"> </w:t>
      </w:r>
      <w:r>
        <w:tab/>
      </w:r>
      <w:r w:rsidRPr="005D36E0">
        <w:t>Parmi les « réhabilités » figurait M</w:t>
      </w:r>
      <w:r w:rsidRPr="005D36E0">
        <w:rPr>
          <w:vertAlign w:val="superscript"/>
        </w:rPr>
        <w:t>gr</w:t>
      </w:r>
      <w:r w:rsidRPr="005D36E0">
        <w:t xml:space="preserve"> Williamson, dont les déclarations rév</w:t>
      </w:r>
      <w:r w:rsidRPr="005D36E0">
        <w:t>i</w:t>
      </w:r>
      <w:r w:rsidRPr="005D36E0">
        <w:t>sionnistes au sujet de la Shoa étaient particulièrement scandaleuses.</w:t>
      </w:r>
    </w:p>
  </w:footnote>
  <w:footnote w:id="1204">
    <w:p w14:paraId="4CB6FC3E" w14:textId="77777777" w:rsidR="00B01930" w:rsidRDefault="00B01930">
      <w:pPr>
        <w:pStyle w:val="Notedebasdepage"/>
      </w:pPr>
      <w:r>
        <w:rPr>
          <w:rStyle w:val="Appelnotedebasdep"/>
        </w:rPr>
        <w:footnoteRef/>
      </w:r>
      <w:r>
        <w:t xml:space="preserve"> </w:t>
      </w:r>
      <w:r>
        <w:tab/>
      </w:r>
      <w:r w:rsidRPr="0004576F">
        <w:t>Ce qui n’est plus le cas des sciences physiques qui admettent que le « big-bang » laisse intacte l’hypothèse d’un Créateur. Claude Tresmontant est enc</w:t>
      </w:r>
      <w:r w:rsidRPr="0004576F">
        <w:t>o</w:t>
      </w:r>
      <w:r w:rsidRPr="0004576F">
        <w:t>re plus décisif quand il o</w:t>
      </w:r>
      <w:r w:rsidRPr="0004576F">
        <w:t>b</w:t>
      </w:r>
      <w:r w:rsidRPr="0004576F">
        <w:t xml:space="preserve">serve que « le néant ne peut pas produire du néant » : cf. Claude Tresmontant, </w:t>
      </w:r>
      <w:r w:rsidRPr="0004576F">
        <w:rPr>
          <w:i/>
        </w:rPr>
        <w:t>Comment se pose aujourd’hui le problème de l’existence de Dieu ?</w:t>
      </w:r>
      <w:r w:rsidRPr="0004576F">
        <w:t>, Paris, Le Seuil, 1965, Paris, r</w:t>
      </w:r>
      <w:r w:rsidRPr="0004576F">
        <w:t>é</w:t>
      </w:r>
      <w:r w:rsidRPr="0004576F">
        <w:t>édition, 2012.</w:t>
      </w:r>
    </w:p>
  </w:footnote>
  <w:footnote w:id="1205">
    <w:p w14:paraId="22F7BC81" w14:textId="77777777" w:rsidR="00B01930" w:rsidRDefault="00B01930">
      <w:pPr>
        <w:pStyle w:val="Notedebasdepage"/>
      </w:pPr>
      <w:r>
        <w:rPr>
          <w:rStyle w:val="Appelnotedebasdep"/>
        </w:rPr>
        <w:footnoteRef/>
      </w:r>
      <w:r>
        <w:t xml:space="preserve"> </w:t>
      </w:r>
      <w:r>
        <w:tab/>
      </w:r>
      <w:r w:rsidRPr="0004576F">
        <w:t>Le pantalon étant déconseillé pour les jeunes filles. Cf. site</w:t>
      </w:r>
      <w:r>
        <w:t xml:space="preserve"> </w:t>
      </w:r>
      <w:hyperlink r:id="rId53" w:history="1">
        <w:r w:rsidRPr="00CD7127">
          <w:rPr>
            <w:rStyle w:val="Hyperlien"/>
            <w:i/>
          </w:rPr>
          <w:t>La Porte Latine</w:t>
        </w:r>
      </w:hyperlink>
      <w:r>
        <w:t>.</w:t>
      </w:r>
    </w:p>
  </w:footnote>
  <w:footnote w:id="1206">
    <w:p w14:paraId="15075C82" w14:textId="77777777" w:rsidR="00B01930" w:rsidRDefault="00B01930">
      <w:pPr>
        <w:pStyle w:val="Notedebasdepage"/>
      </w:pPr>
      <w:r>
        <w:rPr>
          <w:rStyle w:val="Appelnotedebasdep"/>
        </w:rPr>
        <w:footnoteRef/>
      </w:r>
      <w:r>
        <w:t xml:space="preserve"> </w:t>
      </w:r>
      <w:r>
        <w:tab/>
      </w:r>
      <w:r w:rsidRPr="0004576F">
        <w:rPr>
          <w:rFonts w:cs="Byington"/>
          <w:color w:val="000000"/>
        </w:rPr>
        <w:t xml:space="preserve">Étienne Borne, </w:t>
      </w:r>
      <w:r w:rsidRPr="0004576F">
        <w:rPr>
          <w:rFonts w:cs="Byington"/>
          <w:i/>
          <w:color w:val="000000"/>
        </w:rPr>
        <w:t>Forces religieuses et attitudes politiques dans la France contemporaine</w:t>
      </w:r>
      <w:r w:rsidRPr="0004576F">
        <w:rPr>
          <w:rFonts w:cs="Byington"/>
          <w:color w:val="000000"/>
        </w:rPr>
        <w:t xml:space="preserve">, </w:t>
      </w:r>
      <w:r w:rsidRPr="0004576F">
        <w:rPr>
          <w:rFonts w:cs="Byington"/>
          <w:i/>
          <w:color w:val="000000"/>
        </w:rPr>
        <w:t>s</w:t>
      </w:r>
      <w:r w:rsidRPr="0004576F">
        <w:rPr>
          <w:rFonts w:cs="Byington"/>
          <w:color w:val="000000"/>
        </w:rPr>
        <w:t xml:space="preserve">ous la direction  de René Rémond, Paris, </w:t>
      </w:r>
      <w:r w:rsidRPr="0004576F">
        <w:rPr>
          <w:rFonts w:cs="Byington"/>
          <w:i/>
          <w:color w:val="000000"/>
        </w:rPr>
        <w:t>Cahiers de la Fo</w:t>
      </w:r>
      <w:r w:rsidRPr="0004576F">
        <w:rPr>
          <w:rFonts w:cs="Byington"/>
          <w:i/>
          <w:color w:val="000000"/>
        </w:rPr>
        <w:t>n</w:t>
      </w:r>
      <w:r w:rsidRPr="0004576F">
        <w:rPr>
          <w:rFonts w:cs="Byington"/>
          <w:i/>
          <w:color w:val="000000"/>
        </w:rPr>
        <w:t>dation n</w:t>
      </w:r>
      <w:r w:rsidRPr="0004576F">
        <w:rPr>
          <w:rFonts w:cs="Byington"/>
          <w:i/>
          <w:color w:val="000000"/>
        </w:rPr>
        <w:t>a</w:t>
      </w:r>
      <w:r w:rsidRPr="0004576F">
        <w:rPr>
          <w:rFonts w:cs="Byington"/>
          <w:i/>
          <w:color w:val="000000"/>
        </w:rPr>
        <w:t>tionale des Sciences politiques</w:t>
      </w:r>
      <w:r w:rsidRPr="0004576F">
        <w:rPr>
          <w:rFonts w:cs="Byington"/>
          <w:color w:val="000000"/>
        </w:rPr>
        <w:t>, 1964.</w:t>
      </w:r>
    </w:p>
  </w:footnote>
  <w:footnote w:id="1207">
    <w:p w14:paraId="5674B12E" w14:textId="77777777" w:rsidR="00B01930" w:rsidRDefault="00B01930">
      <w:pPr>
        <w:pStyle w:val="Notedebasdepage"/>
      </w:pPr>
      <w:r>
        <w:rPr>
          <w:rStyle w:val="Appelnotedebasdep"/>
        </w:rPr>
        <w:footnoteRef/>
      </w:r>
      <w:r>
        <w:t xml:space="preserve"> </w:t>
      </w:r>
      <w:r>
        <w:tab/>
      </w:r>
      <w:r w:rsidRPr="0004576F">
        <w:t xml:space="preserve">Cité par Dominique Iogna-Prat, </w:t>
      </w:r>
      <w:r w:rsidRPr="0004576F">
        <w:rPr>
          <w:i/>
          <w:iCs/>
        </w:rPr>
        <w:t>La Maison-Dieu. Une histoire monumentale de l'Église au Moyen-Age</w:t>
      </w:r>
      <w:r w:rsidRPr="0004576F">
        <w:t>,</w:t>
      </w:r>
      <w:r w:rsidRPr="0004576F">
        <w:rPr>
          <w:i/>
          <w:iCs/>
        </w:rPr>
        <w:t xml:space="preserve"> </w:t>
      </w:r>
      <w:r w:rsidRPr="0004576F">
        <w:t>d'après A. Paravicini Bagliani</w:t>
      </w:r>
      <w:r w:rsidRPr="0004576F">
        <w:rPr>
          <w:i/>
        </w:rPr>
        <w:t xml:space="preserve">, </w:t>
      </w:r>
      <w:r w:rsidRPr="0004576F">
        <w:rPr>
          <w:i/>
          <w:iCs/>
        </w:rPr>
        <w:t>La Suprématie po</w:t>
      </w:r>
      <w:r w:rsidRPr="0004576F">
        <w:rPr>
          <w:i/>
          <w:iCs/>
        </w:rPr>
        <w:t>n</w:t>
      </w:r>
      <w:r w:rsidRPr="0004576F">
        <w:rPr>
          <w:i/>
          <w:iCs/>
        </w:rPr>
        <w:t xml:space="preserve">tificale, Paris, Le Seuil, </w:t>
      </w:r>
      <w:r w:rsidRPr="0004576F">
        <w:t>p. 578-580, 2006.</w:t>
      </w:r>
    </w:p>
  </w:footnote>
  <w:footnote w:id="1208">
    <w:p w14:paraId="55BE1644" w14:textId="77777777" w:rsidR="00B01930" w:rsidRDefault="00B01930">
      <w:pPr>
        <w:pStyle w:val="Notedebasdepage"/>
      </w:pPr>
      <w:r>
        <w:rPr>
          <w:rStyle w:val="Appelnotedebasdep"/>
        </w:rPr>
        <w:footnoteRef/>
      </w:r>
      <w:r>
        <w:t xml:space="preserve"> </w:t>
      </w:r>
      <w:r>
        <w:tab/>
      </w:r>
      <w:r w:rsidRPr="0004576F">
        <w:t xml:space="preserve">Jerôme Baschet, </w:t>
      </w:r>
      <w:r w:rsidRPr="0004576F">
        <w:rPr>
          <w:i/>
          <w:iCs/>
        </w:rPr>
        <w:t>La Civilisation féodale. De l'an mil à la colonisation de l'Amérique</w:t>
      </w:r>
      <w:r w:rsidRPr="0004576F">
        <w:t>, P</w:t>
      </w:r>
      <w:r w:rsidRPr="0004576F">
        <w:t>a</w:t>
      </w:r>
      <w:r w:rsidRPr="0004576F">
        <w:t>ris, Aubier. « Collection historique », 2004, p. 194</w:t>
      </w:r>
    </w:p>
  </w:footnote>
  <w:footnote w:id="1209">
    <w:p w14:paraId="7868FF66" w14:textId="77777777" w:rsidR="00B01930" w:rsidRDefault="00B01930">
      <w:pPr>
        <w:pStyle w:val="Notedebasdepage"/>
      </w:pPr>
      <w:r>
        <w:rPr>
          <w:rStyle w:val="Appelnotedebasdep"/>
        </w:rPr>
        <w:footnoteRef/>
      </w:r>
      <w:r>
        <w:t xml:space="preserve"> </w:t>
      </w:r>
      <w:r>
        <w:tab/>
      </w:r>
      <w:r w:rsidRPr="0004576F">
        <w:t>Jerôme Baschet, Dominique Iogna-Prat, Alain Boureau, Sylvain Piron mais aussi l'école m</w:t>
      </w:r>
      <w:r w:rsidRPr="0004576F">
        <w:t>e</w:t>
      </w:r>
      <w:r w:rsidRPr="0004576F">
        <w:t>diéviste anglo-saxonne, avec Brian Stock, Peter Brown.</w:t>
      </w:r>
    </w:p>
  </w:footnote>
  <w:footnote w:id="1210">
    <w:p w14:paraId="6F1ADDF1" w14:textId="77777777" w:rsidR="00B01930" w:rsidRDefault="00B01930">
      <w:pPr>
        <w:pStyle w:val="Notedebasdepage"/>
      </w:pPr>
      <w:r>
        <w:rPr>
          <w:rStyle w:val="Appelnotedebasdep"/>
        </w:rPr>
        <w:footnoteRef/>
      </w:r>
      <w:r>
        <w:t xml:space="preserve"> </w:t>
      </w:r>
      <w:r>
        <w:tab/>
      </w:r>
      <w:r w:rsidRPr="0004576F">
        <w:t>Tels que le mariage, réhabilité et sacralisé par l'Église entre le XI</w:t>
      </w:r>
      <w:r w:rsidRPr="0004576F">
        <w:rPr>
          <w:vertAlign w:val="superscript"/>
        </w:rPr>
        <w:t>e</w:t>
      </w:r>
      <w:r w:rsidRPr="0004576F">
        <w:t xml:space="preserve"> et le XII</w:t>
      </w:r>
      <w:r w:rsidRPr="0004576F">
        <w:rPr>
          <w:vertAlign w:val="superscript"/>
        </w:rPr>
        <w:t>e</w:t>
      </w:r>
      <w:r w:rsidRPr="0004576F">
        <w:t xml:space="preserve"> siècle, en partic</w:t>
      </w:r>
      <w:r w:rsidRPr="0004576F">
        <w:t>u</w:t>
      </w:r>
      <w:r w:rsidRPr="0004576F">
        <w:t>lier par saint Thomas d'Aquin.</w:t>
      </w:r>
    </w:p>
  </w:footnote>
  <w:footnote w:id="1211">
    <w:p w14:paraId="74C16A59" w14:textId="77777777" w:rsidR="00B01930" w:rsidRDefault="00B01930">
      <w:pPr>
        <w:pStyle w:val="Notedebasdepage"/>
      </w:pPr>
      <w:r>
        <w:rPr>
          <w:rStyle w:val="Appelnotedebasdep"/>
        </w:rPr>
        <w:footnoteRef/>
      </w:r>
      <w:r>
        <w:t xml:space="preserve"> </w:t>
      </w:r>
      <w:r>
        <w:tab/>
      </w:r>
      <w:r w:rsidRPr="0004576F">
        <w:t xml:space="preserve">Alain Boureau, </w:t>
      </w:r>
      <w:r w:rsidRPr="0004576F">
        <w:rPr>
          <w:i/>
          <w:iCs/>
        </w:rPr>
        <w:t>La Religion de l'État. La construction de la République état</w:t>
      </w:r>
      <w:r w:rsidRPr="0004576F">
        <w:rPr>
          <w:i/>
          <w:iCs/>
        </w:rPr>
        <w:t>i</w:t>
      </w:r>
      <w:r w:rsidRPr="0004576F">
        <w:rPr>
          <w:i/>
          <w:iCs/>
        </w:rPr>
        <w:t>que dans le discours théologique de l'Occident médiéval (1250-1350)</w:t>
      </w:r>
      <w:r w:rsidRPr="0004576F">
        <w:t>, Paris, Les Be</w:t>
      </w:r>
      <w:r w:rsidRPr="0004576F">
        <w:t>l</w:t>
      </w:r>
      <w:r w:rsidRPr="0004576F">
        <w:t>les Lettres.</w:t>
      </w:r>
    </w:p>
  </w:footnote>
  <w:footnote w:id="1212">
    <w:p w14:paraId="3B19C5A7" w14:textId="77777777" w:rsidR="00B01930" w:rsidRDefault="00B01930">
      <w:pPr>
        <w:pStyle w:val="Notedebasdepage"/>
      </w:pPr>
      <w:r>
        <w:rPr>
          <w:rStyle w:val="Appelnotedebasdep"/>
        </w:rPr>
        <w:footnoteRef/>
      </w:r>
      <w:r>
        <w:t xml:space="preserve"> </w:t>
      </w:r>
      <w:r>
        <w:tab/>
      </w:r>
      <w:r w:rsidRPr="0004576F">
        <w:t>Jean Quidor,</w:t>
      </w:r>
      <w:r w:rsidRPr="0004576F">
        <w:rPr>
          <w:i/>
          <w:iCs/>
        </w:rPr>
        <w:t xml:space="preserve"> De regia potestate et papali (Le pouvoir ecclésiatique et papal), </w:t>
      </w:r>
      <w:r w:rsidRPr="0004576F">
        <w:t>1302-1303.</w:t>
      </w:r>
    </w:p>
  </w:footnote>
  <w:footnote w:id="1213">
    <w:p w14:paraId="66C0721B" w14:textId="77777777" w:rsidR="00B01930" w:rsidRDefault="00B01930">
      <w:pPr>
        <w:pStyle w:val="Notedebasdepage"/>
      </w:pPr>
      <w:r>
        <w:rPr>
          <w:rStyle w:val="Appelnotedebasdep"/>
        </w:rPr>
        <w:footnoteRef/>
      </w:r>
      <w:r>
        <w:t xml:space="preserve"> </w:t>
      </w:r>
      <w:r>
        <w:tab/>
      </w:r>
      <w:r w:rsidRPr="0004576F">
        <w:t xml:space="preserve">La </w:t>
      </w:r>
      <w:r w:rsidRPr="0004576F">
        <w:rPr>
          <w:szCs w:val="28"/>
        </w:rPr>
        <w:t>« </w:t>
      </w:r>
      <w:r w:rsidRPr="0004576F">
        <w:t>pluralité parachevée</w:t>
      </w:r>
      <w:r w:rsidRPr="0004576F">
        <w:rPr>
          <w:rFonts w:eastAsia="Calibri"/>
          <w:szCs w:val="28"/>
        </w:rPr>
        <w:t> »</w:t>
      </w:r>
      <w:r w:rsidRPr="0004576F">
        <w:t xml:space="preserve"> est voisine de la </w:t>
      </w:r>
      <w:r w:rsidRPr="0004576F">
        <w:rPr>
          <w:szCs w:val="28"/>
        </w:rPr>
        <w:t>« </w:t>
      </w:r>
      <w:r w:rsidRPr="0004576F">
        <w:t>multitude</w:t>
      </w:r>
      <w:r w:rsidRPr="0004576F">
        <w:rPr>
          <w:rFonts w:eastAsia="Calibri"/>
          <w:szCs w:val="28"/>
        </w:rPr>
        <w:t> »</w:t>
      </w:r>
      <w:r w:rsidRPr="0004576F">
        <w:t>, aujourd'hui entre les mains du po</w:t>
      </w:r>
      <w:r w:rsidRPr="0004576F">
        <w:t>u</w:t>
      </w:r>
      <w:r w:rsidRPr="0004576F">
        <w:t>voir numérique.</w:t>
      </w:r>
    </w:p>
  </w:footnote>
  <w:footnote w:id="1214">
    <w:p w14:paraId="7FE658DC" w14:textId="77777777" w:rsidR="00B01930" w:rsidRDefault="00B01930">
      <w:pPr>
        <w:pStyle w:val="Notedebasdepage"/>
      </w:pPr>
      <w:r>
        <w:rPr>
          <w:rStyle w:val="Appelnotedebasdep"/>
        </w:rPr>
        <w:footnoteRef/>
      </w:r>
      <w:r>
        <w:t xml:space="preserve"> </w:t>
      </w:r>
      <w:r>
        <w:tab/>
      </w:r>
      <w:r w:rsidRPr="00CD7127">
        <w:t>Alain Bou</w:t>
      </w:r>
      <w:r>
        <w:t xml:space="preserve">reau, </w:t>
      </w:r>
      <w:r w:rsidRPr="00CD7127">
        <w:rPr>
          <w:i/>
        </w:rPr>
        <w:t>La Religion de l'État, op. cit</w:t>
      </w:r>
      <w:r w:rsidRPr="00CD7127">
        <w:t>., p. 134.</w:t>
      </w:r>
    </w:p>
  </w:footnote>
  <w:footnote w:id="1215">
    <w:p w14:paraId="42EBF512" w14:textId="77777777" w:rsidR="00B01930" w:rsidRDefault="00B01930">
      <w:pPr>
        <w:pStyle w:val="Notedebasdepage"/>
      </w:pPr>
      <w:r>
        <w:rPr>
          <w:rStyle w:val="Appelnotedebasdep"/>
        </w:rPr>
        <w:footnoteRef/>
      </w:r>
      <w:r>
        <w:t xml:space="preserve"> </w:t>
      </w:r>
      <w:r>
        <w:tab/>
      </w:r>
      <w:r w:rsidRPr="0004576F">
        <w:t xml:space="preserve">Par le </w:t>
      </w:r>
      <w:r w:rsidRPr="0004576F">
        <w:rPr>
          <w:i/>
        </w:rPr>
        <w:t>motu proprio</w:t>
      </w:r>
      <w:r w:rsidRPr="0004576F">
        <w:t xml:space="preserve"> </w:t>
      </w:r>
      <w:r w:rsidRPr="0004576F">
        <w:rPr>
          <w:i/>
        </w:rPr>
        <w:t xml:space="preserve">Summorum pontificum </w:t>
      </w:r>
      <w:r w:rsidRPr="0004576F">
        <w:t>de janvier 2007.</w:t>
      </w:r>
    </w:p>
  </w:footnote>
  <w:footnote w:id="1216">
    <w:p w14:paraId="712584D5" w14:textId="77777777" w:rsidR="00B01930" w:rsidRDefault="00B01930">
      <w:pPr>
        <w:pStyle w:val="Notedebasdepage"/>
      </w:pPr>
      <w:r>
        <w:rPr>
          <w:rStyle w:val="Appelnotedebasdep"/>
        </w:rPr>
        <w:footnoteRef/>
      </w:r>
      <w:r>
        <w:t xml:space="preserve"> </w:t>
      </w:r>
      <w:r>
        <w:tab/>
      </w:r>
      <w:r w:rsidRPr="0004576F">
        <w:t>Il est vrai que son fondateur, l’Abbé Laguérie, s’est fait connaître dans les a</w:t>
      </w:r>
      <w:r w:rsidRPr="0004576F">
        <w:t>n</w:t>
      </w:r>
      <w:r w:rsidRPr="0004576F">
        <w:t>nées quatre-vingts par son occupation active de l’église saint Nicolas du Cha</w:t>
      </w:r>
      <w:r w:rsidRPr="0004576F">
        <w:t>r</w:t>
      </w:r>
      <w:r w:rsidRPr="0004576F">
        <w:t>donnet à Paris.</w:t>
      </w:r>
    </w:p>
  </w:footnote>
  <w:footnote w:id="1217">
    <w:p w14:paraId="4765E2A7" w14:textId="77777777" w:rsidR="00B01930" w:rsidRDefault="00B01930">
      <w:pPr>
        <w:pStyle w:val="Notedebasdepage"/>
      </w:pPr>
      <w:r>
        <w:rPr>
          <w:rStyle w:val="Appelnotedebasdep"/>
        </w:rPr>
        <w:footnoteRef/>
      </w:r>
      <w:r>
        <w:t xml:space="preserve"> </w:t>
      </w:r>
      <w:r>
        <w:tab/>
      </w:r>
      <w:r w:rsidRPr="0004576F">
        <w:t xml:space="preserve">Encyclique </w:t>
      </w:r>
      <w:r w:rsidRPr="0004576F">
        <w:rPr>
          <w:i/>
        </w:rPr>
        <w:t xml:space="preserve">Ut unum sint </w:t>
      </w:r>
      <w:r w:rsidRPr="0004576F">
        <w:t>du 25 mai 1995.</w:t>
      </w:r>
    </w:p>
  </w:footnote>
  <w:footnote w:id="1218">
    <w:p w14:paraId="2AB50380" w14:textId="77777777" w:rsidR="00B01930" w:rsidRDefault="00B01930">
      <w:pPr>
        <w:pStyle w:val="Notedebasdepage"/>
      </w:pPr>
      <w:r>
        <w:rPr>
          <w:rStyle w:val="Appelnotedebasdep"/>
        </w:rPr>
        <w:footnoteRef/>
      </w:r>
      <w:r>
        <w:t xml:space="preserve"> </w:t>
      </w:r>
      <w:r>
        <w:tab/>
      </w:r>
      <w:r w:rsidRPr="00CD7127">
        <w:t>Le terme est précis</w:t>
      </w:r>
      <w:r>
        <w:t> </w:t>
      </w:r>
      <w:r w:rsidRPr="00CD7127">
        <w:t>: «</w:t>
      </w:r>
      <w:r>
        <w:t> </w:t>
      </w:r>
      <w:r w:rsidRPr="00CD7127">
        <w:t>Doit respirer » et non</w:t>
      </w:r>
      <w:r>
        <w:t> </w:t>
      </w:r>
      <w:r w:rsidRPr="00CD7127">
        <w:t>: «</w:t>
      </w:r>
      <w:r>
        <w:t> </w:t>
      </w:r>
      <w:r w:rsidRPr="00CD7127">
        <w:t>respire</w:t>
      </w:r>
      <w:r>
        <w:t> </w:t>
      </w:r>
      <w:r w:rsidRPr="00CD7127">
        <w:t>».</w:t>
      </w:r>
    </w:p>
  </w:footnote>
  <w:footnote w:id="1219">
    <w:p w14:paraId="7D540F60" w14:textId="77777777" w:rsidR="00B01930" w:rsidRDefault="00B01930">
      <w:pPr>
        <w:pStyle w:val="Notedebasdepage"/>
      </w:pPr>
      <w:r>
        <w:rPr>
          <w:rStyle w:val="Appelnotedebasdep"/>
        </w:rPr>
        <w:footnoteRef/>
      </w:r>
      <w:r>
        <w:t xml:space="preserve"> </w:t>
      </w:r>
      <w:r>
        <w:tab/>
      </w:r>
      <w:r w:rsidRPr="00CD7127">
        <w:t xml:space="preserve">Jerôme Baschet, </w:t>
      </w:r>
      <w:r w:rsidRPr="004B78CF">
        <w:rPr>
          <w:i/>
          <w:iCs/>
        </w:rPr>
        <w:t>La Civilisation féodale</w:t>
      </w:r>
      <w:r w:rsidRPr="00CD7127">
        <w:rPr>
          <w:iCs/>
        </w:rPr>
        <w:t>. De l'an mil à la colonisation de l'Am</w:t>
      </w:r>
      <w:r w:rsidRPr="00CD7127">
        <w:rPr>
          <w:iCs/>
        </w:rPr>
        <w:t>é</w:t>
      </w:r>
      <w:r w:rsidRPr="00CD7127">
        <w:rPr>
          <w:iCs/>
        </w:rPr>
        <w:t>rique,</w:t>
      </w:r>
      <w:r w:rsidRPr="00CD7127">
        <w:t xml:space="preserve"> op. cit, p. 457</w:t>
      </w:r>
      <w:r>
        <w:t>.</w:t>
      </w:r>
    </w:p>
  </w:footnote>
  <w:footnote w:id="1220">
    <w:p w14:paraId="1CDED9D4" w14:textId="77777777" w:rsidR="00B01930" w:rsidRDefault="00B01930">
      <w:pPr>
        <w:pStyle w:val="Notedebasdepage"/>
      </w:pPr>
      <w:r>
        <w:rPr>
          <w:rStyle w:val="Appelnotedebasdep"/>
        </w:rPr>
        <w:footnoteRef/>
      </w:r>
      <w:r>
        <w:t xml:space="preserve"> </w:t>
      </w:r>
      <w:r>
        <w:tab/>
      </w:r>
      <w:r w:rsidRPr="004B78CF">
        <w:t>C'est ainsi que la délibération démocratique est directement issue de la prat</w:t>
      </w:r>
      <w:r w:rsidRPr="004B78CF">
        <w:t>i</w:t>
      </w:r>
      <w:r w:rsidRPr="004B78CF">
        <w:t>que des : « chapitres » mise en œuvre dès le XIII</w:t>
      </w:r>
      <w:r w:rsidRPr="004B78CF">
        <w:rPr>
          <w:vertAlign w:val="superscript"/>
        </w:rPr>
        <w:t>e</w:t>
      </w:r>
      <w:r w:rsidRPr="004B78CF">
        <w:t xml:space="preserve"> siècle par l'Ordre des D</w:t>
      </w:r>
      <w:r w:rsidRPr="004B78CF">
        <w:t>o</w:t>
      </w:r>
      <w:r w:rsidRPr="004B78CF">
        <w:t>minicains. Il en est de même de la méthode : « inquisitoriale », toujours en v</w:t>
      </w:r>
      <w:r w:rsidRPr="004B78CF">
        <w:t>i</w:t>
      </w:r>
      <w:r w:rsidRPr="004B78CF">
        <w:t>gueur dans notre droit pénal et d</w:t>
      </w:r>
      <w:r w:rsidRPr="004B78CF">
        <w:t>é</w:t>
      </w:r>
      <w:r w:rsidRPr="004B78CF">
        <w:t>rivée de  celle employée par le Tribunal de l'Inquisition, tant décrié aujourd'hui.</w:t>
      </w:r>
    </w:p>
  </w:footnote>
  <w:footnote w:id="1221">
    <w:p w14:paraId="2C57488C" w14:textId="77777777" w:rsidR="00B01930" w:rsidRDefault="00B01930">
      <w:pPr>
        <w:pStyle w:val="Notedebasdepage"/>
      </w:pPr>
      <w:r>
        <w:rPr>
          <w:rStyle w:val="Appelnotedebasdep"/>
        </w:rPr>
        <w:footnoteRef/>
      </w:r>
      <w:r>
        <w:t xml:space="preserve"> </w:t>
      </w:r>
      <w:r>
        <w:tab/>
      </w:r>
      <w:r w:rsidRPr="0090043B">
        <w:t xml:space="preserve">Dominique Iogna-Prat, </w:t>
      </w:r>
      <w:r w:rsidRPr="0090043B">
        <w:rPr>
          <w:i/>
          <w:iCs/>
        </w:rPr>
        <w:t>La Maison Dieu</w:t>
      </w:r>
      <w:r w:rsidRPr="0090043B">
        <w:rPr>
          <w:iCs/>
        </w:rPr>
        <w:t xml:space="preserve">, </w:t>
      </w:r>
      <w:r w:rsidRPr="0090043B">
        <w:t>op. cit., p. 393.</w:t>
      </w:r>
    </w:p>
  </w:footnote>
  <w:footnote w:id="1222">
    <w:p w14:paraId="2B86F4FB" w14:textId="77777777" w:rsidR="00B01930" w:rsidRDefault="00B01930">
      <w:pPr>
        <w:pStyle w:val="Notedebasdepage"/>
      </w:pPr>
      <w:r>
        <w:rPr>
          <w:rStyle w:val="Appelnotedebasdep"/>
        </w:rPr>
        <w:footnoteRef/>
      </w:r>
      <w:r>
        <w:t xml:space="preserve"> </w:t>
      </w:r>
      <w:r>
        <w:tab/>
      </w:r>
      <w:r w:rsidRPr="0004576F">
        <w:t xml:space="preserve">Cf. </w:t>
      </w:r>
      <w:r w:rsidRPr="0004576F">
        <w:rPr>
          <w:i/>
        </w:rPr>
        <w:t>Les Grilles de la pensée politique</w:t>
      </w:r>
      <w:r w:rsidRPr="0004576F">
        <w:t>, édité 2012, non diffusé, voir nos contr</w:t>
      </w:r>
      <w:r w:rsidRPr="0004576F">
        <w:t>i</w:t>
      </w:r>
      <w:r w:rsidRPr="0004576F">
        <w:t>butions « </w:t>
      </w:r>
      <w:r w:rsidRPr="0004576F">
        <w:rPr>
          <w:i/>
        </w:rPr>
        <w:t>Introduction critique à la pensée martrienne des idées politiques </w:t>
      </w:r>
      <w:r w:rsidRPr="0004576F">
        <w:t>», ainsi que « </w:t>
      </w:r>
      <w:r w:rsidRPr="0004576F">
        <w:rPr>
          <w:i/>
        </w:rPr>
        <w:t>Le ma</w:t>
      </w:r>
      <w:r w:rsidRPr="0004576F">
        <w:rPr>
          <w:i/>
        </w:rPr>
        <w:t>î</w:t>
      </w:r>
      <w:r w:rsidRPr="0004576F">
        <w:rPr>
          <w:i/>
        </w:rPr>
        <w:t>tre caché </w:t>
      </w:r>
      <w:r w:rsidRPr="0004576F">
        <w:t>».</w:t>
      </w:r>
    </w:p>
  </w:footnote>
  <w:footnote w:id="1223">
    <w:p w14:paraId="73711E04" w14:textId="77777777" w:rsidR="00B01930" w:rsidRDefault="00B01930">
      <w:pPr>
        <w:pStyle w:val="Notedebasdepage"/>
      </w:pPr>
      <w:r>
        <w:rPr>
          <w:rStyle w:val="Appelnotedebasdep"/>
        </w:rPr>
        <w:footnoteRef/>
      </w:r>
      <w:r>
        <w:t xml:space="preserve"> </w:t>
      </w:r>
      <w:r>
        <w:tab/>
      </w:r>
      <w:r w:rsidRPr="0004576F">
        <w:t xml:space="preserve">Voir note 1, </w:t>
      </w:r>
      <w:r w:rsidRPr="0004576F">
        <w:rPr>
          <w:i/>
        </w:rPr>
        <w:t>supra.</w:t>
      </w:r>
    </w:p>
  </w:footnote>
  <w:footnote w:id="1224">
    <w:p w14:paraId="559981AD" w14:textId="77777777" w:rsidR="00B01930" w:rsidRDefault="00B01930">
      <w:pPr>
        <w:pStyle w:val="Notedebasdepage"/>
      </w:pPr>
      <w:r>
        <w:rPr>
          <w:rStyle w:val="Appelnotedebasdep"/>
        </w:rPr>
        <w:footnoteRef/>
      </w:r>
      <w:r>
        <w:t xml:space="preserve"> </w:t>
      </w:r>
      <w:r>
        <w:tab/>
      </w:r>
      <w:r w:rsidRPr="0004576F">
        <w:t xml:space="preserve">Une phrase de Nietzsche en second mais également dans le sens de l’espérance. Jean Louis Martres propose dans son </w:t>
      </w:r>
      <w:r w:rsidRPr="0004576F">
        <w:rPr>
          <w:i/>
        </w:rPr>
        <w:t>opus magnum</w:t>
      </w:r>
      <w:r w:rsidRPr="0004576F">
        <w:t xml:space="preserve"> (voir note 1) une interprétation très riche qui explique pourquoi, selon lui, Nietzche s</w:t>
      </w:r>
      <w:r w:rsidRPr="0004576F">
        <w:t>e</w:t>
      </w:r>
      <w:r w:rsidRPr="0004576F">
        <w:t>rait, malgré tout, une figure du code n° 2 (« relativiste »).</w:t>
      </w:r>
    </w:p>
  </w:footnote>
  <w:footnote w:id="1225">
    <w:p w14:paraId="7D10BE5C" w14:textId="77777777" w:rsidR="00B01930" w:rsidRDefault="00B01930">
      <w:pPr>
        <w:pStyle w:val="Notedebasdepage"/>
      </w:pPr>
      <w:r>
        <w:rPr>
          <w:rStyle w:val="Appelnotedebasdep"/>
        </w:rPr>
        <w:footnoteRef/>
      </w:r>
      <w:r>
        <w:t xml:space="preserve"> </w:t>
      </w:r>
      <w:r>
        <w:tab/>
      </w:r>
      <w:r w:rsidRPr="0004576F">
        <w:t>Citation du « </w:t>
      </w:r>
      <w:r w:rsidRPr="0004576F">
        <w:rPr>
          <w:i/>
        </w:rPr>
        <w:t>cours d’analyse des idées politiques </w:t>
      </w:r>
      <w:r w:rsidRPr="0004576F">
        <w:t>», 1972-1975, mis en fo</w:t>
      </w:r>
      <w:r w:rsidRPr="0004576F">
        <w:t>r</w:t>
      </w:r>
      <w:r w:rsidRPr="0004576F">
        <w:t>me par l’auteur de ces lignes, à partir de l’intégralité des notes et documents de Jean Louis Martres, remis par celui-ci  en 1975, auxquels furent intégrées n</w:t>
      </w:r>
      <w:r w:rsidRPr="0004576F">
        <w:t>o</w:t>
      </w:r>
      <w:r w:rsidRPr="0004576F">
        <w:t>tre documentation et nos notes, le tout fût dactylographié et remis à Jean-Louis Martres, en 1976.</w:t>
      </w:r>
    </w:p>
  </w:footnote>
  <w:footnote w:id="1226">
    <w:p w14:paraId="0663BA93" w14:textId="77777777" w:rsidR="00B01930" w:rsidRDefault="00B01930">
      <w:pPr>
        <w:pStyle w:val="Notedebasdepage"/>
      </w:pPr>
      <w:r>
        <w:rPr>
          <w:rStyle w:val="Appelnotedebasdep"/>
        </w:rPr>
        <w:footnoteRef/>
      </w:r>
      <w:r>
        <w:t xml:space="preserve"> </w:t>
      </w:r>
      <w:r>
        <w:tab/>
      </w:r>
      <w:r w:rsidRPr="0004576F">
        <w:t>N’est ce point là, dit autrement,   le concept martrien  du code n°1 ?</w:t>
      </w:r>
    </w:p>
  </w:footnote>
  <w:footnote w:id="1227">
    <w:p w14:paraId="3AF9434A" w14:textId="77777777" w:rsidR="00B01930" w:rsidRDefault="00B01930">
      <w:pPr>
        <w:pStyle w:val="Notedebasdepage"/>
      </w:pPr>
      <w:r>
        <w:rPr>
          <w:rStyle w:val="Appelnotedebasdep"/>
        </w:rPr>
        <w:footnoteRef/>
      </w:r>
      <w:r>
        <w:t xml:space="preserve"> </w:t>
      </w:r>
      <w:r>
        <w:tab/>
      </w:r>
      <w:r w:rsidRPr="0004576F">
        <w:t>Notons que l’Islam est résumé de façon très cursive par rapport au christi</w:t>
      </w:r>
      <w:r w:rsidRPr="0004576F">
        <w:t>a</w:t>
      </w:r>
      <w:r w:rsidRPr="0004576F">
        <w:t>nisme.</w:t>
      </w:r>
    </w:p>
  </w:footnote>
  <w:footnote w:id="1228">
    <w:p w14:paraId="079735F8" w14:textId="77777777" w:rsidR="00B01930" w:rsidRDefault="00B01930">
      <w:pPr>
        <w:pStyle w:val="Notedebasdepage"/>
      </w:pPr>
      <w:r>
        <w:rPr>
          <w:rStyle w:val="Appelnotedebasdep"/>
        </w:rPr>
        <w:footnoteRef/>
      </w:r>
      <w:r>
        <w:t xml:space="preserve"> </w:t>
      </w:r>
      <w:r>
        <w:tab/>
        <w:t>À</w:t>
      </w:r>
      <w:r w:rsidRPr="0004576F">
        <w:t xml:space="preserve"> noter qu’à trop vouloir faire de la « caserne libertaire » la sou</w:t>
      </w:r>
      <w:r w:rsidRPr="0004576F">
        <w:t>r</w:t>
      </w:r>
      <w:r w:rsidRPr="0004576F">
        <w:t>ce de tous nos maux E. Sur lui attribue l’organisation de l’espace u</w:t>
      </w:r>
      <w:r w:rsidRPr="0004576F">
        <w:t>r</w:t>
      </w:r>
      <w:r w:rsidRPr="0004576F">
        <w:t>bain, alors que ce souci est une constante de code n° 1,  ainsi cette préoccupation est présente chez Platon, dont on peut dire que si sa C</w:t>
      </w:r>
      <w:r w:rsidRPr="0004576F">
        <w:t>i</w:t>
      </w:r>
      <w:r w:rsidRPr="0004576F">
        <w:t>té idéale était une « caserne » il était loin d’être libertaire…</w:t>
      </w:r>
    </w:p>
  </w:footnote>
  <w:footnote w:id="1229">
    <w:p w14:paraId="4EFE1487" w14:textId="77777777" w:rsidR="00B01930" w:rsidRDefault="00B01930">
      <w:pPr>
        <w:pStyle w:val="Notedebasdepage"/>
      </w:pPr>
      <w:r>
        <w:rPr>
          <w:rStyle w:val="Appelnotedebasdep"/>
        </w:rPr>
        <w:footnoteRef/>
      </w:r>
      <w:r>
        <w:t xml:space="preserve"> </w:t>
      </w:r>
      <w:r>
        <w:tab/>
      </w:r>
      <w:r w:rsidRPr="0004576F">
        <w:t>Plus affirmés que décrits.</w:t>
      </w:r>
    </w:p>
  </w:footnote>
  <w:footnote w:id="1230">
    <w:p w14:paraId="04666A0B" w14:textId="77777777" w:rsidR="00B01930" w:rsidRDefault="00B01930">
      <w:pPr>
        <w:pStyle w:val="Notedebasdepage"/>
      </w:pPr>
      <w:r>
        <w:rPr>
          <w:rStyle w:val="Appelnotedebasdep"/>
        </w:rPr>
        <w:footnoteRef/>
      </w:r>
      <w:r>
        <w:t xml:space="preserve"> </w:t>
      </w:r>
      <w:r>
        <w:tab/>
      </w:r>
      <w:r w:rsidRPr="0004576F">
        <w:t>Souligné par E. Sur.</w:t>
      </w:r>
    </w:p>
  </w:footnote>
  <w:footnote w:id="1231">
    <w:p w14:paraId="67FEEA28" w14:textId="77777777" w:rsidR="00B01930" w:rsidRDefault="00B01930">
      <w:pPr>
        <w:pStyle w:val="Notedebasdepage"/>
      </w:pPr>
      <w:r>
        <w:rPr>
          <w:rStyle w:val="Appelnotedebasdep"/>
        </w:rPr>
        <w:footnoteRef/>
      </w:r>
      <w:r>
        <w:t xml:space="preserve"> </w:t>
      </w:r>
      <w:r>
        <w:tab/>
      </w:r>
      <w:r w:rsidRPr="0004576F">
        <w:t>C’est nous qui soulignons.</w:t>
      </w:r>
    </w:p>
  </w:footnote>
  <w:footnote w:id="1232">
    <w:p w14:paraId="3969E948" w14:textId="77777777" w:rsidR="00B01930" w:rsidRDefault="00B01930">
      <w:pPr>
        <w:pStyle w:val="Notedebasdepage"/>
      </w:pPr>
      <w:r>
        <w:rPr>
          <w:rStyle w:val="Appelnotedebasdep"/>
        </w:rPr>
        <w:footnoteRef/>
      </w:r>
      <w:r>
        <w:t xml:space="preserve"> </w:t>
      </w:r>
      <w:r>
        <w:tab/>
      </w:r>
      <w:r w:rsidRPr="0004576F">
        <w:rPr>
          <w:i/>
        </w:rPr>
        <w:t>Idem.</w:t>
      </w:r>
    </w:p>
  </w:footnote>
  <w:footnote w:id="1233">
    <w:p w14:paraId="2F274673" w14:textId="77777777" w:rsidR="00B01930" w:rsidRDefault="00B01930">
      <w:pPr>
        <w:pStyle w:val="Notedebasdepage"/>
      </w:pPr>
      <w:r>
        <w:rPr>
          <w:rStyle w:val="Appelnotedebasdep"/>
        </w:rPr>
        <w:footnoteRef/>
      </w:r>
      <w:r>
        <w:t xml:space="preserve"> </w:t>
      </w:r>
      <w:r>
        <w:tab/>
      </w:r>
      <w:r w:rsidRPr="0004576F">
        <w:rPr>
          <w:i/>
        </w:rPr>
        <w:t>Idem.</w:t>
      </w:r>
    </w:p>
  </w:footnote>
  <w:footnote w:id="1234">
    <w:p w14:paraId="10C674B5" w14:textId="77777777" w:rsidR="00B01930" w:rsidRDefault="00B01930">
      <w:pPr>
        <w:pStyle w:val="Notedebasdepage"/>
      </w:pPr>
      <w:r>
        <w:rPr>
          <w:rStyle w:val="Appelnotedebasdep"/>
        </w:rPr>
        <w:footnoteRef/>
      </w:r>
      <w:r>
        <w:t xml:space="preserve"> </w:t>
      </w:r>
      <w:r>
        <w:tab/>
      </w:r>
      <w:r w:rsidRPr="0004576F">
        <w:rPr>
          <w:i/>
        </w:rPr>
        <w:t>Idem.</w:t>
      </w:r>
    </w:p>
  </w:footnote>
  <w:footnote w:id="1235">
    <w:p w14:paraId="28780FCF" w14:textId="77777777" w:rsidR="00B01930" w:rsidRDefault="00B01930">
      <w:pPr>
        <w:pStyle w:val="Notedebasdepage"/>
      </w:pPr>
      <w:r>
        <w:rPr>
          <w:rStyle w:val="Appelnotedebasdep"/>
        </w:rPr>
        <w:footnoteRef/>
      </w:r>
      <w:r>
        <w:t xml:space="preserve"> </w:t>
      </w:r>
      <w:r>
        <w:tab/>
      </w:r>
      <w:r w:rsidRPr="0004576F">
        <w:rPr>
          <w:i/>
        </w:rPr>
        <w:t>Idem.</w:t>
      </w:r>
    </w:p>
  </w:footnote>
  <w:footnote w:id="1236">
    <w:p w14:paraId="210339B0" w14:textId="77777777" w:rsidR="00B01930" w:rsidRDefault="00B01930">
      <w:pPr>
        <w:pStyle w:val="Notedebasdepage"/>
      </w:pPr>
      <w:r>
        <w:rPr>
          <w:rStyle w:val="Appelnotedebasdep"/>
        </w:rPr>
        <w:footnoteRef/>
      </w:r>
      <w:r>
        <w:t xml:space="preserve"> </w:t>
      </w:r>
      <w:r>
        <w:tab/>
      </w:r>
      <w:r w:rsidRPr="0004576F">
        <w:t>C’est nous qui soulignons.</w:t>
      </w:r>
    </w:p>
  </w:footnote>
  <w:footnote w:id="1237">
    <w:p w14:paraId="13C8E557" w14:textId="77777777" w:rsidR="00B01930" w:rsidRDefault="00B01930">
      <w:pPr>
        <w:pStyle w:val="Notedebasdepage"/>
      </w:pPr>
      <w:r>
        <w:rPr>
          <w:rStyle w:val="Appelnotedebasdep"/>
        </w:rPr>
        <w:footnoteRef/>
      </w:r>
      <w:r>
        <w:t xml:space="preserve"> </w:t>
      </w:r>
      <w:r>
        <w:tab/>
      </w:r>
      <w:r w:rsidRPr="0004576F">
        <w:t>Rappelons avec Jean-Louis Martres que notre propos ne concerne que le di</w:t>
      </w:r>
      <w:r w:rsidRPr="0004576F">
        <w:t>s</w:t>
      </w:r>
      <w:r w:rsidRPr="0004576F">
        <w:t>cours, il est d’ordre purement terrestre et ne saurait prétendre que telle doctr</w:t>
      </w:r>
      <w:r w:rsidRPr="0004576F">
        <w:t>i</w:t>
      </w:r>
      <w:r w:rsidRPr="0004576F">
        <w:t>ne et plus vraie que telle autre. Les fins idéales étant, par défin</w:t>
      </w:r>
      <w:r w:rsidRPr="0004576F">
        <w:t>i</w:t>
      </w:r>
      <w:r w:rsidRPr="0004576F">
        <w:t>tion, hors de l’expérience,   notre propos ne saurait donc se prononcer sur elle(s).</w:t>
      </w:r>
    </w:p>
  </w:footnote>
  <w:footnote w:id="1238">
    <w:p w14:paraId="1D12EA43" w14:textId="77777777" w:rsidR="00B01930" w:rsidRDefault="00B01930">
      <w:pPr>
        <w:pStyle w:val="Notedebasdepage"/>
      </w:pPr>
      <w:r>
        <w:rPr>
          <w:rStyle w:val="Appelnotedebasdep"/>
        </w:rPr>
        <w:footnoteRef/>
      </w:r>
      <w:r>
        <w:t xml:space="preserve"> </w:t>
      </w:r>
      <w:r>
        <w:tab/>
      </w:r>
      <w:r w:rsidRPr="0004576F">
        <w:rPr>
          <w:smallCaps/>
        </w:rPr>
        <w:t>Rfsp</w:t>
      </w:r>
      <w:r w:rsidRPr="0004576F">
        <w:t>, volume 21, n° 6, 1971.</w:t>
      </w:r>
    </w:p>
  </w:footnote>
  <w:footnote w:id="1239">
    <w:p w14:paraId="79B1D3E5" w14:textId="77777777" w:rsidR="00B01930" w:rsidRDefault="00B01930">
      <w:pPr>
        <w:pStyle w:val="Notedebasdepage"/>
      </w:pPr>
      <w:r>
        <w:rPr>
          <w:rStyle w:val="Appelnotedebasdep"/>
        </w:rPr>
        <w:footnoteRef/>
      </w:r>
      <w:r>
        <w:t xml:space="preserve"> </w:t>
      </w:r>
      <w:r>
        <w:tab/>
      </w:r>
      <w:r w:rsidRPr="0004576F">
        <w:t>Jean Louis Martres, avec sa bienveillance habituelle à notre égard, nous aurait pardonné cette expression althussérienne, ici util</w:t>
      </w:r>
      <w:r w:rsidRPr="0004576F">
        <w:t>i</w:t>
      </w:r>
      <w:r w:rsidRPr="0004576F">
        <w:t>sée  comme image ; car pour le reste nous avons mis en évidence la fonction idéologique de cette expre</w:t>
      </w:r>
      <w:r w:rsidRPr="0004576F">
        <w:t>s</w:t>
      </w:r>
      <w:r w:rsidRPr="0004576F">
        <w:t xml:space="preserve">sion. </w:t>
      </w:r>
      <w:r w:rsidRPr="0004576F">
        <w:rPr>
          <w:i/>
        </w:rPr>
        <w:t>In</w:t>
      </w:r>
      <w:r w:rsidRPr="0004576F">
        <w:t xml:space="preserve"> D. Lagraula, « </w:t>
      </w:r>
      <w:r w:rsidRPr="0004576F">
        <w:rPr>
          <w:i/>
        </w:rPr>
        <w:t>Essai d’interprétation</w:t>
      </w:r>
      <w:r w:rsidRPr="0004576F">
        <w:t xml:space="preserve"> </w:t>
      </w:r>
      <w:r w:rsidRPr="0004576F">
        <w:rPr>
          <w:i/>
        </w:rPr>
        <w:t>de la pensée marxiste contemp</w:t>
      </w:r>
      <w:r w:rsidRPr="0004576F">
        <w:rPr>
          <w:i/>
        </w:rPr>
        <w:t>o</w:t>
      </w:r>
      <w:r w:rsidRPr="0004576F">
        <w:rPr>
          <w:i/>
        </w:rPr>
        <w:t>raine, Louis Althu</w:t>
      </w:r>
      <w:r w:rsidRPr="0004576F">
        <w:rPr>
          <w:i/>
        </w:rPr>
        <w:t>s</w:t>
      </w:r>
      <w:r w:rsidRPr="0004576F">
        <w:rPr>
          <w:i/>
        </w:rPr>
        <w:t>ser </w:t>
      </w:r>
      <w:r w:rsidRPr="0004576F">
        <w:t>», mémoire de DEA en Science Politique, Université de Bordeaux, Faculté de Droit, des Sciences soci</w:t>
      </w:r>
      <w:r w:rsidRPr="0004576F">
        <w:t>a</w:t>
      </w:r>
      <w:r w:rsidRPr="0004576F">
        <w:t>les et politiques, 1974.</w:t>
      </w:r>
    </w:p>
  </w:footnote>
  <w:footnote w:id="1240">
    <w:p w14:paraId="361AE3F0" w14:textId="77777777" w:rsidR="00B01930" w:rsidRDefault="00B01930">
      <w:pPr>
        <w:pStyle w:val="Notedebasdepage"/>
      </w:pPr>
      <w:r>
        <w:rPr>
          <w:rStyle w:val="Appelnotedebasdep"/>
        </w:rPr>
        <w:footnoteRef/>
      </w:r>
      <w:r>
        <w:t xml:space="preserve"> </w:t>
      </w:r>
      <w:r>
        <w:tab/>
      </w:r>
      <w:r w:rsidRPr="0004576F">
        <w:t>Jean Louis Martres, « </w:t>
      </w:r>
      <w:r w:rsidRPr="0004576F">
        <w:rPr>
          <w:i/>
        </w:rPr>
        <w:t>les grilles de … </w:t>
      </w:r>
      <w:r w:rsidRPr="0004576F">
        <w:t xml:space="preserve">», p. 223, cf. note </w:t>
      </w:r>
      <w:r w:rsidRPr="0004576F">
        <w:rPr>
          <w:vertAlign w:val="superscript"/>
        </w:rPr>
        <w:t>1</w:t>
      </w:r>
      <w:r w:rsidRPr="0004576F">
        <w:t xml:space="preserve"> </w:t>
      </w:r>
      <w:r w:rsidRPr="0004576F">
        <w:rPr>
          <w:i/>
        </w:rPr>
        <w:t>supra</w:t>
      </w:r>
      <w:r w:rsidRPr="0004576F">
        <w:t>.</w:t>
      </w:r>
    </w:p>
  </w:footnote>
  <w:footnote w:id="1241">
    <w:p w14:paraId="40A74FD2" w14:textId="77777777" w:rsidR="00B01930" w:rsidRDefault="00B01930">
      <w:pPr>
        <w:pStyle w:val="Notedebasdepage"/>
      </w:pPr>
      <w:r>
        <w:rPr>
          <w:rStyle w:val="Appelnotedebasdep"/>
        </w:rPr>
        <w:footnoteRef/>
      </w:r>
      <w:r>
        <w:t xml:space="preserve"> </w:t>
      </w:r>
      <w:r>
        <w:tab/>
      </w:r>
      <w:r w:rsidRPr="0004576F">
        <w:t xml:space="preserve">Une révolution, voir par exemple, Paul Veyne, </w:t>
      </w:r>
      <w:r w:rsidRPr="0004576F">
        <w:rPr>
          <w:i/>
        </w:rPr>
        <w:t>Quand notre monde est devenu chrétien</w:t>
      </w:r>
      <w:r w:rsidRPr="0004576F">
        <w:t xml:space="preserve">, Paris, Albin Michel, 2007 ; </w:t>
      </w:r>
      <w:r w:rsidRPr="0004576F">
        <w:rPr>
          <w:i/>
        </w:rPr>
        <w:t>L’Empire gr</w:t>
      </w:r>
      <w:r w:rsidRPr="0004576F">
        <w:rPr>
          <w:i/>
        </w:rPr>
        <w:t>é</w:t>
      </w:r>
      <w:r w:rsidRPr="0004576F">
        <w:rPr>
          <w:i/>
        </w:rPr>
        <w:t>co-romain</w:t>
      </w:r>
      <w:r w:rsidRPr="0004576F">
        <w:t>, Paris, Seuil, 2005.</w:t>
      </w:r>
    </w:p>
  </w:footnote>
  <w:footnote w:id="1242">
    <w:p w14:paraId="6DADF8C3" w14:textId="77777777" w:rsidR="00B01930" w:rsidRDefault="00B01930">
      <w:pPr>
        <w:pStyle w:val="Notedebasdepage"/>
      </w:pPr>
      <w:r>
        <w:rPr>
          <w:rStyle w:val="Appelnotedebasdep"/>
        </w:rPr>
        <w:footnoteRef/>
      </w:r>
      <w:r>
        <w:t xml:space="preserve"> </w:t>
      </w:r>
      <w:r>
        <w:tab/>
      </w:r>
      <w:r w:rsidRPr="0004576F">
        <w:rPr>
          <w:i/>
        </w:rPr>
        <w:t>Les grilles de la</w:t>
      </w:r>
      <w:r w:rsidRPr="0004576F">
        <w:t xml:space="preserve"> …., </w:t>
      </w:r>
      <w:r w:rsidRPr="0004576F">
        <w:rPr>
          <w:i/>
        </w:rPr>
        <w:t>op.cit</w:t>
      </w:r>
      <w:r w:rsidRPr="0004576F">
        <w:t>., p.52.</w:t>
      </w:r>
    </w:p>
  </w:footnote>
  <w:footnote w:id="1243">
    <w:p w14:paraId="462D4A00" w14:textId="77777777" w:rsidR="00B01930" w:rsidRDefault="00B01930">
      <w:pPr>
        <w:pStyle w:val="Notedebasdepage"/>
      </w:pPr>
      <w:r>
        <w:rPr>
          <w:rStyle w:val="Appelnotedebasdep"/>
        </w:rPr>
        <w:footnoteRef/>
      </w:r>
      <w:r>
        <w:t xml:space="preserve"> </w:t>
      </w:r>
      <w:r>
        <w:tab/>
      </w:r>
      <w:r w:rsidRPr="0004576F">
        <w:rPr>
          <w:i/>
        </w:rPr>
        <w:t>Ibidem</w:t>
      </w:r>
      <w:r w:rsidRPr="0004576F">
        <w:t>, p.65.</w:t>
      </w:r>
    </w:p>
  </w:footnote>
  <w:footnote w:id="1244">
    <w:p w14:paraId="527CB0E6" w14:textId="77777777" w:rsidR="00B01930" w:rsidRDefault="00B01930">
      <w:pPr>
        <w:pStyle w:val="Notedebasdepage"/>
      </w:pPr>
      <w:r>
        <w:rPr>
          <w:rStyle w:val="Appelnotedebasdep"/>
        </w:rPr>
        <w:footnoteRef/>
      </w:r>
      <w:r>
        <w:t xml:space="preserve"> </w:t>
      </w:r>
      <w:r>
        <w:tab/>
      </w:r>
      <w:r w:rsidRPr="0004576F">
        <w:t>Voir l’épigraphe du texte d’E. Sur</w:t>
      </w:r>
      <w:r>
        <w:t>.</w:t>
      </w:r>
    </w:p>
  </w:footnote>
  <w:footnote w:id="1245">
    <w:p w14:paraId="149B4BA9" w14:textId="77777777" w:rsidR="00B01930" w:rsidRDefault="00B01930">
      <w:pPr>
        <w:pStyle w:val="Notedebasdepage"/>
      </w:pPr>
      <w:r>
        <w:rPr>
          <w:rStyle w:val="Appelnotedebasdep"/>
        </w:rPr>
        <w:footnoteRef/>
      </w:r>
      <w:r>
        <w:t xml:space="preserve"> </w:t>
      </w:r>
      <w:r>
        <w:tab/>
      </w:r>
      <w:r w:rsidRPr="0004576F">
        <w:t>Voir le final du texte d’E. Sur</w:t>
      </w:r>
      <w:r>
        <w:t>.</w:t>
      </w:r>
    </w:p>
  </w:footnote>
  <w:footnote w:id="1246">
    <w:p w14:paraId="24B25FA6" w14:textId="77777777" w:rsidR="00B01930" w:rsidRDefault="00B01930">
      <w:pPr>
        <w:pStyle w:val="Notedebasdepage"/>
      </w:pPr>
      <w:r>
        <w:rPr>
          <w:rStyle w:val="Appelnotedebasdep"/>
        </w:rPr>
        <w:footnoteRef/>
      </w:r>
      <w:r>
        <w:t xml:space="preserve"> </w:t>
      </w:r>
      <w:r>
        <w:tab/>
      </w:r>
      <w:r w:rsidRPr="0004576F">
        <w:t>Voir notre contribution, « </w:t>
      </w:r>
      <w:r w:rsidRPr="0004576F">
        <w:rPr>
          <w:i/>
        </w:rPr>
        <w:t>Introduction critique</w:t>
      </w:r>
      <w:r w:rsidRPr="0004576F">
        <w:t xml:space="preserve">… », Note 1, </w:t>
      </w:r>
      <w:r w:rsidRPr="0004576F">
        <w:rPr>
          <w:i/>
        </w:rPr>
        <w:t>s</w:t>
      </w:r>
      <w:r w:rsidRPr="0004576F">
        <w:rPr>
          <w:i/>
        </w:rPr>
        <w:t>u</w:t>
      </w:r>
      <w:r w:rsidRPr="0004576F">
        <w:rPr>
          <w:i/>
        </w:rPr>
        <w:t>pra</w:t>
      </w:r>
      <w:r w:rsidRPr="0004576F">
        <w:t>.</w:t>
      </w:r>
    </w:p>
  </w:footnote>
  <w:footnote w:id="1247">
    <w:p w14:paraId="6A0C2131" w14:textId="77777777" w:rsidR="00B01930" w:rsidRDefault="00B01930">
      <w:pPr>
        <w:pStyle w:val="Notedebasdepage"/>
      </w:pPr>
      <w:r>
        <w:rPr>
          <w:rStyle w:val="Appelnotedebasdep"/>
        </w:rPr>
        <w:footnoteRef/>
      </w:r>
      <w:r>
        <w:t xml:space="preserve"> </w:t>
      </w:r>
      <w:r>
        <w:tab/>
      </w:r>
      <w:r w:rsidRPr="0004576F">
        <w:rPr>
          <w:i/>
        </w:rPr>
        <w:t>La Grande méprise</w:t>
      </w:r>
      <w:r w:rsidRPr="0004576F">
        <w:t>, Paris, Éditions de La Table Ronde, 2004.</w:t>
      </w:r>
    </w:p>
  </w:footnote>
  <w:footnote w:id="1248">
    <w:p w14:paraId="6E625659" w14:textId="77777777" w:rsidR="00B01930" w:rsidRDefault="00B01930">
      <w:pPr>
        <w:pStyle w:val="Notedebasdepage"/>
      </w:pPr>
      <w:r>
        <w:rPr>
          <w:rStyle w:val="Appelnotedebasdep"/>
        </w:rPr>
        <w:footnoteRef/>
      </w:r>
      <w:r>
        <w:t xml:space="preserve"> </w:t>
      </w:r>
      <w:r>
        <w:tab/>
      </w:r>
      <w:r w:rsidRPr="0004576F">
        <w:rPr>
          <w:i/>
        </w:rPr>
        <w:t>Continuer l’Histoire</w:t>
      </w:r>
      <w:r w:rsidRPr="0004576F">
        <w:t>, Paris, Fayard, 2007, réédité en format de poche, Fla</w:t>
      </w:r>
      <w:r w:rsidRPr="0004576F">
        <w:t>m</w:t>
      </w:r>
      <w:r w:rsidRPr="0004576F">
        <w:t>marion, col. « Champs », 2008.</w:t>
      </w:r>
    </w:p>
  </w:footnote>
  <w:footnote w:id="1249">
    <w:p w14:paraId="4D9796B5" w14:textId="77777777" w:rsidR="00B01930" w:rsidRDefault="00B01930">
      <w:pPr>
        <w:pStyle w:val="Notedebasdepage"/>
      </w:pPr>
      <w:r>
        <w:rPr>
          <w:rStyle w:val="Appelnotedebasdep"/>
        </w:rPr>
        <w:footnoteRef/>
      </w:r>
      <w:r>
        <w:t xml:space="preserve"> </w:t>
      </w:r>
      <w:r>
        <w:tab/>
      </w:r>
      <w:r w:rsidRPr="0004576F">
        <w:t xml:space="preserve">Le plus emblématique, dans le registre passionnel, reste celui d’Olivier Todd, </w:t>
      </w:r>
      <w:r w:rsidRPr="0004576F">
        <w:rPr>
          <w:i/>
        </w:rPr>
        <w:t>Après l’Empire, essai sur la décomposition du système américain</w:t>
      </w:r>
      <w:r w:rsidRPr="0004576F">
        <w:t>, Paris, Ga</w:t>
      </w:r>
      <w:r w:rsidRPr="0004576F">
        <w:t>l</w:t>
      </w:r>
      <w:r w:rsidRPr="0004576F">
        <w:t>limard, 2002.</w:t>
      </w:r>
    </w:p>
  </w:footnote>
  <w:footnote w:id="1250">
    <w:p w14:paraId="4B7D79B1" w14:textId="77777777" w:rsidR="00B01930" w:rsidRDefault="00B01930">
      <w:pPr>
        <w:pStyle w:val="Notedebasdepage"/>
      </w:pPr>
      <w:r>
        <w:rPr>
          <w:rStyle w:val="Appelnotedebasdep"/>
        </w:rPr>
        <w:footnoteRef/>
      </w:r>
      <w:r>
        <w:t xml:space="preserve"> </w:t>
      </w:r>
      <w:r>
        <w:tab/>
      </w:r>
      <w:r w:rsidRPr="0004576F">
        <w:t xml:space="preserve">Mais déjà en son temps Raymond Aron avait fait un sort à la dogmatique marxiste-léniniste sur « l’impérialisme américain » dans son ouvrage, </w:t>
      </w:r>
      <w:r w:rsidRPr="0004576F">
        <w:rPr>
          <w:i/>
        </w:rPr>
        <w:t>Rép</w:t>
      </w:r>
      <w:r w:rsidRPr="0004576F">
        <w:rPr>
          <w:i/>
        </w:rPr>
        <w:t>u</w:t>
      </w:r>
      <w:r w:rsidRPr="0004576F">
        <w:rPr>
          <w:i/>
        </w:rPr>
        <w:t>blique impériale, les États-Unis dans le monde 1945-1973</w:t>
      </w:r>
      <w:r w:rsidRPr="0004576F">
        <w:t xml:space="preserve">, Paris, Calmann-Lévy, 1973. Cf. aussi Thérèse Delpech, « La fiction impériale », </w:t>
      </w:r>
      <w:r w:rsidRPr="0004576F">
        <w:rPr>
          <w:i/>
        </w:rPr>
        <w:t>Commenta</w:t>
      </w:r>
      <w:r w:rsidRPr="0004576F">
        <w:rPr>
          <w:i/>
        </w:rPr>
        <w:t>i</w:t>
      </w:r>
      <w:r w:rsidRPr="0004576F">
        <w:rPr>
          <w:i/>
        </w:rPr>
        <w:t>re</w:t>
      </w:r>
      <w:r w:rsidRPr="0004576F">
        <w:t>, 104, 2003-2004. Sans oublier les auteurs comme André Kaspi, Pierre Hassner, n</w:t>
      </w:r>
      <w:r w:rsidRPr="0004576F">
        <w:t>o</w:t>
      </w:r>
      <w:r w:rsidRPr="0004576F">
        <w:t xml:space="preserve">tamment de ce dernier, </w:t>
      </w:r>
      <w:r w:rsidRPr="0004576F">
        <w:rPr>
          <w:i/>
        </w:rPr>
        <w:t>La Terreur et l’Empire</w:t>
      </w:r>
      <w:r w:rsidRPr="0004576F">
        <w:t xml:space="preserve">, Paris, Le Seuil, 2003, tome 2 </w:t>
      </w:r>
      <w:r w:rsidRPr="0004576F">
        <w:rPr>
          <w:i/>
        </w:rPr>
        <w:t>La Vi</w:t>
      </w:r>
      <w:r w:rsidRPr="0004576F">
        <w:rPr>
          <w:i/>
        </w:rPr>
        <w:t>o</w:t>
      </w:r>
      <w:r w:rsidRPr="0004576F">
        <w:rPr>
          <w:i/>
        </w:rPr>
        <w:t>lence et la paix</w:t>
      </w:r>
      <w:r w:rsidRPr="0004576F">
        <w:t>, réédité en 2000, col. « Points-Essais ») ; Justin Vaïsse, Henry Kissinger, Zbigniew Brzezinski, et plus factuellement, P</w:t>
      </w:r>
      <w:r w:rsidRPr="0004576F">
        <w:t>e</w:t>
      </w:r>
      <w:r w:rsidRPr="0004576F">
        <w:t xml:space="preserve">ter Bender, </w:t>
      </w:r>
      <w:r w:rsidRPr="0004576F">
        <w:rPr>
          <w:i/>
        </w:rPr>
        <w:t>L’Amérique, nouvelle Rome</w:t>
      </w:r>
      <w:r w:rsidRPr="0004576F">
        <w:t xml:space="preserve">, Paris, Buchet-Chastel, 2005 ; Jean-Yves Haine, </w:t>
      </w:r>
      <w:r w:rsidRPr="0004576F">
        <w:rPr>
          <w:i/>
        </w:rPr>
        <w:t>Les États-Unis ont-ils besoin d’alliés</w:t>
      </w:r>
      <w:r w:rsidRPr="0004576F">
        <w:t xml:space="preserve"> ?, Paris, Payot, 2004, Josef Joffe, </w:t>
      </w:r>
      <w:r w:rsidRPr="0004576F">
        <w:rPr>
          <w:i/>
        </w:rPr>
        <w:t>H</w:t>
      </w:r>
      <w:r w:rsidRPr="0004576F">
        <w:rPr>
          <w:i/>
        </w:rPr>
        <w:t>y</w:t>
      </w:r>
      <w:r w:rsidRPr="0004576F">
        <w:rPr>
          <w:i/>
        </w:rPr>
        <w:t>perpuissance</w:t>
      </w:r>
      <w:r w:rsidRPr="0004576F">
        <w:t>, Paris, Odile Jacob, 2006.</w:t>
      </w:r>
    </w:p>
  </w:footnote>
  <w:footnote w:id="1251">
    <w:p w14:paraId="27B25045" w14:textId="77777777" w:rsidR="00B01930" w:rsidRDefault="00B01930">
      <w:pPr>
        <w:pStyle w:val="Notedebasdepage"/>
      </w:pPr>
      <w:r>
        <w:rPr>
          <w:rStyle w:val="Appelnotedebasdep"/>
        </w:rPr>
        <w:footnoteRef/>
      </w:r>
      <w:r>
        <w:t xml:space="preserve"> </w:t>
      </w:r>
      <w:r>
        <w:tab/>
      </w:r>
      <w:r w:rsidRPr="0004576F">
        <w:t>Au sens premier : déterminer la portée et la limite d’une pensée, d’une n</w:t>
      </w:r>
      <w:r w:rsidRPr="0004576F">
        <w:t>o</w:t>
      </w:r>
      <w:r w:rsidRPr="0004576F">
        <w:t>tion etc.</w:t>
      </w:r>
    </w:p>
  </w:footnote>
  <w:footnote w:id="1252">
    <w:p w14:paraId="7EBE4027" w14:textId="77777777" w:rsidR="00B01930" w:rsidRDefault="00B01930">
      <w:pPr>
        <w:pStyle w:val="Notedebasdepage"/>
      </w:pPr>
      <w:r>
        <w:rPr>
          <w:rStyle w:val="Appelnotedebasdep"/>
        </w:rPr>
        <w:footnoteRef/>
      </w:r>
      <w:r>
        <w:t xml:space="preserve"> </w:t>
      </w:r>
      <w:r>
        <w:tab/>
      </w:r>
      <w:r w:rsidRPr="0004576F">
        <w:t xml:space="preserve">Pour emprunter le titre du livre de Lucien Goldmann, </w:t>
      </w:r>
      <w:r w:rsidRPr="0004576F">
        <w:rPr>
          <w:i/>
        </w:rPr>
        <w:t>Le Dieu caché</w:t>
      </w:r>
      <w:r w:rsidRPr="0004576F">
        <w:t>, Paris, Ga</w:t>
      </w:r>
      <w:r w:rsidRPr="0004576F">
        <w:t>l</w:t>
      </w:r>
      <w:r w:rsidRPr="0004576F">
        <w:t>limard, col. « Idées », 1956, réédition en 1976, col. « Tel ».</w:t>
      </w:r>
    </w:p>
  </w:footnote>
  <w:footnote w:id="1253">
    <w:p w14:paraId="63B0173F" w14:textId="77777777" w:rsidR="00B01930" w:rsidRDefault="00B01930">
      <w:pPr>
        <w:pStyle w:val="Notedebasdepage"/>
      </w:pPr>
      <w:r>
        <w:rPr>
          <w:rStyle w:val="Appelnotedebasdep"/>
        </w:rPr>
        <w:footnoteRef/>
      </w:r>
      <w:r>
        <w:t xml:space="preserve"> </w:t>
      </w:r>
      <w:r>
        <w:tab/>
      </w:r>
      <w:r w:rsidRPr="0004576F">
        <w:t>Mais dont le tort aux yeux des Français est d’être Américain, frappé de su</w:t>
      </w:r>
      <w:r w:rsidRPr="0004576F">
        <w:t>r</w:t>
      </w:r>
      <w:r w:rsidRPr="0004576F">
        <w:t xml:space="preserve">croît du sceau de l’infâmant qualificatif de « néoconservateur ». Cf. </w:t>
      </w:r>
      <w:r w:rsidRPr="0004576F">
        <w:rPr>
          <w:i/>
        </w:rPr>
        <w:t>La Pui</w:t>
      </w:r>
      <w:r w:rsidRPr="0004576F">
        <w:rPr>
          <w:i/>
        </w:rPr>
        <w:t>s</w:t>
      </w:r>
      <w:r w:rsidRPr="0004576F">
        <w:rPr>
          <w:i/>
        </w:rPr>
        <w:t>sance et la faiblesse</w:t>
      </w:r>
      <w:r w:rsidRPr="0004576F">
        <w:t xml:space="preserve">, Paris, Plon, 2003 ; </w:t>
      </w:r>
      <w:r w:rsidRPr="0004576F">
        <w:rPr>
          <w:i/>
        </w:rPr>
        <w:t>Le Revers de La Puissance</w:t>
      </w:r>
      <w:r w:rsidRPr="0004576F">
        <w:t xml:space="preserve">, Paris, Plon, 2004 ; </w:t>
      </w:r>
      <w:r w:rsidRPr="0004576F">
        <w:rPr>
          <w:i/>
        </w:rPr>
        <w:t>Le Retour de L’Histoire et La Fin des Rêves</w:t>
      </w:r>
      <w:r w:rsidRPr="0004576F">
        <w:t>, Paris, Plon, 2008.</w:t>
      </w:r>
    </w:p>
  </w:footnote>
  <w:footnote w:id="1254">
    <w:p w14:paraId="7578A81F" w14:textId="77777777" w:rsidR="00B01930" w:rsidRDefault="00B01930">
      <w:pPr>
        <w:pStyle w:val="Notedebasdepage"/>
      </w:pPr>
      <w:r>
        <w:rPr>
          <w:rStyle w:val="Appelnotedebasdep"/>
        </w:rPr>
        <w:footnoteRef/>
      </w:r>
      <w:r>
        <w:t xml:space="preserve"> </w:t>
      </w:r>
      <w:r>
        <w:tab/>
      </w:r>
      <w:r w:rsidRPr="0004576F">
        <w:t>Pour reprendre le titre d’une émission de télévision.</w:t>
      </w:r>
    </w:p>
  </w:footnote>
  <w:footnote w:id="1255">
    <w:p w14:paraId="30D69E1B" w14:textId="77777777" w:rsidR="00B01930" w:rsidRDefault="00B01930">
      <w:pPr>
        <w:pStyle w:val="Notedebasdepage"/>
      </w:pPr>
      <w:r>
        <w:rPr>
          <w:rStyle w:val="Appelnotedebasdep"/>
        </w:rPr>
        <w:footnoteRef/>
      </w:r>
      <w:r>
        <w:t xml:space="preserve"> </w:t>
      </w:r>
      <w:r>
        <w:tab/>
      </w:r>
      <w:r w:rsidRPr="0004576F">
        <w:t xml:space="preserve">Tahar ben Jelloun, </w:t>
      </w:r>
      <w:r w:rsidRPr="0004576F">
        <w:rPr>
          <w:i/>
        </w:rPr>
        <w:t>Le Monde</w:t>
      </w:r>
      <w:r w:rsidRPr="0004576F">
        <w:t>, 5 septembre 2004.</w:t>
      </w:r>
    </w:p>
  </w:footnote>
  <w:footnote w:id="1256">
    <w:p w14:paraId="347C3A91" w14:textId="77777777" w:rsidR="00B01930" w:rsidRDefault="00B01930">
      <w:pPr>
        <w:pStyle w:val="Notedebasdepage"/>
      </w:pPr>
      <w:r>
        <w:rPr>
          <w:rStyle w:val="Appelnotedebasdep"/>
        </w:rPr>
        <w:footnoteRef/>
      </w:r>
      <w:r>
        <w:t xml:space="preserve"> </w:t>
      </w:r>
      <w:r>
        <w:tab/>
      </w:r>
      <w:r w:rsidRPr="0004576F">
        <w:t>Nous avions pris position dans un texte, qui tendait, entre autre, à montrer que George W. Bush serait réélu, « </w:t>
      </w:r>
      <w:r w:rsidRPr="0004576F">
        <w:rPr>
          <w:i/>
        </w:rPr>
        <w:t>Amérique : illusions européennes et réal</w:t>
      </w:r>
      <w:r w:rsidRPr="0004576F">
        <w:rPr>
          <w:i/>
        </w:rPr>
        <w:t>i</w:t>
      </w:r>
      <w:r w:rsidRPr="0004576F">
        <w:rPr>
          <w:i/>
        </w:rPr>
        <w:t>tés politiques, le pacifisme en tous ses états</w:t>
      </w:r>
      <w:r w:rsidRPr="0004576F">
        <w:t> », qui n’eut pas l’heur de plaire, m</w:t>
      </w:r>
      <w:r w:rsidRPr="0004576F">
        <w:t>ê</w:t>
      </w:r>
      <w:r w:rsidRPr="0004576F">
        <w:t xml:space="preserve">me au journal </w:t>
      </w:r>
      <w:r w:rsidRPr="0004576F">
        <w:rPr>
          <w:i/>
        </w:rPr>
        <w:t>Le Figaro</w:t>
      </w:r>
      <w:r w:rsidRPr="0004576F">
        <w:t>…</w:t>
      </w:r>
    </w:p>
  </w:footnote>
  <w:footnote w:id="1257">
    <w:p w14:paraId="1CDF8E77" w14:textId="77777777" w:rsidR="00B01930" w:rsidRDefault="00B01930">
      <w:pPr>
        <w:pStyle w:val="Notedebasdepage"/>
      </w:pPr>
      <w:r>
        <w:rPr>
          <w:rStyle w:val="Appelnotedebasdep"/>
        </w:rPr>
        <w:footnoteRef/>
      </w:r>
      <w:r>
        <w:t xml:space="preserve"> </w:t>
      </w:r>
      <w:r>
        <w:tab/>
      </w:r>
      <w:r w:rsidRPr="0004576F">
        <w:t>Pour reprendre une partie du titre du beau livre de Claude Nic</w:t>
      </w:r>
      <w:r w:rsidRPr="0004576F">
        <w:t>o</w:t>
      </w:r>
      <w:r w:rsidRPr="0004576F">
        <w:t xml:space="preserve">let, </w:t>
      </w:r>
      <w:r w:rsidRPr="0004576F">
        <w:rPr>
          <w:i/>
        </w:rPr>
        <w:t>Le Métier de citoyen dans la Rome républ</w:t>
      </w:r>
      <w:r w:rsidRPr="0004576F">
        <w:rPr>
          <w:i/>
        </w:rPr>
        <w:t>i</w:t>
      </w:r>
      <w:r w:rsidRPr="0004576F">
        <w:rPr>
          <w:i/>
        </w:rPr>
        <w:t>caine</w:t>
      </w:r>
      <w:r w:rsidRPr="0004576F">
        <w:t>, Paris, Gallimard, 1976.</w:t>
      </w:r>
    </w:p>
  </w:footnote>
  <w:footnote w:id="1258">
    <w:p w14:paraId="47693123" w14:textId="77777777" w:rsidR="00B01930" w:rsidRDefault="00B01930">
      <w:pPr>
        <w:pStyle w:val="Notedebasdepage"/>
      </w:pPr>
      <w:r>
        <w:rPr>
          <w:rStyle w:val="Appelnotedebasdep"/>
        </w:rPr>
        <w:footnoteRef/>
      </w:r>
      <w:r>
        <w:t xml:space="preserve"> </w:t>
      </w:r>
      <w:r>
        <w:tab/>
      </w:r>
      <w:r w:rsidRPr="0004576F">
        <w:t>Jean-Louis Martres, préface à « </w:t>
      </w:r>
      <w:r w:rsidRPr="0004576F">
        <w:rPr>
          <w:i/>
        </w:rPr>
        <w:t>L’Art de la politique chez les légistes ch</w:t>
      </w:r>
      <w:r w:rsidRPr="0004576F">
        <w:rPr>
          <w:i/>
        </w:rPr>
        <w:t>i</w:t>
      </w:r>
      <w:r w:rsidRPr="0004576F">
        <w:rPr>
          <w:i/>
        </w:rPr>
        <w:t>nois</w:t>
      </w:r>
      <w:r w:rsidRPr="0004576F">
        <w:t> », Xu Zhen Zhou, Paris, Éc</w:t>
      </w:r>
      <w:r w:rsidRPr="0004576F">
        <w:t>o</w:t>
      </w:r>
      <w:r w:rsidRPr="0004576F">
        <w:t>nomica, 1995.</w:t>
      </w:r>
    </w:p>
  </w:footnote>
  <w:footnote w:id="1259">
    <w:p w14:paraId="298EF79D" w14:textId="77777777" w:rsidR="00B01930" w:rsidRDefault="00B01930">
      <w:pPr>
        <w:pStyle w:val="Notedebasdepage"/>
      </w:pPr>
      <w:r>
        <w:rPr>
          <w:rStyle w:val="Appelnotedebasdep"/>
        </w:rPr>
        <w:footnoteRef/>
      </w:r>
      <w:r>
        <w:t xml:space="preserve"> </w:t>
      </w:r>
      <w:r>
        <w:tab/>
      </w:r>
      <w:r w:rsidRPr="0004576F">
        <w:t xml:space="preserve">Ferdinand de Saussure, </w:t>
      </w:r>
      <w:r w:rsidRPr="0004576F">
        <w:rPr>
          <w:i/>
        </w:rPr>
        <w:t>Cours de linguistique générale</w:t>
      </w:r>
      <w:r w:rsidRPr="0004576F">
        <w:t xml:space="preserve">, Paris, Payot, 1974 ; Christian Nique, </w:t>
      </w:r>
      <w:r w:rsidRPr="0004576F">
        <w:rPr>
          <w:i/>
        </w:rPr>
        <w:t>Initiation méthodique à la grammaire</w:t>
      </w:r>
      <w:r w:rsidRPr="0004576F">
        <w:t xml:space="preserve"> </w:t>
      </w:r>
      <w:r w:rsidRPr="0004576F">
        <w:rPr>
          <w:i/>
        </w:rPr>
        <w:t>générative</w:t>
      </w:r>
      <w:r w:rsidRPr="0004576F">
        <w:t>, Paris, A</w:t>
      </w:r>
      <w:r w:rsidRPr="0004576F">
        <w:t>r</w:t>
      </w:r>
      <w:r w:rsidRPr="0004576F">
        <w:t xml:space="preserve">mand Colin, 1974 ; Françoise Dubois-Charlier, </w:t>
      </w:r>
      <w:r w:rsidRPr="0004576F">
        <w:rPr>
          <w:i/>
        </w:rPr>
        <w:t>Comment s’initier à la lingui</w:t>
      </w:r>
      <w:r w:rsidRPr="0004576F">
        <w:rPr>
          <w:i/>
        </w:rPr>
        <w:t>s</w:t>
      </w:r>
      <w:r w:rsidRPr="0004576F">
        <w:rPr>
          <w:i/>
        </w:rPr>
        <w:t>tique</w:t>
      </w:r>
      <w:r w:rsidRPr="0004576F">
        <w:t> », Paris, Larousse, 1975.</w:t>
      </w:r>
    </w:p>
  </w:footnote>
  <w:footnote w:id="1260">
    <w:p w14:paraId="6CBE0B16" w14:textId="77777777" w:rsidR="00B01930" w:rsidRDefault="00B01930">
      <w:pPr>
        <w:pStyle w:val="Notedebasdepage"/>
      </w:pPr>
      <w:r>
        <w:rPr>
          <w:rStyle w:val="Appelnotedebasdep"/>
        </w:rPr>
        <w:footnoteRef/>
      </w:r>
      <w:r>
        <w:t xml:space="preserve"> </w:t>
      </w:r>
      <w:r>
        <w:tab/>
      </w:r>
      <w:r w:rsidRPr="0004576F">
        <w:t>L’Autriche a pour destin de gouverner le monde, mais le sigle A</w:t>
      </w:r>
      <w:r w:rsidRPr="0004576F">
        <w:rPr>
          <w:smallCaps/>
        </w:rPr>
        <w:t>eiou</w:t>
      </w:r>
      <w:r w:rsidRPr="0004576F">
        <w:t xml:space="preserve"> pour aussi vouloir dire </w:t>
      </w:r>
      <w:r w:rsidRPr="0004576F">
        <w:rPr>
          <w:i/>
        </w:rPr>
        <w:t>Austriae erit in orbe ultima</w:t>
      </w:r>
      <w:r w:rsidRPr="0004576F">
        <w:t>, l’Autriche sera la dernière à survivre… Cf. François Bl</w:t>
      </w:r>
      <w:r w:rsidRPr="0004576F">
        <w:t>u</w:t>
      </w:r>
      <w:r w:rsidRPr="0004576F">
        <w:t xml:space="preserve">che, </w:t>
      </w:r>
      <w:r w:rsidRPr="0004576F">
        <w:rPr>
          <w:i/>
        </w:rPr>
        <w:t>Dictionnaire des citations et mots</w:t>
      </w:r>
      <w:r w:rsidRPr="0004576F">
        <w:t xml:space="preserve"> </w:t>
      </w:r>
      <w:r w:rsidRPr="0004576F">
        <w:rPr>
          <w:i/>
        </w:rPr>
        <w:t>historiques</w:t>
      </w:r>
      <w:r w:rsidRPr="0004576F">
        <w:t>, P</w:t>
      </w:r>
      <w:r w:rsidRPr="0004576F">
        <w:t>a</w:t>
      </w:r>
      <w:r w:rsidRPr="0004576F">
        <w:t>ris, Éd. du Rocher, 1997.</w:t>
      </w:r>
    </w:p>
  </w:footnote>
  <w:footnote w:id="1261">
    <w:p w14:paraId="51BC4F04" w14:textId="77777777" w:rsidR="00B01930" w:rsidRDefault="00B01930">
      <w:pPr>
        <w:pStyle w:val="Notedebasdepage"/>
      </w:pPr>
      <w:r>
        <w:rPr>
          <w:rStyle w:val="Appelnotedebasdep"/>
        </w:rPr>
        <w:footnoteRef/>
      </w:r>
      <w:r>
        <w:t xml:space="preserve"> </w:t>
      </w:r>
      <w:r>
        <w:tab/>
      </w:r>
      <w:r w:rsidRPr="0004576F">
        <w:t xml:space="preserve">Citons dans ces années-là les plus emblématiques : Samuel Huntington, </w:t>
      </w:r>
      <w:r w:rsidRPr="0004576F">
        <w:rPr>
          <w:i/>
        </w:rPr>
        <w:t>Le Choc des civ</w:t>
      </w:r>
      <w:r w:rsidRPr="0004576F">
        <w:rPr>
          <w:i/>
        </w:rPr>
        <w:t>i</w:t>
      </w:r>
      <w:r w:rsidRPr="0004576F">
        <w:rPr>
          <w:i/>
        </w:rPr>
        <w:t>lisations</w:t>
      </w:r>
      <w:r w:rsidRPr="0004576F">
        <w:t>, Paris, Odile Jacob, 1997 ; Jean-Christophe Rufin, « </w:t>
      </w:r>
      <w:r w:rsidRPr="0004576F">
        <w:rPr>
          <w:i/>
        </w:rPr>
        <w:t>L’Empire et les nouveaux barbares</w:t>
      </w:r>
      <w:r w:rsidRPr="0004576F">
        <w:t xml:space="preserve"> », Paris, Lattès, 1991 ; surtout cf. l’excellente synthèse dans </w:t>
      </w:r>
      <w:r w:rsidRPr="0004576F">
        <w:rPr>
          <w:i/>
        </w:rPr>
        <w:t>Troubler et inqui</w:t>
      </w:r>
      <w:r w:rsidRPr="0004576F">
        <w:rPr>
          <w:i/>
        </w:rPr>
        <w:t>é</w:t>
      </w:r>
      <w:r w:rsidRPr="0004576F">
        <w:rPr>
          <w:i/>
        </w:rPr>
        <w:t>ter, les discours du désordre international</w:t>
      </w:r>
      <w:r w:rsidRPr="0004576F">
        <w:t xml:space="preserve">, </w:t>
      </w:r>
      <w:r w:rsidRPr="0004576F">
        <w:rPr>
          <w:i/>
        </w:rPr>
        <w:t>Cultures et Conflits</w:t>
      </w:r>
      <w:r w:rsidRPr="0004576F">
        <w:t>, Paris, L’Harmattan, n°19-20, 1995.</w:t>
      </w:r>
    </w:p>
  </w:footnote>
  <w:footnote w:id="1262">
    <w:p w14:paraId="40302864" w14:textId="77777777" w:rsidR="00B01930" w:rsidRDefault="00B01930">
      <w:pPr>
        <w:pStyle w:val="Notedebasdepage"/>
      </w:pPr>
      <w:r>
        <w:rPr>
          <w:rStyle w:val="Appelnotedebasdep"/>
        </w:rPr>
        <w:footnoteRef/>
      </w:r>
      <w:r>
        <w:t xml:space="preserve"> </w:t>
      </w:r>
      <w:r>
        <w:tab/>
      </w:r>
      <w:r w:rsidRPr="0004576F">
        <w:t xml:space="preserve">Nous avions ébauché une épure de notre réflexion dans notre article </w:t>
      </w:r>
      <w:r w:rsidRPr="0004576F">
        <w:rPr>
          <w:i/>
        </w:rPr>
        <w:t>Co</w:t>
      </w:r>
      <w:r w:rsidRPr="0004576F">
        <w:rPr>
          <w:i/>
        </w:rPr>
        <w:t>m</w:t>
      </w:r>
      <w:r w:rsidRPr="0004576F">
        <w:rPr>
          <w:i/>
        </w:rPr>
        <w:t>prendre les relations internationales</w:t>
      </w:r>
      <w:r w:rsidRPr="0004576F">
        <w:t xml:space="preserve">, revue </w:t>
      </w:r>
      <w:r w:rsidRPr="0004576F">
        <w:rPr>
          <w:i/>
        </w:rPr>
        <w:t>Les Petites aff</w:t>
      </w:r>
      <w:r w:rsidRPr="0004576F">
        <w:rPr>
          <w:i/>
        </w:rPr>
        <w:t>i</w:t>
      </w:r>
      <w:r w:rsidRPr="0004576F">
        <w:rPr>
          <w:i/>
        </w:rPr>
        <w:t>ches</w:t>
      </w:r>
      <w:r w:rsidRPr="0004576F">
        <w:t>, 76, 24 juin 1988.</w:t>
      </w:r>
    </w:p>
  </w:footnote>
  <w:footnote w:id="1263">
    <w:p w14:paraId="128A594D" w14:textId="77777777" w:rsidR="00B01930" w:rsidRDefault="00B01930">
      <w:pPr>
        <w:pStyle w:val="Notedebasdepage"/>
      </w:pPr>
      <w:r>
        <w:rPr>
          <w:rStyle w:val="Appelnotedebasdep"/>
        </w:rPr>
        <w:footnoteRef/>
      </w:r>
      <w:r>
        <w:t xml:space="preserve"> </w:t>
      </w:r>
      <w:r>
        <w:tab/>
      </w:r>
      <w:r w:rsidRPr="0004576F">
        <w:t xml:space="preserve">Ludwig Von Bertallanfy, </w:t>
      </w:r>
      <w:r w:rsidRPr="0004576F">
        <w:rPr>
          <w:i/>
        </w:rPr>
        <w:t>Théorie générale des systèmes</w:t>
      </w:r>
      <w:r w:rsidRPr="0004576F">
        <w:t xml:space="preserve">, Paris, Dunod, 1987 ; Bernard Walliser, </w:t>
      </w:r>
      <w:r w:rsidRPr="0004576F">
        <w:rPr>
          <w:i/>
        </w:rPr>
        <w:t>Systèmes et modèles</w:t>
      </w:r>
      <w:r w:rsidRPr="0004576F">
        <w:t>, Paris, Le Seuil, 1977 ; Jean-Jacques Roche</w:t>
      </w:r>
      <w:r w:rsidRPr="0004576F">
        <w:rPr>
          <w:i/>
        </w:rPr>
        <w:t xml:space="preserve">, </w:t>
      </w:r>
      <w:r w:rsidRPr="0004576F">
        <w:t>Paris,</w:t>
      </w:r>
      <w:r w:rsidRPr="0004576F">
        <w:rPr>
          <w:i/>
        </w:rPr>
        <w:t xml:space="preserve"> Théorie des relations internationales</w:t>
      </w:r>
      <w:r w:rsidRPr="0004576F">
        <w:t>, Paris, Montchrestien, 2</w:t>
      </w:r>
      <w:r w:rsidRPr="0004576F">
        <w:rPr>
          <w:vertAlign w:val="superscript"/>
        </w:rPr>
        <w:t>e</w:t>
      </w:r>
      <w:r w:rsidRPr="0004576F">
        <w:t xml:space="preserve"> éd., 1997 ; Philippe Braillard, </w:t>
      </w:r>
      <w:r w:rsidRPr="0004576F">
        <w:rPr>
          <w:i/>
        </w:rPr>
        <w:t>Théorie des systèmes et relations internation</w:t>
      </w:r>
      <w:r w:rsidRPr="0004576F">
        <w:rPr>
          <w:i/>
        </w:rPr>
        <w:t>a</w:t>
      </w:r>
      <w:r w:rsidRPr="0004576F">
        <w:rPr>
          <w:i/>
        </w:rPr>
        <w:t>les</w:t>
      </w:r>
      <w:r w:rsidRPr="0004576F">
        <w:t xml:space="preserve">, Bruxelles, Bruylant, 1977 ; Jean Viet, </w:t>
      </w:r>
      <w:r w:rsidRPr="0004576F">
        <w:rPr>
          <w:i/>
        </w:rPr>
        <w:t>Les Méthodes structurali</w:t>
      </w:r>
      <w:r w:rsidRPr="0004576F">
        <w:rPr>
          <w:i/>
        </w:rPr>
        <w:t>s</w:t>
      </w:r>
      <w:r w:rsidRPr="0004576F">
        <w:rPr>
          <w:i/>
        </w:rPr>
        <w:t>tes dans les sciences sociales</w:t>
      </w:r>
      <w:r w:rsidRPr="0004576F">
        <w:t>, Paris, La Haye, éd. Mouton, 1965, chapitre 6.</w:t>
      </w:r>
    </w:p>
  </w:footnote>
  <w:footnote w:id="1264">
    <w:p w14:paraId="609091B3" w14:textId="77777777" w:rsidR="00B01930" w:rsidRDefault="00B01930">
      <w:pPr>
        <w:pStyle w:val="Notedebasdepage"/>
      </w:pPr>
      <w:r>
        <w:rPr>
          <w:rStyle w:val="Appelnotedebasdep"/>
        </w:rPr>
        <w:footnoteRef/>
      </w:r>
      <w:r>
        <w:t xml:space="preserve"> </w:t>
      </w:r>
      <w:r>
        <w:tab/>
      </w:r>
      <w:r w:rsidRPr="0004576F">
        <w:t>L’animal connaît le signal, pas le Signe, c’est-à-dire ce qui fait sens (et inte</w:t>
      </w:r>
      <w:r w:rsidRPr="0004576F">
        <w:t>r</w:t>
      </w:r>
      <w:r w:rsidRPr="0004576F">
        <w:t xml:space="preserve">prétation), Georges Gusdorf, cité par Philippe Breton, </w:t>
      </w:r>
      <w:r w:rsidRPr="0004576F">
        <w:rPr>
          <w:i/>
        </w:rPr>
        <w:t>La Parole manipulée</w:t>
      </w:r>
      <w:r w:rsidRPr="0004576F">
        <w:t>, P</w:t>
      </w:r>
      <w:r w:rsidRPr="0004576F">
        <w:t>a</w:t>
      </w:r>
      <w:r w:rsidRPr="0004576F">
        <w:t>ris, La Découverte, 1997.</w:t>
      </w:r>
    </w:p>
  </w:footnote>
  <w:footnote w:id="1265">
    <w:p w14:paraId="253258BF" w14:textId="77777777" w:rsidR="00B01930" w:rsidRDefault="00B01930">
      <w:pPr>
        <w:pStyle w:val="Notedebasdepage"/>
      </w:pPr>
      <w:r>
        <w:rPr>
          <w:rStyle w:val="Appelnotedebasdep"/>
        </w:rPr>
        <w:footnoteRef/>
      </w:r>
      <w:r>
        <w:t xml:space="preserve"> </w:t>
      </w:r>
      <w:r>
        <w:tab/>
      </w:r>
      <w:r w:rsidRPr="0004576F">
        <w:t>Les juristes de Droit international public, par exemple, utilisent bien souvent dans leurs ouvrages le mot « système » sans que cela change quoi que ce soit à leur approche.</w:t>
      </w:r>
    </w:p>
  </w:footnote>
  <w:footnote w:id="1266">
    <w:p w14:paraId="17834D43" w14:textId="77777777" w:rsidR="00B01930" w:rsidRDefault="00B01930">
      <w:pPr>
        <w:pStyle w:val="Notedebasdepage"/>
      </w:pPr>
      <w:r>
        <w:rPr>
          <w:rStyle w:val="Appelnotedebasdep"/>
        </w:rPr>
        <w:footnoteRef/>
      </w:r>
      <w:r>
        <w:t xml:space="preserve"> </w:t>
      </w:r>
      <w:r>
        <w:tab/>
      </w:r>
      <w:r w:rsidRPr="0004576F">
        <w:t>Cf. notamment Marcel Merle, « </w:t>
      </w:r>
      <w:r w:rsidRPr="0004576F">
        <w:rPr>
          <w:i/>
        </w:rPr>
        <w:t>Sociologie des relations intern</w:t>
      </w:r>
      <w:r w:rsidRPr="0004576F">
        <w:rPr>
          <w:i/>
        </w:rPr>
        <w:t>a</w:t>
      </w:r>
      <w:r w:rsidRPr="0004576F">
        <w:rPr>
          <w:i/>
        </w:rPr>
        <w:t>tionales</w:t>
      </w:r>
      <w:r w:rsidRPr="0004576F">
        <w:t> », Paris, Dalloz, 3</w:t>
      </w:r>
      <w:r w:rsidRPr="0004576F">
        <w:rPr>
          <w:vertAlign w:val="superscript"/>
        </w:rPr>
        <w:t>e</w:t>
      </w:r>
      <w:r w:rsidRPr="0004576F">
        <w:t xml:space="preserve"> éd., 1982 ; « Forces</w:t>
      </w:r>
      <w:r w:rsidRPr="0004576F">
        <w:rPr>
          <w:i/>
        </w:rPr>
        <w:t xml:space="preserve"> et enjeux dans les relations internation</w:t>
      </w:r>
      <w:r w:rsidRPr="0004576F">
        <w:rPr>
          <w:i/>
        </w:rPr>
        <w:t>a</w:t>
      </w:r>
      <w:r w:rsidRPr="0004576F">
        <w:rPr>
          <w:i/>
        </w:rPr>
        <w:t>les</w:t>
      </w:r>
      <w:r w:rsidRPr="0004576F">
        <w:t> », Paris, Économica, 1</w:t>
      </w:r>
      <w:r w:rsidRPr="0004576F">
        <w:rPr>
          <w:vertAlign w:val="superscript"/>
        </w:rPr>
        <w:t>ere</w:t>
      </w:r>
      <w:r w:rsidRPr="0004576F">
        <w:t xml:space="preserve"> éd., 1981 ; Pierre de Sernaclens</w:t>
      </w:r>
      <w:r w:rsidRPr="0004576F">
        <w:rPr>
          <w:i/>
        </w:rPr>
        <w:t>, La Politique i</w:t>
      </w:r>
      <w:r w:rsidRPr="0004576F">
        <w:rPr>
          <w:i/>
        </w:rPr>
        <w:t>n</w:t>
      </w:r>
      <w:r w:rsidRPr="0004576F">
        <w:rPr>
          <w:i/>
        </w:rPr>
        <w:t>ternationale</w:t>
      </w:r>
      <w:r w:rsidRPr="0004576F">
        <w:t>, Paris, Armand Colin, col. « Cursus », 2</w:t>
      </w:r>
      <w:r w:rsidRPr="0004576F">
        <w:rPr>
          <w:vertAlign w:val="superscript"/>
        </w:rPr>
        <w:t>e</w:t>
      </w:r>
      <w:r w:rsidRPr="0004576F">
        <w:t xml:space="preserve"> éd., 1998 ; « </w:t>
      </w:r>
      <w:r w:rsidRPr="0004576F">
        <w:rPr>
          <w:i/>
        </w:rPr>
        <w:t>Théorie des relations intern</w:t>
      </w:r>
      <w:r w:rsidRPr="0004576F">
        <w:rPr>
          <w:i/>
        </w:rPr>
        <w:t>a</w:t>
      </w:r>
      <w:r w:rsidRPr="0004576F">
        <w:rPr>
          <w:i/>
        </w:rPr>
        <w:t>tionales</w:t>
      </w:r>
      <w:r w:rsidRPr="0004576F">
        <w:t xml:space="preserve"> », </w:t>
      </w:r>
      <w:r w:rsidRPr="0004576F">
        <w:rPr>
          <w:i/>
        </w:rPr>
        <w:t>supra</w:t>
      </w:r>
      <w:r w:rsidRPr="0004576F">
        <w:t>, note 19.</w:t>
      </w:r>
    </w:p>
  </w:footnote>
  <w:footnote w:id="1267">
    <w:p w14:paraId="2337CDD2" w14:textId="77777777" w:rsidR="00B01930" w:rsidRDefault="00B01930">
      <w:pPr>
        <w:pStyle w:val="Notedebasdepage"/>
      </w:pPr>
      <w:r>
        <w:rPr>
          <w:rStyle w:val="Appelnotedebasdep"/>
        </w:rPr>
        <w:footnoteRef/>
      </w:r>
      <w:r>
        <w:t xml:space="preserve"> </w:t>
      </w:r>
      <w:r>
        <w:tab/>
      </w:r>
      <w:r w:rsidRPr="0004576F">
        <w:t>On pense bien évidemment à « l’effet papillon » (terme quelque peu galvaudé et qui ne date pas d’aujourd’hui), issu des sciences ph</w:t>
      </w:r>
      <w:r w:rsidRPr="0004576F">
        <w:t>y</w:t>
      </w:r>
      <w:r w:rsidRPr="0004576F">
        <w:t>siques en l’occurrence de « la théorie du chaos », sur cette théorie, cf. n</w:t>
      </w:r>
      <w:r w:rsidRPr="0004576F">
        <w:t>o</w:t>
      </w:r>
      <w:r w:rsidRPr="0004576F">
        <w:t xml:space="preserve">tamment James Gleick, </w:t>
      </w:r>
      <w:r w:rsidRPr="0004576F">
        <w:rPr>
          <w:i/>
        </w:rPr>
        <w:t>La Théorie</w:t>
      </w:r>
      <w:r w:rsidRPr="0004576F">
        <w:t xml:space="preserve"> </w:t>
      </w:r>
      <w:r w:rsidRPr="0004576F">
        <w:rPr>
          <w:i/>
        </w:rPr>
        <w:t>du chaos, vers une nouvelle science </w:t>
      </w:r>
      <w:r w:rsidRPr="0004576F">
        <w:t xml:space="preserve">», Paris, Albin Michel, 1989 ; Ian Stewart, </w:t>
      </w:r>
      <w:r w:rsidRPr="0004576F">
        <w:rPr>
          <w:i/>
        </w:rPr>
        <w:t>Dieu joue-t-il aux Dés ?</w:t>
      </w:r>
      <w:r w:rsidRPr="0004576F">
        <w:t>, P</w:t>
      </w:r>
      <w:r w:rsidRPr="0004576F">
        <w:t>a</w:t>
      </w:r>
      <w:r w:rsidRPr="0004576F">
        <w:t>ris, Flammarion, 1992.</w:t>
      </w:r>
    </w:p>
  </w:footnote>
  <w:footnote w:id="1268">
    <w:p w14:paraId="2EDFB9E5" w14:textId="77777777" w:rsidR="00B01930" w:rsidRDefault="00B01930">
      <w:pPr>
        <w:pStyle w:val="Notedebasdepage"/>
      </w:pPr>
      <w:r>
        <w:rPr>
          <w:rStyle w:val="Appelnotedebasdep"/>
        </w:rPr>
        <w:footnoteRef/>
      </w:r>
      <w:r>
        <w:t xml:space="preserve"> </w:t>
      </w:r>
      <w:r>
        <w:tab/>
      </w:r>
      <w:r w:rsidRPr="0004576F">
        <w:t>Voir déjà en 1987, Bertrand Warusfel, Patrick Follea, « Contribution à une réflexion sur les stratégies indire</w:t>
      </w:r>
      <w:r w:rsidRPr="0004576F">
        <w:t>c</w:t>
      </w:r>
      <w:r w:rsidRPr="0004576F">
        <w:t xml:space="preserve">tes », Paris, </w:t>
      </w:r>
      <w:r w:rsidRPr="0004576F">
        <w:rPr>
          <w:i/>
        </w:rPr>
        <w:t>Stratégique</w:t>
      </w:r>
      <w:r w:rsidRPr="0004576F">
        <w:t>, n° 4, 1987.</w:t>
      </w:r>
    </w:p>
  </w:footnote>
  <w:footnote w:id="1269">
    <w:p w14:paraId="57EB6067" w14:textId="77777777" w:rsidR="00B01930" w:rsidRDefault="00B01930">
      <w:pPr>
        <w:pStyle w:val="Notedebasdepage"/>
      </w:pPr>
      <w:r>
        <w:rPr>
          <w:rStyle w:val="Appelnotedebasdep"/>
        </w:rPr>
        <w:footnoteRef/>
      </w:r>
      <w:r>
        <w:t xml:space="preserve"> </w:t>
      </w:r>
      <w:r>
        <w:tab/>
      </w:r>
      <w:r w:rsidRPr="0004576F">
        <w:rPr>
          <w:i/>
        </w:rPr>
        <w:t>Ibid</w:t>
      </w:r>
      <w:r w:rsidRPr="0004576F">
        <w:t>.</w:t>
      </w:r>
    </w:p>
  </w:footnote>
  <w:footnote w:id="1270">
    <w:p w14:paraId="7BDE43EE" w14:textId="77777777" w:rsidR="00B01930" w:rsidRDefault="00B01930">
      <w:pPr>
        <w:pStyle w:val="Notedebasdepage"/>
      </w:pPr>
      <w:r>
        <w:rPr>
          <w:rStyle w:val="Appelnotedebasdep"/>
        </w:rPr>
        <w:footnoteRef/>
      </w:r>
      <w:r>
        <w:t xml:space="preserve"> </w:t>
      </w:r>
      <w:r>
        <w:tab/>
      </w:r>
      <w:r w:rsidRPr="0004576F">
        <w:t xml:space="preserve">Raymond Aron, </w:t>
      </w:r>
      <w:r w:rsidRPr="0004576F">
        <w:rPr>
          <w:i/>
        </w:rPr>
        <w:t>Paix et guerre entre les nations</w:t>
      </w:r>
      <w:r w:rsidRPr="0004576F">
        <w:t>, Paris, Calmann-Lévy, 1962, p. 108 et suiv.</w:t>
      </w:r>
    </w:p>
  </w:footnote>
  <w:footnote w:id="1271">
    <w:p w14:paraId="18E0EC9C" w14:textId="77777777" w:rsidR="00B01930" w:rsidRDefault="00B01930">
      <w:pPr>
        <w:pStyle w:val="Notedebasdepage"/>
      </w:pPr>
      <w:r>
        <w:rPr>
          <w:rStyle w:val="Appelnotedebasdep"/>
        </w:rPr>
        <w:footnoteRef/>
      </w:r>
      <w:r>
        <w:t xml:space="preserve"> </w:t>
      </w:r>
      <w:r>
        <w:tab/>
      </w:r>
      <w:r w:rsidRPr="0004576F">
        <w:t>Jean-Louis Martres.</w:t>
      </w:r>
    </w:p>
  </w:footnote>
  <w:footnote w:id="1272">
    <w:p w14:paraId="07E1ECEC" w14:textId="77777777" w:rsidR="00B01930" w:rsidRDefault="00B01930">
      <w:pPr>
        <w:pStyle w:val="Notedebasdepage"/>
      </w:pPr>
      <w:r>
        <w:rPr>
          <w:rStyle w:val="Appelnotedebasdep"/>
        </w:rPr>
        <w:footnoteRef/>
      </w:r>
      <w:r>
        <w:t xml:space="preserve"> </w:t>
      </w:r>
      <w:r>
        <w:tab/>
      </w:r>
      <w:r w:rsidRPr="0004576F">
        <w:t xml:space="preserve">Dès 1972 puis affinée dans un </w:t>
      </w:r>
      <w:r w:rsidRPr="0004576F">
        <w:rPr>
          <w:i/>
        </w:rPr>
        <w:t>opus</w:t>
      </w:r>
      <w:r w:rsidRPr="0004576F">
        <w:t xml:space="preserve"> communiqué à l’auteur de ces lignes : « La Puissance comme lieu commun des relations intern</w:t>
      </w:r>
      <w:r w:rsidRPr="0004576F">
        <w:t>a</w:t>
      </w:r>
      <w:r w:rsidRPr="0004576F">
        <w:t>tionales ou le retour de la Puissance</w:t>
      </w:r>
      <w:r w:rsidRPr="0004576F">
        <w:rPr>
          <w:i/>
        </w:rPr>
        <w:t> </w:t>
      </w:r>
      <w:r w:rsidRPr="0004576F">
        <w:t xml:space="preserve">», 1995, 31 pages – et publié </w:t>
      </w:r>
      <w:r w:rsidRPr="0004576F">
        <w:rPr>
          <w:i/>
        </w:rPr>
        <w:t>in fine</w:t>
      </w:r>
      <w:r w:rsidRPr="0004576F">
        <w:t xml:space="preserve"> en 2007, </w:t>
      </w:r>
      <w:r w:rsidRPr="0004576F">
        <w:rPr>
          <w:smallCaps/>
        </w:rPr>
        <w:t>Afri</w:t>
      </w:r>
      <w:r w:rsidRPr="0004576F">
        <w:t xml:space="preserve"> (</w:t>
      </w:r>
      <w:r w:rsidRPr="0004576F">
        <w:rPr>
          <w:i/>
        </w:rPr>
        <w:t>Annuaire Fra</w:t>
      </w:r>
      <w:r w:rsidRPr="0004576F">
        <w:rPr>
          <w:i/>
        </w:rPr>
        <w:t>n</w:t>
      </w:r>
      <w:r w:rsidRPr="0004576F">
        <w:rPr>
          <w:i/>
        </w:rPr>
        <w:t>çais des Relations internationales</w:t>
      </w:r>
      <w:r w:rsidRPr="0004576F">
        <w:t>) volume VIII-20-03, 2008 ; Bruxelles, Bruylant, Centre Th</w:t>
      </w:r>
      <w:r w:rsidRPr="0004576F">
        <w:t>u</w:t>
      </w:r>
      <w:r w:rsidRPr="0004576F">
        <w:t xml:space="preserve">cydide, Panthéon Assas, Paris. Repris dans l’ouvrage collectif, sous la direction de Michel Bergès, </w:t>
      </w:r>
      <w:hyperlink r:id="rId54" w:history="1">
        <w:r w:rsidRPr="000F6683">
          <w:rPr>
            <w:rStyle w:val="Hyperlien"/>
            <w:i/>
          </w:rPr>
          <w:t>Penser les</w:t>
        </w:r>
        <w:r w:rsidRPr="000F6683">
          <w:rPr>
            <w:rStyle w:val="Hyperlien"/>
          </w:rPr>
          <w:t xml:space="preserve"> </w:t>
        </w:r>
        <w:r w:rsidRPr="000F6683">
          <w:rPr>
            <w:rStyle w:val="Hyperlien"/>
            <w:i/>
          </w:rPr>
          <w:t>relations internati</w:t>
        </w:r>
        <w:r w:rsidRPr="000F6683">
          <w:rPr>
            <w:rStyle w:val="Hyperlien"/>
            <w:i/>
          </w:rPr>
          <w:t>o</w:t>
        </w:r>
        <w:r w:rsidRPr="000F6683">
          <w:rPr>
            <w:rStyle w:val="Hyperlien"/>
            <w:i/>
          </w:rPr>
          <w:t>nales</w:t>
        </w:r>
      </w:hyperlink>
      <w:r w:rsidRPr="0004576F">
        <w:t xml:space="preserve">, Paris, L’Harmattan, 2008, 472 pages (consultable aussi gratuitement sur le site de  l’Université  du </w:t>
      </w:r>
      <w:r>
        <w:t>Québec à Chicoutimi, Canada, « L</w:t>
      </w:r>
      <w:r w:rsidRPr="0004576F">
        <w:t xml:space="preserve">es </w:t>
      </w:r>
      <w:r>
        <w:t>C</w:t>
      </w:r>
      <w:r w:rsidRPr="0004576F">
        <w:t>lass</w:t>
      </w:r>
      <w:r w:rsidRPr="0004576F">
        <w:t>i</w:t>
      </w:r>
      <w:r w:rsidRPr="0004576F">
        <w:t>ques d</w:t>
      </w:r>
      <w:r>
        <w:t>es sciences sociales »)</w:t>
      </w:r>
      <w:r w:rsidRPr="0004576F">
        <w:t>.</w:t>
      </w:r>
    </w:p>
    <w:p w14:paraId="014AE1D2" w14:textId="77777777" w:rsidR="00B01930" w:rsidRDefault="00B01930">
      <w:pPr>
        <w:pStyle w:val="Notedebasdepage"/>
      </w:pPr>
      <w:r>
        <w:tab/>
      </w:r>
      <w:r>
        <w:tab/>
      </w:r>
      <w:r w:rsidRPr="0004576F">
        <w:t>Si la notion de « Puissance » est empruntée à Jean-Louis Martres en r</w:t>
      </w:r>
      <w:r w:rsidRPr="0004576F">
        <w:t>e</w:t>
      </w:r>
      <w:r w:rsidRPr="0004576F">
        <w:t>vanche le m</w:t>
      </w:r>
      <w:r w:rsidRPr="0004576F">
        <w:t>o</w:t>
      </w:r>
      <w:r w:rsidRPr="0004576F">
        <w:t>dèle construit et l’enchaînement qui sont proposés nous sont propres.</w:t>
      </w:r>
    </w:p>
  </w:footnote>
  <w:footnote w:id="1273">
    <w:p w14:paraId="30C5DEBA" w14:textId="77777777" w:rsidR="00B01930" w:rsidRDefault="00B01930">
      <w:pPr>
        <w:pStyle w:val="Notedebasdepage"/>
      </w:pPr>
      <w:r>
        <w:rPr>
          <w:rStyle w:val="Appelnotedebasdep"/>
        </w:rPr>
        <w:footnoteRef/>
      </w:r>
      <w:r>
        <w:t xml:space="preserve"> </w:t>
      </w:r>
      <w:r>
        <w:tab/>
      </w:r>
      <w:r w:rsidRPr="0004576F">
        <w:t xml:space="preserve">Jean-Louis Martres, </w:t>
      </w:r>
      <w:r w:rsidRPr="0004576F">
        <w:rPr>
          <w:i/>
        </w:rPr>
        <w:t>op. cit.</w:t>
      </w:r>
    </w:p>
  </w:footnote>
  <w:footnote w:id="1274">
    <w:p w14:paraId="31FE4A35" w14:textId="77777777" w:rsidR="00B01930" w:rsidRDefault="00B01930">
      <w:pPr>
        <w:pStyle w:val="Notedebasdepage"/>
      </w:pPr>
      <w:r>
        <w:rPr>
          <w:rStyle w:val="Appelnotedebasdep"/>
        </w:rPr>
        <w:footnoteRef/>
      </w:r>
      <w:r>
        <w:t xml:space="preserve"> </w:t>
      </w:r>
      <w:r>
        <w:tab/>
      </w:r>
      <w:r w:rsidRPr="0004576F">
        <w:t>Pour une application de ce principe, voir Jean-Louis Martres, « Les effets i</w:t>
      </w:r>
      <w:r w:rsidRPr="0004576F">
        <w:t>n</w:t>
      </w:r>
      <w:r w:rsidRPr="0004576F">
        <w:t xml:space="preserve">duits de la Puissance soviétique » in : </w:t>
      </w:r>
      <w:r w:rsidRPr="0004576F">
        <w:rPr>
          <w:i/>
        </w:rPr>
        <w:t>L’Union soviét</w:t>
      </w:r>
      <w:r w:rsidRPr="0004576F">
        <w:rPr>
          <w:i/>
        </w:rPr>
        <w:t>i</w:t>
      </w:r>
      <w:r w:rsidRPr="0004576F">
        <w:rPr>
          <w:i/>
        </w:rPr>
        <w:t>que dans les relations internationales</w:t>
      </w:r>
      <w:r w:rsidRPr="0004576F">
        <w:t xml:space="preserve">, Jean-Louis Martres </w:t>
      </w:r>
      <w:r w:rsidRPr="0004576F">
        <w:rPr>
          <w:i/>
        </w:rPr>
        <w:t>et alii</w:t>
      </w:r>
      <w:r w:rsidRPr="0004576F">
        <w:t>, P</w:t>
      </w:r>
      <w:r w:rsidRPr="0004576F">
        <w:t>a</w:t>
      </w:r>
      <w:r w:rsidRPr="0004576F">
        <w:t>ris, Économica, 1982.</w:t>
      </w:r>
    </w:p>
  </w:footnote>
  <w:footnote w:id="1275">
    <w:p w14:paraId="0371A0EC" w14:textId="77777777" w:rsidR="00B01930" w:rsidRDefault="00B01930">
      <w:pPr>
        <w:pStyle w:val="Notedebasdepage"/>
      </w:pPr>
      <w:r>
        <w:rPr>
          <w:rStyle w:val="Appelnotedebasdep"/>
        </w:rPr>
        <w:footnoteRef/>
      </w:r>
      <w:r>
        <w:t xml:space="preserve"> </w:t>
      </w:r>
      <w:r>
        <w:tab/>
      </w:r>
      <w:r w:rsidRPr="0004576F">
        <w:t>Au sens où l’entend Jean-Louis Martres, voir ci-après, « De la bonne compr</w:t>
      </w:r>
      <w:r w:rsidRPr="0004576F">
        <w:t>é</w:t>
      </w:r>
      <w:r w:rsidRPr="0004576F">
        <w:t>hension du Bien et du Mal, ruse et métamorphose de la morale en relations i</w:t>
      </w:r>
      <w:r w:rsidRPr="0004576F">
        <w:t>n</w:t>
      </w:r>
      <w:r w:rsidRPr="0004576F">
        <w:t>ternationales </w:t>
      </w:r>
      <w:r w:rsidRPr="0004576F">
        <w:rPr>
          <w:i/>
        </w:rPr>
        <w:t>»</w:t>
      </w:r>
      <w:r w:rsidRPr="0004576F">
        <w:t>, c’est-à-dire, pour faire court et reprendre une term</w:t>
      </w:r>
      <w:r w:rsidRPr="0004576F">
        <w:t>i</w:t>
      </w:r>
      <w:r w:rsidRPr="0004576F">
        <w:t>nologie aronienne, les religions et les « religions séculières ». Sur cette dernière notion voir : Raymond Aron, « </w:t>
      </w:r>
      <w:r w:rsidRPr="0004576F">
        <w:rPr>
          <w:i/>
        </w:rPr>
        <w:t>Une Histoire du XX</w:t>
      </w:r>
      <w:r w:rsidRPr="0004576F">
        <w:rPr>
          <w:i/>
          <w:vertAlign w:val="superscript"/>
        </w:rPr>
        <w:t>e</w:t>
      </w:r>
      <w:r w:rsidRPr="0004576F">
        <w:rPr>
          <w:vertAlign w:val="superscript"/>
        </w:rPr>
        <w:t xml:space="preserve"> </w:t>
      </w:r>
      <w:r w:rsidRPr="0004576F">
        <w:rPr>
          <w:i/>
        </w:rPr>
        <w:t>Siècle </w:t>
      </w:r>
      <w:r w:rsidRPr="0004576F">
        <w:t>», Plon, 1996, p. 139 et suiv., et les commentaires dans la contribution méth</w:t>
      </w:r>
      <w:r w:rsidRPr="0004576F">
        <w:t>o</w:t>
      </w:r>
      <w:r w:rsidRPr="0004576F">
        <w:t xml:space="preserve">dologique de Michel Bergès, </w:t>
      </w:r>
      <w:r w:rsidRPr="0004576F">
        <w:rPr>
          <w:i/>
        </w:rPr>
        <w:t>supra</w:t>
      </w:r>
      <w:r w:rsidRPr="0004576F">
        <w:t>, « Analyser le nazisme en « idées » ? Questions épistémolog</w:t>
      </w:r>
      <w:r w:rsidRPr="0004576F">
        <w:t>i</w:t>
      </w:r>
      <w:r w:rsidRPr="0004576F">
        <w:t>ques ».</w:t>
      </w:r>
    </w:p>
  </w:footnote>
  <w:footnote w:id="1276">
    <w:p w14:paraId="39372868" w14:textId="77777777" w:rsidR="00B01930" w:rsidRDefault="00B01930">
      <w:pPr>
        <w:pStyle w:val="Notedebasdepage"/>
      </w:pPr>
      <w:r>
        <w:rPr>
          <w:rStyle w:val="Appelnotedebasdep"/>
        </w:rPr>
        <w:footnoteRef/>
      </w:r>
      <w:r>
        <w:t xml:space="preserve"> </w:t>
      </w:r>
      <w:r>
        <w:tab/>
      </w:r>
      <w:r w:rsidRPr="0004576F">
        <w:t>« </w:t>
      </w:r>
      <w:r w:rsidRPr="0004576F">
        <w:rPr>
          <w:i/>
        </w:rPr>
        <w:t>Les voyages du Pape sont des tournées politiques, le Pape lève des troupes car sa priorité est le renforc</w:t>
      </w:r>
      <w:r w:rsidRPr="0004576F">
        <w:rPr>
          <w:i/>
        </w:rPr>
        <w:t>e</w:t>
      </w:r>
      <w:r w:rsidRPr="0004576F">
        <w:rPr>
          <w:i/>
        </w:rPr>
        <w:t>ment de l’Institution </w:t>
      </w:r>
      <w:r w:rsidRPr="0004576F">
        <w:t xml:space="preserve">» dit un auteur à propos de Jean Paul II ; Philippe Delmas, </w:t>
      </w:r>
      <w:r w:rsidRPr="0004576F">
        <w:rPr>
          <w:i/>
        </w:rPr>
        <w:t>Le Bel Avenir de la guerre</w:t>
      </w:r>
      <w:r w:rsidRPr="0004576F">
        <w:t>, Paris, Gallimard, 1995, qui soulignait l’indifférence du Vatican dans le conflit Yougoslave tant que les États catholiques ne furent pas reco</w:t>
      </w:r>
      <w:r w:rsidRPr="0004576F">
        <w:t>n</w:t>
      </w:r>
      <w:r w:rsidRPr="0004576F">
        <w:t>nus.</w:t>
      </w:r>
    </w:p>
  </w:footnote>
  <w:footnote w:id="1277">
    <w:p w14:paraId="1415F57D" w14:textId="77777777" w:rsidR="00B01930" w:rsidRDefault="00B01930">
      <w:pPr>
        <w:pStyle w:val="Notedebasdepage"/>
      </w:pPr>
      <w:r>
        <w:rPr>
          <w:rStyle w:val="Appelnotedebasdep"/>
        </w:rPr>
        <w:footnoteRef/>
      </w:r>
      <w:r>
        <w:t xml:space="preserve"> </w:t>
      </w:r>
      <w:r>
        <w:tab/>
      </w:r>
      <w:r w:rsidRPr="0004576F">
        <w:t>Voir sur un plan plus général le conflit comme instrument d’influence par exce</w:t>
      </w:r>
      <w:r w:rsidRPr="0004576F">
        <w:t>l</w:t>
      </w:r>
      <w:r w:rsidRPr="0004576F">
        <w:t xml:space="preserve">lence, in </w:t>
      </w:r>
      <w:r w:rsidRPr="0004576F">
        <w:rPr>
          <w:i/>
        </w:rPr>
        <w:t>Sciences Humaines</w:t>
      </w:r>
      <w:r w:rsidRPr="0004576F">
        <w:t>, n°</w:t>
      </w:r>
      <w:r>
        <w:t> </w:t>
      </w:r>
      <w:r w:rsidRPr="0004576F">
        <w:t>74, juillet 1997.</w:t>
      </w:r>
    </w:p>
  </w:footnote>
  <w:footnote w:id="1278">
    <w:p w14:paraId="29777429" w14:textId="77777777" w:rsidR="00B01930" w:rsidRDefault="00B01930">
      <w:pPr>
        <w:pStyle w:val="Notedebasdepage"/>
      </w:pPr>
      <w:r>
        <w:rPr>
          <w:rStyle w:val="Appelnotedebasdep"/>
        </w:rPr>
        <w:footnoteRef/>
      </w:r>
      <w:r>
        <w:t xml:space="preserve"> </w:t>
      </w:r>
      <w:r>
        <w:tab/>
      </w:r>
      <w:r w:rsidRPr="0004576F">
        <w:t>L’hypothèse inverse est tout aussi vraie, une opinion « autarcique » et un Prince « ouvert ».</w:t>
      </w:r>
    </w:p>
  </w:footnote>
  <w:footnote w:id="1279">
    <w:p w14:paraId="66B001C3" w14:textId="77777777" w:rsidR="00B01930" w:rsidRDefault="00B01930">
      <w:pPr>
        <w:pStyle w:val="Notedebasdepage"/>
      </w:pPr>
      <w:r>
        <w:rPr>
          <w:rStyle w:val="Appelnotedebasdep"/>
        </w:rPr>
        <w:footnoteRef/>
      </w:r>
      <w:r>
        <w:t xml:space="preserve"> </w:t>
      </w:r>
      <w:r>
        <w:tab/>
      </w:r>
      <w:r w:rsidRPr="0004576F">
        <w:t>C’est la logique du système qui impose ses propres lois, conformément aux pr</w:t>
      </w:r>
      <w:r w:rsidRPr="0004576F">
        <w:t>o</w:t>
      </w:r>
      <w:r w:rsidRPr="0004576F">
        <w:t>priétés de tout système – on peut aussi penser au Droit constitutionnel et aux effets d’un régime électoral uninominal majoritaire à deux tours qui pou</w:t>
      </w:r>
      <w:r w:rsidRPr="0004576F">
        <w:t>s</w:t>
      </w:r>
      <w:r w:rsidRPr="0004576F">
        <w:t>se à la bipolarisation. Cf. la V</w:t>
      </w:r>
      <w:r w:rsidRPr="0004576F">
        <w:rPr>
          <w:vertAlign w:val="superscript"/>
        </w:rPr>
        <w:t>e</w:t>
      </w:r>
      <w:r w:rsidRPr="0004576F">
        <w:t xml:space="preserve"> R</w:t>
      </w:r>
      <w:r w:rsidRPr="0004576F">
        <w:t>é</w:t>
      </w:r>
      <w:r w:rsidRPr="0004576F">
        <w:t>publique française.</w:t>
      </w:r>
    </w:p>
  </w:footnote>
  <w:footnote w:id="1280">
    <w:p w14:paraId="094090E0" w14:textId="77777777" w:rsidR="00B01930" w:rsidRDefault="00B01930">
      <w:pPr>
        <w:pStyle w:val="Notedebasdepage"/>
      </w:pPr>
      <w:r>
        <w:rPr>
          <w:rStyle w:val="Appelnotedebasdep"/>
        </w:rPr>
        <w:footnoteRef/>
      </w:r>
      <w:r>
        <w:t xml:space="preserve"> </w:t>
      </w:r>
      <w:r>
        <w:tab/>
      </w:r>
      <w:r w:rsidRPr="0004576F">
        <w:t>C’est nous qui soulignons.</w:t>
      </w:r>
    </w:p>
  </w:footnote>
  <w:footnote w:id="1281">
    <w:p w14:paraId="0D029E98" w14:textId="77777777" w:rsidR="00B01930" w:rsidRDefault="00B01930">
      <w:pPr>
        <w:pStyle w:val="Notedebasdepage"/>
      </w:pPr>
      <w:r>
        <w:rPr>
          <w:rStyle w:val="Appelnotedebasdep"/>
        </w:rPr>
        <w:footnoteRef/>
      </w:r>
      <w:r>
        <w:t xml:space="preserve"> </w:t>
      </w:r>
      <w:r>
        <w:tab/>
      </w:r>
      <w:r w:rsidRPr="0004576F">
        <w:t>C’est nous qui soulignons.</w:t>
      </w:r>
    </w:p>
  </w:footnote>
  <w:footnote w:id="1282">
    <w:p w14:paraId="388AF00E" w14:textId="77777777" w:rsidR="00B01930" w:rsidRDefault="00B01930">
      <w:pPr>
        <w:pStyle w:val="Notedebasdepage"/>
      </w:pPr>
      <w:r>
        <w:rPr>
          <w:rStyle w:val="Appelnotedebasdep"/>
        </w:rPr>
        <w:footnoteRef/>
      </w:r>
      <w:r>
        <w:t xml:space="preserve"> </w:t>
      </w:r>
      <w:r>
        <w:tab/>
      </w:r>
      <w:r w:rsidRPr="0004576F">
        <w:t xml:space="preserve">Henry Kissinger, </w:t>
      </w:r>
      <w:r w:rsidRPr="0004576F">
        <w:rPr>
          <w:i/>
        </w:rPr>
        <w:t>Diplomatie</w:t>
      </w:r>
      <w:r w:rsidRPr="0004576F">
        <w:t>, Paris, Fayard, 1996, p. 741 – ce que nous pr</w:t>
      </w:r>
      <w:r w:rsidRPr="0004576F">
        <w:t>o</w:t>
      </w:r>
      <w:r w:rsidRPr="0004576F">
        <w:t>posions en 1988 se trouve validé par le praticien en 1996.</w:t>
      </w:r>
    </w:p>
  </w:footnote>
  <w:footnote w:id="1283">
    <w:p w14:paraId="452823D3" w14:textId="77777777" w:rsidR="00B01930" w:rsidRDefault="00B01930">
      <w:pPr>
        <w:pStyle w:val="Notedebasdepage"/>
      </w:pPr>
      <w:r>
        <w:rPr>
          <w:rStyle w:val="Appelnotedebasdep"/>
        </w:rPr>
        <w:footnoteRef/>
      </w:r>
      <w:r>
        <w:t xml:space="preserve"> </w:t>
      </w:r>
      <w:r>
        <w:tab/>
      </w:r>
      <w:r w:rsidRPr="0004576F">
        <w:t xml:space="preserve">Voir Jean-Baptiste Duroselle, </w:t>
      </w:r>
      <w:r w:rsidRPr="0004576F">
        <w:rPr>
          <w:i/>
        </w:rPr>
        <w:t>Tout Empire périra</w:t>
      </w:r>
      <w:r w:rsidRPr="0004576F">
        <w:t>, Paris, Armand Colin, 1992. Grand pourfendeur de théories, bien que le sous-titre de l’ouvrage soit « Théorie des relations i</w:t>
      </w:r>
      <w:r w:rsidRPr="0004576F">
        <w:t>n</w:t>
      </w:r>
      <w:r w:rsidRPr="0004576F">
        <w:t>ternationales », le livre, au demeurant un classique, énumère, décrit, mais ne nous expl</w:t>
      </w:r>
      <w:r w:rsidRPr="0004576F">
        <w:t>i</w:t>
      </w:r>
      <w:r w:rsidRPr="0004576F">
        <w:t>que pas vraiment pourquoi l’Empire est une constante des relations internati</w:t>
      </w:r>
      <w:r w:rsidRPr="0004576F">
        <w:t>o</w:t>
      </w:r>
      <w:r w:rsidRPr="0004576F">
        <w:t>nales.</w:t>
      </w:r>
    </w:p>
  </w:footnote>
  <w:footnote w:id="1284">
    <w:p w14:paraId="2FF32E38" w14:textId="77777777" w:rsidR="00B01930" w:rsidRDefault="00B01930">
      <w:pPr>
        <w:pStyle w:val="Notedebasdepage"/>
      </w:pPr>
      <w:r>
        <w:rPr>
          <w:rStyle w:val="Appelnotedebasdep"/>
        </w:rPr>
        <w:footnoteRef/>
      </w:r>
      <w:r>
        <w:t xml:space="preserve"> </w:t>
      </w:r>
      <w:r>
        <w:tab/>
      </w:r>
      <w:r w:rsidRPr="0004576F">
        <w:t>Il suffit de penser à l’Empire romain qui, en dépit du « joug » parfois imp</w:t>
      </w:r>
      <w:r w:rsidRPr="0004576F">
        <w:t>o</w:t>
      </w:r>
      <w:r w:rsidRPr="0004576F">
        <w:t>sé, exerçait une attraction et suscitait des demandes de protection car il incarnait la stabilité, donc la pro</w:t>
      </w:r>
      <w:r w:rsidRPr="0004576F">
        <w:t>s</w:t>
      </w:r>
      <w:r w:rsidRPr="0004576F">
        <w:t>périté et la paix. Il n’est que de constater l’attitude à l’égard des États-Unis aujourd’hui, critiqués, vilipendés,  mais on en appelle néanmoins à eux, pa</w:t>
      </w:r>
      <w:r w:rsidRPr="0004576F">
        <w:t>r</w:t>
      </w:r>
      <w:r w:rsidRPr="0004576F">
        <w:t>tout dans le monde, pour régler tel conflit, intervenir tous azimuts, dès qu’il y a guerres civiles, famines, crises politiques, etc., dema</w:t>
      </w:r>
      <w:r w:rsidRPr="0004576F">
        <w:t>n</w:t>
      </w:r>
      <w:r w:rsidRPr="0004576F">
        <w:t>des qui viennent même de ceux qui, individus, États ou medias, les a</w:t>
      </w:r>
      <w:r w:rsidRPr="0004576F">
        <w:t>c</w:t>
      </w:r>
      <w:r w:rsidRPr="0004576F">
        <w:t>cusaient , la veille « d’impérialisme »… et accusent les mêmes États-Unis d’égoïsme, lorsque ceux-ci estiment ne pas à avoir à s’immiscer dans les événements...</w:t>
      </w:r>
    </w:p>
  </w:footnote>
  <w:footnote w:id="1285">
    <w:p w14:paraId="1F40E8A5" w14:textId="77777777" w:rsidR="00B01930" w:rsidRDefault="00B01930">
      <w:pPr>
        <w:pStyle w:val="Notedebasdepage"/>
      </w:pPr>
      <w:r>
        <w:rPr>
          <w:rStyle w:val="Appelnotedebasdep"/>
        </w:rPr>
        <w:footnoteRef/>
      </w:r>
      <w:r>
        <w:t xml:space="preserve"> </w:t>
      </w:r>
      <w:r>
        <w:tab/>
      </w:r>
      <w:r w:rsidRPr="0004576F">
        <w:t>Au sens des « sciences humaines », avec l’humilité que cela implique en la matière. Sur la fausse querelle des différentes « écoles » voir Jean-Louis Ma</w:t>
      </w:r>
      <w:r w:rsidRPr="0004576F">
        <w:t>r</w:t>
      </w:r>
      <w:r w:rsidRPr="0004576F">
        <w:t>tres, « De la nécessité d’une théorie des relations internationales : l’illusion par</w:t>
      </w:r>
      <w:r w:rsidRPr="0004576F">
        <w:t>a</w:t>
      </w:r>
      <w:r w:rsidRPr="0004576F">
        <w:t xml:space="preserve">digmatique », </w:t>
      </w:r>
      <w:r w:rsidRPr="0004576F">
        <w:rPr>
          <w:smallCaps/>
        </w:rPr>
        <w:t>Afri</w:t>
      </w:r>
      <w:r w:rsidRPr="0004576F">
        <w:t xml:space="preserve"> (Annuaire Français des Relations Internationales), contr</w:t>
      </w:r>
      <w:r w:rsidRPr="0004576F">
        <w:t>i</w:t>
      </w:r>
      <w:r w:rsidRPr="0004576F">
        <w:t>bution précitée, cf. note 29.</w:t>
      </w:r>
    </w:p>
  </w:footnote>
  <w:footnote w:id="1286">
    <w:p w14:paraId="1829D4AA" w14:textId="77777777" w:rsidR="00B01930" w:rsidRDefault="00B01930">
      <w:pPr>
        <w:pStyle w:val="Notedebasdepage"/>
      </w:pPr>
      <w:r>
        <w:rPr>
          <w:rStyle w:val="Appelnotedebasdep"/>
        </w:rPr>
        <w:footnoteRef/>
      </w:r>
      <w:r>
        <w:t xml:space="preserve"> </w:t>
      </w:r>
      <w:r>
        <w:tab/>
      </w:r>
      <w:r w:rsidRPr="0004576F">
        <w:t xml:space="preserve">Cf. Arnold Toynbee, </w:t>
      </w:r>
      <w:r w:rsidRPr="0004576F">
        <w:rPr>
          <w:i/>
        </w:rPr>
        <w:t>L’Histoire</w:t>
      </w:r>
      <w:r w:rsidRPr="0004576F">
        <w:t xml:space="preserve">, Paris, Amsterdam, Elsevier, 1978 ; </w:t>
      </w:r>
      <w:r w:rsidRPr="0004576F">
        <w:rPr>
          <w:i/>
        </w:rPr>
        <w:t>Guerre et civilis</w:t>
      </w:r>
      <w:r w:rsidRPr="0004576F">
        <w:rPr>
          <w:i/>
        </w:rPr>
        <w:t>a</w:t>
      </w:r>
      <w:r w:rsidRPr="0004576F">
        <w:rPr>
          <w:i/>
        </w:rPr>
        <w:t>tion</w:t>
      </w:r>
      <w:r w:rsidRPr="0004576F">
        <w:t> », Paris, Gallimard, col. « Idées », 1967.</w:t>
      </w:r>
    </w:p>
  </w:footnote>
  <w:footnote w:id="1287">
    <w:p w14:paraId="17D0459E" w14:textId="77777777" w:rsidR="00B01930" w:rsidRDefault="00B01930">
      <w:pPr>
        <w:pStyle w:val="Notedebasdepage"/>
      </w:pPr>
      <w:r>
        <w:rPr>
          <w:rStyle w:val="Appelnotedebasdep"/>
        </w:rPr>
        <w:footnoteRef/>
      </w:r>
      <w:r>
        <w:t xml:space="preserve"> </w:t>
      </w:r>
      <w:r>
        <w:tab/>
      </w:r>
      <w:r w:rsidRPr="0004576F">
        <w:t>Paris, La Table Ronde, 2004.</w:t>
      </w:r>
    </w:p>
  </w:footnote>
  <w:footnote w:id="1288">
    <w:p w14:paraId="2C0B794B" w14:textId="77777777" w:rsidR="00B01930" w:rsidRDefault="00B01930">
      <w:pPr>
        <w:pStyle w:val="Notedebasdepage"/>
      </w:pPr>
      <w:r>
        <w:rPr>
          <w:rStyle w:val="Appelnotedebasdep"/>
        </w:rPr>
        <w:footnoteRef/>
      </w:r>
      <w:r>
        <w:t xml:space="preserve"> </w:t>
      </w:r>
      <w:r>
        <w:tab/>
      </w:r>
      <w:r w:rsidRPr="0004576F">
        <w:t>Cf. un entretien accordé par M</w:t>
      </w:r>
      <w:r w:rsidRPr="0004576F">
        <w:rPr>
          <w:vertAlign w:val="superscript"/>
        </w:rPr>
        <w:t>me</w:t>
      </w:r>
      <w:r w:rsidRPr="0004576F">
        <w:t xml:space="preserve"> Delsol au quotidien </w:t>
      </w:r>
      <w:r w:rsidRPr="0004576F">
        <w:rPr>
          <w:i/>
        </w:rPr>
        <w:t>Sud-Ouest</w:t>
      </w:r>
      <w:r w:rsidRPr="0004576F">
        <w:t xml:space="preserve"> le 17 avril 2011.</w:t>
      </w:r>
    </w:p>
  </w:footnote>
  <w:footnote w:id="1289">
    <w:p w14:paraId="4F39033E" w14:textId="77777777" w:rsidR="00B01930" w:rsidRDefault="00B01930">
      <w:pPr>
        <w:pStyle w:val="Notedebasdepage"/>
      </w:pPr>
      <w:r>
        <w:rPr>
          <w:rStyle w:val="Appelnotedebasdep"/>
        </w:rPr>
        <w:footnoteRef/>
      </w:r>
      <w:r>
        <w:t xml:space="preserve"> </w:t>
      </w:r>
      <w:r>
        <w:tab/>
      </w:r>
      <w:r w:rsidRPr="0004576F">
        <w:t xml:space="preserve">Cf. Frédéric Hitzel, </w:t>
      </w:r>
      <w:r w:rsidRPr="0004576F">
        <w:rPr>
          <w:i/>
        </w:rPr>
        <w:t>L’Empire Ottoman (XIV</w:t>
      </w:r>
      <w:r w:rsidRPr="0004576F">
        <w:rPr>
          <w:i/>
          <w:vertAlign w:val="superscript"/>
        </w:rPr>
        <w:t>e</w:t>
      </w:r>
      <w:r w:rsidRPr="0004576F">
        <w:rPr>
          <w:i/>
        </w:rPr>
        <w:t>-XVIII</w:t>
      </w:r>
      <w:r w:rsidRPr="0004576F">
        <w:rPr>
          <w:i/>
          <w:vertAlign w:val="superscript"/>
        </w:rPr>
        <w:t>e</w:t>
      </w:r>
      <w:r w:rsidRPr="0004576F">
        <w:rPr>
          <w:i/>
        </w:rPr>
        <w:t xml:space="preserve"> siècle)</w:t>
      </w:r>
      <w:r w:rsidRPr="0004576F">
        <w:t>, Paris, Les Be</w:t>
      </w:r>
      <w:r w:rsidRPr="0004576F">
        <w:t>l</w:t>
      </w:r>
      <w:r w:rsidRPr="0004576F">
        <w:t xml:space="preserve">les Lettres, 2002 ; Robert Mantran (dir.), </w:t>
      </w:r>
      <w:r w:rsidRPr="0004576F">
        <w:rPr>
          <w:i/>
        </w:rPr>
        <w:t>Histoire de l’Empire ottoman</w:t>
      </w:r>
      <w:r w:rsidRPr="0004576F">
        <w:t xml:space="preserve">, Paris, Fayard, 2003 ; Yves Ternon, </w:t>
      </w:r>
      <w:r w:rsidRPr="0004576F">
        <w:rPr>
          <w:i/>
        </w:rPr>
        <w:t>Empire Ott</w:t>
      </w:r>
      <w:r w:rsidRPr="0004576F">
        <w:rPr>
          <w:i/>
        </w:rPr>
        <w:t>o</w:t>
      </w:r>
      <w:r w:rsidRPr="0004576F">
        <w:rPr>
          <w:i/>
        </w:rPr>
        <w:t>man. Le déclin, la chute, l’effacement</w:t>
      </w:r>
      <w:r w:rsidRPr="0004576F">
        <w:t>, Paris, éditions du Félin, 2005.</w:t>
      </w:r>
    </w:p>
  </w:footnote>
  <w:footnote w:id="1290">
    <w:p w14:paraId="593E48EC" w14:textId="77777777" w:rsidR="00B01930" w:rsidRDefault="00B01930">
      <w:pPr>
        <w:pStyle w:val="Notedebasdepage"/>
      </w:pPr>
      <w:r>
        <w:rPr>
          <w:rStyle w:val="Appelnotedebasdep"/>
        </w:rPr>
        <w:footnoteRef/>
      </w:r>
      <w:r>
        <w:t xml:space="preserve"> </w:t>
      </w:r>
      <w:r>
        <w:tab/>
      </w:r>
      <w:r w:rsidRPr="0004576F">
        <w:t>C’est-à-dire un État ; l’auteur ne mentionne que l’État comme acteur des rel</w:t>
      </w:r>
      <w:r w:rsidRPr="0004576F">
        <w:t>a</w:t>
      </w:r>
      <w:r w:rsidRPr="0004576F">
        <w:t>tions intern</w:t>
      </w:r>
      <w:r w:rsidRPr="0004576F">
        <w:t>a</w:t>
      </w:r>
      <w:r w:rsidRPr="0004576F">
        <w:t>tionales.</w:t>
      </w:r>
    </w:p>
  </w:footnote>
  <w:footnote w:id="1291">
    <w:p w14:paraId="4580790D" w14:textId="77777777" w:rsidR="00B01930" w:rsidRDefault="00B01930">
      <w:pPr>
        <w:pStyle w:val="Notedebasdepage"/>
      </w:pPr>
      <w:r>
        <w:rPr>
          <w:rStyle w:val="Appelnotedebasdep"/>
        </w:rPr>
        <w:footnoteRef/>
      </w:r>
      <w:r>
        <w:t xml:space="preserve"> </w:t>
      </w:r>
      <w:r>
        <w:tab/>
      </w:r>
      <w:r w:rsidRPr="0004576F">
        <w:t xml:space="preserve">Chantal Delsol, </w:t>
      </w:r>
      <w:r w:rsidRPr="0004576F">
        <w:rPr>
          <w:i/>
        </w:rPr>
        <w:t>op. cit</w:t>
      </w:r>
      <w:r w:rsidRPr="0004576F">
        <w:t>., p. 76.</w:t>
      </w:r>
    </w:p>
  </w:footnote>
  <w:footnote w:id="1292">
    <w:p w14:paraId="6CB0B01A" w14:textId="77777777" w:rsidR="00B01930" w:rsidRDefault="00B01930">
      <w:pPr>
        <w:pStyle w:val="Notedebasdepage"/>
      </w:pPr>
      <w:r>
        <w:rPr>
          <w:rStyle w:val="Appelnotedebasdep"/>
        </w:rPr>
        <w:footnoteRef/>
      </w:r>
      <w:r>
        <w:t xml:space="preserve"> </w:t>
      </w:r>
      <w:r>
        <w:tab/>
      </w:r>
      <w:r w:rsidRPr="0004576F">
        <w:rPr>
          <w:i/>
        </w:rPr>
        <w:t>Ibid</w:t>
      </w:r>
      <w:r w:rsidRPr="0004576F">
        <w:t>. p. 50.</w:t>
      </w:r>
    </w:p>
  </w:footnote>
  <w:footnote w:id="1293">
    <w:p w14:paraId="5160C11E" w14:textId="77777777" w:rsidR="00B01930" w:rsidRDefault="00B01930">
      <w:pPr>
        <w:pStyle w:val="Notedebasdepage"/>
      </w:pPr>
      <w:r>
        <w:rPr>
          <w:rStyle w:val="Appelnotedebasdep"/>
        </w:rPr>
        <w:footnoteRef/>
      </w:r>
      <w:r>
        <w:t xml:space="preserve"> </w:t>
      </w:r>
      <w:r>
        <w:tab/>
      </w:r>
      <w:r w:rsidRPr="0004576F">
        <w:rPr>
          <w:i/>
        </w:rPr>
        <w:t>Ibid</w:t>
      </w:r>
      <w:r w:rsidRPr="0004576F">
        <w:t>. p. 160.</w:t>
      </w:r>
    </w:p>
  </w:footnote>
  <w:footnote w:id="1294">
    <w:p w14:paraId="07DD767E" w14:textId="77777777" w:rsidR="00B01930" w:rsidRDefault="00B01930">
      <w:pPr>
        <w:pStyle w:val="Notedebasdepage"/>
      </w:pPr>
      <w:r>
        <w:rPr>
          <w:rStyle w:val="Appelnotedebasdep"/>
        </w:rPr>
        <w:footnoteRef/>
      </w:r>
      <w:r>
        <w:t xml:space="preserve"> </w:t>
      </w:r>
      <w:r>
        <w:tab/>
      </w:r>
      <w:r w:rsidRPr="0004576F">
        <w:rPr>
          <w:i/>
        </w:rPr>
        <w:t>Ibid</w:t>
      </w:r>
      <w:r w:rsidRPr="0004576F">
        <w:t>. p. 159.</w:t>
      </w:r>
    </w:p>
  </w:footnote>
  <w:footnote w:id="1295">
    <w:p w14:paraId="5617640A" w14:textId="77777777" w:rsidR="00B01930" w:rsidRDefault="00B01930">
      <w:pPr>
        <w:pStyle w:val="Notedebasdepage"/>
      </w:pPr>
      <w:r>
        <w:rPr>
          <w:rStyle w:val="Appelnotedebasdep"/>
        </w:rPr>
        <w:footnoteRef/>
      </w:r>
      <w:r>
        <w:t xml:space="preserve"> </w:t>
      </w:r>
      <w:r>
        <w:tab/>
      </w:r>
      <w:r w:rsidRPr="0004576F">
        <w:rPr>
          <w:i/>
        </w:rPr>
        <w:t>Ibid</w:t>
      </w:r>
      <w:r w:rsidRPr="0004576F">
        <w:t>. p. 161.</w:t>
      </w:r>
    </w:p>
  </w:footnote>
  <w:footnote w:id="1296">
    <w:p w14:paraId="5A65AA2C" w14:textId="77777777" w:rsidR="00B01930" w:rsidRDefault="00B01930">
      <w:pPr>
        <w:pStyle w:val="Notedebasdepage"/>
      </w:pPr>
      <w:r>
        <w:rPr>
          <w:rStyle w:val="Appelnotedebasdep"/>
        </w:rPr>
        <w:footnoteRef/>
      </w:r>
      <w:r>
        <w:t xml:space="preserve"> </w:t>
      </w:r>
      <w:r>
        <w:tab/>
      </w:r>
      <w:r w:rsidRPr="0004576F">
        <w:rPr>
          <w:i/>
        </w:rPr>
        <w:t>Ibid</w:t>
      </w:r>
      <w:r w:rsidRPr="0004576F">
        <w:t>. p. 16</w:t>
      </w:r>
      <w:r>
        <w:t>.</w:t>
      </w:r>
    </w:p>
  </w:footnote>
  <w:footnote w:id="1297">
    <w:p w14:paraId="093E5253" w14:textId="77777777" w:rsidR="00B01930" w:rsidRDefault="00B01930">
      <w:pPr>
        <w:pStyle w:val="Notedebasdepage"/>
      </w:pPr>
      <w:r>
        <w:rPr>
          <w:rStyle w:val="Appelnotedebasdep"/>
        </w:rPr>
        <w:footnoteRef/>
      </w:r>
      <w:r>
        <w:t xml:space="preserve"> </w:t>
      </w:r>
      <w:r>
        <w:tab/>
      </w:r>
      <w:r w:rsidRPr="0004576F">
        <w:rPr>
          <w:i/>
        </w:rPr>
        <w:t>Ibid</w:t>
      </w:r>
      <w:r w:rsidRPr="0004576F">
        <w:t>. p. 35</w:t>
      </w:r>
      <w:r>
        <w:t>.</w:t>
      </w:r>
    </w:p>
  </w:footnote>
  <w:footnote w:id="1298">
    <w:p w14:paraId="36E8E2B0" w14:textId="77777777" w:rsidR="00B01930" w:rsidRDefault="00B01930">
      <w:pPr>
        <w:pStyle w:val="Notedebasdepage"/>
      </w:pPr>
      <w:r>
        <w:rPr>
          <w:rStyle w:val="Appelnotedebasdep"/>
        </w:rPr>
        <w:footnoteRef/>
      </w:r>
      <w:r>
        <w:t xml:space="preserve"> </w:t>
      </w:r>
      <w:r>
        <w:tab/>
      </w:r>
      <w:r w:rsidRPr="0004576F">
        <w:t xml:space="preserve">Cf. Jean-Louis Martres, note 4 de l’introduction ; on trouvera une synthèse de sa pensée dans la préface (32 pages) à </w:t>
      </w:r>
      <w:r w:rsidRPr="0004576F">
        <w:rPr>
          <w:i/>
        </w:rPr>
        <w:t>L’Art de</w:t>
      </w:r>
      <w:r w:rsidRPr="0004576F">
        <w:t xml:space="preserve"> </w:t>
      </w:r>
      <w:r w:rsidRPr="0004576F">
        <w:rPr>
          <w:i/>
        </w:rPr>
        <w:t>la politique chez les légistes chinois</w:t>
      </w:r>
      <w:r w:rsidRPr="0004576F">
        <w:t>, Xu Zhen Zhou, Paris, Économica, 1995. Toutes les années de reche</w:t>
      </w:r>
      <w:r w:rsidRPr="0004576F">
        <w:t>r</w:t>
      </w:r>
      <w:r w:rsidRPr="0004576F">
        <w:t xml:space="preserve">che de Jean-Louis Martres ont fait l’objet d’un ouvrage prépublié, </w:t>
      </w:r>
      <w:r w:rsidRPr="0004576F">
        <w:rPr>
          <w:i/>
        </w:rPr>
        <w:t>Les Grilles de la pensée pol</w:t>
      </w:r>
      <w:r w:rsidRPr="0004576F">
        <w:rPr>
          <w:i/>
        </w:rPr>
        <w:t>i</w:t>
      </w:r>
      <w:r w:rsidRPr="0004576F">
        <w:rPr>
          <w:i/>
        </w:rPr>
        <w:t>tique</w:t>
      </w:r>
      <w:r w:rsidRPr="0004576F">
        <w:t xml:space="preserve">, </w:t>
      </w:r>
      <w:r w:rsidRPr="0004576F">
        <w:rPr>
          <w:i/>
        </w:rPr>
        <w:t>op. cit</w:t>
      </w:r>
      <w:r w:rsidRPr="0004576F">
        <w:t>.</w:t>
      </w:r>
    </w:p>
  </w:footnote>
  <w:footnote w:id="1299">
    <w:p w14:paraId="1F4D5E0B" w14:textId="77777777" w:rsidR="00B01930" w:rsidRDefault="00B01930">
      <w:pPr>
        <w:pStyle w:val="Notedebasdepage"/>
      </w:pPr>
      <w:r>
        <w:rPr>
          <w:rStyle w:val="Appelnotedebasdep"/>
        </w:rPr>
        <w:footnoteRef/>
      </w:r>
      <w:r>
        <w:t xml:space="preserve"> </w:t>
      </w:r>
      <w:r>
        <w:tab/>
      </w:r>
      <w:r w:rsidRPr="0004576F">
        <w:t>Jean-Louis Martres, la terminologie est de commodité, elle n’implique a</w:t>
      </w:r>
      <w:r w:rsidRPr="0004576F">
        <w:t>u</w:t>
      </w:r>
      <w:r w:rsidRPr="0004576F">
        <w:t>cun jugement sur la véracité du message, qui reste de l’ordre de l’indémontrable.</w:t>
      </w:r>
    </w:p>
  </w:footnote>
  <w:footnote w:id="1300">
    <w:p w14:paraId="761D993F" w14:textId="77777777" w:rsidR="00B01930" w:rsidRDefault="00B01930">
      <w:pPr>
        <w:pStyle w:val="Notedebasdepage"/>
      </w:pPr>
      <w:r>
        <w:rPr>
          <w:rStyle w:val="Appelnotedebasdep"/>
        </w:rPr>
        <w:footnoteRef/>
      </w:r>
      <w:r>
        <w:t xml:space="preserve"> </w:t>
      </w:r>
      <w:r>
        <w:tab/>
      </w:r>
      <w:r w:rsidRPr="0004576F">
        <w:t xml:space="preserve">En </w:t>
      </w:r>
      <w:r w:rsidRPr="0004576F">
        <w:rPr>
          <w:i/>
        </w:rPr>
        <w:t>ce sens</w:t>
      </w:r>
      <w:r w:rsidRPr="0004576F">
        <w:t xml:space="preserve"> les religions sont des idéologies, et ces dernières, en son temps, avaient été définies par Raymond Aron comme des « religions séculières ». Mais ce qui distingue </w:t>
      </w:r>
      <w:r w:rsidRPr="0004576F">
        <w:rPr>
          <w:i/>
        </w:rPr>
        <w:t>in fine</w:t>
      </w:r>
      <w:r w:rsidRPr="0004576F">
        <w:t xml:space="preserve"> la religion c’est que celle ci fait explicitement r</w:t>
      </w:r>
      <w:r w:rsidRPr="0004576F">
        <w:t>é</w:t>
      </w:r>
      <w:r w:rsidRPr="0004576F">
        <w:t>férence à la métaphysique, alors que l’idéologie l’exclut même si elle est pr</w:t>
      </w:r>
      <w:r w:rsidRPr="0004576F">
        <w:t>é</w:t>
      </w:r>
      <w:r w:rsidRPr="0004576F">
        <w:t xml:space="preserve">sente (Jean-Louis Martres, </w:t>
      </w:r>
      <w:r w:rsidRPr="0004576F">
        <w:rPr>
          <w:i/>
        </w:rPr>
        <w:t>s</w:t>
      </w:r>
      <w:r w:rsidRPr="0004576F">
        <w:rPr>
          <w:i/>
        </w:rPr>
        <w:t>u</w:t>
      </w:r>
      <w:r w:rsidRPr="0004576F">
        <w:rPr>
          <w:i/>
        </w:rPr>
        <w:t>pra</w:t>
      </w:r>
      <w:r w:rsidRPr="0004576F">
        <w:t>, note 52).</w:t>
      </w:r>
    </w:p>
  </w:footnote>
  <w:footnote w:id="1301">
    <w:p w14:paraId="688CEA23" w14:textId="77777777" w:rsidR="00B01930" w:rsidRDefault="00B01930">
      <w:pPr>
        <w:pStyle w:val="Notedebasdepage"/>
      </w:pPr>
      <w:r>
        <w:rPr>
          <w:rStyle w:val="Appelnotedebasdep"/>
        </w:rPr>
        <w:footnoteRef/>
      </w:r>
      <w:r>
        <w:t xml:space="preserve"> </w:t>
      </w:r>
      <w:r>
        <w:tab/>
      </w:r>
      <w:r w:rsidRPr="0004576F">
        <w:t>Jean-Louis Martres.</w:t>
      </w:r>
    </w:p>
  </w:footnote>
  <w:footnote w:id="1302">
    <w:p w14:paraId="00FF426B" w14:textId="77777777" w:rsidR="00B01930" w:rsidRDefault="00B01930">
      <w:pPr>
        <w:pStyle w:val="Notedebasdepage"/>
      </w:pPr>
      <w:r>
        <w:rPr>
          <w:rStyle w:val="Appelnotedebasdep"/>
        </w:rPr>
        <w:footnoteRef/>
      </w:r>
      <w:r>
        <w:t xml:space="preserve"> </w:t>
      </w:r>
      <w:r>
        <w:tab/>
      </w:r>
      <w:r w:rsidRPr="0004576F">
        <w:t xml:space="preserve">Chantal Delsol, </w:t>
      </w:r>
      <w:r w:rsidRPr="0004576F">
        <w:rPr>
          <w:i/>
        </w:rPr>
        <w:t>op. cit</w:t>
      </w:r>
      <w:r w:rsidRPr="0004576F">
        <w:t>., p. 57 et suiv.</w:t>
      </w:r>
    </w:p>
  </w:footnote>
  <w:footnote w:id="1303">
    <w:p w14:paraId="5BA3C674" w14:textId="77777777" w:rsidR="00B01930" w:rsidRDefault="00B01930">
      <w:pPr>
        <w:pStyle w:val="Notedebasdepage"/>
      </w:pPr>
      <w:r>
        <w:rPr>
          <w:rStyle w:val="Appelnotedebasdep"/>
        </w:rPr>
        <w:footnoteRef/>
      </w:r>
      <w:r>
        <w:t xml:space="preserve"> </w:t>
      </w:r>
      <w:r>
        <w:tab/>
      </w:r>
      <w:r w:rsidRPr="0004576F">
        <w:t xml:space="preserve">Cf. de Paul Veyne, </w:t>
      </w:r>
      <w:r w:rsidRPr="0004576F">
        <w:rPr>
          <w:i/>
        </w:rPr>
        <w:t>L’Empire Gréco-romain</w:t>
      </w:r>
      <w:r w:rsidRPr="0004576F">
        <w:t> », Paris, Le Seuil, 2005 ; « </w:t>
      </w:r>
      <w:r w:rsidRPr="0004576F">
        <w:rPr>
          <w:i/>
        </w:rPr>
        <w:t>Quand notre monde est devenu chrétien</w:t>
      </w:r>
      <w:r w:rsidRPr="0004576F">
        <w:t> », Paris, Albin Michel, 2007. Cf. encore L</w:t>
      </w:r>
      <w:r w:rsidRPr="0004576F">
        <w:t>e</w:t>
      </w:r>
      <w:r w:rsidRPr="0004576F">
        <w:t xml:space="preserve">wis Mumford, </w:t>
      </w:r>
      <w:r w:rsidRPr="0004576F">
        <w:rPr>
          <w:i/>
        </w:rPr>
        <w:t>La Cité à travers l’Histoire</w:t>
      </w:r>
      <w:r w:rsidRPr="0004576F">
        <w:t>, Paris, Le Seuil, 1964.</w:t>
      </w:r>
    </w:p>
  </w:footnote>
  <w:footnote w:id="1304">
    <w:p w14:paraId="35014A33" w14:textId="77777777" w:rsidR="00B01930" w:rsidRDefault="00B01930">
      <w:pPr>
        <w:pStyle w:val="Notedebasdepage"/>
      </w:pPr>
      <w:r>
        <w:rPr>
          <w:rStyle w:val="Appelnotedebasdep"/>
        </w:rPr>
        <w:footnoteRef/>
      </w:r>
      <w:r>
        <w:t xml:space="preserve"> </w:t>
      </w:r>
      <w:r>
        <w:tab/>
      </w:r>
      <w:r w:rsidRPr="0004576F">
        <w:t xml:space="preserve">Sur les États-Unis, cf. notamment l’ouvrage de Walter Russel Mead, </w:t>
      </w:r>
      <w:r w:rsidRPr="0004576F">
        <w:rPr>
          <w:i/>
        </w:rPr>
        <w:t>Sous le signe de la Providence</w:t>
      </w:r>
      <w:r w:rsidRPr="0004576F">
        <w:t>, Paris, Odile Jacob, 2003.</w:t>
      </w:r>
    </w:p>
  </w:footnote>
  <w:footnote w:id="1305">
    <w:p w14:paraId="0D8867B6" w14:textId="77777777" w:rsidR="00B01930" w:rsidRDefault="00B01930">
      <w:pPr>
        <w:pStyle w:val="Notedebasdepage"/>
      </w:pPr>
      <w:r>
        <w:rPr>
          <w:rStyle w:val="Appelnotedebasdep"/>
        </w:rPr>
        <w:footnoteRef/>
      </w:r>
      <w:r>
        <w:t xml:space="preserve"> </w:t>
      </w:r>
      <w:r>
        <w:tab/>
      </w:r>
      <w:r w:rsidRPr="0004576F">
        <w:t xml:space="preserve">Chantal Delsol, </w:t>
      </w:r>
      <w:r w:rsidRPr="0004576F">
        <w:rPr>
          <w:i/>
        </w:rPr>
        <w:t>ibid</w:t>
      </w:r>
      <w:r w:rsidRPr="0004576F">
        <w:t>. p. 57.</w:t>
      </w:r>
    </w:p>
  </w:footnote>
  <w:footnote w:id="1306">
    <w:p w14:paraId="44FF7B25" w14:textId="77777777" w:rsidR="00B01930" w:rsidRDefault="00B01930">
      <w:pPr>
        <w:pStyle w:val="Notedebasdepage"/>
      </w:pPr>
      <w:r>
        <w:rPr>
          <w:rStyle w:val="Appelnotedebasdep"/>
        </w:rPr>
        <w:footnoteRef/>
      </w:r>
      <w:r>
        <w:t xml:space="preserve"> </w:t>
      </w:r>
      <w:r>
        <w:tab/>
      </w:r>
      <w:r w:rsidRPr="0004576F">
        <w:t>Paris, Fayard, 2007, les autres ouvrages de l’auteur, postérieurs à celui-ci, ne sont que des suites de ce qui est exposé ici, cœur de son appréhension des r</w:t>
      </w:r>
      <w:r w:rsidRPr="0004576F">
        <w:t>e</w:t>
      </w:r>
      <w:r w:rsidRPr="0004576F">
        <w:t>lations internationales.</w:t>
      </w:r>
    </w:p>
  </w:footnote>
  <w:footnote w:id="1307">
    <w:p w14:paraId="182425F7" w14:textId="77777777" w:rsidR="00B01930" w:rsidRDefault="00B01930">
      <w:pPr>
        <w:pStyle w:val="Notedebasdepage"/>
      </w:pPr>
      <w:r>
        <w:rPr>
          <w:rStyle w:val="Appelnotedebasdep"/>
        </w:rPr>
        <w:footnoteRef/>
      </w:r>
      <w:r>
        <w:t xml:space="preserve"> </w:t>
      </w:r>
      <w:r>
        <w:tab/>
      </w:r>
      <w:r w:rsidRPr="0004576F">
        <w:t>C’est nous qui soulignons.</w:t>
      </w:r>
    </w:p>
  </w:footnote>
  <w:footnote w:id="1308">
    <w:p w14:paraId="3DD1414F" w14:textId="77777777" w:rsidR="00B01930" w:rsidRDefault="00B01930">
      <w:pPr>
        <w:pStyle w:val="Notedebasdepage"/>
      </w:pPr>
      <w:r>
        <w:rPr>
          <w:rStyle w:val="Appelnotedebasdep"/>
        </w:rPr>
        <w:footnoteRef/>
      </w:r>
      <w:r>
        <w:t xml:space="preserve"> </w:t>
      </w:r>
      <w:r>
        <w:tab/>
      </w:r>
      <w:r w:rsidRPr="0004576F">
        <w:t>Au sens de la science politique.</w:t>
      </w:r>
    </w:p>
  </w:footnote>
  <w:footnote w:id="1309">
    <w:p w14:paraId="1FC33F9B" w14:textId="77777777" w:rsidR="00B01930" w:rsidRDefault="00B01930">
      <w:pPr>
        <w:pStyle w:val="Notedebasdepage"/>
      </w:pPr>
      <w:r>
        <w:rPr>
          <w:rStyle w:val="Appelnotedebasdep"/>
        </w:rPr>
        <w:footnoteRef/>
      </w:r>
      <w:r>
        <w:t xml:space="preserve"> </w:t>
      </w:r>
      <w:r>
        <w:tab/>
      </w:r>
      <w:r w:rsidRPr="0004576F">
        <w:t xml:space="preserve">Titre qui renvoie au célèbre ouvrage de Francis Fukuyama </w:t>
      </w:r>
      <w:r w:rsidRPr="0004576F">
        <w:rPr>
          <w:i/>
        </w:rPr>
        <w:t>La Fin de l’Histoire et le de</w:t>
      </w:r>
      <w:r w:rsidRPr="0004576F">
        <w:rPr>
          <w:i/>
        </w:rPr>
        <w:t>r</w:t>
      </w:r>
      <w:r w:rsidRPr="0004576F">
        <w:rPr>
          <w:i/>
        </w:rPr>
        <w:t>nier homme</w:t>
      </w:r>
      <w:r w:rsidRPr="0004576F">
        <w:t>, Paris, Flammarion, 1993.</w:t>
      </w:r>
    </w:p>
  </w:footnote>
  <w:footnote w:id="1310">
    <w:p w14:paraId="206BD0DD" w14:textId="77777777" w:rsidR="00B01930" w:rsidRDefault="00B01930">
      <w:pPr>
        <w:pStyle w:val="Notedebasdepage"/>
      </w:pPr>
      <w:r>
        <w:rPr>
          <w:rStyle w:val="Appelnotedebasdep"/>
        </w:rPr>
        <w:footnoteRef/>
      </w:r>
      <w:r>
        <w:t xml:space="preserve"> </w:t>
      </w:r>
      <w:r>
        <w:tab/>
      </w:r>
      <w:r w:rsidRPr="0004576F">
        <w:t>Déclaration de Nicolas Sarkozy à la télévision lors des élections présidentie</w:t>
      </w:r>
      <w:r w:rsidRPr="0004576F">
        <w:t>l</w:t>
      </w:r>
      <w:r w:rsidRPr="0004576F">
        <w:t xml:space="preserve">les de 2007 (« Je ne suis pas pour la </w:t>
      </w:r>
      <w:r w:rsidRPr="0004576F">
        <w:rPr>
          <w:i/>
        </w:rPr>
        <w:t>realpolitik</w:t>
      </w:r>
      <w:r w:rsidRPr="0004576F">
        <w:t> »), confirmant une autre décl</w:t>
      </w:r>
      <w:r w:rsidRPr="0004576F">
        <w:t>a</w:t>
      </w:r>
      <w:r w:rsidRPr="0004576F">
        <w:t>ration selon laquelle il préférait une « politique du Verbe » à « pas de polit</w:t>
      </w:r>
      <w:r w:rsidRPr="0004576F">
        <w:t>i</w:t>
      </w:r>
      <w:r w:rsidRPr="0004576F">
        <w:t>que du tout ». Politique du Verbe qui a connu son acmé avec Jacques Ch</w:t>
      </w:r>
      <w:r w:rsidRPr="0004576F">
        <w:t>i</w:t>
      </w:r>
      <w:r w:rsidRPr="0004576F">
        <w:t>rac et Dominique de Villepin, cf. notre libre opinion « </w:t>
      </w:r>
      <w:r w:rsidRPr="0004576F">
        <w:rPr>
          <w:i/>
        </w:rPr>
        <w:t>Le Verbe et la Puissa</w:t>
      </w:r>
      <w:r w:rsidRPr="0004576F">
        <w:rPr>
          <w:i/>
        </w:rPr>
        <w:t>n</w:t>
      </w:r>
      <w:r w:rsidRPr="0004576F">
        <w:rPr>
          <w:i/>
        </w:rPr>
        <w:t>ce, à propos de l’Irak », Sud-Ouest</w:t>
      </w:r>
      <w:r w:rsidRPr="0004576F">
        <w:t>, 12 avril 2004.</w:t>
      </w:r>
    </w:p>
  </w:footnote>
  <w:footnote w:id="1311">
    <w:p w14:paraId="6338608F" w14:textId="77777777" w:rsidR="00B01930" w:rsidRDefault="00B01930">
      <w:pPr>
        <w:pStyle w:val="Notedebasdepage"/>
      </w:pPr>
      <w:r>
        <w:rPr>
          <w:rStyle w:val="Appelnotedebasdep"/>
        </w:rPr>
        <w:footnoteRef/>
      </w:r>
      <w:r>
        <w:t xml:space="preserve"> </w:t>
      </w:r>
      <w:r>
        <w:tab/>
      </w:r>
      <w:r w:rsidRPr="0004576F">
        <w:t>Ou du vibrionnant Bernard Kouchner.</w:t>
      </w:r>
    </w:p>
  </w:footnote>
  <w:footnote w:id="1312">
    <w:p w14:paraId="04DD4996" w14:textId="77777777" w:rsidR="00B01930" w:rsidRDefault="00B01930">
      <w:pPr>
        <w:pStyle w:val="Notedebasdepage"/>
      </w:pPr>
      <w:r>
        <w:rPr>
          <w:rStyle w:val="Appelnotedebasdep"/>
        </w:rPr>
        <w:footnoteRef/>
      </w:r>
      <w:r>
        <w:t xml:space="preserve"> </w:t>
      </w:r>
      <w:r>
        <w:tab/>
      </w:r>
      <w:r w:rsidRPr="0004576F">
        <w:t>Compte tenu de la dimension de l’ouvrage – 149 pages – et de l’éditeur, non spécialisé.</w:t>
      </w:r>
    </w:p>
  </w:footnote>
  <w:footnote w:id="1313">
    <w:p w14:paraId="385CA7BB" w14:textId="77777777" w:rsidR="00B01930" w:rsidRDefault="00B01930">
      <w:pPr>
        <w:pStyle w:val="Notedebasdepage"/>
      </w:pPr>
      <w:r>
        <w:rPr>
          <w:rStyle w:val="Appelnotedebasdep"/>
        </w:rPr>
        <w:footnoteRef/>
      </w:r>
      <w:r>
        <w:t xml:space="preserve"> </w:t>
      </w:r>
      <w:r>
        <w:tab/>
      </w:r>
      <w:r w:rsidRPr="0004576F">
        <w:t>Dont on ne peut pas dire que la politique étrangère fût sa préoccupation, et dont assur</w:t>
      </w:r>
      <w:r w:rsidRPr="0004576F">
        <w:t>é</w:t>
      </w:r>
      <w:r w:rsidRPr="0004576F">
        <w:t xml:space="preserve">ment la </w:t>
      </w:r>
      <w:r w:rsidRPr="0004576F">
        <w:rPr>
          <w:i/>
        </w:rPr>
        <w:t>realpolitik</w:t>
      </w:r>
      <w:r w:rsidRPr="0004576F">
        <w:t xml:space="preserve"> n’est pas sa référence. Mais il est vrai que Mr. Nicolas Sarkozy ne fut pas, non plus, très prolixe en la matière, et sa déclar</w:t>
      </w:r>
      <w:r w:rsidRPr="0004576F">
        <w:t>a</w:t>
      </w:r>
      <w:r w:rsidRPr="0004576F">
        <w:t xml:space="preserve">tion sur la </w:t>
      </w:r>
      <w:r w:rsidRPr="0004576F">
        <w:rPr>
          <w:i/>
        </w:rPr>
        <w:t>realpolitik</w:t>
      </w:r>
      <w:r w:rsidRPr="0004576F">
        <w:t xml:space="preserve"> (voir </w:t>
      </w:r>
      <w:r w:rsidRPr="0004576F">
        <w:rPr>
          <w:i/>
        </w:rPr>
        <w:t>supra</w:t>
      </w:r>
      <w:r w:rsidRPr="0004576F">
        <w:t>) était supe</w:t>
      </w:r>
      <w:r w:rsidRPr="0004576F">
        <w:t>r</w:t>
      </w:r>
      <w:r w:rsidRPr="0004576F">
        <w:t>fétatoire.</w:t>
      </w:r>
    </w:p>
  </w:footnote>
  <w:footnote w:id="1314">
    <w:p w14:paraId="559B792A" w14:textId="77777777" w:rsidR="00B01930" w:rsidRDefault="00B01930">
      <w:pPr>
        <w:pStyle w:val="Notedebasdepage"/>
      </w:pPr>
      <w:r>
        <w:rPr>
          <w:rStyle w:val="Appelnotedebasdep"/>
        </w:rPr>
        <w:footnoteRef/>
      </w:r>
      <w:r>
        <w:t xml:space="preserve"> </w:t>
      </w:r>
      <w:r>
        <w:tab/>
      </w:r>
      <w:r w:rsidRPr="0004576F">
        <w:t>Sur l’origine du terme, voir la phrase, un peu polémique, de Év</w:t>
      </w:r>
      <w:r w:rsidRPr="0004576F">
        <w:t>e</w:t>
      </w:r>
      <w:r w:rsidRPr="0004576F">
        <w:t xml:space="preserve">lyne Joslain, </w:t>
      </w:r>
      <w:r w:rsidRPr="0004576F">
        <w:rPr>
          <w:i/>
        </w:rPr>
        <w:t>L’Amérique des think tanks : un siècle d’expertise privée au service d’une n</w:t>
      </w:r>
      <w:r w:rsidRPr="0004576F">
        <w:rPr>
          <w:i/>
        </w:rPr>
        <w:t>a</w:t>
      </w:r>
      <w:r w:rsidRPr="0004576F">
        <w:rPr>
          <w:i/>
        </w:rPr>
        <w:t>tion</w:t>
      </w:r>
      <w:r w:rsidRPr="0004576F">
        <w:t xml:space="preserve">, Paris, L’Harmattan, 2006, p. 155 ; sur les </w:t>
      </w:r>
      <w:r w:rsidRPr="0004576F">
        <w:rPr>
          <w:i/>
        </w:rPr>
        <w:t>think tanks</w:t>
      </w:r>
      <w:r w:rsidRPr="0004576F">
        <w:t xml:space="preserve"> voir aussi l’ouvrage de Justin Vaïsse, </w:t>
      </w:r>
      <w:r w:rsidRPr="0004576F">
        <w:rPr>
          <w:i/>
        </w:rPr>
        <w:t>Histoire du né</w:t>
      </w:r>
      <w:r w:rsidRPr="0004576F">
        <w:rPr>
          <w:i/>
        </w:rPr>
        <w:t>o</w:t>
      </w:r>
      <w:r w:rsidRPr="0004576F">
        <w:rPr>
          <w:i/>
        </w:rPr>
        <w:t>conservatisme  aux États-Unis</w:t>
      </w:r>
      <w:r w:rsidRPr="0004576F">
        <w:t>, Paris, Odile Jacob, 2008.</w:t>
      </w:r>
    </w:p>
  </w:footnote>
  <w:footnote w:id="1315">
    <w:p w14:paraId="48841DFE" w14:textId="77777777" w:rsidR="00B01930" w:rsidRDefault="00B01930">
      <w:pPr>
        <w:pStyle w:val="Notedebasdepage"/>
      </w:pPr>
      <w:r>
        <w:rPr>
          <w:rStyle w:val="Appelnotedebasdep"/>
        </w:rPr>
        <w:footnoteRef/>
      </w:r>
      <w:r>
        <w:t xml:space="preserve"> </w:t>
      </w:r>
      <w:r>
        <w:tab/>
      </w:r>
      <w:r w:rsidRPr="0004576F">
        <w:rPr>
          <w:i/>
        </w:rPr>
        <w:t>Le Défi indien</w:t>
      </w:r>
      <w:r w:rsidRPr="0004576F">
        <w:t>, Arles, Actes sud, col. « Babel », 2007.</w:t>
      </w:r>
    </w:p>
  </w:footnote>
  <w:footnote w:id="1316">
    <w:p w14:paraId="0F7F7C08" w14:textId="77777777" w:rsidR="00B01930" w:rsidRDefault="00B01930">
      <w:pPr>
        <w:pStyle w:val="Notedebasdepage"/>
      </w:pPr>
      <w:r>
        <w:rPr>
          <w:rStyle w:val="Appelnotedebasdep"/>
        </w:rPr>
        <w:footnoteRef/>
      </w:r>
      <w:r>
        <w:t xml:space="preserve"> </w:t>
      </w:r>
      <w:r>
        <w:tab/>
      </w:r>
      <w:r w:rsidRPr="0004576F">
        <w:rPr>
          <w:i/>
        </w:rPr>
        <w:t>Au sein de La Maison Blanche. La formulation de la politique étrangère des États-Unis</w:t>
      </w:r>
      <w:r w:rsidRPr="0004576F">
        <w:t>, 2</w:t>
      </w:r>
      <w:r w:rsidRPr="0004576F">
        <w:rPr>
          <w:vertAlign w:val="superscript"/>
        </w:rPr>
        <w:t xml:space="preserve">e </w:t>
      </w:r>
      <w:r w:rsidRPr="0004576F">
        <w:t>édition, 2005, Laval, Presses de l’Université Laval.</w:t>
      </w:r>
    </w:p>
  </w:footnote>
  <w:footnote w:id="1317">
    <w:p w14:paraId="28C601D2" w14:textId="77777777" w:rsidR="00B01930" w:rsidRDefault="00B01930">
      <w:pPr>
        <w:pStyle w:val="Notedebasdepage"/>
      </w:pPr>
      <w:r>
        <w:rPr>
          <w:rStyle w:val="Appelnotedebasdep"/>
        </w:rPr>
        <w:footnoteRef/>
      </w:r>
      <w:r>
        <w:t xml:space="preserve"> </w:t>
      </w:r>
      <w:r>
        <w:tab/>
      </w:r>
      <w:r w:rsidRPr="0004576F">
        <w:t>1941 ou Cuba 1962 par exemple.</w:t>
      </w:r>
    </w:p>
  </w:footnote>
  <w:footnote w:id="1318">
    <w:p w14:paraId="4F4090A2" w14:textId="77777777" w:rsidR="00B01930" w:rsidRDefault="00B01930">
      <w:pPr>
        <w:pStyle w:val="Notedebasdepage"/>
      </w:pPr>
      <w:r>
        <w:rPr>
          <w:rStyle w:val="Appelnotedebasdep"/>
        </w:rPr>
        <w:footnoteRef/>
      </w:r>
      <w:r>
        <w:t xml:space="preserve"> </w:t>
      </w:r>
      <w:r>
        <w:tab/>
      </w:r>
      <w:r w:rsidRPr="0004576F">
        <w:t>Sur ce thème des « néoconservateurs », cf. notre contribution dans le présent ouvrage : « Esquisse d’une interprétation martrienne du néoconservati</w:t>
      </w:r>
      <w:r w:rsidRPr="0004576F">
        <w:t>s</w:t>
      </w:r>
      <w:r w:rsidRPr="0004576F">
        <w:t>me… », et aussi lire le remarquable livre de Séba</w:t>
      </w:r>
      <w:r w:rsidRPr="0004576F">
        <w:t>s</w:t>
      </w:r>
      <w:r w:rsidRPr="0004576F">
        <w:t xml:space="preserve">tien Fumaroli </w:t>
      </w:r>
      <w:r w:rsidRPr="0004576F">
        <w:rPr>
          <w:i/>
        </w:rPr>
        <w:t>Tempête sous un crâne, l’Amérique en guerre (2003-2006)</w:t>
      </w:r>
      <w:r w:rsidRPr="0004576F">
        <w:t xml:space="preserve">, Paris, de Fallois, 2007 ; Francis Fukuyama, </w:t>
      </w:r>
      <w:r w:rsidRPr="0004576F">
        <w:rPr>
          <w:i/>
        </w:rPr>
        <w:t>D’où viennent les néo-conservateurs</w:t>
      </w:r>
      <w:r w:rsidRPr="0004576F">
        <w:t xml:space="preserve"> ?, Paris, Grasset, 2006 ; du même auteur, </w:t>
      </w:r>
      <w:r w:rsidRPr="0004576F">
        <w:rPr>
          <w:i/>
        </w:rPr>
        <w:t>State</w:t>
      </w:r>
      <w:r w:rsidRPr="0004576F">
        <w:t xml:space="preserve"> </w:t>
      </w:r>
      <w:r w:rsidRPr="0004576F">
        <w:rPr>
          <w:i/>
        </w:rPr>
        <w:t>building. Gouvernance et ordre du monde au XX</w:t>
      </w:r>
      <w:r w:rsidRPr="0004576F">
        <w:rPr>
          <w:i/>
          <w:vertAlign w:val="superscript"/>
        </w:rPr>
        <w:t>e</w:t>
      </w:r>
      <w:r w:rsidRPr="0004576F">
        <w:rPr>
          <w:i/>
        </w:rPr>
        <w:t xml:space="preserve"> siècle</w:t>
      </w:r>
      <w:r w:rsidRPr="0004576F">
        <w:t>, Paris, La Table ronde, 2005 ; Pierre Hassner et Justin Vaï</w:t>
      </w:r>
      <w:r w:rsidRPr="0004576F">
        <w:t>s</w:t>
      </w:r>
      <w:r w:rsidRPr="0004576F">
        <w:t xml:space="preserve">se, </w:t>
      </w:r>
      <w:r w:rsidRPr="0004576F">
        <w:rPr>
          <w:i/>
        </w:rPr>
        <w:t>Washington et le monde</w:t>
      </w:r>
      <w:r w:rsidRPr="0004576F">
        <w:t>, Paris, Autr</w:t>
      </w:r>
      <w:r w:rsidRPr="0004576F">
        <w:t>e</w:t>
      </w:r>
      <w:r w:rsidRPr="0004576F">
        <w:t>ment-C</w:t>
      </w:r>
      <w:r w:rsidRPr="0004576F">
        <w:rPr>
          <w:smallCaps/>
        </w:rPr>
        <w:t>eri</w:t>
      </w:r>
      <w:r w:rsidRPr="0004576F">
        <w:t xml:space="preserve">, 2003 ; Alain Frachon, Daniel Vernet, </w:t>
      </w:r>
      <w:r w:rsidRPr="0004576F">
        <w:rPr>
          <w:i/>
        </w:rPr>
        <w:t xml:space="preserve">L’Amérique messianique : les guerres des néoconservateurs, </w:t>
      </w:r>
      <w:r w:rsidRPr="0004576F">
        <w:t xml:space="preserve">Paris, Le Seuil, 2004 ; Anne Norton, </w:t>
      </w:r>
      <w:r w:rsidRPr="0004576F">
        <w:rPr>
          <w:i/>
        </w:rPr>
        <w:t>Leo Strauss et la politique de l’Empire américain</w:t>
      </w:r>
      <w:r w:rsidRPr="0004576F">
        <w:t xml:space="preserve">, Paris, Denoël, 2006 ; Gérard Chaliand, Arnaud Blin, </w:t>
      </w:r>
      <w:r w:rsidRPr="0004576F">
        <w:rPr>
          <w:i/>
        </w:rPr>
        <w:t>Am</w:t>
      </w:r>
      <w:r w:rsidRPr="0004576F">
        <w:rPr>
          <w:i/>
        </w:rPr>
        <w:t>é</w:t>
      </w:r>
      <w:r w:rsidRPr="0004576F">
        <w:rPr>
          <w:i/>
        </w:rPr>
        <w:t>rica is Back : les nouveaux césars du Pentagone</w:t>
      </w:r>
      <w:r w:rsidRPr="0004576F">
        <w:t>, Paris, Bayard, 2003. Charles-Philippe David, Louis Ba</w:t>
      </w:r>
      <w:r w:rsidRPr="0004576F">
        <w:t>l</w:t>
      </w:r>
      <w:r w:rsidRPr="0004576F">
        <w:t xml:space="preserve">thazar, Julin Vaïsse, </w:t>
      </w:r>
      <w:r w:rsidRPr="0004576F">
        <w:rPr>
          <w:i/>
        </w:rPr>
        <w:t>La Politique étrangère des États-Unis, fondement, a</w:t>
      </w:r>
      <w:r w:rsidRPr="0004576F">
        <w:rPr>
          <w:i/>
        </w:rPr>
        <w:t>c</w:t>
      </w:r>
      <w:r w:rsidRPr="0004576F">
        <w:rPr>
          <w:i/>
        </w:rPr>
        <w:t>teurs, formulation</w:t>
      </w:r>
      <w:r w:rsidRPr="0004576F">
        <w:t>,</w:t>
      </w:r>
      <w:r w:rsidRPr="0004576F">
        <w:rPr>
          <w:i/>
        </w:rPr>
        <w:t xml:space="preserve"> </w:t>
      </w:r>
      <w:r w:rsidRPr="0004576F">
        <w:t>Paris, Presses de Science Po, 2003.</w:t>
      </w:r>
    </w:p>
    <w:p w14:paraId="7AF96B4B" w14:textId="77777777" w:rsidR="00B01930" w:rsidRDefault="00B01930">
      <w:pPr>
        <w:pStyle w:val="Notedebasdepage"/>
      </w:pPr>
      <w:r>
        <w:tab/>
      </w:r>
      <w:r>
        <w:tab/>
      </w:r>
      <w:r w:rsidRPr="0004576F">
        <w:t>Voir aussi les écrits de quelques représentants de cette école : William Kristol, L</w:t>
      </w:r>
      <w:r w:rsidRPr="0004576F">
        <w:t>a</w:t>
      </w:r>
      <w:r w:rsidRPr="0004576F">
        <w:t xml:space="preserve">wrence F. Kaplan, </w:t>
      </w:r>
      <w:r w:rsidRPr="0004576F">
        <w:rPr>
          <w:i/>
        </w:rPr>
        <w:t>Notre route commence à Bagdad</w:t>
      </w:r>
      <w:r w:rsidRPr="0004576F">
        <w:t xml:space="preserve">, Paris, Éd. Saint Simon, 2003, Robert Kagan, </w:t>
      </w:r>
      <w:r w:rsidRPr="0004576F">
        <w:rPr>
          <w:i/>
        </w:rPr>
        <w:t>La Puissance et la fa</w:t>
      </w:r>
      <w:r w:rsidRPr="0004576F">
        <w:rPr>
          <w:i/>
        </w:rPr>
        <w:t>i</w:t>
      </w:r>
      <w:r w:rsidRPr="0004576F">
        <w:rPr>
          <w:i/>
        </w:rPr>
        <w:t>blesse</w:t>
      </w:r>
      <w:r w:rsidRPr="0004576F">
        <w:t xml:space="preserve">, Paris, Plon, 2003 ; du même auteur, </w:t>
      </w:r>
      <w:r w:rsidRPr="0004576F">
        <w:rPr>
          <w:i/>
        </w:rPr>
        <w:t>Le Revers de la Puissance</w:t>
      </w:r>
      <w:r w:rsidRPr="0004576F">
        <w:t xml:space="preserve">, Paris, Plon, 2004 ; Robert D. Kaplan, </w:t>
      </w:r>
      <w:r w:rsidRPr="0004576F">
        <w:rPr>
          <w:i/>
        </w:rPr>
        <w:t>La Stratégie du guerrier</w:t>
      </w:r>
      <w:r w:rsidRPr="0004576F">
        <w:t>, Paris, Bayard, 2003.</w:t>
      </w:r>
    </w:p>
  </w:footnote>
  <w:footnote w:id="1319">
    <w:p w14:paraId="4D961149" w14:textId="77777777" w:rsidR="00B01930" w:rsidRDefault="00B01930">
      <w:pPr>
        <w:pStyle w:val="Notedebasdepage"/>
      </w:pPr>
      <w:r>
        <w:rPr>
          <w:rStyle w:val="Appelnotedebasdep"/>
        </w:rPr>
        <w:footnoteRef/>
      </w:r>
      <w:r>
        <w:t xml:space="preserve"> </w:t>
      </w:r>
      <w:r>
        <w:tab/>
      </w:r>
      <w:r w:rsidRPr="0004576F">
        <w:t xml:space="preserve">Voir sur cette question, Philippe Roger, </w:t>
      </w:r>
      <w:r w:rsidRPr="0004576F">
        <w:rPr>
          <w:i/>
        </w:rPr>
        <w:t>L’Ennemi américain</w:t>
      </w:r>
      <w:r w:rsidRPr="0004576F">
        <w:t>, P</w:t>
      </w:r>
      <w:r w:rsidRPr="0004576F">
        <w:t>a</w:t>
      </w:r>
      <w:r w:rsidRPr="0004576F">
        <w:t>ris, Le Seuil, col. « Points », 2004.</w:t>
      </w:r>
    </w:p>
  </w:footnote>
  <w:footnote w:id="1320">
    <w:p w14:paraId="1121ECDF" w14:textId="77777777" w:rsidR="00B01930" w:rsidRDefault="00B01930">
      <w:pPr>
        <w:pStyle w:val="Notedebasdepage"/>
      </w:pPr>
      <w:r>
        <w:rPr>
          <w:rStyle w:val="Appelnotedebasdep"/>
        </w:rPr>
        <w:footnoteRef/>
      </w:r>
      <w:r>
        <w:t xml:space="preserve"> </w:t>
      </w:r>
      <w:r>
        <w:tab/>
      </w:r>
      <w:r w:rsidRPr="0004576F">
        <w:t>Ce qui n’exclut pas les arrières pensées et intérêts des groupes de pression ; au demeurant cette convergence entre politique étrangère et intérêts financiers, ou autres, vaudrait aussi pour la France au Moyen-Orient, nota</w:t>
      </w:r>
      <w:r w:rsidRPr="0004576F">
        <w:t>m</w:t>
      </w:r>
      <w:r w:rsidRPr="0004576F">
        <w:t>ment envers l’Irak ou vis-à-vis du nucléaire de l’Iran et notre attitude de temporisation (c’est la France qui a, en son temps, équipé ce pays en matériel nécessaire dans le cadre d’Eurodif), qui semble avoir changé, dans le di</w:t>
      </w:r>
      <w:r w:rsidRPr="0004576F">
        <w:t>s</w:t>
      </w:r>
      <w:r w:rsidRPr="0004576F">
        <w:t>cours, avec le président Sarkozy (NB 2015, compte tenu du contexte économique, stratég</w:t>
      </w:r>
      <w:r w:rsidRPr="0004576F">
        <w:t>i</w:t>
      </w:r>
      <w:r w:rsidRPr="0004576F">
        <w:t>que, le discours a, à nouveau, changé avec le président Hollande : durciss</w:t>
      </w:r>
      <w:r w:rsidRPr="0004576F">
        <w:t>e</w:t>
      </w:r>
      <w:r w:rsidRPr="0004576F">
        <w:t>ment à l'égard de la question nucléaire iranienne, ventes d'armes renforcées à l'Ar</w:t>
      </w:r>
      <w:r w:rsidRPr="0004576F">
        <w:t>a</w:t>
      </w:r>
      <w:r w:rsidRPr="0004576F">
        <w:t>bie saoudite ou au Quatar etc.).</w:t>
      </w:r>
    </w:p>
  </w:footnote>
  <w:footnote w:id="1321">
    <w:p w14:paraId="5D88E833" w14:textId="77777777" w:rsidR="00B01930" w:rsidRDefault="00B01930">
      <w:pPr>
        <w:pStyle w:val="Notedebasdepage"/>
      </w:pPr>
      <w:r>
        <w:rPr>
          <w:rStyle w:val="Appelnotedebasdep"/>
        </w:rPr>
        <w:footnoteRef/>
      </w:r>
      <w:r>
        <w:t xml:space="preserve"> </w:t>
      </w:r>
      <w:r>
        <w:tab/>
      </w:r>
      <w:r w:rsidRPr="0004576F">
        <w:t>C’est nous qui soulignons.</w:t>
      </w:r>
    </w:p>
  </w:footnote>
  <w:footnote w:id="1322">
    <w:p w14:paraId="6840C76A" w14:textId="77777777" w:rsidR="00B01930" w:rsidRDefault="00B01930">
      <w:pPr>
        <w:pStyle w:val="Notedebasdepage"/>
      </w:pPr>
      <w:r>
        <w:rPr>
          <w:rStyle w:val="Appelnotedebasdep"/>
        </w:rPr>
        <w:footnoteRef/>
      </w:r>
      <w:r>
        <w:t xml:space="preserve"> </w:t>
      </w:r>
      <w:r>
        <w:tab/>
      </w:r>
      <w:r w:rsidRPr="0004576F">
        <w:t>Constamment soutenu par la France, nonobstant sa corruption effrénée, son double lang</w:t>
      </w:r>
      <w:r w:rsidRPr="0004576F">
        <w:t>a</w:t>
      </w:r>
      <w:r w:rsidRPr="0004576F">
        <w:t>ge et des attitudes ou actions adaptées à ses différents « publics » : une posture pour l’Occident – modérée et positive, une autre po</w:t>
      </w:r>
      <w:r w:rsidRPr="0004576F">
        <w:t>s</w:t>
      </w:r>
      <w:r w:rsidRPr="0004576F">
        <w:t>ture, « sur le terrain » – plus radicale ; sur son rôle : voir le livre (pourtant cr</w:t>
      </w:r>
      <w:r w:rsidRPr="0004576F">
        <w:t>i</w:t>
      </w:r>
      <w:r w:rsidRPr="0004576F">
        <w:t xml:space="preserve">tique à l’égard d’Israël) de Amos Arel, Avi Isarachoff, </w:t>
      </w:r>
      <w:r w:rsidRPr="0004576F">
        <w:rPr>
          <w:i/>
        </w:rPr>
        <w:t>La septième</w:t>
      </w:r>
      <w:r w:rsidRPr="0004576F">
        <w:rPr>
          <w:i/>
          <w:vertAlign w:val="superscript"/>
        </w:rPr>
        <w:t xml:space="preserve"> </w:t>
      </w:r>
      <w:r w:rsidRPr="0004576F">
        <w:rPr>
          <w:i/>
        </w:rPr>
        <w:t>guerre d’Israël : comment nous avons gagné la guerre contre les Palest</w:t>
      </w:r>
      <w:r w:rsidRPr="0004576F">
        <w:rPr>
          <w:i/>
        </w:rPr>
        <w:t>i</w:t>
      </w:r>
      <w:r w:rsidRPr="0004576F">
        <w:rPr>
          <w:i/>
        </w:rPr>
        <w:t>niens</w:t>
      </w:r>
      <w:r w:rsidRPr="0004576F">
        <w:t>, Paris, Hachette littérature, 2005 ; Madeleine Korbel Albright,</w:t>
      </w:r>
      <w:r w:rsidRPr="0004576F">
        <w:rPr>
          <w:i/>
        </w:rPr>
        <w:t xml:space="preserve"> Madame Le Secréta</w:t>
      </w:r>
      <w:r w:rsidRPr="0004576F">
        <w:rPr>
          <w:i/>
        </w:rPr>
        <w:t>i</w:t>
      </w:r>
      <w:r w:rsidRPr="0004576F">
        <w:rPr>
          <w:i/>
        </w:rPr>
        <w:t>re d’État. Mémoires</w:t>
      </w:r>
      <w:r w:rsidRPr="0004576F">
        <w:t xml:space="preserve">, Paris, Albin Michel, 2003 ; Henry Kissinger, </w:t>
      </w:r>
      <w:r w:rsidRPr="0004576F">
        <w:rPr>
          <w:i/>
        </w:rPr>
        <w:t>La Nouvelle Puissance américaine</w:t>
      </w:r>
      <w:r w:rsidRPr="0004576F">
        <w:t>, Paris, Fayard, 2003. Pour être objectif, il faut souligner que se posait la question de savoir si un autre interlocuteur était possible, s</w:t>
      </w:r>
      <w:r w:rsidRPr="0004576F">
        <w:t>a</w:t>
      </w:r>
      <w:r w:rsidRPr="0004576F">
        <w:t xml:space="preserve">chant qu’Arafat « gouvernait » en autocrate, rendant impossible l’émergence d’un autre </w:t>
      </w:r>
      <w:r w:rsidRPr="0004576F">
        <w:rPr>
          <w:i/>
        </w:rPr>
        <w:t>leader</w:t>
      </w:r>
      <w:r w:rsidRPr="0004576F">
        <w:t>.</w:t>
      </w:r>
    </w:p>
  </w:footnote>
  <w:footnote w:id="1323">
    <w:p w14:paraId="182F1403" w14:textId="77777777" w:rsidR="00B01930" w:rsidRDefault="00B01930">
      <w:pPr>
        <w:pStyle w:val="Notedebasdepage"/>
      </w:pPr>
      <w:r>
        <w:rPr>
          <w:rStyle w:val="Appelnotedebasdep"/>
        </w:rPr>
        <w:footnoteRef/>
      </w:r>
      <w:r>
        <w:t xml:space="preserve"> </w:t>
      </w:r>
      <w:r>
        <w:tab/>
      </w:r>
      <w:r w:rsidRPr="0004576F">
        <w:t>Selon l’expression de l’auteur.</w:t>
      </w:r>
    </w:p>
  </w:footnote>
  <w:footnote w:id="1324">
    <w:p w14:paraId="611F7D25" w14:textId="77777777" w:rsidR="00B01930" w:rsidRDefault="00B01930">
      <w:pPr>
        <w:pStyle w:val="Notedebasdepage"/>
      </w:pPr>
      <w:r>
        <w:rPr>
          <w:rStyle w:val="Appelnotedebasdep"/>
        </w:rPr>
        <w:footnoteRef/>
      </w:r>
      <w:r>
        <w:t xml:space="preserve"> </w:t>
      </w:r>
      <w:r>
        <w:tab/>
      </w:r>
      <w:r w:rsidRPr="0004576F">
        <w:t xml:space="preserve">Voir sur ce sujet tous les articles d’Alain Besançon dans la revue </w:t>
      </w:r>
      <w:r w:rsidRPr="0004576F">
        <w:rPr>
          <w:i/>
        </w:rPr>
        <w:t>Commenta</w:t>
      </w:r>
      <w:r w:rsidRPr="0004576F">
        <w:rPr>
          <w:i/>
        </w:rPr>
        <w:t>i</w:t>
      </w:r>
      <w:r w:rsidRPr="0004576F">
        <w:rPr>
          <w:i/>
        </w:rPr>
        <w:t>re</w:t>
      </w:r>
      <w:r w:rsidRPr="0004576F">
        <w:t>, ou, dès le début des années quatre-vingt-dix, certains écrits de Jacques E</w:t>
      </w:r>
      <w:r w:rsidRPr="0004576F">
        <w:t>l</w:t>
      </w:r>
      <w:r w:rsidRPr="0004576F">
        <w:t>lul, et encore le livre, peu cité, mais prémonitoire, du Tunisien Hamadi Redi</w:t>
      </w:r>
      <w:r w:rsidRPr="0004576F">
        <w:t>s</w:t>
      </w:r>
      <w:r w:rsidRPr="0004576F">
        <w:t xml:space="preserve">si, </w:t>
      </w:r>
      <w:r w:rsidRPr="0004576F">
        <w:rPr>
          <w:i/>
        </w:rPr>
        <w:t>L’Exception islamiste</w:t>
      </w:r>
      <w:r w:rsidRPr="0004576F">
        <w:t>, Paris, Le Seuil, 2004, ainsi que ce que disent les penseurs américains du sujet, in Sébastien Fumar</w:t>
      </w:r>
      <w:r w:rsidRPr="0004576F">
        <w:t>o</w:t>
      </w:r>
      <w:r w:rsidRPr="0004576F">
        <w:t xml:space="preserve">li, cf. </w:t>
      </w:r>
      <w:r w:rsidRPr="0004576F">
        <w:rPr>
          <w:i/>
        </w:rPr>
        <w:t>supra</w:t>
      </w:r>
      <w:r w:rsidRPr="0004576F">
        <w:t xml:space="preserve">, note </w:t>
      </w:r>
      <w:r w:rsidRPr="0004576F">
        <w:rPr>
          <w:vertAlign w:val="superscript"/>
        </w:rPr>
        <w:t>74</w:t>
      </w:r>
      <w:r w:rsidRPr="0004576F">
        <w:t>.</w:t>
      </w:r>
    </w:p>
  </w:footnote>
  <w:footnote w:id="1325">
    <w:p w14:paraId="1010EE47" w14:textId="77777777" w:rsidR="00B01930" w:rsidRDefault="00B01930">
      <w:pPr>
        <w:pStyle w:val="Notedebasdepage"/>
      </w:pPr>
      <w:r>
        <w:rPr>
          <w:rStyle w:val="Appelnotedebasdep"/>
        </w:rPr>
        <w:footnoteRef/>
      </w:r>
      <w:r>
        <w:t xml:space="preserve"> </w:t>
      </w:r>
      <w:r>
        <w:tab/>
      </w:r>
      <w:r w:rsidRPr="0004576F">
        <w:t>Voir les années trente.</w:t>
      </w:r>
    </w:p>
  </w:footnote>
  <w:footnote w:id="1326">
    <w:p w14:paraId="7491DA9A" w14:textId="77777777" w:rsidR="00B01930" w:rsidRDefault="00B01930">
      <w:pPr>
        <w:pStyle w:val="Notedebasdepage"/>
      </w:pPr>
      <w:r>
        <w:rPr>
          <w:rStyle w:val="Appelnotedebasdep"/>
        </w:rPr>
        <w:footnoteRef/>
      </w:r>
      <w:r>
        <w:t xml:space="preserve"> </w:t>
      </w:r>
      <w:r>
        <w:tab/>
      </w:r>
      <w:r w:rsidRPr="0004576F">
        <w:t>C’est nous qui soulignons.</w:t>
      </w:r>
    </w:p>
  </w:footnote>
  <w:footnote w:id="1327">
    <w:p w14:paraId="1A7C4AB9" w14:textId="77777777" w:rsidR="00B01930" w:rsidRDefault="00B01930">
      <w:pPr>
        <w:pStyle w:val="Notedebasdepage"/>
      </w:pPr>
      <w:r>
        <w:rPr>
          <w:rStyle w:val="Appelnotedebasdep"/>
        </w:rPr>
        <w:footnoteRef/>
      </w:r>
      <w:r>
        <w:t xml:space="preserve"> </w:t>
      </w:r>
      <w:r>
        <w:tab/>
      </w:r>
      <w:r w:rsidRPr="0004576F">
        <w:t>Puisque par nature l’utopie juridique postule la supériorité des institutions inte</w:t>
      </w:r>
      <w:r w:rsidRPr="0004576F">
        <w:t>r</w:t>
      </w:r>
      <w:r w:rsidRPr="0004576F">
        <w:t>nationales.</w:t>
      </w:r>
    </w:p>
  </w:footnote>
  <w:footnote w:id="1328">
    <w:p w14:paraId="2D4B4997" w14:textId="77777777" w:rsidR="00B01930" w:rsidRDefault="00B01930">
      <w:pPr>
        <w:pStyle w:val="Notedebasdepage"/>
      </w:pPr>
      <w:r>
        <w:rPr>
          <w:rStyle w:val="Appelnotedebasdep"/>
        </w:rPr>
        <w:footnoteRef/>
      </w:r>
      <w:r>
        <w:t xml:space="preserve"> </w:t>
      </w:r>
      <w:r>
        <w:tab/>
      </w:r>
      <w:r w:rsidRPr="0004576F">
        <w:t>Cf. l’article de Gunnar Heinsohn, « Ce sont les bébés qui gagnent les gue</w:t>
      </w:r>
      <w:r w:rsidRPr="0004576F">
        <w:t>r</w:t>
      </w:r>
      <w:r w:rsidRPr="0004576F">
        <w:t xml:space="preserve">res », </w:t>
      </w:r>
      <w:r w:rsidRPr="0004576F">
        <w:rPr>
          <w:i/>
        </w:rPr>
        <w:t>Comme</w:t>
      </w:r>
      <w:r w:rsidRPr="0004576F">
        <w:rPr>
          <w:i/>
        </w:rPr>
        <w:t>n</w:t>
      </w:r>
      <w:r w:rsidRPr="0004576F">
        <w:rPr>
          <w:i/>
        </w:rPr>
        <w:t>taire</w:t>
      </w:r>
      <w:r w:rsidRPr="0004576F">
        <w:t>, 102, 2006, p. 475.</w:t>
      </w:r>
    </w:p>
  </w:footnote>
  <w:footnote w:id="1329">
    <w:p w14:paraId="3C52EA0A" w14:textId="77777777" w:rsidR="00B01930" w:rsidRDefault="00B01930">
      <w:pPr>
        <w:pStyle w:val="Notedebasdepage"/>
      </w:pPr>
      <w:r>
        <w:rPr>
          <w:rStyle w:val="Appelnotedebasdep"/>
        </w:rPr>
        <w:footnoteRef/>
      </w:r>
      <w:r>
        <w:t xml:space="preserve"> </w:t>
      </w:r>
      <w:r>
        <w:tab/>
      </w:r>
      <w:r w:rsidRPr="0004576F">
        <w:t>Cf. notre article « le Verbe et la Puissance, à propos de l’Irak</w:t>
      </w:r>
      <w:r w:rsidRPr="0004576F">
        <w:rPr>
          <w:i/>
        </w:rPr>
        <w:t> </w:t>
      </w:r>
      <w:r>
        <w:t>»</w:t>
      </w:r>
      <w:r w:rsidRPr="0004576F">
        <w:t>.</w:t>
      </w:r>
    </w:p>
  </w:footnote>
  <w:footnote w:id="1330">
    <w:p w14:paraId="53E966B6" w14:textId="77777777" w:rsidR="00B01930" w:rsidRDefault="00B01930">
      <w:pPr>
        <w:pStyle w:val="Notedebasdepage"/>
      </w:pPr>
      <w:r>
        <w:rPr>
          <w:rStyle w:val="Appelnotedebasdep"/>
        </w:rPr>
        <w:footnoteRef/>
      </w:r>
      <w:r>
        <w:t xml:space="preserve"> </w:t>
      </w:r>
      <w:r>
        <w:tab/>
      </w:r>
      <w:r w:rsidRPr="0004576F">
        <w:t>Mais le terme est aussi connoté « sérieux » dans le langage ord</w:t>
      </w:r>
      <w:r w:rsidRPr="0004576F">
        <w:t>i</w:t>
      </w:r>
      <w:r w:rsidRPr="0004576F">
        <w:t xml:space="preserve">naire : cela explique qu’une invitée d’un magazine télévisé (sur </w:t>
      </w:r>
      <w:r w:rsidRPr="0004576F">
        <w:rPr>
          <w:i/>
        </w:rPr>
        <w:t>Fra</w:t>
      </w:r>
      <w:r w:rsidRPr="0004576F">
        <w:rPr>
          <w:i/>
        </w:rPr>
        <w:t>n</w:t>
      </w:r>
      <w:r w:rsidRPr="0004576F">
        <w:rPr>
          <w:i/>
        </w:rPr>
        <w:t>ce 5 Télévision</w:t>
      </w:r>
      <w:r w:rsidRPr="0004576F">
        <w:t>) s’ébaubissait un jour de la critique affichée par H</w:t>
      </w:r>
      <w:r w:rsidRPr="0004576F">
        <w:t>u</w:t>
      </w:r>
      <w:r w:rsidRPr="0004576F">
        <w:t>bert Védrine de l’« </w:t>
      </w:r>
      <w:r w:rsidRPr="0004576F">
        <w:rPr>
          <w:i/>
        </w:rPr>
        <w:t>irrealpolitik</w:t>
      </w:r>
      <w:r w:rsidRPr="0004576F">
        <w:t> ».</w:t>
      </w:r>
    </w:p>
  </w:footnote>
  <w:footnote w:id="1331">
    <w:p w14:paraId="3C162F3B" w14:textId="77777777" w:rsidR="00B01930" w:rsidRDefault="00B01930">
      <w:pPr>
        <w:pStyle w:val="Notedebasdepage"/>
      </w:pPr>
      <w:r>
        <w:rPr>
          <w:rStyle w:val="Appelnotedebasdep"/>
        </w:rPr>
        <w:footnoteRef/>
      </w:r>
      <w:r>
        <w:t xml:space="preserve"> </w:t>
      </w:r>
      <w:r>
        <w:tab/>
      </w:r>
      <w:r w:rsidRPr="0004576F">
        <w:t>Religieux, éthique, technique, ludique, etc. ; sur les différents o</w:t>
      </w:r>
      <w:r w:rsidRPr="0004576F">
        <w:t>r</w:t>
      </w:r>
      <w:r w:rsidRPr="0004576F">
        <w:t xml:space="preserve">dres, cf. Jean Baechler, </w:t>
      </w:r>
      <w:r w:rsidRPr="0004576F">
        <w:rPr>
          <w:i/>
        </w:rPr>
        <w:t>Démocraties</w:t>
      </w:r>
      <w:r w:rsidRPr="0004576F">
        <w:t>, Paris, Calmann-Lévy, 1985 (grand penseur « aronien », quelque peu oublié par notre intelligen</w:t>
      </w:r>
      <w:r w:rsidRPr="0004576F">
        <w:t>t</w:t>
      </w:r>
      <w:r w:rsidRPr="0004576F">
        <w:t>sia).</w:t>
      </w:r>
    </w:p>
  </w:footnote>
  <w:footnote w:id="1332">
    <w:p w14:paraId="3A1EBF7A" w14:textId="77777777" w:rsidR="00B01930" w:rsidRDefault="00B01930">
      <w:pPr>
        <w:pStyle w:val="Notedebasdepage"/>
      </w:pPr>
      <w:r>
        <w:rPr>
          <w:rStyle w:val="Appelnotedebasdep"/>
        </w:rPr>
        <w:footnoteRef/>
      </w:r>
      <w:r>
        <w:t xml:space="preserve"> </w:t>
      </w:r>
      <w:r>
        <w:tab/>
      </w:r>
      <w:r w:rsidRPr="0004576F">
        <w:t>Sur la stratégie et le dévoiement du concept, voir le livre de référence de He</w:t>
      </w:r>
      <w:r w:rsidRPr="0004576F">
        <w:t>r</w:t>
      </w:r>
      <w:r w:rsidRPr="0004576F">
        <w:t xml:space="preserve">vé Coutau-Bégarie (1956-2012), doctorant de Jean-Louis Martres, </w:t>
      </w:r>
      <w:r w:rsidRPr="0004576F">
        <w:rPr>
          <w:i/>
        </w:rPr>
        <w:t>Traité de stratégie</w:t>
      </w:r>
      <w:r w:rsidRPr="0004576F">
        <w:t>, Paris, Économica, 1999, (l’ouvrage, de dimension intern</w:t>
      </w:r>
      <w:r w:rsidRPr="0004576F">
        <w:t>a</w:t>
      </w:r>
      <w:r w:rsidRPr="0004576F">
        <w:t>tionale, connut sept éditions jusqu’en 2011).</w:t>
      </w:r>
    </w:p>
  </w:footnote>
  <w:footnote w:id="1333">
    <w:p w14:paraId="48A48B61" w14:textId="77777777" w:rsidR="00B01930" w:rsidRDefault="00B01930">
      <w:pPr>
        <w:pStyle w:val="Notedebasdepage"/>
      </w:pPr>
      <w:r>
        <w:rPr>
          <w:rStyle w:val="Appelnotedebasdep"/>
        </w:rPr>
        <w:footnoteRef/>
      </w:r>
      <w:r>
        <w:t xml:space="preserve"> </w:t>
      </w:r>
      <w:r>
        <w:tab/>
      </w:r>
      <w:r w:rsidRPr="0004576F">
        <w:t xml:space="preserve">Pour une vision plus « décapante », cf. Koenraad Elst, </w:t>
      </w:r>
      <w:r w:rsidRPr="0004576F">
        <w:rPr>
          <w:i/>
        </w:rPr>
        <w:t>Pourquoi j’ai tué Gandhi. Examen et critique de la défense de Nathuram Godse</w:t>
      </w:r>
      <w:r w:rsidRPr="0004576F">
        <w:t>, Paris, Les Be</w:t>
      </w:r>
      <w:r w:rsidRPr="0004576F">
        <w:t>l</w:t>
      </w:r>
      <w:r w:rsidRPr="0004576F">
        <w:t>les Lettres, 2007, (on peut r</w:t>
      </w:r>
      <w:r w:rsidRPr="0004576F">
        <w:t>e</w:t>
      </w:r>
      <w:r w:rsidRPr="0004576F">
        <w:t>gretter les nombreuses fautes d’impression ou de tr</w:t>
      </w:r>
      <w:r w:rsidRPr="0004576F">
        <w:t>a</w:t>
      </w:r>
      <w:r w:rsidRPr="0004576F">
        <w:t>duction).</w:t>
      </w:r>
    </w:p>
  </w:footnote>
  <w:footnote w:id="1334">
    <w:p w14:paraId="6B83DCD4" w14:textId="77777777" w:rsidR="00B01930" w:rsidRDefault="00B01930">
      <w:pPr>
        <w:pStyle w:val="Notedebasdepage"/>
      </w:pPr>
      <w:r>
        <w:rPr>
          <w:rStyle w:val="Appelnotedebasdep"/>
        </w:rPr>
        <w:footnoteRef/>
      </w:r>
      <w:r>
        <w:t xml:space="preserve"> </w:t>
      </w:r>
      <w:r>
        <w:tab/>
      </w:r>
      <w:r w:rsidRPr="0004576F">
        <w:t>Élections présidentielles de mai 2007, mai 2012, puis législatives qui su</w:t>
      </w:r>
      <w:r w:rsidRPr="0004576F">
        <w:t>i</w:t>
      </w:r>
      <w:r w:rsidRPr="0004576F">
        <w:t>vaient…</w:t>
      </w:r>
    </w:p>
  </w:footnote>
  <w:footnote w:id="1335">
    <w:p w14:paraId="3CBBB3FE" w14:textId="77777777" w:rsidR="00B01930" w:rsidRDefault="00B01930">
      <w:pPr>
        <w:pStyle w:val="Notedebasdepage"/>
      </w:pPr>
      <w:r>
        <w:rPr>
          <w:rStyle w:val="Appelnotedebasdep"/>
        </w:rPr>
        <w:footnoteRef/>
      </w:r>
      <w:r>
        <w:t xml:space="preserve"> </w:t>
      </w:r>
      <w:r>
        <w:tab/>
      </w:r>
      <w:r w:rsidRPr="0004576F">
        <w:t xml:space="preserve">Madeleine Grawitz, </w:t>
      </w:r>
      <w:r w:rsidRPr="0004576F">
        <w:rPr>
          <w:i/>
        </w:rPr>
        <w:t>Méthodes en sciences sociales</w:t>
      </w:r>
      <w:r w:rsidRPr="0004576F">
        <w:t xml:space="preserve">, Paris, Dalloz, 1996, p. 412 ; se réfère notamment à Max Granovetto, </w:t>
      </w:r>
      <w:r w:rsidRPr="0004576F">
        <w:rPr>
          <w:i/>
        </w:rPr>
        <w:t>The Strength of Weak Ties, American Journal of Sociol</w:t>
      </w:r>
      <w:r w:rsidRPr="0004576F">
        <w:rPr>
          <w:i/>
        </w:rPr>
        <w:t>o</w:t>
      </w:r>
      <w:r w:rsidRPr="0004576F">
        <w:rPr>
          <w:i/>
        </w:rPr>
        <w:t xml:space="preserve">gy, </w:t>
      </w:r>
      <w:r w:rsidRPr="0004576F">
        <w:t>mai 1973, n° 78 (6), p. 1360-1380.</w:t>
      </w:r>
    </w:p>
  </w:footnote>
  <w:footnote w:id="1336">
    <w:p w14:paraId="07F4DE3C" w14:textId="77777777" w:rsidR="00B01930" w:rsidRDefault="00B01930">
      <w:pPr>
        <w:pStyle w:val="Notedebasdepage"/>
      </w:pPr>
      <w:r>
        <w:rPr>
          <w:rStyle w:val="Appelnotedebasdep"/>
        </w:rPr>
        <w:footnoteRef/>
      </w:r>
      <w:r>
        <w:t xml:space="preserve"> </w:t>
      </w:r>
      <w:r>
        <w:tab/>
      </w:r>
      <w:r w:rsidRPr="0004576F">
        <w:t xml:space="preserve">Madeleine Grawitz, </w:t>
      </w:r>
      <w:r w:rsidRPr="0004576F">
        <w:rPr>
          <w:i/>
        </w:rPr>
        <w:t>op. cit.</w:t>
      </w:r>
      <w:r w:rsidRPr="0004576F">
        <w:t>, p. 412.</w:t>
      </w:r>
    </w:p>
  </w:footnote>
  <w:footnote w:id="1337">
    <w:p w14:paraId="57FE57CC" w14:textId="77777777" w:rsidR="00B01930" w:rsidRDefault="00B01930">
      <w:pPr>
        <w:pStyle w:val="Notedebasdepage"/>
      </w:pPr>
      <w:r>
        <w:rPr>
          <w:rStyle w:val="Appelnotedebasdep"/>
        </w:rPr>
        <w:footnoteRef/>
      </w:r>
      <w:r>
        <w:t xml:space="preserve"> </w:t>
      </w:r>
      <w:r>
        <w:tab/>
      </w:r>
      <w:r w:rsidRPr="0004576F">
        <w:t xml:space="preserve">David Knoke, </w:t>
      </w:r>
      <w:r w:rsidRPr="0004576F">
        <w:rPr>
          <w:i/>
        </w:rPr>
        <w:t>Political Networks, the Structural Perspective</w:t>
      </w:r>
      <w:r w:rsidRPr="0004576F">
        <w:t xml:space="preserve">, Cambridge, Cambridge University Press, 1990 ; Alain Degenne, Michel Forsé, </w:t>
      </w:r>
      <w:r w:rsidRPr="0004576F">
        <w:rPr>
          <w:i/>
        </w:rPr>
        <w:t>Les R</w:t>
      </w:r>
      <w:r w:rsidRPr="0004576F">
        <w:rPr>
          <w:i/>
        </w:rPr>
        <w:t>é</w:t>
      </w:r>
      <w:r w:rsidRPr="0004576F">
        <w:rPr>
          <w:i/>
        </w:rPr>
        <w:t>seaux sociaux : une analyse structurale en sociologie</w:t>
      </w:r>
      <w:r w:rsidRPr="0004576F">
        <w:t>, Paris, Armand C</w:t>
      </w:r>
      <w:r w:rsidRPr="0004576F">
        <w:t>o</w:t>
      </w:r>
      <w:r w:rsidRPr="0004576F">
        <w:t>lin, 1994 ; Ariel Colonomos, « Sociologie et science politique : les réseaux, thé</w:t>
      </w:r>
      <w:r w:rsidRPr="0004576F">
        <w:t>o</w:t>
      </w:r>
      <w:r w:rsidRPr="0004576F">
        <w:t xml:space="preserve">ries et objets d’études”, </w:t>
      </w:r>
      <w:r w:rsidRPr="0004576F">
        <w:rPr>
          <w:i/>
        </w:rPr>
        <w:t>R</w:t>
      </w:r>
      <w:r w:rsidRPr="0004576F">
        <w:rPr>
          <w:i/>
          <w:smallCaps/>
        </w:rPr>
        <w:t xml:space="preserve">fsp </w:t>
      </w:r>
      <w:r w:rsidRPr="0004576F">
        <w:t xml:space="preserve">1995, vol. 45, n°1, p. 165-178 ; A. Colonomos (dir.), </w:t>
      </w:r>
      <w:r w:rsidRPr="0004576F">
        <w:rPr>
          <w:i/>
        </w:rPr>
        <w:t>Sociologie des réseaux transnationaux</w:t>
      </w:r>
      <w:r w:rsidRPr="0004576F">
        <w:t>, Paris, L’Harmattan, 1995 ; A. Colonomos, thèse I</w:t>
      </w:r>
      <w:r w:rsidRPr="0004576F">
        <w:rPr>
          <w:smallCaps/>
        </w:rPr>
        <w:t>ep</w:t>
      </w:r>
      <w:r w:rsidRPr="0004576F">
        <w:t>, Paris 1996.</w:t>
      </w:r>
    </w:p>
  </w:footnote>
  <w:footnote w:id="1338">
    <w:p w14:paraId="537B0932" w14:textId="77777777" w:rsidR="00B01930" w:rsidRDefault="00B01930">
      <w:pPr>
        <w:pStyle w:val="Notedebasdepage"/>
      </w:pPr>
      <w:r>
        <w:rPr>
          <w:rStyle w:val="Appelnotedebasdep"/>
        </w:rPr>
        <w:footnoteRef/>
      </w:r>
      <w:r>
        <w:t xml:space="preserve"> </w:t>
      </w:r>
      <w:r>
        <w:tab/>
      </w:r>
      <w:r w:rsidRPr="0004576F">
        <w:t xml:space="preserve">Publications en langue allemande : Brzeczinski, Zbigniew, « Gesellschaft und Staatenwelt im technotronischen Zeitalter », </w:t>
      </w:r>
      <w:r w:rsidRPr="0004576F">
        <w:rPr>
          <w:i/>
        </w:rPr>
        <w:t xml:space="preserve">EA, </w:t>
      </w:r>
      <w:r w:rsidRPr="0004576F">
        <w:t xml:space="preserve">1970, </w:t>
      </w:r>
      <w:r w:rsidRPr="0004576F">
        <w:rPr>
          <w:i/>
        </w:rPr>
        <w:t xml:space="preserve">Nr </w:t>
      </w:r>
      <w:r w:rsidRPr="0004576F">
        <w:t xml:space="preserve">25, pp. 845 et </w:t>
      </w:r>
      <w:r w:rsidRPr="0004576F">
        <w:rPr>
          <w:i/>
        </w:rPr>
        <w:t>sq</w:t>
      </w:r>
      <w:r w:rsidRPr="0004576F">
        <w:t xml:space="preserve">. ; Ernst-Otto Czempiel, « Der Staatsbürger in der interdependenten Welt », </w:t>
      </w:r>
      <w:r w:rsidRPr="0004576F">
        <w:rPr>
          <w:i/>
        </w:rPr>
        <w:t>O</w:t>
      </w:r>
      <w:r w:rsidRPr="0004576F">
        <w:rPr>
          <w:i/>
        </w:rPr>
        <w:t>f</w:t>
      </w:r>
      <w:r w:rsidRPr="0004576F">
        <w:rPr>
          <w:i/>
        </w:rPr>
        <w:t xml:space="preserve">fene Welt, </w:t>
      </w:r>
      <w:r w:rsidRPr="0004576F">
        <w:t xml:space="preserve">1975, Nr.103 ; Dietrich Herzog, </w:t>
      </w:r>
      <w:r w:rsidRPr="0004576F">
        <w:rPr>
          <w:i/>
        </w:rPr>
        <w:t>Politische Führungsgruppen</w:t>
      </w:r>
      <w:r w:rsidRPr="0004576F">
        <w:t>, Darmstadt, 1982 ; Heino Kaack, Reinhold Roth, « Die au</w:t>
      </w:r>
      <w:r w:rsidRPr="0004576F">
        <w:sym w:font="Symbol" w:char="F062"/>
      </w:r>
      <w:r w:rsidRPr="0004576F">
        <w:t>enpolitische F</w:t>
      </w:r>
      <w:r w:rsidRPr="0004576F">
        <w:t>ü</w:t>
      </w:r>
      <w:r w:rsidRPr="0004576F">
        <w:t>hrungselite der Bundesr</w:t>
      </w:r>
      <w:r w:rsidRPr="0004576F">
        <w:t>e</w:t>
      </w:r>
      <w:r w:rsidRPr="0004576F">
        <w:t xml:space="preserve">publik Deutschland », </w:t>
      </w:r>
      <w:r w:rsidRPr="0004576F">
        <w:rPr>
          <w:i/>
        </w:rPr>
        <w:t>Aus Politik und Zeitgeschichte</w:t>
      </w:r>
      <w:r w:rsidRPr="0004576F">
        <w:t>, 1972, B 3 ; Bärbel Stei</w:t>
      </w:r>
      <w:r w:rsidRPr="0004576F">
        <w:t>n</w:t>
      </w:r>
      <w:r w:rsidRPr="0004576F">
        <w:t xml:space="preserve">kemper, </w:t>
      </w:r>
      <w:r w:rsidRPr="0004576F">
        <w:rPr>
          <w:i/>
        </w:rPr>
        <w:t>Klassische und politische Bürokraten in der Ministerialverwaltung der Bundesrepublik Deutschland</w:t>
      </w:r>
      <w:r w:rsidRPr="0004576F">
        <w:t>, Melle 1974 ; Gerhard Wittkämper, Jürgen Beller, « Das Interaktionsg</w:t>
      </w:r>
      <w:r w:rsidRPr="0004576F">
        <w:t>e</w:t>
      </w:r>
      <w:r w:rsidRPr="0004576F">
        <w:t>flecht von au</w:t>
      </w:r>
      <w:r w:rsidRPr="0004576F">
        <w:sym w:font="Symbol" w:char="F062"/>
      </w:r>
      <w:r w:rsidRPr="0004576F">
        <w:t xml:space="preserve">enpolitischer Elite und Presse in Bonn », 1982, </w:t>
      </w:r>
      <w:r w:rsidRPr="0004576F">
        <w:rPr>
          <w:i/>
        </w:rPr>
        <w:t>PVS</w:t>
      </w:r>
      <w:r w:rsidRPr="0004576F">
        <w:t xml:space="preserve">, H4, pp. 466 et </w:t>
      </w:r>
      <w:r w:rsidRPr="0004576F">
        <w:rPr>
          <w:i/>
        </w:rPr>
        <w:t>sq</w:t>
      </w:r>
      <w:r w:rsidRPr="0004576F">
        <w:t>. ; Gerhard Wittkä</w:t>
      </w:r>
      <w:r w:rsidRPr="0004576F">
        <w:t>m</w:t>
      </w:r>
      <w:r w:rsidRPr="0004576F">
        <w:t xml:space="preserve">per, Jürgen Beller, </w:t>
      </w:r>
      <w:r w:rsidRPr="0004576F">
        <w:rPr>
          <w:i/>
        </w:rPr>
        <w:t>Medie</w:t>
      </w:r>
      <w:r w:rsidRPr="0004576F">
        <w:rPr>
          <w:i/>
        </w:rPr>
        <w:t>n</w:t>
      </w:r>
      <w:r w:rsidRPr="0004576F">
        <w:rPr>
          <w:i/>
        </w:rPr>
        <w:t>wirkungen in der internationalen Politik</w:t>
      </w:r>
      <w:r w:rsidRPr="0004576F">
        <w:t xml:space="preserve">, Münster, 1986, Bd. 1 und 2 ; en français, sur le rapport entre media et politique : Serge Halimi, </w:t>
      </w:r>
      <w:r w:rsidRPr="0004576F">
        <w:rPr>
          <w:i/>
        </w:rPr>
        <w:t>Les Nouveaux Chiens de garde</w:t>
      </w:r>
      <w:r w:rsidRPr="0004576F">
        <w:t>, Paris, L</w:t>
      </w:r>
      <w:r w:rsidRPr="0004576F">
        <w:t>i</w:t>
      </w:r>
      <w:r w:rsidRPr="0004576F">
        <w:t>ber-Raisons d’agir, 1997.</w:t>
      </w:r>
    </w:p>
  </w:footnote>
  <w:footnote w:id="1339">
    <w:p w14:paraId="321CA612" w14:textId="77777777" w:rsidR="00B01930" w:rsidRDefault="00B01930">
      <w:pPr>
        <w:pStyle w:val="Notedebasdepage"/>
      </w:pPr>
      <w:r>
        <w:rPr>
          <w:rStyle w:val="Appelnotedebasdep"/>
        </w:rPr>
        <w:footnoteRef/>
      </w:r>
      <w:r>
        <w:t xml:space="preserve"> </w:t>
      </w:r>
      <w:r>
        <w:tab/>
      </w:r>
      <w:r w:rsidRPr="0004576F">
        <w:t xml:space="preserve">Ernst-Otto Czempiel (Hrsg.), « Die anachronistische Souveränität », 1969, </w:t>
      </w:r>
      <w:r w:rsidRPr="0004576F">
        <w:rPr>
          <w:i/>
        </w:rPr>
        <w:t>PVS-Sonderheft</w:t>
      </w:r>
      <w:r w:rsidRPr="0004576F">
        <w:t>, Nr. 1.</w:t>
      </w:r>
    </w:p>
  </w:footnote>
  <w:footnote w:id="1340">
    <w:p w14:paraId="101BD164" w14:textId="77777777" w:rsidR="00B01930" w:rsidRDefault="00B01930">
      <w:pPr>
        <w:pStyle w:val="Notedebasdepage"/>
      </w:pPr>
      <w:r>
        <w:rPr>
          <w:rStyle w:val="Appelnotedebasdep"/>
        </w:rPr>
        <w:footnoteRef/>
      </w:r>
      <w:r>
        <w:t xml:space="preserve"> </w:t>
      </w:r>
      <w:r>
        <w:tab/>
      </w:r>
      <w:r w:rsidRPr="0004576F">
        <w:t xml:space="preserve">Bertrand Badie, Marie-Claude Smouts, </w:t>
      </w:r>
      <w:r w:rsidRPr="0004576F">
        <w:rPr>
          <w:i/>
        </w:rPr>
        <w:t>Le Retournement du monde</w:t>
      </w:r>
      <w:r w:rsidRPr="0004576F">
        <w:t>, Paris, F</w:t>
      </w:r>
      <w:r w:rsidRPr="0004576F">
        <w:rPr>
          <w:smallCaps/>
        </w:rPr>
        <w:t>nsp</w:t>
      </w:r>
      <w:r w:rsidRPr="0004576F">
        <w:t xml:space="preserve"> &amp; Dalloz, 1992, p. 14 ; voir aussi Bertrand Badie</w:t>
      </w:r>
      <w:r w:rsidRPr="0004576F">
        <w:rPr>
          <w:i/>
        </w:rPr>
        <w:t>, La Fin des territoires.</w:t>
      </w:r>
      <w:r w:rsidRPr="0004576F">
        <w:t xml:space="preserve"> </w:t>
      </w:r>
      <w:r w:rsidRPr="0004576F">
        <w:rPr>
          <w:i/>
        </w:rPr>
        <w:t>Essai sur le désordre inte</w:t>
      </w:r>
      <w:r w:rsidRPr="0004576F">
        <w:rPr>
          <w:i/>
        </w:rPr>
        <w:t>r</w:t>
      </w:r>
      <w:r w:rsidRPr="0004576F">
        <w:rPr>
          <w:i/>
        </w:rPr>
        <w:t>national et sur l’utilité sociale du respect</w:t>
      </w:r>
      <w:r w:rsidRPr="0004576F">
        <w:t>, Paris, Fayard, 1995.</w:t>
      </w:r>
    </w:p>
  </w:footnote>
  <w:footnote w:id="1341">
    <w:p w14:paraId="163C9C6F" w14:textId="77777777" w:rsidR="00B01930" w:rsidRDefault="00B01930">
      <w:pPr>
        <w:pStyle w:val="Notedebasdepage"/>
      </w:pPr>
      <w:r>
        <w:rPr>
          <w:rStyle w:val="Appelnotedebasdep"/>
        </w:rPr>
        <w:footnoteRef/>
      </w:r>
      <w:r>
        <w:t xml:space="preserve"> </w:t>
      </w:r>
      <w:r>
        <w:tab/>
      </w:r>
      <w:r w:rsidRPr="0004576F">
        <w:t>Bertrand Badie</w:t>
      </w:r>
      <w:r w:rsidRPr="0004576F">
        <w:rPr>
          <w:i/>
        </w:rPr>
        <w:t>, La Fin des territoires, op. cit</w:t>
      </w:r>
      <w:r w:rsidRPr="0004576F">
        <w:t>., p. 240.</w:t>
      </w:r>
    </w:p>
  </w:footnote>
  <w:footnote w:id="1342">
    <w:p w14:paraId="2E49FD28" w14:textId="77777777" w:rsidR="00B01930" w:rsidRDefault="00B01930">
      <w:pPr>
        <w:pStyle w:val="Notedebasdepage"/>
      </w:pPr>
      <w:r>
        <w:rPr>
          <w:rStyle w:val="Appelnotedebasdep"/>
        </w:rPr>
        <w:footnoteRef/>
      </w:r>
      <w:r>
        <w:t xml:space="preserve"> </w:t>
      </w:r>
      <w:r>
        <w:tab/>
      </w:r>
      <w:r w:rsidRPr="0004576F">
        <w:t>Titre du dernier ouvrage de Bertrand Badie, Paris, Fayard, 1999.</w:t>
      </w:r>
    </w:p>
  </w:footnote>
  <w:footnote w:id="1343">
    <w:p w14:paraId="6781AF29" w14:textId="77777777" w:rsidR="00B01930" w:rsidRDefault="00B01930">
      <w:pPr>
        <w:pStyle w:val="Notedebasdepage"/>
      </w:pPr>
      <w:r>
        <w:rPr>
          <w:rStyle w:val="Appelnotedebasdep"/>
        </w:rPr>
        <w:footnoteRef/>
      </w:r>
      <w:r>
        <w:t xml:space="preserve"> </w:t>
      </w:r>
      <w:r>
        <w:tab/>
      </w:r>
      <w:r w:rsidRPr="0004576F">
        <w:t xml:space="preserve">Cf. par exemple, K. J. Holsti, </w:t>
      </w:r>
      <w:r w:rsidRPr="0004576F">
        <w:rPr>
          <w:i/>
        </w:rPr>
        <w:t>International Politics. A Framework for Anal</w:t>
      </w:r>
      <w:r w:rsidRPr="0004576F">
        <w:rPr>
          <w:i/>
        </w:rPr>
        <w:t>y</w:t>
      </w:r>
      <w:r w:rsidRPr="0004576F">
        <w:rPr>
          <w:i/>
        </w:rPr>
        <w:t>sis</w:t>
      </w:r>
      <w:r w:rsidRPr="0004576F">
        <w:t>, Engl</w:t>
      </w:r>
      <w:r w:rsidRPr="0004576F">
        <w:t>e</w:t>
      </w:r>
      <w:r w:rsidRPr="0004576F">
        <w:t>wood Cliffs, N.J., Prentice Hall, 1995, 7</w:t>
      </w:r>
      <w:r w:rsidRPr="0004576F">
        <w:rPr>
          <w:vertAlign w:val="superscript"/>
        </w:rPr>
        <w:t>e</w:t>
      </w:r>
      <w:r w:rsidRPr="0004576F">
        <w:t xml:space="preserve"> ed., p. 83 : « </w:t>
      </w:r>
      <w:r w:rsidRPr="0004576F">
        <w:rPr>
          <w:i/>
        </w:rPr>
        <w:t>Units that constitute them [international or global systems] (..) mostly sovereign st</w:t>
      </w:r>
      <w:r w:rsidRPr="0004576F">
        <w:rPr>
          <w:i/>
        </w:rPr>
        <w:t>a</w:t>
      </w:r>
      <w:r w:rsidRPr="0004576F">
        <w:rPr>
          <w:i/>
        </w:rPr>
        <w:t>tes</w:t>
      </w:r>
      <w:r w:rsidRPr="0004576F">
        <w:t xml:space="preserve"> » ; Brian Hicking, Michael Smith, </w:t>
      </w:r>
      <w:r w:rsidRPr="0004576F">
        <w:rPr>
          <w:i/>
        </w:rPr>
        <w:t>World Politics. An Introduction to I</w:t>
      </w:r>
      <w:r w:rsidRPr="0004576F">
        <w:rPr>
          <w:i/>
        </w:rPr>
        <w:t>n</w:t>
      </w:r>
      <w:r w:rsidRPr="0004576F">
        <w:rPr>
          <w:i/>
        </w:rPr>
        <w:t>ternational Rel</w:t>
      </w:r>
      <w:r w:rsidRPr="0004576F">
        <w:rPr>
          <w:i/>
        </w:rPr>
        <w:t>a</w:t>
      </w:r>
      <w:r w:rsidRPr="0004576F">
        <w:rPr>
          <w:i/>
        </w:rPr>
        <w:t xml:space="preserve">tions, </w:t>
      </w:r>
      <w:r w:rsidRPr="0004576F">
        <w:t>London : Prentice Hall, 1995, p. 54 : « </w:t>
      </w:r>
      <w:r w:rsidRPr="0004576F">
        <w:rPr>
          <w:i/>
        </w:rPr>
        <w:t>A continuing feature of the state system is the significance of the state as an actor on the i</w:t>
      </w:r>
      <w:r w:rsidRPr="0004576F">
        <w:rPr>
          <w:i/>
        </w:rPr>
        <w:t>n</w:t>
      </w:r>
      <w:r w:rsidRPr="0004576F">
        <w:rPr>
          <w:i/>
        </w:rPr>
        <w:t>ternational stage</w:t>
      </w:r>
      <w:r w:rsidRPr="0004576F">
        <w:t> ».</w:t>
      </w:r>
    </w:p>
  </w:footnote>
  <w:footnote w:id="1344">
    <w:p w14:paraId="7529AA9B" w14:textId="77777777" w:rsidR="00B01930" w:rsidRDefault="00B01930">
      <w:pPr>
        <w:pStyle w:val="Notedebasdepage"/>
      </w:pPr>
      <w:r>
        <w:rPr>
          <w:rStyle w:val="Appelnotedebasdep"/>
        </w:rPr>
        <w:footnoteRef/>
      </w:r>
      <w:r>
        <w:t xml:space="preserve"> </w:t>
      </w:r>
      <w:r>
        <w:tab/>
      </w:r>
      <w:r w:rsidRPr="0004576F">
        <w:t xml:space="preserve">Edmond Jouve, </w:t>
      </w:r>
      <w:r w:rsidRPr="0004576F">
        <w:rPr>
          <w:i/>
        </w:rPr>
        <w:t>Relations internationales</w:t>
      </w:r>
      <w:r w:rsidRPr="0004576F">
        <w:t>, Paris, Presses universitaires de France, 1992, p. 43 : « </w:t>
      </w:r>
      <w:r w:rsidRPr="0004576F">
        <w:rPr>
          <w:i/>
        </w:rPr>
        <w:t>Aujourd’hui, l’État n’est plus le seul acteur des Rel</w:t>
      </w:r>
      <w:r w:rsidRPr="0004576F">
        <w:rPr>
          <w:i/>
        </w:rPr>
        <w:t>a</w:t>
      </w:r>
      <w:r w:rsidRPr="0004576F">
        <w:rPr>
          <w:i/>
        </w:rPr>
        <w:t>tions i</w:t>
      </w:r>
      <w:r w:rsidRPr="0004576F">
        <w:rPr>
          <w:i/>
        </w:rPr>
        <w:t>n</w:t>
      </w:r>
      <w:r w:rsidRPr="0004576F">
        <w:rPr>
          <w:i/>
        </w:rPr>
        <w:t>ternationales, mais il demeure l’acteur privilégié</w:t>
      </w:r>
      <w:r w:rsidRPr="0004576F">
        <w:t> ».  et p. 55 : « </w:t>
      </w:r>
      <w:r w:rsidRPr="0004576F">
        <w:rPr>
          <w:i/>
        </w:rPr>
        <w:t>L’État, acteur concurrencé. Cette concurrence s’exerce de deux manières : par des institutions visant à chapeauter plusieurs États, par des acteurs qui, sur le plan national, e</w:t>
      </w:r>
      <w:r w:rsidRPr="0004576F">
        <w:rPr>
          <w:i/>
        </w:rPr>
        <w:t>n</w:t>
      </w:r>
      <w:r w:rsidRPr="0004576F">
        <w:rPr>
          <w:i/>
        </w:rPr>
        <w:t>tament sa suprématie</w:t>
      </w:r>
      <w:r w:rsidRPr="0004576F">
        <w:t> »</w:t>
      </w:r>
      <w:r w:rsidRPr="0004576F">
        <w:rPr>
          <w:i/>
        </w:rPr>
        <w:t>.</w:t>
      </w:r>
    </w:p>
  </w:footnote>
  <w:footnote w:id="1345">
    <w:p w14:paraId="5A830008" w14:textId="77777777" w:rsidR="00B01930" w:rsidRDefault="00B01930">
      <w:pPr>
        <w:pStyle w:val="Notedebasdepage"/>
      </w:pPr>
      <w:r>
        <w:rPr>
          <w:rStyle w:val="Appelnotedebasdep"/>
        </w:rPr>
        <w:footnoteRef/>
      </w:r>
      <w:r>
        <w:t xml:space="preserve"> </w:t>
      </w:r>
      <w:r>
        <w:tab/>
      </w:r>
      <w:r w:rsidRPr="0004576F">
        <w:t>Bertrand Badie</w:t>
      </w:r>
      <w:r w:rsidRPr="0004576F">
        <w:rPr>
          <w:i/>
        </w:rPr>
        <w:t>, La Fin des territoires, op. cit</w:t>
      </w:r>
      <w:r w:rsidRPr="0004576F">
        <w:t>., p. 207.</w:t>
      </w:r>
    </w:p>
  </w:footnote>
  <w:footnote w:id="1346">
    <w:p w14:paraId="6EA51955" w14:textId="77777777" w:rsidR="00B01930" w:rsidRDefault="00B01930">
      <w:pPr>
        <w:pStyle w:val="Notedebasdepage"/>
      </w:pPr>
      <w:r>
        <w:rPr>
          <w:rStyle w:val="Appelnotedebasdep"/>
        </w:rPr>
        <w:footnoteRef/>
      </w:r>
      <w:r>
        <w:t xml:space="preserve"> </w:t>
      </w:r>
      <w:r>
        <w:tab/>
      </w:r>
      <w:r w:rsidRPr="0004576F">
        <w:t>Nous pensons ici notamment au rôle des espions tel qu’il est dépeint par L</w:t>
      </w:r>
      <w:r w:rsidRPr="0004576F">
        <w:t>u</w:t>
      </w:r>
      <w:r w:rsidRPr="0004576F">
        <w:t xml:space="preserve">cien Bély, </w:t>
      </w:r>
      <w:r w:rsidRPr="0004576F">
        <w:rPr>
          <w:i/>
        </w:rPr>
        <w:t>E</w:t>
      </w:r>
      <w:r w:rsidRPr="0004576F">
        <w:rPr>
          <w:i/>
        </w:rPr>
        <w:t>s</w:t>
      </w:r>
      <w:r w:rsidRPr="0004576F">
        <w:rPr>
          <w:i/>
        </w:rPr>
        <w:t xml:space="preserve">pions et ambassadeurs au temps de </w:t>
      </w:r>
      <w:r>
        <w:rPr>
          <w:i/>
        </w:rPr>
        <w:t>Louis X</w:t>
      </w:r>
      <w:r w:rsidRPr="0004576F">
        <w:rPr>
          <w:i/>
        </w:rPr>
        <w:t>IV</w:t>
      </w:r>
      <w:r w:rsidRPr="0004576F">
        <w:t>, Paris, Fayard, 1990, pour sa Première partie « L’information secrète dans le champ de la d</w:t>
      </w:r>
      <w:r w:rsidRPr="0004576F">
        <w:t>i</w:t>
      </w:r>
      <w:r w:rsidRPr="0004576F">
        <w:t>plomatie » et en particulier le chap</w:t>
      </w:r>
      <w:r w:rsidRPr="0004576F">
        <w:t>i</w:t>
      </w:r>
      <w:r w:rsidRPr="0004576F">
        <w:t>tre II, « Réseaux et filières », p. 85-111.</w:t>
      </w:r>
    </w:p>
  </w:footnote>
  <w:footnote w:id="1347">
    <w:p w14:paraId="4EC9B755" w14:textId="77777777" w:rsidR="00B01930" w:rsidRDefault="00B01930">
      <w:pPr>
        <w:pStyle w:val="Notedebasdepage"/>
      </w:pPr>
      <w:r>
        <w:rPr>
          <w:rStyle w:val="Appelnotedebasdep"/>
        </w:rPr>
        <w:footnoteRef/>
      </w:r>
      <w:r>
        <w:t xml:space="preserve"> </w:t>
      </w:r>
      <w:r>
        <w:tab/>
      </w:r>
      <w:r w:rsidRPr="0004576F">
        <w:t>A. Colonomos, art. cit., p. 168.</w:t>
      </w:r>
    </w:p>
  </w:footnote>
  <w:footnote w:id="1348">
    <w:p w14:paraId="2B8B0F9F" w14:textId="77777777" w:rsidR="00B01930" w:rsidRDefault="00B01930">
      <w:pPr>
        <w:pStyle w:val="Notedebasdepage"/>
      </w:pPr>
      <w:r>
        <w:rPr>
          <w:rStyle w:val="Appelnotedebasdep"/>
        </w:rPr>
        <w:footnoteRef/>
      </w:r>
      <w:r>
        <w:t xml:space="preserve"> </w:t>
      </w:r>
      <w:r>
        <w:tab/>
      </w:r>
      <w:r w:rsidRPr="0004576F">
        <w:t xml:space="preserve">Marie-Christine Kessler, </w:t>
      </w:r>
      <w:r w:rsidRPr="0004576F">
        <w:rPr>
          <w:i/>
        </w:rPr>
        <w:t>La Politique étrangère de la France. Acteurs et pr</w:t>
      </w:r>
      <w:r w:rsidRPr="0004576F">
        <w:rPr>
          <w:i/>
        </w:rPr>
        <w:t>o</w:t>
      </w:r>
      <w:r w:rsidRPr="0004576F">
        <w:rPr>
          <w:i/>
        </w:rPr>
        <w:t>cessus</w:t>
      </w:r>
      <w:r w:rsidRPr="0004576F">
        <w:t>, Paris, Presses de Science Po, 1999, p. 19. L’auteur se réfère à Ros</w:t>
      </w:r>
      <w:r w:rsidRPr="0004576F">
        <w:t>e</w:t>
      </w:r>
      <w:r w:rsidRPr="0004576F">
        <w:t>nau, Nye, Keohane, Badie et Smouts.</w:t>
      </w:r>
    </w:p>
  </w:footnote>
  <w:footnote w:id="1349">
    <w:p w14:paraId="10E31524" w14:textId="77777777" w:rsidR="00B01930" w:rsidRDefault="00B01930">
      <w:pPr>
        <w:pStyle w:val="Notedebasdepage"/>
      </w:pPr>
      <w:r>
        <w:rPr>
          <w:rStyle w:val="Appelnotedebasdep"/>
        </w:rPr>
        <w:footnoteRef/>
      </w:r>
      <w:r>
        <w:t xml:space="preserve"> </w:t>
      </w:r>
      <w:r>
        <w:tab/>
      </w:r>
      <w:r w:rsidRPr="0004576F">
        <w:rPr>
          <w:i/>
        </w:rPr>
        <w:t>Petit Larousse illustré</w:t>
      </w:r>
      <w:r w:rsidRPr="0004576F">
        <w:t>, Paris, 1981.</w:t>
      </w:r>
    </w:p>
  </w:footnote>
  <w:footnote w:id="1350">
    <w:p w14:paraId="72AEB967" w14:textId="77777777" w:rsidR="00B01930" w:rsidRDefault="00B01930">
      <w:pPr>
        <w:pStyle w:val="Notedebasdepage"/>
      </w:pPr>
      <w:r>
        <w:rPr>
          <w:rStyle w:val="Appelnotedebasdep"/>
        </w:rPr>
        <w:footnoteRef/>
      </w:r>
      <w:r>
        <w:t xml:space="preserve"> </w:t>
      </w:r>
      <w:r>
        <w:tab/>
      </w:r>
      <w:r w:rsidRPr="0004576F">
        <w:t xml:space="preserve">cf. par exemple </w:t>
      </w:r>
      <w:r w:rsidRPr="0004576F">
        <w:rPr>
          <w:i/>
        </w:rPr>
        <w:t>Encyclopédie Universalis</w:t>
      </w:r>
      <w:r w:rsidRPr="0004576F">
        <w:t xml:space="preserve">, Paris, 1994, p. 876 et </w:t>
      </w:r>
      <w:r w:rsidRPr="0004576F">
        <w:rPr>
          <w:i/>
        </w:rPr>
        <w:t>sq</w:t>
      </w:r>
      <w:r w:rsidRPr="0004576F">
        <w:t xml:space="preserve">. ; </w:t>
      </w:r>
      <w:r w:rsidRPr="0004576F">
        <w:rPr>
          <w:i/>
        </w:rPr>
        <w:t>Petit Larousse illu</w:t>
      </w:r>
      <w:r w:rsidRPr="0004576F">
        <w:rPr>
          <w:i/>
        </w:rPr>
        <w:t>s</w:t>
      </w:r>
      <w:r w:rsidRPr="0004576F">
        <w:rPr>
          <w:i/>
        </w:rPr>
        <w:t>tré</w:t>
      </w:r>
      <w:r w:rsidRPr="0004576F">
        <w:t xml:space="preserve">, Paris, 1981, p. 872 ; </w:t>
      </w:r>
      <w:r w:rsidRPr="0004576F">
        <w:rPr>
          <w:i/>
        </w:rPr>
        <w:t>Grand Larousse encyclopédique</w:t>
      </w:r>
      <w:r w:rsidRPr="0004576F">
        <w:t xml:space="preserve">, Paris, 1964, vol. 9, p. 187 et </w:t>
      </w:r>
      <w:r w:rsidRPr="0004576F">
        <w:rPr>
          <w:i/>
        </w:rPr>
        <w:t>sq</w:t>
      </w:r>
      <w:r w:rsidRPr="0004576F">
        <w:t>.</w:t>
      </w:r>
    </w:p>
  </w:footnote>
  <w:footnote w:id="1351">
    <w:p w14:paraId="340B8E84" w14:textId="77777777" w:rsidR="00B01930" w:rsidRDefault="00B01930">
      <w:pPr>
        <w:pStyle w:val="Notedebasdepage"/>
      </w:pPr>
      <w:r>
        <w:rPr>
          <w:rStyle w:val="Appelnotedebasdep"/>
        </w:rPr>
        <w:footnoteRef/>
      </w:r>
      <w:r>
        <w:t xml:space="preserve"> </w:t>
      </w:r>
      <w:r>
        <w:tab/>
      </w:r>
      <w:r w:rsidRPr="0004576F">
        <w:rPr>
          <w:i/>
        </w:rPr>
        <w:t>Petit Larousse illustré</w:t>
      </w:r>
      <w:r w:rsidRPr="0004576F">
        <w:t>, Paris, 1981, p. 872</w:t>
      </w:r>
    </w:p>
  </w:footnote>
  <w:footnote w:id="1352">
    <w:p w14:paraId="3A673F96" w14:textId="77777777" w:rsidR="00B01930" w:rsidRDefault="00B01930">
      <w:pPr>
        <w:pStyle w:val="Notedebasdepage"/>
      </w:pPr>
      <w:r>
        <w:rPr>
          <w:rStyle w:val="Appelnotedebasdep"/>
        </w:rPr>
        <w:footnoteRef/>
      </w:r>
      <w:r>
        <w:t xml:space="preserve"> </w:t>
      </w:r>
      <w:r>
        <w:tab/>
      </w:r>
      <w:r w:rsidRPr="0004576F">
        <w:rPr>
          <w:i/>
        </w:rPr>
        <w:t>Idem.</w:t>
      </w:r>
    </w:p>
  </w:footnote>
  <w:footnote w:id="1353">
    <w:p w14:paraId="25FF2AF8" w14:textId="77777777" w:rsidR="00B01930" w:rsidRDefault="00B01930">
      <w:pPr>
        <w:pStyle w:val="Notedebasdepage"/>
      </w:pPr>
      <w:r>
        <w:rPr>
          <w:rStyle w:val="Appelnotedebasdep"/>
        </w:rPr>
        <w:footnoteRef/>
      </w:r>
      <w:r>
        <w:t xml:space="preserve"> </w:t>
      </w:r>
      <w:r>
        <w:tab/>
      </w:r>
      <w:r w:rsidRPr="0004576F">
        <w:rPr>
          <w:i/>
        </w:rPr>
        <w:t>Idem.</w:t>
      </w:r>
    </w:p>
  </w:footnote>
  <w:footnote w:id="1354">
    <w:p w14:paraId="49203EE4" w14:textId="77777777" w:rsidR="00B01930" w:rsidRDefault="00B01930">
      <w:pPr>
        <w:pStyle w:val="Notedebasdepage"/>
      </w:pPr>
      <w:r>
        <w:rPr>
          <w:rStyle w:val="Appelnotedebasdep"/>
        </w:rPr>
        <w:footnoteRef/>
      </w:r>
      <w:r>
        <w:t xml:space="preserve"> </w:t>
      </w:r>
      <w:r>
        <w:tab/>
      </w:r>
      <w:r w:rsidRPr="0004576F">
        <w:rPr>
          <w:i/>
        </w:rPr>
        <w:t>Idem.</w:t>
      </w:r>
    </w:p>
  </w:footnote>
  <w:footnote w:id="1355">
    <w:p w14:paraId="75197FA6" w14:textId="77777777" w:rsidR="00B01930" w:rsidRDefault="00B01930">
      <w:pPr>
        <w:pStyle w:val="Notedebasdepage"/>
      </w:pPr>
      <w:r>
        <w:rPr>
          <w:rStyle w:val="Appelnotedebasdep"/>
        </w:rPr>
        <w:footnoteRef/>
      </w:r>
      <w:r>
        <w:t xml:space="preserve"> </w:t>
      </w:r>
      <w:r>
        <w:tab/>
      </w:r>
      <w:r w:rsidRPr="0004576F">
        <w:rPr>
          <w:i/>
        </w:rPr>
        <w:t>Idem.</w:t>
      </w:r>
    </w:p>
  </w:footnote>
  <w:footnote w:id="1356">
    <w:p w14:paraId="6E4306CD" w14:textId="77777777" w:rsidR="00B01930" w:rsidRDefault="00B01930">
      <w:pPr>
        <w:pStyle w:val="Notedebasdepage"/>
      </w:pPr>
      <w:r>
        <w:rPr>
          <w:rStyle w:val="Appelnotedebasdep"/>
        </w:rPr>
        <w:footnoteRef/>
      </w:r>
      <w:r>
        <w:t xml:space="preserve"> </w:t>
      </w:r>
      <w:r>
        <w:tab/>
      </w:r>
      <w:r w:rsidRPr="0004576F">
        <w:rPr>
          <w:i/>
        </w:rPr>
        <w:t>Idem.</w:t>
      </w:r>
    </w:p>
  </w:footnote>
  <w:footnote w:id="1357">
    <w:p w14:paraId="1C68DE49" w14:textId="77777777" w:rsidR="00B01930" w:rsidRDefault="00B01930">
      <w:pPr>
        <w:pStyle w:val="Notedebasdepage"/>
      </w:pPr>
      <w:r>
        <w:rPr>
          <w:rStyle w:val="Appelnotedebasdep"/>
        </w:rPr>
        <w:footnoteRef/>
      </w:r>
      <w:r>
        <w:t xml:space="preserve"> </w:t>
      </w:r>
      <w:r>
        <w:tab/>
      </w:r>
      <w:r w:rsidRPr="0004576F">
        <w:t>G. Dupuy, art. cit., p. 875.</w:t>
      </w:r>
    </w:p>
  </w:footnote>
  <w:footnote w:id="1358">
    <w:p w14:paraId="7E245B13" w14:textId="77777777" w:rsidR="00B01930" w:rsidRDefault="00B01930">
      <w:pPr>
        <w:pStyle w:val="Notedebasdepage"/>
      </w:pPr>
      <w:r>
        <w:rPr>
          <w:rStyle w:val="Appelnotedebasdep"/>
        </w:rPr>
        <w:footnoteRef/>
      </w:r>
      <w:r>
        <w:t xml:space="preserve"> </w:t>
      </w:r>
      <w:r>
        <w:tab/>
      </w:r>
      <w:r w:rsidRPr="0004576F">
        <w:t xml:space="preserve">Gabriel Dupuy, article « Réseaux »,  dans </w:t>
      </w:r>
      <w:r w:rsidRPr="0004576F">
        <w:rPr>
          <w:i/>
        </w:rPr>
        <w:t>Encyclopédie Universalis</w:t>
      </w:r>
      <w:r w:rsidRPr="0004576F">
        <w:t>, Paris 1994, p. 879.</w:t>
      </w:r>
    </w:p>
  </w:footnote>
  <w:footnote w:id="1359">
    <w:p w14:paraId="53C6EFD2" w14:textId="77777777" w:rsidR="00B01930" w:rsidRDefault="00B01930">
      <w:pPr>
        <w:pStyle w:val="Notedebasdepage"/>
      </w:pPr>
      <w:r>
        <w:rPr>
          <w:rStyle w:val="Appelnotedebasdep"/>
        </w:rPr>
        <w:footnoteRef/>
      </w:r>
      <w:r>
        <w:t xml:space="preserve"> </w:t>
      </w:r>
      <w:r>
        <w:tab/>
      </w:r>
      <w:r w:rsidRPr="0004576F">
        <w:rPr>
          <w:i/>
        </w:rPr>
        <w:t>Idem.</w:t>
      </w:r>
    </w:p>
  </w:footnote>
  <w:footnote w:id="1360">
    <w:p w14:paraId="11EB3850" w14:textId="77777777" w:rsidR="00B01930" w:rsidRDefault="00B01930">
      <w:pPr>
        <w:pStyle w:val="Notedebasdepage"/>
      </w:pPr>
      <w:r>
        <w:rPr>
          <w:rStyle w:val="Appelnotedebasdep"/>
        </w:rPr>
        <w:footnoteRef/>
      </w:r>
      <w:r>
        <w:t xml:space="preserve"> </w:t>
      </w:r>
      <w:r>
        <w:tab/>
      </w:r>
      <w:r w:rsidRPr="0004576F">
        <w:t>Cité par G. Dupuy, art. cit.</w:t>
      </w:r>
    </w:p>
  </w:footnote>
  <w:footnote w:id="1361">
    <w:p w14:paraId="07DC138E" w14:textId="77777777" w:rsidR="00B01930" w:rsidRDefault="00B01930">
      <w:pPr>
        <w:pStyle w:val="Notedebasdepage"/>
      </w:pPr>
      <w:r>
        <w:rPr>
          <w:rStyle w:val="Appelnotedebasdep"/>
        </w:rPr>
        <w:footnoteRef/>
      </w:r>
      <w:r>
        <w:t xml:space="preserve"> </w:t>
      </w:r>
      <w:r>
        <w:tab/>
      </w:r>
      <w:r w:rsidRPr="0004576F">
        <w:t xml:space="preserve">Jacques Chirac, s’adressant à la </w:t>
      </w:r>
      <w:r w:rsidRPr="0004576F">
        <w:rPr>
          <w:i/>
        </w:rPr>
        <w:t>Conférence des Ambassadeurs</w:t>
      </w:r>
      <w:r w:rsidRPr="0004576F">
        <w:t xml:space="preserve">, Paris, le 27 août 97, site Internet du </w:t>
      </w:r>
      <w:r w:rsidRPr="0004576F">
        <w:rPr>
          <w:smallCaps/>
        </w:rPr>
        <w:t>Mae</w:t>
      </w:r>
      <w:r w:rsidRPr="0004576F">
        <w:t xml:space="preserve"> [http://www.France.diplomatie.fr].</w:t>
      </w:r>
    </w:p>
  </w:footnote>
  <w:footnote w:id="1362">
    <w:p w14:paraId="20E6F4CC" w14:textId="77777777" w:rsidR="00B01930" w:rsidRDefault="00B01930">
      <w:pPr>
        <w:pStyle w:val="Notedebasdepage"/>
      </w:pPr>
      <w:r>
        <w:rPr>
          <w:rStyle w:val="Appelnotedebasdep"/>
        </w:rPr>
        <w:footnoteRef/>
      </w:r>
      <w:r>
        <w:t xml:space="preserve"> </w:t>
      </w:r>
      <w:r>
        <w:tab/>
        <w:t>Hubert Vedrine</w:t>
      </w:r>
      <w:r w:rsidRPr="0004576F">
        <w:t xml:space="preserve">, s’adressant à la </w:t>
      </w:r>
      <w:r w:rsidRPr="0004576F">
        <w:rPr>
          <w:i/>
        </w:rPr>
        <w:t>Conférence des Ambassadeurs</w:t>
      </w:r>
      <w:r w:rsidRPr="0004576F">
        <w:t xml:space="preserve">, Paris, le 28 août 97, site Internet du </w:t>
      </w:r>
      <w:r w:rsidRPr="0004576F">
        <w:rPr>
          <w:smallCaps/>
        </w:rPr>
        <w:t>Mae</w:t>
      </w:r>
      <w:r w:rsidRPr="0004576F">
        <w:t xml:space="preserve"> [http://www.France.diplomatie.fr].</w:t>
      </w:r>
    </w:p>
  </w:footnote>
  <w:footnote w:id="1363">
    <w:p w14:paraId="5749F127" w14:textId="77777777" w:rsidR="00B01930" w:rsidRDefault="00B01930">
      <w:pPr>
        <w:pStyle w:val="Notedebasdepage"/>
      </w:pPr>
      <w:r>
        <w:rPr>
          <w:rStyle w:val="Appelnotedebasdep"/>
        </w:rPr>
        <w:footnoteRef/>
      </w:r>
      <w:r>
        <w:t xml:space="preserve"> </w:t>
      </w:r>
      <w:r>
        <w:tab/>
      </w:r>
      <w:r w:rsidRPr="0004576F">
        <w:t xml:space="preserve">Ainsi, dans le premier tome de l’ouvrage dirigé par Vladimir Potiemkine, </w:t>
      </w:r>
      <w:r w:rsidRPr="0004576F">
        <w:rPr>
          <w:i/>
        </w:rPr>
        <w:t>Hi</w:t>
      </w:r>
      <w:r w:rsidRPr="0004576F">
        <w:rPr>
          <w:i/>
        </w:rPr>
        <w:t>s</w:t>
      </w:r>
      <w:r w:rsidRPr="0004576F">
        <w:rPr>
          <w:i/>
        </w:rPr>
        <w:t>toire de la diplomatie</w:t>
      </w:r>
      <w:r w:rsidRPr="0004576F">
        <w:t>, Paris, Librairie de Médicis, 1946, on note la conclusion de traités internationaux, par exemple, en 1278 av. J.C. entre le pharaon Ra</w:t>
      </w:r>
      <w:r w:rsidRPr="0004576F">
        <w:t>m</w:t>
      </w:r>
      <w:r w:rsidRPr="0004576F">
        <w:t>sès II et le roi des Hittites, Ha</w:t>
      </w:r>
      <w:r w:rsidRPr="0004576F">
        <w:t>t</w:t>
      </w:r>
      <w:r w:rsidRPr="0004576F">
        <w:t>tusil III (p. 12) ; des envoyés dépêchés, par exemple, l’Assyrie e</w:t>
      </w:r>
      <w:r w:rsidRPr="0004576F">
        <w:t>n</w:t>
      </w:r>
      <w:r w:rsidRPr="0004576F">
        <w:t>voie « </w:t>
      </w:r>
      <w:r w:rsidRPr="0004576F">
        <w:rPr>
          <w:i/>
        </w:rPr>
        <w:t>un agent spécial afin de rassembler toutes les nouvelles concernant l’Arménie</w:t>
      </w:r>
      <w:r w:rsidRPr="0004576F">
        <w:t> » (p. 24) ; entre le 8</w:t>
      </w:r>
      <w:r w:rsidRPr="0004576F">
        <w:rPr>
          <w:vertAlign w:val="superscript"/>
        </w:rPr>
        <w:t>ème</w:t>
      </w:r>
      <w:r w:rsidRPr="0004576F">
        <w:t xml:space="preserve"> et le 4</w:t>
      </w:r>
      <w:r w:rsidRPr="0004576F">
        <w:rPr>
          <w:vertAlign w:val="superscript"/>
        </w:rPr>
        <w:t>ème</w:t>
      </w:r>
      <w:r w:rsidRPr="0004576F">
        <w:t xml:space="preserve"> siècle av. J.C., la Grèce pratique l’organisation de l’hospitalité, « </w:t>
      </w:r>
      <w:r w:rsidRPr="0004576F">
        <w:rPr>
          <w:i/>
        </w:rPr>
        <w:t>la plus ancienne forme des relations et du droit international dans la Grèce antique fut l’institution des proxènes</w:t>
      </w:r>
      <w:r w:rsidRPr="0004576F">
        <w:t> » (p. 27).</w:t>
      </w:r>
    </w:p>
  </w:footnote>
  <w:footnote w:id="1364">
    <w:p w14:paraId="4AB5441A" w14:textId="77777777" w:rsidR="00B01930" w:rsidRDefault="00B01930">
      <w:pPr>
        <w:pStyle w:val="Notedebasdepage"/>
      </w:pPr>
      <w:r>
        <w:rPr>
          <w:rStyle w:val="Appelnotedebasdep"/>
        </w:rPr>
        <w:footnoteRef/>
      </w:r>
      <w:r>
        <w:t xml:space="preserve"> </w:t>
      </w:r>
      <w:r>
        <w:tab/>
      </w:r>
      <w:r w:rsidRPr="0004576F">
        <w:t>Au début du 19</w:t>
      </w:r>
      <w:r w:rsidRPr="0004576F">
        <w:rPr>
          <w:vertAlign w:val="superscript"/>
        </w:rPr>
        <w:t>ème</w:t>
      </w:r>
      <w:r w:rsidRPr="0004576F">
        <w:t xml:space="preserve"> siècle, « </w:t>
      </w:r>
      <w:r w:rsidRPr="0004576F">
        <w:rPr>
          <w:i/>
        </w:rPr>
        <w:t>il faut trois jours pour acheminer une dépêche de Paris à Lo</w:t>
      </w:r>
      <w:r w:rsidRPr="0004576F">
        <w:rPr>
          <w:i/>
        </w:rPr>
        <w:t>n</w:t>
      </w:r>
      <w:r w:rsidRPr="0004576F">
        <w:rPr>
          <w:i/>
        </w:rPr>
        <w:t>dres, dix jusqu’à Vienne, près du double pour Saint-Pétersbourg et davantage encore pour Con</w:t>
      </w:r>
      <w:r w:rsidRPr="0004576F">
        <w:rPr>
          <w:i/>
        </w:rPr>
        <w:t>s</w:t>
      </w:r>
      <w:r w:rsidRPr="0004576F">
        <w:rPr>
          <w:i/>
        </w:rPr>
        <w:t>tantinople</w:t>
      </w:r>
      <w:r w:rsidRPr="0004576F">
        <w:t> »</w:t>
      </w:r>
      <w:r w:rsidRPr="0004576F">
        <w:rPr>
          <w:i/>
        </w:rPr>
        <w:t xml:space="preserve"> </w:t>
      </w:r>
      <w:r w:rsidRPr="0004576F">
        <w:t>(BAI84-1 : 486 et s).</w:t>
      </w:r>
    </w:p>
  </w:footnote>
  <w:footnote w:id="1365">
    <w:p w14:paraId="2702789B" w14:textId="77777777" w:rsidR="00B01930" w:rsidRDefault="00B01930">
      <w:pPr>
        <w:pStyle w:val="Notedebasdepage"/>
      </w:pPr>
      <w:r>
        <w:rPr>
          <w:rStyle w:val="Appelnotedebasdep"/>
        </w:rPr>
        <w:footnoteRef/>
      </w:r>
      <w:r>
        <w:t xml:space="preserve"> </w:t>
      </w:r>
      <w:r>
        <w:tab/>
      </w:r>
      <w:r w:rsidRPr="0004576F">
        <w:t xml:space="preserve">Quelques exemples, notamment de la période post-révolutionnaire, tirés de Jean Baillou (dir.), </w:t>
      </w:r>
      <w:r w:rsidRPr="0004576F">
        <w:rPr>
          <w:i/>
        </w:rPr>
        <w:t>Les Affaires étrangères et le corps diplomatique français</w:t>
      </w:r>
      <w:r w:rsidRPr="0004576F">
        <w:t>, P</w:t>
      </w:r>
      <w:r w:rsidRPr="0004576F">
        <w:t>a</w:t>
      </w:r>
      <w:r w:rsidRPr="0004576F">
        <w:t>ris, C</w:t>
      </w:r>
      <w:r w:rsidRPr="0004576F">
        <w:rPr>
          <w:smallCaps/>
        </w:rPr>
        <w:t>nrs</w:t>
      </w:r>
      <w:r w:rsidRPr="0004576F">
        <w:t>, 1984 (tome 1), peuvent illustrer ce propos : « </w:t>
      </w:r>
      <w:r w:rsidRPr="0004576F">
        <w:rPr>
          <w:i/>
        </w:rPr>
        <w:t>la</w:t>
      </w:r>
      <w:r w:rsidRPr="0004576F">
        <w:t xml:space="preserve"> </w:t>
      </w:r>
      <w:r w:rsidRPr="0004576F">
        <w:rPr>
          <w:i/>
        </w:rPr>
        <w:t>reprise</w:t>
      </w:r>
      <w:r w:rsidRPr="0004576F">
        <w:t xml:space="preserve">, en 1799, </w:t>
      </w:r>
      <w:r w:rsidRPr="0004576F">
        <w:rPr>
          <w:i/>
        </w:rPr>
        <w:t>des rel</w:t>
      </w:r>
      <w:r w:rsidRPr="0004576F">
        <w:rPr>
          <w:i/>
        </w:rPr>
        <w:t>a</w:t>
      </w:r>
      <w:r w:rsidRPr="0004576F">
        <w:rPr>
          <w:i/>
        </w:rPr>
        <w:t>tions avec l’Angleterre</w:t>
      </w:r>
      <w:r w:rsidRPr="0004576F">
        <w:t xml:space="preserve"> </w:t>
      </w:r>
      <w:r w:rsidRPr="0004576F">
        <w:rPr>
          <w:i/>
        </w:rPr>
        <w:t>au terme d’une rupture vieille de huit ans</w:t>
      </w:r>
      <w:r w:rsidRPr="0004576F">
        <w:t> » (p. 394 ) ; « la</w:t>
      </w:r>
      <w:r w:rsidRPr="0004576F">
        <w:rPr>
          <w:i/>
        </w:rPr>
        <w:t xml:space="preserve"> signature</w:t>
      </w:r>
      <w:r w:rsidRPr="0004576F">
        <w:t>, en 1801,</w:t>
      </w:r>
      <w:r w:rsidRPr="0004576F">
        <w:rPr>
          <w:i/>
        </w:rPr>
        <w:t xml:space="preserve"> de la paix avec le Portugal permit la réouve</w:t>
      </w:r>
      <w:r w:rsidRPr="0004576F">
        <w:rPr>
          <w:i/>
        </w:rPr>
        <w:t>r</w:t>
      </w:r>
      <w:r w:rsidRPr="0004576F">
        <w:rPr>
          <w:i/>
        </w:rPr>
        <w:t>ture de la légation de Lisbonne</w:t>
      </w:r>
      <w:r w:rsidRPr="0004576F">
        <w:t> »</w:t>
      </w:r>
      <w:r w:rsidRPr="0004576F">
        <w:rPr>
          <w:i/>
        </w:rPr>
        <w:t xml:space="preserve"> </w:t>
      </w:r>
      <w:r w:rsidRPr="0004576F">
        <w:t>(p. 397) ; en 1802, le réseau des postes d</w:t>
      </w:r>
      <w:r w:rsidRPr="0004576F">
        <w:t>i</w:t>
      </w:r>
      <w:r w:rsidRPr="0004576F">
        <w:t>plomatiques, « </w:t>
      </w:r>
      <w:r w:rsidRPr="0004576F">
        <w:rPr>
          <w:i/>
        </w:rPr>
        <w:t>à peu près</w:t>
      </w:r>
      <w:r w:rsidRPr="0004576F">
        <w:t> »</w:t>
      </w:r>
      <w:r w:rsidRPr="0004576F">
        <w:rPr>
          <w:i/>
        </w:rPr>
        <w:t xml:space="preserve"> </w:t>
      </w:r>
      <w:r w:rsidRPr="0004576F">
        <w:t>reconstitué, est « </w:t>
      </w:r>
      <w:r w:rsidRPr="0004576F">
        <w:rPr>
          <w:i/>
        </w:rPr>
        <w:t>comparable à la situ</w:t>
      </w:r>
      <w:r w:rsidRPr="0004576F">
        <w:rPr>
          <w:i/>
        </w:rPr>
        <w:t>a</w:t>
      </w:r>
      <w:r w:rsidRPr="0004576F">
        <w:rPr>
          <w:i/>
        </w:rPr>
        <w:t>tion des derniers temps de la monarchie</w:t>
      </w:r>
      <w:r w:rsidRPr="0004576F">
        <w:t> » (p. 400) ; « </w:t>
      </w:r>
      <w:r w:rsidRPr="0004576F">
        <w:rPr>
          <w:i/>
        </w:rPr>
        <w:t>au temps de la plus grande expa</w:t>
      </w:r>
      <w:r w:rsidRPr="0004576F">
        <w:rPr>
          <w:i/>
        </w:rPr>
        <w:t>n</w:t>
      </w:r>
      <w:r w:rsidRPr="0004576F">
        <w:rPr>
          <w:i/>
        </w:rPr>
        <w:t xml:space="preserve">sion territoriale de l’Empire </w:t>
      </w:r>
      <w:r w:rsidRPr="0004576F">
        <w:t>[1803]</w:t>
      </w:r>
      <w:r w:rsidRPr="0004576F">
        <w:rPr>
          <w:i/>
        </w:rPr>
        <w:t xml:space="preserve"> 24 postes</w:t>
      </w:r>
      <w:r w:rsidRPr="0004576F">
        <w:t> », puis le</w:t>
      </w:r>
      <w:r w:rsidRPr="0004576F">
        <w:rPr>
          <w:i/>
        </w:rPr>
        <w:t xml:space="preserve"> </w:t>
      </w:r>
      <w:r w:rsidRPr="0004576F">
        <w:t>« </w:t>
      </w:r>
      <w:r w:rsidRPr="0004576F">
        <w:rPr>
          <w:i/>
        </w:rPr>
        <w:t xml:space="preserve">mouvement de repli </w:t>
      </w:r>
      <w:r w:rsidRPr="0004576F">
        <w:t xml:space="preserve">[1811] </w:t>
      </w:r>
      <w:r w:rsidRPr="0004576F">
        <w:rPr>
          <w:i/>
        </w:rPr>
        <w:t>allait transfo</w:t>
      </w:r>
      <w:r w:rsidRPr="0004576F">
        <w:rPr>
          <w:i/>
        </w:rPr>
        <w:t>r</w:t>
      </w:r>
      <w:r w:rsidRPr="0004576F">
        <w:rPr>
          <w:i/>
        </w:rPr>
        <w:t>mer la carte diplomatique en une véritable peau de chagrin</w:t>
      </w:r>
      <w:r w:rsidRPr="0004576F">
        <w:t> »</w:t>
      </w:r>
      <w:r w:rsidRPr="0004576F">
        <w:rPr>
          <w:i/>
        </w:rPr>
        <w:t xml:space="preserve"> </w:t>
      </w:r>
      <w:r w:rsidRPr="0004576F">
        <w:t>(p. 402).</w:t>
      </w:r>
    </w:p>
  </w:footnote>
  <w:footnote w:id="1366">
    <w:p w14:paraId="24D9A003" w14:textId="77777777" w:rsidR="00B01930" w:rsidRDefault="00B01930">
      <w:pPr>
        <w:pStyle w:val="Notedebasdepage"/>
      </w:pPr>
      <w:r>
        <w:rPr>
          <w:rStyle w:val="Appelnotedebasdep"/>
        </w:rPr>
        <w:footnoteRef/>
      </w:r>
      <w:r>
        <w:t xml:space="preserve"> </w:t>
      </w:r>
      <w:r>
        <w:tab/>
      </w:r>
      <w:r w:rsidRPr="0004576F">
        <w:t>« </w:t>
      </w:r>
      <w:r w:rsidRPr="0004576F">
        <w:rPr>
          <w:i/>
        </w:rPr>
        <w:t>La carte diplomatique se transforme profondément dans les années 1960. Le nombre d’États indépendants auprès desquels la France entretient des mi</w:t>
      </w:r>
      <w:r w:rsidRPr="0004576F">
        <w:rPr>
          <w:i/>
        </w:rPr>
        <w:t>s</w:t>
      </w:r>
      <w:r w:rsidRPr="0004576F">
        <w:rPr>
          <w:i/>
        </w:rPr>
        <w:t>sions permanentes passe de 65 en 1948 à 119 en 1968, accroiss</w:t>
      </w:r>
      <w:r w:rsidRPr="0004576F">
        <w:rPr>
          <w:i/>
        </w:rPr>
        <w:t>e</w:t>
      </w:r>
      <w:r w:rsidRPr="0004576F">
        <w:rPr>
          <w:i/>
        </w:rPr>
        <w:t>ment dû à la création d’ambassades dans les pays d’Afrique noire, en Chine populaire et dans les pays arabes</w:t>
      </w:r>
      <w:r w:rsidRPr="0004576F">
        <w:t> »</w:t>
      </w:r>
      <w:r w:rsidRPr="0004576F">
        <w:rPr>
          <w:i/>
        </w:rPr>
        <w:t>.</w:t>
      </w:r>
      <w:r w:rsidRPr="0004576F">
        <w:t xml:space="preserve"> Dans Maurice Vaïsse, </w:t>
      </w:r>
      <w:r w:rsidRPr="0004576F">
        <w:rPr>
          <w:i/>
        </w:rPr>
        <w:t>La Grandeur. Politique étra</w:t>
      </w:r>
      <w:r w:rsidRPr="0004576F">
        <w:rPr>
          <w:i/>
        </w:rPr>
        <w:t>n</w:t>
      </w:r>
      <w:r w:rsidRPr="0004576F">
        <w:rPr>
          <w:i/>
        </w:rPr>
        <w:t>gère du général de Gaulle 1958-1969</w:t>
      </w:r>
      <w:r w:rsidRPr="0004576F">
        <w:t>, Paris, Fayard, 1998, p. 318.</w:t>
      </w:r>
    </w:p>
  </w:footnote>
  <w:footnote w:id="1367">
    <w:p w14:paraId="4BDC546D" w14:textId="77777777" w:rsidR="00B01930" w:rsidRDefault="00B01930">
      <w:pPr>
        <w:pStyle w:val="Notedebasdepage"/>
      </w:pPr>
      <w:r>
        <w:rPr>
          <w:rStyle w:val="Appelnotedebasdep"/>
        </w:rPr>
        <w:footnoteRef/>
      </w:r>
      <w:r>
        <w:t xml:space="preserve"> </w:t>
      </w:r>
      <w:r>
        <w:tab/>
      </w:r>
      <w:r w:rsidRPr="0004576F">
        <w:t>Par exemple : « </w:t>
      </w:r>
      <w:r w:rsidRPr="0004576F">
        <w:rPr>
          <w:i/>
        </w:rPr>
        <w:t>La politique d’économie imposée par la Chambre des députés va se traduire en 1831 par quelque suppressions de postes</w:t>
      </w:r>
      <w:r w:rsidRPr="0004576F">
        <w:t> »</w:t>
      </w:r>
      <w:r w:rsidRPr="0004576F">
        <w:rPr>
          <w:i/>
        </w:rPr>
        <w:t xml:space="preserve">. </w:t>
      </w:r>
      <w:r w:rsidRPr="0004576F">
        <w:t>Dans : Jean Bai</w:t>
      </w:r>
      <w:r w:rsidRPr="0004576F">
        <w:t>l</w:t>
      </w:r>
      <w:r w:rsidRPr="0004576F">
        <w:t xml:space="preserve">lou (dir.), </w:t>
      </w:r>
      <w:r w:rsidRPr="0004576F">
        <w:rPr>
          <w:i/>
        </w:rPr>
        <w:t>op. cit</w:t>
      </w:r>
      <w:r w:rsidRPr="0004576F">
        <w:t>., p. 595.</w:t>
      </w:r>
    </w:p>
  </w:footnote>
  <w:footnote w:id="1368">
    <w:p w14:paraId="5E9FC26C" w14:textId="77777777" w:rsidR="00B01930" w:rsidRDefault="00B01930">
      <w:pPr>
        <w:pStyle w:val="Notedebasdepage"/>
      </w:pPr>
      <w:r>
        <w:rPr>
          <w:rStyle w:val="Appelnotedebasdep"/>
        </w:rPr>
        <w:footnoteRef/>
      </w:r>
      <w:r>
        <w:t xml:space="preserve"> </w:t>
      </w:r>
      <w:r>
        <w:tab/>
      </w:r>
      <w:r w:rsidRPr="0004576F">
        <w:t>À ce titre la formulation et la mise en œuvre de la doctrine Hallstein sont exemplaires ; pour l’histoire diplomatique française, on peut citer : « </w:t>
      </w:r>
      <w:r w:rsidRPr="0004576F">
        <w:rPr>
          <w:i/>
        </w:rPr>
        <w:t>La rév</w:t>
      </w:r>
      <w:r w:rsidRPr="0004576F">
        <w:rPr>
          <w:i/>
        </w:rPr>
        <w:t>o</w:t>
      </w:r>
      <w:r w:rsidRPr="0004576F">
        <w:rPr>
          <w:i/>
        </w:rPr>
        <w:t>l</w:t>
      </w:r>
      <w:r w:rsidRPr="0004576F">
        <w:rPr>
          <w:i/>
        </w:rPr>
        <w:t>u</w:t>
      </w:r>
      <w:r w:rsidRPr="0004576F">
        <w:rPr>
          <w:i/>
        </w:rPr>
        <w:t>tion de Juillet supprime les derniers scrupules qui s’opposaient à l’établissement des relations diplomatiques avec les pays d’Amérique latine</w:t>
      </w:r>
      <w:r w:rsidRPr="0004576F">
        <w:t> »</w:t>
      </w:r>
      <w:r w:rsidRPr="0004576F">
        <w:rPr>
          <w:i/>
        </w:rPr>
        <w:t xml:space="preserve">. </w:t>
      </w:r>
      <w:r w:rsidRPr="0004576F">
        <w:t>Dans : Jean Bai</w:t>
      </w:r>
      <w:r w:rsidRPr="0004576F">
        <w:t>l</w:t>
      </w:r>
      <w:r w:rsidRPr="0004576F">
        <w:t xml:space="preserve">lou (dir.), </w:t>
      </w:r>
      <w:r w:rsidRPr="0004576F">
        <w:rPr>
          <w:i/>
        </w:rPr>
        <w:t>op. cit</w:t>
      </w:r>
      <w:r w:rsidRPr="0004576F">
        <w:t>., p. 597.</w:t>
      </w:r>
    </w:p>
  </w:footnote>
  <w:footnote w:id="1369">
    <w:p w14:paraId="31F2877F" w14:textId="77777777" w:rsidR="00B01930" w:rsidRDefault="00B01930">
      <w:pPr>
        <w:pStyle w:val="Notedebasdepage"/>
      </w:pPr>
      <w:r>
        <w:rPr>
          <w:rStyle w:val="Appelnotedebasdep"/>
        </w:rPr>
        <w:footnoteRef/>
      </w:r>
      <w:r>
        <w:t xml:space="preserve"> </w:t>
      </w:r>
      <w:r>
        <w:tab/>
      </w:r>
      <w:r w:rsidRPr="0004576F">
        <w:t xml:space="preserve">Cf. </w:t>
      </w:r>
      <w:r w:rsidRPr="0004576F">
        <w:rPr>
          <w:i/>
        </w:rPr>
        <w:t>la poussée diplomatique vers l’Orient et l’Extrême Orient, ibid</w:t>
      </w:r>
      <w:r w:rsidRPr="0004576F">
        <w:t>., p. 596.</w:t>
      </w:r>
    </w:p>
  </w:footnote>
  <w:footnote w:id="1370">
    <w:p w14:paraId="4044D9F2" w14:textId="77777777" w:rsidR="00B01930" w:rsidRDefault="00B01930">
      <w:pPr>
        <w:pStyle w:val="Notedebasdepage"/>
      </w:pPr>
      <w:r>
        <w:rPr>
          <w:rStyle w:val="Appelnotedebasdep"/>
        </w:rPr>
        <w:footnoteRef/>
      </w:r>
      <w:r>
        <w:t xml:space="preserve"> </w:t>
      </w:r>
      <w:r>
        <w:tab/>
      </w:r>
      <w:r w:rsidRPr="0004576F">
        <w:t xml:space="preserve">Mais cette </w:t>
      </w:r>
      <w:r w:rsidRPr="0004576F">
        <w:rPr>
          <w:i/>
        </w:rPr>
        <w:t xml:space="preserve">poussée diplomatique vers l’Orient et l’Extrême Orient </w:t>
      </w:r>
      <w:r w:rsidRPr="0004576F">
        <w:t>est aussi pr</w:t>
      </w:r>
      <w:r w:rsidRPr="0004576F">
        <w:t>o</w:t>
      </w:r>
      <w:r w:rsidRPr="0004576F">
        <w:t xml:space="preserve">voquée par l’activité britannique dans la région. </w:t>
      </w:r>
      <w:r w:rsidRPr="0004576F">
        <w:rPr>
          <w:i/>
        </w:rPr>
        <w:t>Ibidem</w:t>
      </w:r>
      <w:r w:rsidRPr="0004576F">
        <w:t>, p. 596 ; la visée stratégique prime sur les préoccupations financières : « </w:t>
      </w:r>
      <w:r w:rsidRPr="0004576F">
        <w:rPr>
          <w:i/>
        </w:rPr>
        <w:t>La seconde Républ</w:t>
      </w:r>
      <w:r w:rsidRPr="0004576F">
        <w:rPr>
          <w:i/>
        </w:rPr>
        <w:t>i</w:t>
      </w:r>
      <w:r w:rsidRPr="0004576F">
        <w:rPr>
          <w:i/>
        </w:rPr>
        <w:t>que était trop préoccupée de se faire reconnaître pour songer, malgré le désir d’économie, à rompre avec qui que ce fût. La carte des postes diplomat</w:t>
      </w:r>
      <w:r w:rsidRPr="0004576F">
        <w:rPr>
          <w:i/>
        </w:rPr>
        <w:t>i</w:t>
      </w:r>
      <w:r w:rsidRPr="0004576F">
        <w:rPr>
          <w:i/>
        </w:rPr>
        <w:t>ques resta donc celle de</w:t>
      </w:r>
      <w:r w:rsidRPr="0004576F">
        <w:t xml:space="preserve"> (..)</w:t>
      </w:r>
      <w:r w:rsidRPr="0004576F">
        <w:rPr>
          <w:i/>
        </w:rPr>
        <w:t xml:space="preserve"> 1833</w:t>
      </w:r>
      <w:r w:rsidRPr="0004576F">
        <w:t> »</w:t>
      </w:r>
      <w:r w:rsidRPr="0004576F">
        <w:rPr>
          <w:i/>
        </w:rPr>
        <w:t>. Ibidem</w:t>
      </w:r>
      <w:r w:rsidRPr="0004576F">
        <w:t>, p. 659.</w:t>
      </w:r>
    </w:p>
  </w:footnote>
  <w:footnote w:id="1371">
    <w:p w14:paraId="2C69E558" w14:textId="77777777" w:rsidR="00B01930" w:rsidRDefault="00B01930">
      <w:pPr>
        <w:pStyle w:val="Notedebasdepage"/>
      </w:pPr>
      <w:r>
        <w:rPr>
          <w:rStyle w:val="Appelnotedebasdep"/>
        </w:rPr>
        <w:footnoteRef/>
      </w:r>
      <w:r>
        <w:t xml:space="preserve"> </w:t>
      </w:r>
      <w:r>
        <w:tab/>
      </w:r>
      <w:r w:rsidRPr="0004576F">
        <w:t>Ainsi, en 1852, on relève : « </w:t>
      </w:r>
      <w:r w:rsidRPr="0004576F">
        <w:rPr>
          <w:i/>
        </w:rPr>
        <w:t>un goût de l’époque pour l’au-delà des mers, un mariage entre l’esprit missio</w:t>
      </w:r>
      <w:r w:rsidRPr="0004576F">
        <w:rPr>
          <w:i/>
        </w:rPr>
        <w:t>n</w:t>
      </w:r>
      <w:r w:rsidRPr="0004576F">
        <w:rPr>
          <w:i/>
        </w:rPr>
        <w:t>naire de l’Église et le désir d’étendre l’influence de la France, sans parler du désir de concurrencer l’Angleterre</w:t>
      </w:r>
      <w:r w:rsidRPr="0004576F">
        <w:t> »</w:t>
      </w:r>
      <w:r w:rsidRPr="0004576F">
        <w:rPr>
          <w:i/>
        </w:rPr>
        <w:t>.</w:t>
      </w:r>
      <w:r w:rsidRPr="0004576F">
        <w:t xml:space="preserve"> </w:t>
      </w:r>
      <w:r w:rsidRPr="0004576F">
        <w:rPr>
          <w:i/>
        </w:rPr>
        <w:t>Ibidem</w:t>
      </w:r>
      <w:r w:rsidRPr="0004576F">
        <w:t>, p. 764.</w:t>
      </w:r>
    </w:p>
  </w:footnote>
  <w:footnote w:id="1372">
    <w:p w14:paraId="75901EEE" w14:textId="77777777" w:rsidR="00B01930" w:rsidRDefault="00B01930">
      <w:pPr>
        <w:pStyle w:val="Notedebasdepage"/>
      </w:pPr>
      <w:r>
        <w:rPr>
          <w:rStyle w:val="Appelnotedebasdep"/>
        </w:rPr>
        <w:footnoteRef/>
      </w:r>
      <w:r>
        <w:t xml:space="preserve"> </w:t>
      </w:r>
      <w:r>
        <w:tab/>
      </w:r>
      <w:r w:rsidRPr="0004576F">
        <w:t>C’est en 1626 que Richelieu « </w:t>
      </w:r>
      <w:r w:rsidRPr="0004576F">
        <w:rPr>
          <w:i/>
        </w:rPr>
        <w:t>instaura le Secrétariat d’État aux Affaires étra</w:t>
      </w:r>
      <w:r w:rsidRPr="0004576F">
        <w:rPr>
          <w:i/>
        </w:rPr>
        <w:t>n</w:t>
      </w:r>
      <w:r w:rsidRPr="0004576F">
        <w:rPr>
          <w:i/>
        </w:rPr>
        <w:t xml:space="preserve">gères </w:t>
      </w:r>
      <w:r w:rsidRPr="0004576F">
        <w:t xml:space="preserve">et mettra </w:t>
      </w:r>
      <w:r w:rsidRPr="0004576F">
        <w:rPr>
          <w:i/>
        </w:rPr>
        <w:t>les provinces estrangères toutes entre les mains d’un seul</w:t>
      </w:r>
      <w:r w:rsidRPr="0004576F">
        <w:t xml:space="preserve"> », Jean Baillou (dir.), </w:t>
      </w:r>
      <w:r w:rsidRPr="0004576F">
        <w:rPr>
          <w:i/>
        </w:rPr>
        <w:t>op. cit</w:t>
      </w:r>
      <w:r w:rsidRPr="0004576F">
        <w:t>., tome 1, p. 58.</w:t>
      </w:r>
    </w:p>
  </w:footnote>
  <w:footnote w:id="1373">
    <w:p w14:paraId="34FF98FB" w14:textId="77777777" w:rsidR="00B01930" w:rsidRDefault="00B01930">
      <w:pPr>
        <w:pStyle w:val="Notedebasdepage"/>
      </w:pPr>
      <w:r>
        <w:rPr>
          <w:rStyle w:val="Appelnotedebasdep"/>
        </w:rPr>
        <w:footnoteRef/>
      </w:r>
      <w:r>
        <w:t xml:space="preserve"> </w:t>
      </w:r>
      <w:r>
        <w:tab/>
      </w:r>
      <w:r w:rsidRPr="0004576F">
        <w:t xml:space="preserve">J-F. Bureau, « Paris-Washington : regards croisés sur le vaste monde », dans Camille Grand, </w:t>
      </w:r>
      <w:r w:rsidRPr="0004576F">
        <w:rPr>
          <w:i/>
        </w:rPr>
        <w:t>La Politique étrangère du Président Chirac</w:t>
      </w:r>
      <w:r w:rsidRPr="0004576F">
        <w:t>, Paris, Arléa, 1997, n° 25, p. 203.</w:t>
      </w:r>
    </w:p>
  </w:footnote>
  <w:footnote w:id="1374">
    <w:p w14:paraId="4C9CAD39" w14:textId="77777777" w:rsidR="00B01930" w:rsidRDefault="00B01930">
      <w:pPr>
        <w:pStyle w:val="Notedebasdepage"/>
      </w:pPr>
      <w:r>
        <w:rPr>
          <w:rStyle w:val="Appelnotedebasdep"/>
        </w:rPr>
        <w:footnoteRef/>
      </w:r>
      <w:r>
        <w:t xml:space="preserve"> </w:t>
      </w:r>
      <w:r>
        <w:tab/>
      </w:r>
      <w:r w:rsidRPr="0004576F">
        <w:t xml:space="preserve">Richelieu, </w:t>
      </w:r>
      <w:r w:rsidRPr="0004576F">
        <w:rPr>
          <w:i/>
        </w:rPr>
        <w:t>Testament politique ou Les Maximes d’État de Monsieur le Card</w:t>
      </w:r>
      <w:r w:rsidRPr="0004576F">
        <w:rPr>
          <w:i/>
        </w:rPr>
        <w:t>i</w:t>
      </w:r>
      <w:r w:rsidRPr="0004576F">
        <w:rPr>
          <w:i/>
        </w:rPr>
        <w:t>nal de Rich</w:t>
      </w:r>
      <w:r w:rsidRPr="0004576F">
        <w:rPr>
          <w:i/>
        </w:rPr>
        <w:t>e</w:t>
      </w:r>
      <w:r w:rsidRPr="0004576F">
        <w:rPr>
          <w:i/>
        </w:rPr>
        <w:t>lieu,</w:t>
      </w:r>
      <w:r w:rsidRPr="0004576F">
        <w:t xml:space="preserve"> Bruxelles, Complexe, 1990, p. 51.</w:t>
      </w:r>
    </w:p>
  </w:footnote>
  <w:footnote w:id="1375">
    <w:p w14:paraId="31AE4DF5" w14:textId="77777777" w:rsidR="00B01930" w:rsidRDefault="00B01930">
      <w:pPr>
        <w:pStyle w:val="Notedebasdepage"/>
      </w:pPr>
      <w:r>
        <w:rPr>
          <w:rStyle w:val="Appelnotedebasdep"/>
        </w:rPr>
        <w:footnoteRef/>
      </w:r>
      <w:r>
        <w:t xml:space="preserve"> </w:t>
      </w:r>
      <w:r>
        <w:tab/>
      </w:r>
      <w:r w:rsidRPr="0004576F">
        <w:t xml:space="preserve">Meredith Kingston de Leusse, </w:t>
      </w:r>
      <w:r w:rsidRPr="0004576F">
        <w:rPr>
          <w:i/>
        </w:rPr>
        <w:t>Diplomate. Une sociologie des ambassadeurs</w:t>
      </w:r>
      <w:r w:rsidRPr="0004576F">
        <w:t xml:space="preserve">, Paris, L’Harmattan, 1998, p. 105 et </w:t>
      </w:r>
      <w:r w:rsidRPr="0004576F">
        <w:rPr>
          <w:i/>
        </w:rPr>
        <w:t>sq</w:t>
      </w:r>
      <w:r w:rsidRPr="0004576F">
        <w:t>. Cette sociabilité se développe nota</w:t>
      </w:r>
      <w:r w:rsidRPr="0004576F">
        <w:t>m</w:t>
      </w:r>
      <w:r w:rsidRPr="0004576F">
        <w:t>ment à l’occasion de ce qui est appelé « fonctions » (p. 108) pour l’essentiel des actes de représentation symbolique (inaugur</w:t>
      </w:r>
      <w:r w:rsidRPr="0004576F">
        <w:t>a</w:t>
      </w:r>
      <w:r w:rsidRPr="0004576F">
        <w:t>tions, réceptions, festivals, etc.).</w:t>
      </w:r>
    </w:p>
  </w:footnote>
  <w:footnote w:id="1376">
    <w:p w14:paraId="06F17936" w14:textId="77777777" w:rsidR="00B01930" w:rsidRDefault="00B01930">
      <w:pPr>
        <w:pStyle w:val="Notedebasdepage"/>
      </w:pPr>
      <w:r>
        <w:rPr>
          <w:rStyle w:val="Appelnotedebasdep"/>
        </w:rPr>
        <w:footnoteRef/>
      </w:r>
      <w:r>
        <w:t xml:space="preserve"> </w:t>
      </w:r>
      <w:r>
        <w:tab/>
      </w:r>
      <w:r w:rsidRPr="0004576F">
        <w:t xml:space="preserve">Meredith Kingston de Leusse, </w:t>
      </w:r>
      <w:r w:rsidRPr="0004576F">
        <w:rPr>
          <w:i/>
        </w:rPr>
        <w:t>op. cit</w:t>
      </w:r>
      <w:r w:rsidRPr="0004576F">
        <w:t xml:space="preserve">., p. 105 et </w:t>
      </w:r>
      <w:r w:rsidRPr="0004576F">
        <w:rPr>
          <w:i/>
        </w:rPr>
        <w:t>sq</w:t>
      </w:r>
      <w:r w:rsidRPr="0004576F">
        <w:t>.</w:t>
      </w:r>
    </w:p>
  </w:footnote>
  <w:footnote w:id="1377">
    <w:p w14:paraId="78C3D1D9" w14:textId="77777777" w:rsidR="00B01930" w:rsidRDefault="00B01930">
      <w:pPr>
        <w:pStyle w:val="Notedebasdepage"/>
      </w:pPr>
      <w:r>
        <w:rPr>
          <w:rStyle w:val="Appelnotedebasdep"/>
        </w:rPr>
        <w:footnoteRef/>
      </w:r>
      <w:r>
        <w:t xml:space="preserve"> </w:t>
      </w:r>
      <w:r>
        <w:tab/>
      </w:r>
      <w:r w:rsidRPr="0004576F">
        <w:t xml:space="preserve">Décrit, d’un point de vue institutionnel, par Marie-Christine Kessler, </w:t>
      </w:r>
      <w:r w:rsidRPr="0004576F">
        <w:rPr>
          <w:i/>
        </w:rPr>
        <w:t>op. cit</w:t>
      </w:r>
      <w:r w:rsidRPr="0004576F">
        <w:t xml:space="preserve">., p. 31 et </w:t>
      </w:r>
      <w:r w:rsidRPr="0004576F">
        <w:rPr>
          <w:i/>
        </w:rPr>
        <w:t>sq</w:t>
      </w:r>
      <w:r w:rsidRPr="0004576F">
        <w:t>.</w:t>
      </w:r>
    </w:p>
  </w:footnote>
  <w:footnote w:id="1378">
    <w:p w14:paraId="0B566BBE" w14:textId="77777777" w:rsidR="00B01930" w:rsidRDefault="00B01930">
      <w:pPr>
        <w:pStyle w:val="Notedebasdepage"/>
      </w:pPr>
      <w:r>
        <w:rPr>
          <w:rStyle w:val="Appelnotedebasdep"/>
        </w:rPr>
        <w:footnoteRef/>
      </w:r>
      <w:r>
        <w:t xml:space="preserve"> </w:t>
      </w:r>
      <w:r>
        <w:tab/>
      </w:r>
      <w:r w:rsidRPr="0004576F">
        <w:t>L’expression fait référence à la vision organiciste du réseau dans la pensée de l’école saint-simonienne qui invoque la circulation des personnes, des biens, des capitaux, des idées, du savoir circulation (fluide) à travers des tuyaux, des tubes, des canaux, des vai</w:t>
      </w:r>
      <w:r w:rsidRPr="0004576F">
        <w:t>s</w:t>
      </w:r>
      <w:r w:rsidRPr="0004576F">
        <w:t>seaux, caractéristiques d’une structure solide. G. Dupuy, art. cit., p. 876.</w:t>
      </w:r>
    </w:p>
  </w:footnote>
  <w:footnote w:id="1379">
    <w:p w14:paraId="0D701FE2" w14:textId="77777777" w:rsidR="00B01930" w:rsidRDefault="00B01930">
      <w:pPr>
        <w:pStyle w:val="Notedebasdepage"/>
      </w:pPr>
      <w:r>
        <w:rPr>
          <w:rStyle w:val="Appelnotedebasdep"/>
        </w:rPr>
        <w:footnoteRef/>
      </w:r>
      <w:r>
        <w:t xml:space="preserve"> </w:t>
      </w:r>
      <w:r>
        <w:tab/>
      </w:r>
      <w:r w:rsidRPr="0004576F">
        <w:t xml:space="preserve">Entrée « Diplomatie », </w:t>
      </w:r>
      <w:r w:rsidRPr="0004576F">
        <w:rPr>
          <w:i/>
        </w:rPr>
        <w:t>Science et pratique des relations politiques entre les États, et partic</w:t>
      </w:r>
      <w:r w:rsidRPr="0004576F">
        <w:rPr>
          <w:i/>
        </w:rPr>
        <w:t>u</w:t>
      </w:r>
      <w:r w:rsidRPr="0004576F">
        <w:rPr>
          <w:i/>
        </w:rPr>
        <w:t>lièrement de la représentation des intérêts d’un pays à l’étranger</w:t>
      </w:r>
      <w:r w:rsidRPr="0004576F">
        <w:t>,</w:t>
      </w:r>
      <w:r w:rsidRPr="0004576F">
        <w:rPr>
          <w:i/>
        </w:rPr>
        <w:t xml:space="preserve"> </w:t>
      </w:r>
      <w:r w:rsidRPr="0004576F">
        <w:t>I</w:t>
      </w:r>
      <w:r w:rsidRPr="0004576F">
        <w:rPr>
          <w:smallCaps/>
        </w:rPr>
        <w:t>nalf</w:t>
      </w:r>
      <w:r w:rsidRPr="0004576F">
        <w:t xml:space="preserve">, </w:t>
      </w:r>
      <w:r w:rsidRPr="0004576F">
        <w:rPr>
          <w:i/>
        </w:rPr>
        <w:t>Trésor de la langue française</w:t>
      </w:r>
      <w:r w:rsidRPr="0004576F">
        <w:t xml:space="preserve">, Paris, 1979, tome 7, p. 236 et </w:t>
      </w:r>
      <w:r w:rsidRPr="0004576F">
        <w:rPr>
          <w:i/>
        </w:rPr>
        <w:t>sq</w:t>
      </w:r>
      <w:r w:rsidRPr="0004576F">
        <w:t>.</w:t>
      </w:r>
    </w:p>
  </w:footnote>
  <w:footnote w:id="1380">
    <w:p w14:paraId="2183DBFF" w14:textId="77777777" w:rsidR="00B01930" w:rsidRDefault="00B01930">
      <w:pPr>
        <w:pStyle w:val="Notedebasdepage"/>
      </w:pPr>
      <w:r>
        <w:rPr>
          <w:rStyle w:val="Appelnotedebasdep"/>
        </w:rPr>
        <w:footnoteRef/>
      </w:r>
      <w:r>
        <w:t xml:space="preserve"> </w:t>
      </w:r>
      <w:r>
        <w:tab/>
      </w:r>
      <w:r w:rsidRPr="0004576F">
        <w:rPr>
          <w:smallCaps/>
        </w:rPr>
        <w:t>Inalf,</w:t>
      </w:r>
      <w:r w:rsidRPr="0004576F">
        <w:t xml:space="preserve"> </w:t>
      </w:r>
      <w:r w:rsidRPr="0004576F">
        <w:rPr>
          <w:i/>
        </w:rPr>
        <w:t>Trésor de la langue française</w:t>
      </w:r>
      <w:r w:rsidRPr="0004576F">
        <w:t xml:space="preserve">, </w:t>
      </w:r>
      <w:r w:rsidRPr="0004576F">
        <w:rPr>
          <w:i/>
        </w:rPr>
        <w:t>op. cit</w:t>
      </w:r>
      <w:r w:rsidRPr="0004576F">
        <w:t xml:space="preserve">., 1979, tome 7, p. 236 et </w:t>
      </w:r>
      <w:r w:rsidRPr="0004576F">
        <w:rPr>
          <w:i/>
        </w:rPr>
        <w:t>sq</w:t>
      </w:r>
      <w:r w:rsidRPr="0004576F">
        <w:t>. (so</w:t>
      </w:r>
      <w:r w:rsidRPr="0004576F">
        <w:t>u</w:t>
      </w:r>
      <w:r w:rsidRPr="0004576F">
        <w:t>l</w:t>
      </w:r>
      <w:r w:rsidRPr="0004576F">
        <w:t>i</w:t>
      </w:r>
      <w:r w:rsidRPr="0004576F">
        <w:t>gné par nous).</w:t>
      </w:r>
    </w:p>
  </w:footnote>
  <w:footnote w:id="1381">
    <w:p w14:paraId="5A9B96A2" w14:textId="77777777" w:rsidR="00B01930" w:rsidRDefault="00B01930">
      <w:pPr>
        <w:pStyle w:val="Notedebasdepage"/>
      </w:pPr>
      <w:r>
        <w:rPr>
          <w:rStyle w:val="Appelnotedebasdep"/>
        </w:rPr>
        <w:footnoteRef/>
      </w:r>
      <w:r>
        <w:t xml:space="preserve"> </w:t>
      </w:r>
      <w:r>
        <w:tab/>
      </w:r>
      <w:r w:rsidRPr="0004576F">
        <w:t xml:space="preserve">Marie-Christine Kessler, </w:t>
      </w:r>
      <w:r w:rsidRPr="0004576F">
        <w:rPr>
          <w:i/>
        </w:rPr>
        <w:t>La Politique étrangère de la France. Acteurs et proce</w:t>
      </w:r>
      <w:r w:rsidRPr="0004576F">
        <w:rPr>
          <w:i/>
        </w:rPr>
        <w:t>s</w:t>
      </w:r>
      <w:r w:rsidRPr="0004576F">
        <w:rPr>
          <w:i/>
        </w:rPr>
        <w:t>sus</w:t>
      </w:r>
      <w:r w:rsidRPr="0004576F">
        <w:t>, Paris, Presses de Science Po, 1999, p. 17.</w:t>
      </w:r>
    </w:p>
  </w:footnote>
  <w:footnote w:id="1382">
    <w:p w14:paraId="1DEEAC41" w14:textId="77777777" w:rsidR="00B01930" w:rsidRDefault="00B01930">
      <w:pPr>
        <w:pStyle w:val="Notedebasdepage"/>
      </w:pPr>
      <w:r>
        <w:rPr>
          <w:rStyle w:val="Appelnotedebasdep"/>
        </w:rPr>
        <w:footnoteRef/>
      </w:r>
      <w:r>
        <w:t xml:space="preserve"> </w:t>
      </w:r>
      <w:r>
        <w:tab/>
      </w:r>
      <w:r w:rsidRPr="0004576F">
        <w:rPr>
          <w:i/>
        </w:rPr>
        <w:t>Ibidem</w:t>
      </w:r>
      <w:r w:rsidRPr="0004576F">
        <w:t>, p. 19.</w:t>
      </w:r>
    </w:p>
  </w:footnote>
  <w:footnote w:id="1383">
    <w:p w14:paraId="68530690" w14:textId="77777777" w:rsidR="00B01930" w:rsidRDefault="00B01930">
      <w:pPr>
        <w:pStyle w:val="Notedebasdepage"/>
      </w:pPr>
      <w:r>
        <w:rPr>
          <w:rStyle w:val="Appelnotedebasdep"/>
        </w:rPr>
        <w:footnoteRef/>
      </w:r>
      <w:r>
        <w:t xml:space="preserve"> </w:t>
      </w:r>
      <w:r>
        <w:tab/>
      </w:r>
      <w:r w:rsidRPr="0004576F">
        <w:rPr>
          <w:i/>
        </w:rPr>
        <w:t>Ibidem</w:t>
      </w:r>
      <w:r w:rsidRPr="0004576F">
        <w:t>, p.19.</w:t>
      </w:r>
    </w:p>
  </w:footnote>
  <w:footnote w:id="1384">
    <w:p w14:paraId="542FB10E" w14:textId="77777777" w:rsidR="00B01930" w:rsidRDefault="00B01930">
      <w:pPr>
        <w:pStyle w:val="Notedebasdepage"/>
      </w:pPr>
      <w:r>
        <w:rPr>
          <w:rStyle w:val="Appelnotedebasdep"/>
        </w:rPr>
        <w:footnoteRef/>
      </w:r>
      <w:r>
        <w:t xml:space="preserve"> </w:t>
      </w:r>
      <w:r>
        <w:tab/>
      </w:r>
      <w:r w:rsidRPr="0004576F">
        <w:rPr>
          <w:i/>
        </w:rPr>
        <w:t>Ibidem</w:t>
      </w:r>
      <w:r w:rsidRPr="0004576F">
        <w:t xml:space="preserve">, p. 19 et </w:t>
      </w:r>
      <w:r w:rsidRPr="0004576F">
        <w:rPr>
          <w:i/>
        </w:rPr>
        <w:t>sq</w:t>
      </w:r>
      <w:r w:rsidRPr="0004576F">
        <w:t>.</w:t>
      </w:r>
    </w:p>
  </w:footnote>
  <w:footnote w:id="1385">
    <w:p w14:paraId="44A851C2" w14:textId="77777777" w:rsidR="00B01930" w:rsidRDefault="00B01930">
      <w:pPr>
        <w:pStyle w:val="Notedebasdepage"/>
      </w:pPr>
      <w:r>
        <w:rPr>
          <w:rStyle w:val="Appelnotedebasdep"/>
        </w:rPr>
        <w:footnoteRef/>
      </w:r>
      <w:r>
        <w:t xml:space="preserve"> </w:t>
      </w:r>
      <w:r>
        <w:tab/>
      </w:r>
      <w:r w:rsidRPr="0004576F">
        <w:t xml:space="preserve">Meredith Kingston de Leusse, </w:t>
      </w:r>
      <w:r w:rsidRPr="0004576F">
        <w:rPr>
          <w:i/>
        </w:rPr>
        <w:t>op. cit</w:t>
      </w:r>
      <w:r w:rsidRPr="0004576F">
        <w:t>., p. 116.</w:t>
      </w:r>
    </w:p>
  </w:footnote>
  <w:footnote w:id="1386">
    <w:p w14:paraId="085559FE" w14:textId="77777777" w:rsidR="00B01930" w:rsidRDefault="00B01930">
      <w:pPr>
        <w:pStyle w:val="Notedebasdepage"/>
      </w:pPr>
      <w:r>
        <w:rPr>
          <w:rStyle w:val="Appelnotedebasdep"/>
        </w:rPr>
        <w:footnoteRef/>
      </w:r>
      <w:r>
        <w:t xml:space="preserve"> </w:t>
      </w:r>
      <w:r>
        <w:tab/>
      </w:r>
      <w:r w:rsidRPr="0004576F">
        <w:t xml:space="preserve">Dans </w:t>
      </w:r>
      <w:r w:rsidRPr="0004576F">
        <w:rPr>
          <w:i/>
        </w:rPr>
        <w:t>Le Mémento du chef de mission diplomatique</w:t>
      </w:r>
      <w:r w:rsidRPr="0004576F">
        <w:t xml:space="preserve">, Ministère des Affaires étrangères, Paris, 1992, p. 106, cité par Meredith Kingston de Leusse, </w:t>
      </w:r>
      <w:r w:rsidRPr="0004576F">
        <w:rPr>
          <w:i/>
        </w:rPr>
        <w:t>op. cit</w:t>
      </w:r>
      <w:r w:rsidRPr="0004576F">
        <w:t xml:space="preserve">., p. 110 et </w:t>
      </w:r>
      <w:r w:rsidRPr="0004576F">
        <w:rPr>
          <w:i/>
        </w:rPr>
        <w:t>sq</w:t>
      </w:r>
      <w:r w:rsidRPr="0004576F">
        <w:t>.</w:t>
      </w:r>
    </w:p>
  </w:footnote>
  <w:footnote w:id="1387">
    <w:p w14:paraId="4D6A28EF" w14:textId="77777777" w:rsidR="00B01930" w:rsidRDefault="00B01930">
      <w:pPr>
        <w:pStyle w:val="Notedebasdepage"/>
      </w:pPr>
      <w:r>
        <w:rPr>
          <w:rStyle w:val="Appelnotedebasdep"/>
        </w:rPr>
        <w:footnoteRef/>
      </w:r>
      <w:r>
        <w:t xml:space="preserve"> </w:t>
      </w:r>
      <w:r>
        <w:tab/>
      </w:r>
      <w:r w:rsidRPr="0004576F">
        <w:t xml:space="preserve">Meredith Kingston de Leusse, </w:t>
      </w:r>
      <w:r w:rsidRPr="0004576F">
        <w:rPr>
          <w:i/>
        </w:rPr>
        <w:t>op. cit</w:t>
      </w:r>
      <w:r w:rsidRPr="0004576F">
        <w:t>., p. 111.</w:t>
      </w:r>
    </w:p>
  </w:footnote>
  <w:footnote w:id="1388">
    <w:p w14:paraId="7CB1337C" w14:textId="77777777" w:rsidR="00B01930" w:rsidRDefault="00B01930">
      <w:pPr>
        <w:pStyle w:val="Notedebasdepage"/>
      </w:pPr>
      <w:r>
        <w:rPr>
          <w:rStyle w:val="Appelnotedebasdep"/>
        </w:rPr>
        <w:footnoteRef/>
      </w:r>
      <w:r>
        <w:t xml:space="preserve"> </w:t>
      </w:r>
      <w:r>
        <w:tab/>
      </w:r>
      <w:r w:rsidRPr="0004576F">
        <w:t xml:space="preserve">Meredith Kingston de Leusse, </w:t>
      </w:r>
      <w:r w:rsidRPr="0004576F">
        <w:rPr>
          <w:i/>
        </w:rPr>
        <w:t>op. cit</w:t>
      </w:r>
      <w:r w:rsidRPr="0004576F">
        <w:t>., p. 110.</w:t>
      </w:r>
    </w:p>
  </w:footnote>
  <w:footnote w:id="1389">
    <w:p w14:paraId="35111402" w14:textId="77777777" w:rsidR="00B01930" w:rsidRDefault="00B01930">
      <w:pPr>
        <w:pStyle w:val="Notedebasdepage"/>
      </w:pPr>
      <w:r>
        <w:rPr>
          <w:rStyle w:val="Appelnotedebasdep"/>
        </w:rPr>
        <w:footnoteRef/>
      </w:r>
      <w:r>
        <w:t xml:space="preserve"> </w:t>
      </w:r>
      <w:r>
        <w:tab/>
      </w:r>
      <w:r w:rsidRPr="0004576F">
        <w:t xml:space="preserve">À titre d’exemples, cf. K.J. Holsti, </w:t>
      </w:r>
      <w:r w:rsidRPr="0004576F">
        <w:rPr>
          <w:i/>
        </w:rPr>
        <w:t>International Politics, a Framework for Analysis</w:t>
      </w:r>
      <w:r w:rsidRPr="0004576F">
        <w:t>, Lo</w:t>
      </w:r>
      <w:r w:rsidRPr="0004576F">
        <w:t>n</w:t>
      </w:r>
      <w:r w:rsidRPr="0004576F">
        <w:t>don, New York, Prentice Hall, 1995, en particulier sur les moyens et procédures diplom</w:t>
      </w:r>
      <w:r w:rsidRPr="0004576F">
        <w:t>a</w:t>
      </w:r>
      <w:r w:rsidRPr="0004576F">
        <w:t>tiques p. 130-165.</w:t>
      </w:r>
    </w:p>
  </w:footnote>
  <w:footnote w:id="1390">
    <w:p w14:paraId="6B396338" w14:textId="77777777" w:rsidR="00B01930" w:rsidRDefault="00B01930">
      <w:pPr>
        <w:pStyle w:val="Notedebasdepage"/>
      </w:pPr>
      <w:r>
        <w:rPr>
          <w:rStyle w:val="Appelnotedebasdep"/>
        </w:rPr>
        <w:footnoteRef/>
      </w:r>
      <w:r>
        <w:t xml:space="preserve"> </w:t>
      </w:r>
      <w:r>
        <w:tab/>
      </w:r>
      <w:r w:rsidRPr="0004576F">
        <w:t xml:space="preserve">Guy Hermet, Bertrand Badie, Pierre Birnbaum, Philippe Braud, </w:t>
      </w:r>
      <w:r w:rsidRPr="0004576F">
        <w:rPr>
          <w:i/>
        </w:rPr>
        <w:t>Dictionnaire de la science politique et des institutions politiques</w:t>
      </w:r>
      <w:r w:rsidRPr="0004576F">
        <w:t xml:space="preserve">, Paris, Armand Colin, 1994, p. 248 et </w:t>
      </w:r>
      <w:r w:rsidRPr="0004576F">
        <w:rPr>
          <w:i/>
        </w:rPr>
        <w:t>sq</w:t>
      </w:r>
      <w:r w:rsidRPr="0004576F">
        <w:t>.</w:t>
      </w:r>
    </w:p>
  </w:footnote>
  <w:footnote w:id="1391">
    <w:p w14:paraId="13A05B06" w14:textId="77777777" w:rsidR="00B01930" w:rsidRDefault="00B01930">
      <w:pPr>
        <w:pStyle w:val="Notedebasdepage"/>
      </w:pPr>
      <w:r>
        <w:rPr>
          <w:rStyle w:val="Appelnotedebasdep"/>
        </w:rPr>
        <w:footnoteRef/>
      </w:r>
      <w:r>
        <w:t xml:space="preserve"> </w:t>
      </w:r>
      <w:r>
        <w:tab/>
      </w:r>
      <w:r w:rsidRPr="0004576F">
        <w:t xml:space="preserve">En plus d’articles de presse tirés pour l’essentiel du </w:t>
      </w:r>
      <w:r w:rsidRPr="0004576F">
        <w:rPr>
          <w:i/>
        </w:rPr>
        <w:t xml:space="preserve">Monde </w:t>
      </w:r>
      <w:r w:rsidRPr="0004576F">
        <w:t xml:space="preserve">(janvier à octobre 1987 – un seul article en 1986), nous disposons maintenant de cinq récits de cette affaire : Jean-François Deniau, </w:t>
      </w:r>
      <w:r w:rsidRPr="0004576F">
        <w:rPr>
          <w:i/>
        </w:rPr>
        <w:t>Mémoires de sept vies</w:t>
      </w:r>
      <w:r w:rsidRPr="0004576F">
        <w:t xml:space="preserve">, Paris, Plon, 1997, tome 2 : </w:t>
      </w:r>
      <w:r w:rsidRPr="0004576F">
        <w:rPr>
          <w:i/>
        </w:rPr>
        <w:t>Croire et Oser</w:t>
      </w:r>
      <w:r w:rsidRPr="0004576F">
        <w:t xml:space="preserve">, p. 27-30 ; Stephen Smith et Antoine Glaser, </w:t>
      </w:r>
      <w:r w:rsidRPr="0004576F">
        <w:rPr>
          <w:i/>
        </w:rPr>
        <w:t>Ces me</w:t>
      </w:r>
      <w:r w:rsidRPr="0004576F">
        <w:rPr>
          <w:i/>
        </w:rPr>
        <w:t>s</w:t>
      </w:r>
      <w:r w:rsidRPr="0004576F">
        <w:rPr>
          <w:i/>
        </w:rPr>
        <w:t>sieurs Afrique. Le Paris-Village du cont</w:t>
      </w:r>
      <w:r w:rsidRPr="0004576F">
        <w:rPr>
          <w:i/>
        </w:rPr>
        <w:t>i</w:t>
      </w:r>
      <w:r w:rsidRPr="0004576F">
        <w:rPr>
          <w:i/>
        </w:rPr>
        <w:t>nent noir</w:t>
      </w:r>
      <w:r w:rsidRPr="0004576F">
        <w:t xml:space="preserve">, Paris, Calmann-Lévy, 1992, p. 154-159 ; Jacques Attali, </w:t>
      </w:r>
      <w:r w:rsidRPr="0004576F">
        <w:rPr>
          <w:i/>
        </w:rPr>
        <w:t>Verbatim</w:t>
      </w:r>
      <w:r w:rsidRPr="0004576F">
        <w:t xml:space="preserve">, tome 2, 1986-1988, Paris, Fayard, p. 185, 200, 202, 383, 384 et 385 ; </w:t>
      </w:r>
      <w:r w:rsidRPr="0004576F">
        <w:rPr>
          <w:i/>
        </w:rPr>
        <w:t>Foccart parle. Entretiens avec Ph</w:t>
      </w:r>
      <w:r w:rsidRPr="0004576F">
        <w:rPr>
          <w:i/>
        </w:rPr>
        <w:t>i</w:t>
      </w:r>
      <w:r w:rsidRPr="0004576F">
        <w:rPr>
          <w:i/>
        </w:rPr>
        <w:t>lippe Gaillard</w:t>
      </w:r>
      <w:r w:rsidRPr="0004576F">
        <w:t xml:space="preserve">, Paris Fayard, Jeune Afrique, 1997, tome 2, p. 323 et </w:t>
      </w:r>
      <w:r w:rsidRPr="0004576F">
        <w:rPr>
          <w:i/>
        </w:rPr>
        <w:t>sq</w:t>
      </w:r>
      <w:r w:rsidRPr="0004576F">
        <w:t xml:space="preserve">. On peut également consulter la biographie de Jacques Foccart, écrite avant la mort du « Monsieur Afrique » du Général de Gaulle, par Pierre Péan, </w:t>
      </w:r>
      <w:r w:rsidRPr="0004576F">
        <w:rPr>
          <w:i/>
        </w:rPr>
        <w:t>L’Homme de l’ombre</w:t>
      </w:r>
      <w:r w:rsidRPr="0004576F">
        <w:t>, Paris, 1990, ainsi que le livre t</w:t>
      </w:r>
      <w:r w:rsidRPr="0004576F">
        <w:t>é</w:t>
      </w:r>
      <w:r w:rsidRPr="0004576F">
        <w:t xml:space="preserve">moin de l’intéressé lui-même : Pierre-André Albertini, </w:t>
      </w:r>
      <w:r w:rsidRPr="0004576F">
        <w:rPr>
          <w:i/>
        </w:rPr>
        <w:t>Au cœur de l’apartheid</w:t>
      </w:r>
      <w:r w:rsidRPr="0004576F">
        <w:t>, édition introuvable, que nous n’avons pas pu consulter.</w:t>
      </w:r>
    </w:p>
  </w:footnote>
  <w:footnote w:id="1392">
    <w:p w14:paraId="09D0BC71" w14:textId="77777777" w:rsidR="00B01930" w:rsidRDefault="00B01930">
      <w:pPr>
        <w:pStyle w:val="Notedebasdepage"/>
      </w:pPr>
      <w:r>
        <w:rPr>
          <w:rStyle w:val="Appelnotedebasdep"/>
        </w:rPr>
        <w:footnoteRef/>
      </w:r>
      <w:r>
        <w:t xml:space="preserve"> </w:t>
      </w:r>
      <w:r>
        <w:tab/>
      </w:r>
      <w:r w:rsidRPr="0004576F">
        <w:t xml:space="preserve">Jean-François Deniau, </w:t>
      </w:r>
      <w:r w:rsidRPr="0004576F">
        <w:rPr>
          <w:i/>
        </w:rPr>
        <w:t>op. cit</w:t>
      </w:r>
      <w:r w:rsidRPr="0004576F">
        <w:t>., p. 28.</w:t>
      </w:r>
    </w:p>
  </w:footnote>
  <w:footnote w:id="1393">
    <w:p w14:paraId="27D9E490" w14:textId="77777777" w:rsidR="00B01930" w:rsidRDefault="00B01930">
      <w:pPr>
        <w:pStyle w:val="Notedebasdepage"/>
      </w:pPr>
      <w:r>
        <w:rPr>
          <w:rStyle w:val="Appelnotedebasdep"/>
        </w:rPr>
        <w:footnoteRef/>
      </w:r>
      <w:r>
        <w:t xml:space="preserve"> </w:t>
      </w:r>
      <w:r>
        <w:tab/>
      </w:r>
      <w:r w:rsidRPr="0004576F">
        <w:t>A</w:t>
      </w:r>
      <w:r w:rsidRPr="0004576F">
        <w:rPr>
          <w:smallCaps/>
        </w:rPr>
        <w:t>nc</w:t>
      </w:r>
      <w:r w:rsidRPr="0004576F">
        <w:t>, abréviation d’</w:t>
      </w:r>
      <w:r w:rsidRPr="0004576F">
        <w:rPr>
          <w:i/>
        </w:rPr>
        <w:t xml:space="preserve">African National Congress, </w:t>
      </w:r>
      <w:r w:rsidRPr="0004576F">
        <w:t>mouvement de Noirs sud-africains pour re</w:t>
      </w:r>
      <w:r w:rsidRPr="0004576F">
        <w:t>n</w:t>
      </w:r>
      <w:r w:rsidRPr="0004576F">
        <w:t>verser l’apartheid, interdit en Afrique du Sud au moment de l’affaire Albertini.</w:t>
      </w:r>
    </w:p>
  </w:footnote>
  <w:footnote w:id="1394">
    <w:p w14:paraId="6D2233EA"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22 juin 1987, p. 16.</w:t>
      </w:r>
    </w:p>
  </w:footnote>
  <w:footnote w:id="1395">
    <w:p w14:paraId="542E7C69" w14:textId="77777777" w:rsidR="00B01930" w:rsidRDefault="00B01930">
      <w:pPr>
        <w:pStyle w:val="Notedebasdepage"/>
      </w:pPr>
      <w:r>
        <w:rPr>
          <w:rStyle w:val="Appelnotedebasdep"/>
        </w:rPr>
        <w:footnoteRef/>
      </w:r>
      <w:r>
        <w:t xml:space="preserve"> </w:t>
      </w:r>
      <w:r>
        <w:tab/>
      </w:r>
      <w:r w:rsidRPr="0004576F">
        <w:t xml:space="preserve">Un avion du </w:t>
      </w:r>
      <w:r w:rsidRPr="0004576F">
        <w:rPr>
          <w:smallCaps/>
        </w:rPr>
        <w:t>Glam</w:t>
      </w:r>
      <w:r w:rsidRPr="0004576F">
        <w:rPr>
          <w:i/>
        </w:rPr>
        <w:t xml:space="preserve"> </w:t>
      </w:r>
      <w:r w:rsidRPr="0004576F">
        <w:t>attendait depuis 8 jours sur l’aéroport de Maputo pour ramener Albe</w:t>
      </w:r>
      <w:r w:rsidRPr="0004576F">
        <w:t>r</w:t>
      </w:r>
      <w:r w:rsidRPr="0004576F">
        <w:t xml:space="preserve">tini, </w:t>
      </w:r>
      <w:r w:rsidRPr="0004576F">
        <w:rPr>
          <w:i/>
        </w:rPr>
        <w:t>Le Monde,</w:t>
      </w:r>
      <w:r w:rsidRPr="0004576F">
        <w:t xml:space="preserve"> 9 septembre 1987, p. 4.</w:t>
      </w:r>
    </w:p>
  </w:footnote>
  <w:footnote w:id="1396">
    <w:p w14:paraId="1667B146"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29 août 1987, p. 29, 8 septembre 1987, p. 2 et 31 août 1987, p. 12.</w:t>
      </w:r>
    </w:p>
  </w:footnote>
  <w:footnote w:id="1397">
    <w:p w14:paraId="230877D7" w14:textId="77777777" w:rsidR="00B01930" w:rsidRDefault="00B01930">
      <w:pPr>
        <w:pStyle w:val="Notedebasdepage"/>
      </w:pPr>
      <w:r>
        <w:rPr>
          <w:rStyle w:val="Appelnotedebasdep"/>
        </w:rPr>
        <w:footnoteRef/>
      </w:r>
      <w:r>
        <w:t xml:space="preserve"> </w:t>
      </w:r>
      <w:r>
        <w:tab/>
      </w:r>
      <w:r w:rsidRPr="0004576F">
        <w:rPr>
          <w:i/>
        </w:rPr>
        <w:t xml:space="preserve">Jean-Marc Simon, </w:t>
      </w:r>
      <w:r w:rsidRPr="0004576F">
        <w:t>« Un responsable des dossiers africains au cabinet du m</w:t>
      </w:r>
      <w:r w:rsidRPr="0004576F">
        <w:t>i</w:t>
      </w:r>
      <w:r w:rsidRPr="0004576F">
        <w:t>nistre des A</w:t>
      </w:r>
      <w:r w:rsidRPr="0004576F">
        <w:t>f</w:t>
      </w:r>
      <w:r w:rsidRPr="0004576F">
        <w:t xml:space="preserve">faires étrangères », </w:t>
      </w:r>
      <w:r w:rsidRPr="0004576F">
        <w:rPr>
          <w:i/>
        </w:rPr>
        <w:t>Le Monde,</w:t>
      </w:r>
      <w:r w:rsidRPr="0004576F">
        <w:t xml:space="preserve"> 8 septembre 1987, p. 2.</w:t>
      </w:r>
    </w:p>
  </w:footnote>
  <w:footnote w:id="1398">
    <w:p w14:paraId="16EA296E"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du 8 septembre 1987, p. 2.</w:t>
      </w:r>
    </w:p>
  </w:footnote>
  <w:footnote w:id="1399">
    <w:p w14:paraId="30442EE3" w14:textId="77777777" w:rsidR="00B01930" w:rsidRDefault="00B01930">
      <w:pPr>
        <w:pStyle w:val="Notedebasdepage"/>
      </w:pPr>
      <w:r>
        <w:rPr>
          <w:rStyle w:val="Appelnotedebasdep"/>
        </w:rPr>
        <w:footnoteRef/>
      </w:r>
      <w:r>
        <w:t xml:space="preserve"> </w:t>
      </w:r>
      <w:r>
        <w:tab/>
      </w:r>
      <w:r w:rsidRPr="0004576F">
        <w:t xml:space="preserve">Jean-François Deniau, </w:t>
      </w:r>
      <w:r w:rsidRPr="0004576F">
        <w:rPr>
          <w:i/>
        </w:rPr>
        <w:t>op. cit</w:t>
      </w:r>
      <w:r w:rsidRPr="0004576F">
        <w:t>., p. 28.</w:t>
      </w:r>
    </w:p>
  </w:footnote>
  <w:footnote w:id="1400">
    <w:p w14:paraId="42C790B5" w14:textId="77777777" w:rsidR="00B01930" w:rsidRDefault="00B01930">
      <w:pPr>
        <w:pStyle w:val="Notedebasdepage"/>
      </w:pPr>
      <w:r>
        <w:rPr>
          <w:rStyle w:val="Appelnotedebasdep"/>
        </w:rPr>
        <w:footnoteRef/>
      </w:r>
      <w:r>
        <w:t xml:space="preserve"> </w:t>
      </w:r>
      <w:r>
        <w:tab/>
      </w:r>
      <w:r w:rsidRPr="0004576F">
        <w:t xml:space="preserve">Jean-François Deniau, </w:t>
      </w:r>
      <w:r w:rsidRPr="0004576F">
        <w:rPr>
          <w:i/>
        </w:rPr>
        <w:t>op. cit</w:t>
      </w:r>
      <w:r w:rsidRPr="0004576F">
        <w:t>., p. 28.</w:t>
      </w:r>
    </w:p>
  </w:footnote>
  <w:footnote w:id="1401">
    <w:p w14:paraId="7D074C36"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du 22 juin 1987, p. 16.</w:t>
      </w:r>
    </w:p>
  </w:footnote>
  <w:footnote w:id="1402">
    <w:p w14:paraId="1C03B95E"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du 23 janvier 1987, p. 4 et du 23 mars 1987, p. 4.</w:t>
      </w:r>
    </w:p>
  </w:footnote>
  <w:footnote w:id="1403">
    <w:p w14:paraId="55EB0777" w14:textId="77777777" w:rsidR="00B01930" w:rsidRDefault="00B01930">
      <w:pPr>
        <w:pStyle w:val="Notedebasdepage"/>
      </w:pPr>
      <w:r>
        <w:rPr>
          <w:rStyle w:val="Appelnotedebasdep"/>
        </w:rPr>
        <w:footnoteRef/>
      </w:r>
      <w:r>
        <w:t xml:space="preserve"> </w:t>
      </w:r>
      <w:r>
        <w:tab/>
      </w:r>
      <w:r w:rsidRPr="0004576F">
        <w:rPr>
          <w:i/>
        </w:rPr>
        <w:t xml:space="preserve">Le Monde, </w:t>
      </w:r>
      <w:r w:rsidRPr="0004576F">
        <w:t>23 janvier 1987, p. 4.</w:t>
      </w:r>
    </w:p>
  </w:footnote>
  <w:footnote w:id="1404">
    <w:p w14:paraId="348A428A" w14:textId="77777777" w:rsidR="00B01930" w:rsidRDefault="00B01930">
      <w:pPr>
        <w:pStyle w:val="Notedebasdepage"/>
      </w:pPr>
      <w:r>
        <w:rPr>
          <w:rStyle w:val="Appelnotedebasdep"/>
        </w:rPr>
        <w:footnoteRef/>
      </w:r>
      <w:r>
        <w:t xml:space="preserve"> </w:t>
      </w:r>
      <w:r>
        <w:tab/>
      </w:r>
      <w:r w:rsidRPr="0004576F">
        <w:rPr>
          <w:i/>
        </w:rPr>
        <w:t xml:space="preserve">Le Monde, </w:t>
      </w:r>
      <w:r w:rsidRPr="0004576F">
        <w:t>11 septembre 1987, p. 3.</w:t>
      </w:r>
    </w:p>
  </w:footnote>
  <w:footnote w:id="1405">
    <w:p w14:paraId="37276799"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22 juin 1987, p. 16.</w:t>
      </w:r>
    </w:p>
  </w:footnote>
  <w:footnote w:id="1406">
    <w:p w14:paraId="7DBE2CA6" w14:textId="77777777" w:rsidR="00B01930" w:rsidRDefault="00B01930">
      <w:pPr>
        <w:pStyle w:val="Notedebasdepage"/>
      </w:pPr>
      <w:r>
        <w:rPr>
          <w:rStyle w:val="Appelnotedebasdep"/>
        </w:rPr>
        <w:footnoteRef/>
      </w:r>
      <w:r>
        <w:t xml:space="preserve"> </w:t>
      </w:r>
      <w:r>
        <w:tab/>
      </w:r>
      <w:r w:rsidRPr="0004576F">
        <w:t>U</w:t>
      </w:r>
      <w:r w:rsidRPr="0004576F">
        <w:rPr>
          <w:smallCaps/>
        </w:rPr>
        <w:t>df</w:t>
      </w:r>
      <w:r w:rsidRPr="0004576F">
        <w:t xml:space="preserve"> = Front démocratique uni, principal mouvement de masse contre l’apartheid, coal</w:t>
      </w:r>
      <w:r w:rsidRPr="0004576F">
        <w:t>i</w:t>
      </w:r>
      <w:r w:rsidRPr="0004576F">
        <w:t>tion légale regroupant plusieurs centaines de mouvements antiapartheid, considérée co</w:t>
      </w:r>
      <w:r w:rsidRPr="0004576F">
        <w:t>m</w:t>
      </w:r>
      <w:r w:rsidRPr="0004576F">
        <w:t>me une simple courroie de transmission de l’A</w:t>
      </w:r>
      <w:r w:rsidRPr="0004576F">
        <w:rPr>
          <w:smallCaps/>
        </w:rPr>
        <w:t>nc</w:t>
      </w:r>
      <w:r w:rsidRPr="0004576F">
        <w:t>.</w:t>
      </w:r>
    </w:p>
  </w:footnote>
  <w:footnote w:id="1407">
    <w:p w14:paraId="03C3D4DE" w14:textId="77777777" w:rsidR="00B01930" w:rsidRDefault="00B01930">
      <w:pPr>
        <w:pStyle w:val="Notedebasdepage"/>
      </w:pPr>
      <w:r>
        <w:rPr>
          <w:rStyle w:val="Appelnotedebasdep"/>
        </w:rPr>
        <w:footnoteRef/>
      </w:r>
      <w:r>
        <w:t xml:space="preserve"> </w:t>
      </w:r>
      <w:r>
        <w:tab/>
      </w:r>
      <w:r w:rsidRPr="0004576F">
        <w:t>C’est ce qu’il dira au procès : « </w:t>
      </w:r>
      <w:r w:rsidRPr="0004576F">
        <w:rPr>
          <w:i/>
        </w:rPr>
        <w:t>Pour autant que je sache, le gouvernement français ne so</w:t>
      </w:r>
      <w:r w:rsidRPr="0004576F">
        <w:rPr>
          <w:i/>
        </w:rPr>
        <w:t>u</w:t>
      </w:r>
      <w:r w:rsidRPr="0004576F">
        <w:rPr>
          <w:i/>
        </w:rPr>
        <w:t>haite pas que je témoigne</w:t>
      </w:r>
      <w:r w:rsidRPr="0004576F">
        <w:t xml:space="preserve"> », </w:t>
      </w:r>
      <w:r w:rsidRPr="0004576F">
        <w:rPr>
          <w:i/>
        </w:rPr>
        <w:t>Le Monde</w:t>
      </w:r>
      <w:r w:rsidRPr="0004576F">
        <w:t>, 23 mars 1987, p. 4.</w:t>
      </w:r>
    </w:p>
  </w:footnote>
  <w:footnote w:id="1408">
    <w:p w14:paraId="0ACA062B" w14:textId="77777777" w:rsidR="00B01930" w:rsidRDefault="00B01930">
      <w:pPr>
        <w:pStyle w:val="Notedebasdepage"/>
      </w:pPr>
      <w:r>
        <w:rPr>
          <w:rStyle w:val="Appelnotedebasdep"/>
        </w:rPr>
        <w:footnoteRef/>
      </w:r>
      <w:r>
        <w:t xml:space="preserve"> </w:t>
      </w:r>
      <w:r>
        <w:tab/>
      </w:r>
      <w:r w:rsidRPr="0004576F">
        <w:t>Il expliquera au juge sud-africain, M. Pickard qu’il lui était « </w:t>
      </w:r>
      <w:r w:rsidRPr="0004576F">
        <w:rPr>
          <w:i/>
        </w:rPr>
        <w:t>moralement i</w:t>
      </w:r>
      <w:r w:rsidRPr="0004576F">
        <w:rPr>
          <w:i/>
        </w:rPr>
        <w:t>m</w:t>
      </w:r>
      <w:r w:rsidRPr="0004576F">
        <w:rPr>
          <w:i/>
        </w:rPr>
        <w:t>po</w:t>
      </w:r>
      <w:r w:rsidRPr="0004576F">
        <w:rPr>
          <w:i/>
        </w:rPr>
        <w:t>s</w:t>
      </w:r>
      <w:r w:rsidRPr="0004576F">
        <w:rPr>
          <w:i/>
        </w:rPr>
        <w:t>sible</w:t>
      </w:r>
      <w:r w:rsidRPr="0004576F">
        <w:t> » de jouer le rôle de témoin à charge que l’accusation voulait le voir exercer, et qu’il persistait dans son refus de prêter serment, non pas dans une att</w:t>
      </w:r>
      <w:r w:rsidRPr="0004576F">
        <w:t>i</w:t>
      </w:r>
      <w:r w:rsidRPr="0004576F">
        <w:t>tude de défi à l’égard de la justice, mais parce que, s’il le faisait</w:t>
      </w:r>
      <w:r w:rsidRPr="0004576F">
        <w:rPr>
          <w:i/>
        </w:rPr>
        <w:t xml:space="preserve">, </w:t>
      </w:r>
      <w:r w:rsidRPr="0004576F">
        <w:t>« </w:t>
      </w:r>
      <w:r w:rsidRPr="0004576F">
        <w:rPr>
          <w:i/>
        </w:rPr>
        <w:t>il ne pourrait plus r</w:t>
      </w:r>
      <w:r w:rsidRPr="0004576F">
        <w:rPr>
          <w:i/>
        </w:rPr>
        <w:t>e</w:t>
      </w:r>
      <w:r w:rsidRPr="0004576F">
        <w:rPr>
          <w:i/>
        </w:rPr>
        <w:t>garder les gens en face</w:t>
      </w:r>
      <w:r w:rsidRPr="0004576F">
        <w:t> ». « </w:t>
      </w:r>
      <w:r w:rsidRPr="0004576F">
        <w:rPr>
          <w:i/>
        </w:rPr>
        <w:t>Rentré en France, j’aurais l’impression d’être frappé d’ostracisme</w:t>
      </w:r>
      <w:r w:rsidRPr="0004576F">
        <w:t> »</w:t>
      </w:r>
      <w:r w:rsidRPr="0004576F">
        <w:rPr>
          <w:i/>
        </w:rPr>
        <w:t>.</w:t>
      </w:r>
      <w:r w:rsidRPr="0004576F">
        <w:t xml:space="preserve">  Dans </w:t>
      </w:r>
      <w:r w:rsidRPr="0004576F">
        <w:rPr>
          <w:i/>
        </w:rPr>
        <w:t>Le Monde</w:t>
      </w:r>
      <w:r w:rsidRPr="0004576F">
        <w:t>, 23 mars 1987, p. 4.</w:t>
      </w:r>
    </w:p>
  </w:footnote>
  <w:footnote w:id="1409">
    <w:p w14:paraId="035B57F9" w14:textId="77777777" w:rsidR="00B01930" w:rsidRDefault="00B01930">
      <w:pPr>
        <w:pStyle w:val="Notedebasdepage"/>
      </w:pPr>
      <w:r>
        <w:rPr>
          <w:rStyle w:val="Appelnotedebasdep"/>
        </w:rPr>
        <w:footnoteRef/>
      </w:r>
      <w:r>
        <w:t xml:space="preserve"> </w:t>
      </w:r>
      <w:r>
        <w:tab/>
      </w:r>
      <w:r w:rsidRPr="0004576F">
        <w:t>W. F. Jurgens est le procureur général du Ciskei, de nationalité sud-africaine.</w:t>
      </w:r>
    </w:p>
  </w:footnote>
  <w:footnote w:id="1410">
    <w:p w14:paraId="624A8F59" w14:textId="77777777" w:rsidR="00B01930" w:rsidRDefault="00B01930">
      <w:pPr>
        <w:pStyle w:val="Notedebasdepage"/>
      </w:pPr>
      <w:r>
        <w:rPr>
          <w:rStyle w:val="Appelnotedebasdep"/>
        </w:rPr>
        <w:footnoteRef/>
      </w:r>
      <w:r>
        <w:t xml:space="preserve"> </w:t>
      </w:r>
      <w:r>
        <w:tab/>
      </w:r>
      <w:r w:rsidRPr="0004576F">
        <w:rPr>
          <w:i/>
        </w:rPr>
        <w:t>Le Monde</w:t>
      </w:r>
      <w:r w:rsidRPr="0004576F">
        <w:t>, 29 juin 1987, p. 20.</w:t>
      </w:r>
    </w:p>
  </w:footnote>
  <w:footnote w:id="1411">
    <w:p w14:paraId="616A2365" w14:textId="77777777" w:rsidR="00B01930" w:rsidRDefault="00B01930">
      <w:pPr>
        <w:pStyle w:val="Notedebasdepage"/>
      </w:pPr>
      <w:r>
        <w:rPr>
          <w:rStyle w:val="Appelnotedebasdep"/>
        </w:rPr>
        <w:footnoteRef/>
      </w:r>
      <w:r>
        <w:t xml:space="preserve"> </w:t>
      </w:r>
      <w:r>
        <w:tab/>
      </w:r>
      <w:r w:rsidRPr="0004576F">
        <w:t xml:space="preserve">François Gèze, Yves Lacoste, Alfrédo G.A. Valadão, </w:t>
      </w:r>
      <w:r w:rsidRPr="0004576F">
        <w:rPr>
          <w:i/>
        </w:rPr>
        <w:t>L’État du monde 1983. Annuaire économique et géop</w:t>
      </w:r>
      <w:r w:rsidRPr="0004576F">
        <w:rPr>
          <w:i/>
        </w:rPr>
        <w:t>o</w:t>
      </w:r>
      <w:r w:rsidRPr="0004576F">
        <w:rPr>
          <w:i/>
        </w:rPr>
        <w:t>litique mondial</w:t>
      </w:r>
      <w:r w:rsidRPr="0004576F">
        <w:t>, Paris, La Découverte-Maspero, p. 209.</w:t>
      </w:r>
    </w:p>
  </w:footnote>
  <w:footnote w:id="1412">
    <w:p w14:paraId="3FDCC045"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26 février 1987, p. 6.</w:t>
      </w:r>
    </w:p>
  </w:footnote>
  <w:footnote w:id="1413">
    <w:p w14:paraId="12C8E419" w14:textId="77777777" w:rsidR="00B01930" w:rsidRDefault="00B01930">
      <w:pPr>
        <w:pStyle w:val="Notedebasdepage"/>
      </w:pPr>
      <w:r>
        <w:rPr>
          <w:rStyle w:val="Appelnotedebasdep"/>
        </w:rPr>
        <w:footnoteRef/>
      </w:r>
      <w:r>
        <w:t xml:space="preserve"> </w:t>
      </w:r>
      <w:r>
        <w:tab/>
      </w:r>
      <w:r w:rsidRPr="0004576F">
        <w:t xml:space="preserve">Jean-François Deniau, </w:t>
      </w:r>
      <w:r w:rsidRPr="0004576F">
        <w:rPr>
          <w:i/>
        </w:rPr>
        <w:t>op. cit.</w:t>
      </w:r>
      <w:r w:rsidRPr="0004576F">
        <w:t>, p. 29.</w:t>
      </w:r>
    </w:p>
  </w:footnote>
  <w:footnote w:id="1414">
    <w:p w14:paraId="3FE33C11"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24 juillet 1987, p. 5.</w:t>
      </w:r>
    </w:p>
  </w:footnote>
  <w:footnote w:id="1415">
    <w:p w14:paraId="0B843FBB" w14:textId="77777777" w:rsidR="00B01930" w:rsidRDefault="00B01930">
      <w:pPr>
        <w:pStyle w:val="Notedebasdepage"/>
      </w:pPr>
      <w:r>
        <w:rPr>
          <w:rStyle w:val="Appelnotedebasdep"/>
        </w:rPr>
        <w:footnoteRef/>
      </w:r>
      <w:r>
        <w:t xml:space="preserve"> </w:t>
      </w:r>
      <w:r>
        <w:tab/>
      </w:r>
      <w:r w:rsidRPr="0004576F">
        <w:rPr>
          <w:i/>
        </w:rPr>
        <w:t xml:space="preserve">Le Monde, </w:t>
      </w:r>
      <w:r w:rsidRPr="0004576F">
        <w:t>22 juillet 1987, p. 6.</w:t>
      </w:r>
    </w:p>
  </w:footnote>
  <w:footnote w:id="1416">
    <w:p w14:paraId="6B8D9D75"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21 juillet 1987, p. 7.</w:t>
      </w:r>
    </w:p>
  </w:footnote>
  <w:footnote w:id="1417">
    <w:p w14:paraId="32DE7802" w14:textId="77777777" w:rsidR="00B01930" w:rsidRDefault="00B01930">
      <w:pPr>
        <w:pStyle w:val="Notedebasdepage"/>
      </w:pPr>
      <w:r>
        <w:rPr>
          <w:rStyle w:val="Appelnotedebasdep"/>
        </w:rPr>
        <w:footnoteRef/>
      </w:r>
      <w:r>
        <w:t xml:space="preserve"> </w:t>
      </w:r>
      <w:r>
        <w:tab/>
      </w:r>
      <w:r w:rsidRPr="0004576F">
        <w:t>Bernard Bosson est alors ministre français délégué aux Affaires européennes.</w:t>
      </w:r>
    </w:p>
  </w:footnote>
  <w:footnote w:id="1418">
    <w:p w14:paraId="1BAEAAC9" w14:textId="77777777" w:rsidR="00B01930" w:rsidRDefault="00B01930">
      <w:pPr>
        <w:pStyle w:val="Notedebasdepage"/>
      </w:pPr>
      <w:r>
        <w:rPr>
          <w:rStyle w:val="Appelnotedebasdep"/>
        </w:rPr>
        <w:footnoteRef/>
      </w:r>
      <w:r>
        <w:t xml:space="preserve"> </w:t>
      </w:r>
      <w:r>
        <w:tab/>
      </w:r>
      <w:r w:rsidRPr="0004576F">
        <w:rPr>
          <w:i/>
        </w:rPr>
        <w:t xml:space="preserve">Le Monde, </w:t>
      </w:r>
      <w:r w:rsidRPr="0004576F">
        <w:t>22 juillet 1987, p. 6.</w:t>
      </w:r>
    </w:p>
  </w:footnote>
  <w:footnote w:id="1419">
    <w:p w14:paraId="16DAB47E" w14:textId="77777777" w:rsidR="00B01930" w:rsidRDefault="00B01930">
      <w:pPr>
        <w:pStyle w:val="Notedebasdepage"/>
      </w:pPr>
      <w:r>
        <w:rPr>
          <w:rStyle w:val="Appelnotedebasdep"/>
        </w:rPr>
        <w:footnoteRef/>
      </w:r>
      <w:r>
        <w:t xml:space="preserve"> </w:t>
      </w:r>
      <w:r>
        <w:tab/>
      </w:r>
      <w:r w:rsidRPr="0004576F">
        <w:t>À l’appui de cette position, rappelons que le magistrat W.-J. Jurgens (</w:t>
      </w:r>
      <w:r w:rsidRPr="0004576F">
        <w:rPr>
          <w:i/>
        </w:rPr>
        <w:t>attorney</w:t>
      </w:r>
      <w:r w:rsidRPr="0004576F">
        <w:t xml:space="preserve"> général repr</w:t>
      </w:r>
      <w:r w:rsidRPr="0004576F">
        <w:t>é</w:t>
      </w:r>
      <w:r w:rsidRPr="0004576F">
        <w:t>sentant l’accusation au Ciskei), est de nationalité sud-africaine.</w:t>
      </w:r>
    </w:p>
  </w:footnote>
  <w:footnote w:id="1420">
    <w:p w14:paraId="5F4B0696" w14:textId="77777777" w:rsidR="00B01930" w:rsidRDefault="00B01930">
      <w:pPr>
        <w:pStyle w:val="Notedebasdepage"/>
      </w:pPr>
      <w:r>
        <w:rPr>
          <w:rStyle w:val="Appelnotedebasdep"/>
        </w:rPr>
        <w:footnoteRef/>
      </w:r>
      <w:r>
        <w:t xml:space="preserve"> </w:t>
      </w:r>
      <w:r>
        <w:tab/>
      </w:r>
      <w:r w:rsidRPr="0004576F">
        <w:rPr>
          <w:i/>
        </w:rPr>
        <w:t>Foccart parle</w:t>
      </w:r>
      <w:r w:rsidRPr="0004576F">
        <w:t xml:space="preserve">, op. cit., tome 2, p. 321 </w:t>
      </w:r>
      <w:r w:rsidRPr="0004576F">
        <w:rPr>
          <w:i/>
        </w:rPr>
        <w:t>sq</w:t>
      </w:r>
      <w:r w:rsidRPr="0004576F">
        <w:t>. ; épisode que Roland Dumas ne r</w:t>
      </w:r>
      <w:r w:rsidRPr="0004576F">
        <w:t>e</w:t>
      </w:r>
      <w:r w:rsidRPr="0004576F">
        <w:t>tient pas du tout dans ses mémo</w:t>
      </w:r>
      <w:r w:rsidRPr="0004576F">
        <w:t>i</w:t>
      </w:r>
      <w:r w:rsidRPr="0004576F">
        <w:t>res où, dans le passage consacré à l’Afrique du Sud, il n’évoque que la « </w:t>
      </w:r>
      <w:r w:rsidRPr="0004576F">
        <w:rPr>
          <w:i/>
        </w:rPr>
        <w:t>détermination</w:t>
      </w:r>
      <w:r w:rsidRPr="0004576F">
        <w:t xml:space="preserve"> de la France </w:t>
      </w:r>
      <w:r w:rsidRPr="0004576F">
        <w:rPr>
          <w:i/>
        </w:rPr>
        <w:t>depuis 1981</w:t>
      </w:r>
      <w:r w:rsidRPr="0004576F">
        <w:t xml:space="preserve">, </w:t>
      </w:r>
      <w:r w:rsidRPr="0004576F">
        <w:rPr>
          <w:i/>
        </w:rPr>
        <w:t>(..) à partir de 1985, (..) les actions de la France (..) plus spectaculaires et plus pressantes. A mon initiat</w:t>
      </w:r>
      <w:r w:rsidRPr="0004576F">
        <w:rPr>
          <w:i/>
        </w:rPr>
        <w:t>i</w:t>
      </w:r>
      <w:r w:rsidRPr="0004576F">
        <w:rPr>
          <w:i/>
        </w:rPr>
        <w:t>ve, le Conseil de Sécurité adoptait, le 26 juillet 1985, la résolution la plus sévère à l’égard de l’Afrique du Sud</w:t>
      </w:r>
      <w:r w:rsidRPr="0004576F">
        <w:t> » [résolution 569 avec six sanctions économiques et culturelles], et les visites de Nelson Mand</w:t>
      </w:r>
      <w:r w:rsidRPr="0004576F">
        <w:t>e</w:t>
      </w:r>
      <w:r w:rsidRPr="0004576F">
        <w:t xml:space="preserve">la à Paris depuis sa libération, cf. Roland Dumas, </w:t>
      </w:r>
      <w:r w:rsidRPr="0004576F">
        <w:rPr>
          <w:i/>
        </w:rPr>
        <w:t>Le Fil et la pelote. Mémo</w:t>
      </w:r>
      <w:r w:rsidRPr="0004576F">
        <w:rPr>
          <w:i/>
        </w:rPr>
        <w:t>i</w:t>
      </w:r>
      <w:r w:rsidRPr="0004576F">
        <w:rPr>
          <w:i/>
        </w:rPr>
        <w:t>res</w:t>
      </w:r>
      <w:r w:rsidRPr="0004576F">
        <w:t>, P</w:t>
      </w:r>
      <w:r w:rsidRPr="0004576F">
        <w:t>a</w:t>
      </w:r>
      <w:r w:rsidRPr="0004576F">
        <w:t>ris, Plon, 1996, p. 288-292.</w:t>
      </w:r>
    </w:p>
  </w:footnote>
  <w:footnote w:id="1421">
    <w:p w14:paraId="5C4886E7" w14:textId="77777777" w:rsidR="00B01930" w:rsidRDefault="00B01930">
      <w:pPr>
        <w:pStyle w:val="Notedebasdepage"/>
      </w:pPr>
      <w:r>
        <w:rPr>
          <w:rStyle w:val="Appelnotedebasdep"/>
        </w:rPr>
        <w:footnoteRef/>
      </w:r>
      <w:r>
        <w:t xml:space="preserve"> </w:t>
      </w:r>
      <w:r>
        <w:tab/>
      </w:r>
      <w:r w:rsidRPr="0004576F">
        <w:t>Pierre Haski, dans François Gèze, Yves Lacoste, Alfrédo G.A. Valadão</w:t>
      </w:r>
      <w:r w:rsidRPr="0004576F">
        <w:rPr>
          <w:i/>
        </w:rPr>
        <w:t>, L’état du monde 1986</w:t>
      </w:r>
      <w:r w:rsidRPr="0004576F">
        <w:t xml:space="preserve">, </w:t>
      </w:r>
      <w:r w:rsidRPr="0004576F">
        <w:rPr>
          <w:i/>
        </w:rPr>
        <w:t>op. cit.</w:t>
      </w:r>
      <w:r w:rsidRPr="0004576F">
        <w:t>, p. 58.</w:t>
      </w:r>
    </w:p>
  </w:footnote>
  <w:footnote w:id="1422">
    <w:p w14:paraId="656C20A9" w14:textId="77777777" w:rsidR="00B01930" w:rsidRDefault="00B01930">
      <w:pPr>
        <w:pStyle w:val="Notedebasdepage"/>
      </w:pPr>
      <w:r>
        <w:rPr>
          <w:rStyle w:val="Appelnotedebasdep"/>
        </w:rPr>
        <w:footnoteRef/>
      </w:r>
      <w:r>
        <w:t xml:space="preserve"> </w:t>
      </w:r>
      <w:r>
        <w:tab/>
      </w:r>
      <w:r w:rsidRPr="0004576F">
        <w:t>Pierre Haski,  dans François Gèze, Yves Lacoste, Alfrédo G.A. Valadão</w:t>
      </w:r>
      <w:r w:rsidRPr="0004576F">
        <w:rPr>
          <w:i/>
        </w:rPr>
        <w:t>, L’état du monde 1983, op. cit.</w:t>
      </w:r>
      <w:r w:rsidRPr="0004576F">
        <w:t>, p. 30.</w:t>
      </w:r>
    </w:p>
  </w:footnote>
  <w:footnote w:id="1423">
    <w:p w14:paraId="002DDDF2" w14:textId="77777777" w:rsidR="00B01930" w:rsidRDefault="00B01930">
      <w:pPr>
        <w:pStyle w:val="Notedebasdepage"/>
      </w:pPr>
      <w:r>
        <w:rPr>
          <w:rStyle w:val="Appelnotedebasdep"/>
        </w:rPr>
        <w:footnoteRef/>
      </w:r>
      <w:r>
        <w:t xml:space="preserve"> </w:t>
      </w:r>
      <w:r>
        <w:tab/>
      </w:r>
      <w:r w:rsidRPr="0004576F">
        <w:t>Ce qui cependant n’empêche pas Pretoria de négocier clandestinement avec des gouve</w:t>
      </w:r>
      <w:r w:rsidRPr="0004576F">
        <w:t>r</w:t>
      </w:r>
      <w:r w:rsidRPr="0004576F">
        <w:t>nements le cas échéant, par exemple avec le Swaziland en 1982.</w:t>
      </w:r>
    </w:p>
  </w:footnote>
  <w:footnote w:id="1424">
    <w:p w14:paraId="7AA84BA0" w14:textId="77777777" w:rsidR="00B01930" w:rsidRDefault="00B01930">
      <w:pPr>
        <w:pStyle w:val="Notedebasdepage"/>
      </w:pPr>
      <w:r>
        <w:rPr>
          <w:rStyle w:val="Appelnotedebasdep"/>
        </w:rPr>
        <w:footnoteRef/>
      </w:r>
      <w:r>
        <w:t xml:space="preserve"> </w:t>
      </w:r>
      <w:r>
        <w:tab/>
      </w:r>
      <w:r w:rsidRPr="0004576F">
        <w:t>Mise en œuvre des premières sanctions américaines, sous R. Reagan, à partir de septembre 1985. Cf. Pierre Haski, dans : François Gèze, Yves Lacoste, A</w:t>
      </w:r>
      <w:r w:rsidRPr="0004576F">
        <w:t>l</w:t>
      </w:r>
      <w:r w:rsidRPr="0004576F">
        <w:t>frédo G.A. Valadão</w:t>
      </w:r>
      <w:r w:rsidRPr="0004576F">
        <w:rPr>
          <w:i/>
        </w:rPr>
        <w:t>, L’état du monde 1986</w:t>
      </w:r>
      <w:r w:rsidRPr="0004576F">
        <w:t xml:space="preserve">, </w:t>
      </w:r>
      <w:r w:rsidRPr="0004576F">
        <w:rPr>
          <w:i/>
        </w:rPr>
        <w:t>op. cit.</w:t>
      </w:r>
      <w:r w:rsidRPr="0004576F">
        <w:t>, p. 58 ; ainsi que la résol</w:t>
      </w:r>
      <w:r w:rsidRPr="0004576F">
        <w:t>u</w:t>
      </w:r>
      <w:r w:rsidRPr="0004576F">
        <w:t>tion 569 avec six sanctions économiques et cult</w:t>
      </w:r>
      <w:r w:rsidRPr="0004576F">
        <w:t>u</w:t>
      </w:r>
      <w:r w:rsidRPr="0004576F">
        <w:t>relles.</w:t>
      </w:r>
    </w:p>
  </w:footnote>
  <w:footnote w:id="1425">
    <w:p w14:paraId="256A3A9B" w14:textId="77777777" w:rsidR="00B01930" w:rsidRDefault="00B01930">
      <w:pPr>
        <w:pStyle w:val="Notedebasdepage"/>
      </w:pPr>
      <w:r>
        <w:rPr>
          <w:rStyle w:val="Appelnotedebasdep"/>
        </w:rPr>
        <w:footnoteRef/>
      </w:r>
      <w:r>
        <w:t xml:space="preserve"> </w:t>
      </w:r>
      <w:r>
        <w:tab/>
      </w:r>
      <w:r w:rsidRPr="0004576F">
        <w:t xml:space="preserve">Smith et Glaser, </w:t>
      </w:r>
      <w:r w:rsidRPr="0004576F">
        <w:rPr>
          <w:i/>
        </w:rPr>
        <w:t>op. cit.</w:t>
      </w:r>
      <w:r w:rsidRPr="0004576F">
        <w:t>, p. 152.</w:t>
      </w:r>
    </w:p>
  </w:footnote>
  <w:footnote w:id="1426">
    <w:p w14:paraId="7757095F" w14:textId="77777777" w:rsidR="00B01930" w:rsidRDefault="00B01930">
      <w:pPr>
        <w:pStyle w:val="Notedebasdepage"/>
      </w:pPr>
      <w:r>
        <w:rPr>
          <w:rStyle w:val="Appelnotedebasdep"/>
        </w:rPr>
        <w:footnoteRef/>
      </w:r>
      <w:r>
        <w:t xml:space="preserve"> </w:t>
      </w:r>
      <w:r>
        <w:tab/>
      </w:r>
      <w:r w:rsidRPr="0004576F">
        <w:rPr>
          <w:i/>
        </w:rPr>
        <w:t xml:space="preserve">Le Monde, </w:t>
      </w:r>
      <w:r w:rsidRPr="0004576F">
        <w:t>20 juin 1987, p. 30 et 22 juin 1987, p. 16.</w:t>
      </w:r>
    </w:p>
  </w:footnote>
  <w:footnote w:id="1427">
    <w:p w14:paraId="610F8323"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23 juin 1987, p. 48.</w:t>
      </w:r>
    </w:p>
  </w:footnote>
  <w:footnote w:id="1428">
    <w:p w14:paraId="2B26B8D9" w14:textId="77777777" w:rsidR="00B01930" w:rsidRDefault="00B01930">
      <w:pPr>
        <w:pStyle w:val="Notedebasdepage"/>
      </w:pPr>
      <w:r>
        <w:rPr>
          <w:rStyle w:val="Appelnotedebasdep"/>
        </w:rPr>
        <w:footnoteRef/>
      </w:r>
      <w:r>
        <w:t xml:space="preserve"> </w:t>
      </w:r>
      <w:r>
        <w:tab/>
      </w:r>
      <w:r w:rsidRPr="0004576F">
        <w:t xml:space="preserve">Farag Moussa, </w:t>
      </w:r>
      <w:r w:rsidRPr="0004576F">
        <w:rPr>
          <w:i/>
        </w:rPr>
        <w:t>Manuel de pratique diplomatique. L’Ambassade</w:t>
      </w:r>
      <w:r w:rsidRPr="0004576F">
        <w:t xml:space="preserve">, Bruxelles, Bruylant, 1972, p. 71 et </w:t>
      </w:r>
      <w:r w:rsidRPr="0004576F">
        <w:rPr>
          <w:i/>
        </w:rPr>
        <w:t>sq</w:t>
      </w:r>
      <w:r w:rsidRPr="0004576F">
        <w:t xml:space="preserve">. Cite également </w:t>
      </w:r>
      <w:r w:rsidRPr="0004576F">
        <w:rPr>
          <w:i/>
        </w:rPr>
        <w:t>Le Monde</w:t>
      </w:r>
      <w:r w:rsidRPr="0004576F">
        <w:t>, 6  mai 1970.</w:t>
      </w:r>
    </w:p>
  </w:footnote>
  <w:footnote w:id="1429">
    <w:p w14:paraId="078E1C3A" w14:textId="77777777" w:rsidR="00B01930" w:rsidRDefault="00B01930">
      <w:pPr>
        <w:pStyle w:val="Notedebasdepage"/>
      </w:pPr>
      <w:r>
        <w:rPr>
          <w:rStyle w:val="Appelnotedebasdep"/>
        </w:rPr>
        <w:footnoteRef/>
      </w:r>
      <w:r>
        <w:t xml:space="preserve"> </w:t>
      </w:r>
      <w:r>
        <w:tab/>
      </w:r>
      <w:r w:rsidRPr="0004576F">
        <w:rPr>
          <w:i/>
        </w:rPr>
        <w:t xml:space="preserve">Le Monde, </w:t>
      </w:r>
      <w:r w:rsidRPr="0004576F">
        <w:t>23 juin 1987, p. 48.</w:t>
      </w:r>
    </w:p>
  </w:footnote>
  <w:footnote w:id="1430">
    <w:p w14:paraId="71DD83CE" w14:textId="77777777" w:rsidR="00B01930" w:rsidRDefault="00B01930">
      <w:pPr>
        <w:pStyle w:val="Notedebasdepage"/>
      </w:pPr>
      <w:r>
        <w:rPr>
          <w:rStyle w:val="Appelnotedebasdep"/>
        </w:rPr>
        <w:footnoteRef/>
      </w:r>
      <w:r>
        <w:t xml:space="preserve"> </w:t>
      </w:r>
      <w:r>
        <w:tab/>
      </w:r>
      <w:r w:rsidRPr="0004576F">
        <w:t>Selon l’expression de Jean-Claude Barbier, dans Pierre Haski, François Gèze, Yves L</w:t>
      </w:r>
      <w:r w:rsidRPr="0004576F">
        <w:t>a</w:t>
      </w:r>
      <w:r w:rsidRPr="0004576F">
        <w:t>coste, Alfrédo G.A. Valadão</w:t>
      </w:r>
      <w:r w:rsidRPr="0004576F">
        <w:rPr>
          <w:i/>
        </w:rPr>
        <w:t>, L’état du monde 1986… op. cit.</w:t>
      </w:r>
      <w:r w:rsidRPr="0004576F">
        <w:t>, p. 198 et s.</w:t>
      </w:r>
    </w:p>
  </w:footnote>
  <w:footnote w:id="1431">
    <w:p w14:paraId="5A167284" w14:textId="77777777" w:rsidR="00B01930" w:rsidRDefault="00B01930">
      <w:pPr>
        <w:pStyle w:val="Notedebasdepage"/>
      </w:pPr>
      <w:r>
        <w:rPr>
          <w:rStyle w:val="Appelnotedebasdep"/>
        </w:rPr>
        <w:footnoteRef/>
      </w:r>
      <w:r>
        <w:t xml:space="preserve"> </w:t>
      </w:r>
      <w:r>
        <w:tab/>
      </w:r>
      <w:r w:rsidRPr="0004576F">
        <w:t>La délégation était constituée de MM. René Couveihnes, Pierre Mauger et Jean Kiffer (RPR) ; MM. Jean Briane, Jean Brocard et Charles Desprez (U</w:t>
      </w:r>
      <w:r w:rsidRPr="0004576F">
        <w:rPr>
          <w:smallCaps/>
        </w:rPr>
        <w:t>df</w:t>
      </w:r>
      <w:r w:rsidRPr="0004576F">
        <w:t>) ; MM. Jean-Pierre Stirbois, Jean-Pierre Chenardi et Bruno Gol</w:t>
      </w:r>
      <w:r w:rsidRPr="0004576F">
        <w:t>l</w:t>
      </w:r>
      <w:r w:rsidRPr="0004576F">
        <w:t>nisch (F</w:t>
      </w:r>
      <w:r w:rsidRPr="0004576F">
        <w:rPr>
          <w:smallCaps/>
        </w:rPr>
        <w:t>n</w:t>
      </w:r>
      <w:r w:rsidRPr="0004576F">
        <w:t xml:space="preserve">), </w:t>
      </w:r>
      <w:r w:rsidRPr="0004576F">
        <w:rPr>
          <w:i/>
        </w:rPr>
        <w:t xml:space="preserve">Le Monde, </w:t>
      </w:r>
      <w:r w:rsidRPr="0004576F">
        <w:t>13 juillet 1987, p. 4.</w:t>
      </w:r>
    </w:p>
  </w:footnote>
  <w:footnote w:id="1432">
    <w:p w14:paraId="2A341562" w14:textId="77777777" w:rsidR="00B01930" w:rsidRDefault="00B01930">
      <w:pPr>
        <w:pStyle w:val="Notedebasdepage"/>
      </w:pPr>
      <w:r>
        <w:rPr>
          <w:rStyle w:val="Appelnotedebasdep"/>
        </w:rPr>
        <w:footnoteRef/>
      </w:r>
      <w:r>
        <w:t xml:space="preserve"> </w:t>
      </w:r>
      <w:r>
        <w:tab/>
      </w:r>
      <w:r w:rsidRPr="0004576F">
        <w:rPr>
          <w:i/>
        </w:rPr>
        <w:t>Le Monde</w:t>
      </w:r>
      <w:r w:rsidRPr="0004576F">
        <w:t>, 13 juillet 1987, p. 4 ; 11. Juillet 1987, p. 47 ; 15 juillet 1987, p. 5 ; 18 juillet 1987, p. 24.</w:t>
      </w:r>
    </w:p>
  </w:footnote>
  <w:footnote w:id="1433">
    <w:p w14:paraId="2B252BDE"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28 juillet 1987, p. 6.</w:t>
      </w:r>
    </w:p>
  </w:footnote>
  <w:footnote w:id="1434">
    <w:p w14:paraId="4C10A044"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15 juillet 1987, p. 5.</w:t>
      </w:r>
    </w:p>
  </w:footnote>
  <w:footnote w:id="1435">
    <w:p w14:paraId="34E12885" w14:textId="77777777" w:rsidR="00B01930" w:rsidRDefault="00B01930">
      <w:pPr>
        <w:pStyle w:val="Notedebasdepage"/>
      </w:pPr>
      <w:r>
        <w:rPr>
          <w:rStyle w:val="Appelnotedebasdep"/>
        </w:rPr>
        <w:footnoteRef/>
      </w:r>
      <w:r>
        <w:t xml:space="preserve"> </w:t>
      </w:r>
      <w:r>
        <w:tab/>
      </w:r>
      <w:r w:rsidRPr="0004576F">
        <w:t>Participaient également au deuxième voyage : Florence d’Harcourt (</w:t>
      </w:r>
      <w:r w:rsidRPr="0004576F">
        <w:rPr>
          <w:smallCaps/>
        </w:rPr>
        <w:t>Udf</w:t>
      </w:r>
      <w:r w:rsidRPr="0004576F">
        <w:t>), He</w:t>
      </w:r>
      <w:r w:rsidRPr="0004576F">
        <w:t>c</w:t>
      </w:r>
      <w:r w:rsidRPr="0004576F">
        <w:t>tor (</w:t>
      </w:r>
      <w:r w:rsidRPr="0004576F">
        <w:rPr>
          <w:smallCaps/>
        </w:rPr>
        <w:t>Rpr</w:t>
      </w:r>
      <w:r w:rsidRPr="0004576F">
        <w:t>), Michel de Rostolan (</w:t>
      </w:r>
      <w:r w:rsidRPr="0004576F">
        <w:rPr>
          <w:smallCaps/>
        </w:rPr>
        <w:t>Fn</w:t>
      </w:r>
      <w:r w:rsidRPr="0004576F">
        <w:t>) et Georges-Paul Wagner (</w:t>
      </w:r>
      <w:r w:rsidRPr="0004576F">
        <w:rPr>
          <w:smallCaps/>
        </w:rPr>
        <w:t>Fn</w:t>
      </w:r>
      <w:r w:rsidRPr="0004576F">
        <w:t xml:space="preserve">), </w:t>
      </w:r>
      <w:r w:rsidRPr="0004576F">
        <w:rPr>
          <w:i/>
        </w:rPr>
        <w:t>Le Monde</w:t>
      </w:r>
      <w:r w:rsidRPr="0004576F">
        <w:t>, 22 septembre 1987, p. 4.</w:t>
      </w:r>
    </w:p>
  </w:footnote>
  <w:footnote w:id="1436">
    <w:p w14:paraId="3CDC4BA9" w14:textId="77777777" w:rsidR="00B01930" w:rsidRDefault="00B01930">
      <w:pPr>
        <w:pStyle w:val="Notedebasdepage"/>
      </w:pPr>
      <w:r>
        <w:rPr>
          <w:rStyle w:val="Appelnotedebasdep"/>
        </w:rPr>
        <w:footnoteRef/>
      </w:r>
      <w:r>
        <w:t xml:space="preserve"> </w:t>
      </w:r>
      <w:r>
        <w:tab/>
      </w:r>
      <w:r w:rsidRPr="0004576F">
        <w:t>Comme l’appellent sa famille et ses amis et des banderoles lors des manifest</w:t>
      </w:r>
      <w:r w:rsidRPr="0004576F">
        <w:t>a</w:t>
      </w:r>
      <w:r w:rsidRPr="0004576F">
        <w:t>tions de so</w:t>
      </w:r>
      <w:r w:rsidRPr="0004576F">
        <w:t>u</w:t>
      </w:r>
      <w:r w:rsidRPr="0004576F">
        <w:t>tien à l’appel des communistes.</w:t>
      </w:r>
    </w:p>
  </w:footnote>
  <w:footnote w:id="1437">
    <w:p w14:paraId="6A4F67F6"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12 septembre 1987, p. 10.</w:t>
      </w:r>
    </w:p>
  </w:footnote>
  <w:footnote w:id="1438">
    <w:p w14:paraId="035432D8" w14:textId="77777777" w:rsidR="00B01930" w:rsidRDefault="00B01930">
      <w:pPr>
        <w:pStyle w:val="Notedebasdepage"/>
      </w:pPr>
      <w:r>
        <w:rPr>
          <w:rStyle w:val="Appelnotedebasdep"/>
        </w:rPr>
        <w:footnoteRef/>
      </w:r>
      <w:r>
        <w:t xml:space="preserve"> </w:t>
      </w:r>
      <w:r>
        <w:tab/>
      </w:r>
      <w:r w:rsidRPr="0004576F">
        <w:rPr>
          <w:i/>
        </w:rPr>
        <w:t xml:space="preserve">Le Monde, </w:t>
      </w:r>
      <w:r w:rsidRPr="0004576F">
        <w:t>11 mai 1987, évoque une deuxième intervention de Jean-François Deniau auprès des autorités sud-africaines en avril. Selon le ministre des A</w:t>
      </w:r>
      <w:r w:rsidRPr="0004576F">
        <w:t>f</w:t>
      </w:r>
      <w:r w:rsidRPr="0004576F">
        <w:t>faires étrangères : « </w:t>
      </w:r>
      <w:r w:rsidRPr="0004576F">
        <w:rPr>
          <w:i/>
        </w:rPr>
        <w:t>Un émissaire du gouvernement français, M. Jean-François Deniau, effectue actuellement un séjour pour tenter d’obtenir la l</w:t>
      </w:r>
      <w:r w:rsidRPr="0004576F">
        <w:rPr>
          <w:i/>
        </w:rPr>
        <w:t>i</w:t>
      </w:r>
      <w:r w:rsidRPr="0004576F">
        <w:rPr>
          <w:i/>
        </w:rPr>
        <w:t>bération de P-A. Albe</w:t>
      </w:r>
      <w:r w:rsidRPr="0004576F">
        <w:rPr>
          <w:i/>
        </w:rPr>
        <w:t>r</w:t>
      </w:r>
      <w:r w:rsidRPr="0004576F">
        <w:rPr>
          <w:i/>
        </w:rPr>
        <w:t>tini</w:t>
      </w:r>
      <w:r w:rsidRPr="0004576F">
        <w:t> ». Nous n’en avons trou</w:t>
      </w:r>
      <w:r>
        <w:t>vé</w:t>
      </w:r>
      <w:r w:rsidRPr="0004576F">
        <w:t xml:space="preserve"> confirmation ni dans la presse ni dans le récit qu’en fait l’intéressé.</w:t>
      </w:r>
    </w:p>
  </w:footnote>
  <w:footnote w:id="1439">
    <w:p w14:paraId="502F4037" w14:textId="77777777" w:rsidR="00B01930" w:rsidRDefault="00B01930">
      <w:pPr>
        <w:pStyle w:val="Notedebasdepage"/>
      </w:pPr>
      <w:r>
        <w:rPr>
          <w:rStyle w:val="Appelnotedebasdep"/>
        </w:rPr>
        <w:footnoteRef/>
      </w:r>
      <w:r>
        <w:t xml:space="preserve"> </w:t>
      </w:r>
      <w:r>
        <w:tab/>
      </w:r>
      <w:r w:rsidRPr="0004576F">
        <w:t>Élu, le 9 avril 1992, au fauteuil de Jacques Soustelle.</w:t>
      </w:r>
    </w:p>
  </w:footnote>
  <w:footnote w:id="1440">
    <w:p w14:paraId="3FBF5D38" w14:textId="77777777" w:rsidR="00B01930" w:rsidRDefault="00B01930">
      <w:pPr>
        <w:pStyle w:val="Notedebasdepage"/>
      </w:pPr>
      <w:r>
        <w:rPr>
          <w:rStyle w:val="Appelnotedebasdep"/>
        </w:rPr>
        <w:footnoteRef/>
      </w:r>
      <w:r>
        <w:t xml:space="preserve"> </w:t>
      </w:r>
      <w:r>
        <w:tab/>
      </w:r>
      <w:r w:rsidRPr="0004576F">
        <w:t>À l’</w:t>
      </w:r>
      <w:r w:rsidRPr="0004576F">
        <w:rPr>
          <w:smallCaps/>
        </w:rPr>
        <w:t>Ena</w:t>
      </w:r>
      <w:r w:rsidRPr="0004576F">
        <w:t xml:space="preserve"> en 1950-1952, condisciple de Valéry Giscard d’Estaing.</w:t>
      </w:r>
    </w:p>
  </w:footnote>
  <w:footnote w:id="1441">
    <w:p w14:paraId="2B67F2A7" w14:textId="77777777" w:rsidR="00B01930" w:rsidRDefault="00B01930">
      <w:pPr>
        <w:pStyle w:val="Notedebasdepage"/>
      </w:pPr>
      <w:r>
        <w:rPr>
          <w:rStyle w:val="Appelnotedebasdep"/>
        </w:rPr>
        <w:footnoteRef/>
      </w:r>
      <w:r>
        <w:t xml:space="preserve"> </w:t>
      </w:r>
      <w:r>
        <w:tab/>
      </w:r>
      <w:r w:rsidRPr="0004576F">
        <w:t>Ambassadeur extraordinaire de France à Nouackchott (Mauritanie) de 1963 à 1966, ainsi qu’à Madrid de 1976 à 1977.</w:t>
      </w:r>
    </w:p>
  </w:footnote>
  <w:footnote w:id="1442">
    <w:p w14:paraId="4DD4CB2E" w14:textId="77777777" w:rsidR="00B01930" w:rsidRDefault="00B01930">
      <w:pPr>
        <w:pStyle w:val="Notedebasdepage"/>
      </w:pPr>
      <w:r>
        <w:rPr>
          <w:rStyle w:val="Appelnotedebasdep"/>
        </w:rPr>
        <w:footnoteRef/>
      </w:r>
      <w:r>
        <w:t xml:space="preserve"> </w:t>
      </w:r>
      <w:r>
        <w:tab/>
      </w:r>
      <w:r w:rsidRPr="0004576F">
        <w:t>Il a été notamment secrétaire d’État auprès du ministre des Affaires étrang</w:t>
      </w:r>
      <w:r w:rsidRPr="0004576F">
        <w:t>è</w:t>
      </w:r>
      <w:r w:rsidRPr="0004576F">
        <w:t>res, chargé de la Coopération de 1973 à 1974.</w:t>
      </w:r>
    </w:p>
  </w:footnote>
  <w:footnote w:id="1443">
    <w:p w14:paraId="77838DBB" w14:textId="77777777" w:rsidR="00B01930" w:rsidRDefault="00B01930">
      <w:pPr>
        <w:pStyle w:val="Notedebasdepage"/>
      </w:pPr>
      <w:r>
        <w:rPr>
          <w:rStyle w:val="Appelnotedebasdep"/>
        </w:rPr>
        <w:footnoteRef/>
      </w:r>
      <w:r>
        <w:t xml:space="preserve"> </w:t>
      </w:r>
      <w:r>
        <w:tab/>
      </w:r>
      <w:r w:rsidRPr="0004576F">
        <w:t>Cette énumération est tirée de la quatrième de couverture de Jean-François D</w:t>
      </w:r>
      <w:r w:rsidRPr="0004576F">
        <w:t>e</w:t>
      </w:r>
      <w:r w:rsidRPr="0004576F">
        <w:t>niau, op. cit., tome 1 :</w:t>
      </w:r>
      <w:r w:rsidRPr="0004576F">
        <w:rPr>
          <w:i/>
        </w:rPr>
        <w:t xml:space="preserve"> Les Temps aventureux</w:t>
      </w:r>
      <w:r w:rsidRPr="0004576F">
        <w:t>.</w:t>
      </w:r>
    </w:p>
  </w:footnote>
  <w:footnote w:id="1444">
    <w:p w14:paraId="0CE13FF7" w14:textId="77777777" w:rsidR="00B01930" w:rsidRDefault="00B01930">
      <w:pPr>
        <w:pStyle w:val="Notedebasdepage"/>
      </w:pPr>
      <w:r>
        <w:rPr>
          <w:rStyle w:val="Appelnotedebasdep"/>
        </w:rPr>
        <w:footnoteRef/>
      </w:r>
      <w:r>
        <w:t xml:space="preserve"> </w:t>
      </w:r>
      <w:r>
        <w:tab/>
      </w:r>
      <w:r w:rsidRPr="0004576F">
        <w:t>Membre de la délégation française à l’O</w:t>
      </w:r>
      <w:r w:rsidRPr="0004576F">
        <w:rPr>
          <w:smallCaps/>
        </w:rPr>
        <w:t>ece</w:t>
      </w:r>
      <w:r w:rsidRPr="0004576F">
        <w:t xml:space="preserve"> et à la Conférence intergouve</w:t>
      </w:r>
      <w:r w:rsidRPr="0004576F">
        <w:t>r</w:t>
      </w:r>
      <w:r w:rsidRPr="0004576F">
        <w:t>nementale pour le Marché commun et l’E</w:t>
      </w:r>
      <w:r w:rsidRPr="0004576F">
        <w:rPr>
          <w:smallCaps/>
        </w:rPr>
        <w:t>uratom</w:t>
      </w:r>
      <w:r w:rsidRPr="0004576F">
        <w:t>, il fut, avec Maurice Faure, un des négociateurs du tra</w:t>
      </w:r>
      <w:r w:rsidRPr="0004576F">
        <w:t>i</w:t>
      </w:r>
      <w:r w:rsidRPr="0004576F">
        <w:t>té de Rome, ainsi qu’en directeur général chargé des n</w:t>
      </w:r>
      <w:r w:rsidRPr="0004576F">
        <w:t>é</w:t>
      </w:r>
      <w:r w:rsidRPr="0004576F">
        <w:t>gociations d’adhésion à la C</w:t>
      </w:r>
      <w:r w:rsidRPr="0004576F">
        <w:rPr>
          <w:smallCaps/>
        </w:rPr>
        <w:t>ee</w:t>
      </w:r>
      <w:r w:rsidRPr="0004576F">
        <w:t>, en 1959, de celle de la Grande-Bretagne.</w:t>
      </w:r>
    </w:p>
  </w:footnote>
  <w:footnote w:id="1445">
    <w:p w14:paraId="385F921D" w14:textId="77777777" w:rsidR="00B01930" w:rsidRDefault="00B01930">
      <w:pPr>
        <w:pStyle w:val="Notedebasdepage"/>
      </w:pPr>
      <w:r>
        <w:rPr>
          <w:rStyle w:val="Appelnotedebasdep"/>
        </w:rPr>
        <w:footnoteRef/>
      </w:r>
      <w:r>
        <w:t xml:space="preserve"> </w:t>
      </w:r>
      <w:r>
        <w:tab/>
      </w:r>
      <w:r w:rsidRPr="0004576F">
        <w:t xml:space="preserve">Jean-François Deniau, </w:t>
      </w:r>
      <w:r w:rsidRPr="0004576F">
        <w:rPr>
          <w:i/>
        </w:rPr>
        <w:t>op. cit.</w:t>
      </w:r>
      <w:r w:rsidRPr="0004576F">
        <w:t>, tome 2, p. 27.</w:t>
      </w:r>
    </w:p>
  </w:footnote>
  <w:footnote w:id="1446">
    <w:p w14:paraId="457542E5" w14:textId="77777777" w:rsidR="00B01930" w:rsidRDefault="00B01930">
      <w:pPr>
        <w:pStyle w:val="Notedebasdepage"/>
      </w:pPr>
      <w:r>
        <w:rPr>
          <w:rStyle w:val="Appelnotedebasdep"/>
        </w:rPr>
        <w:footnoteRef/>
      </w:r>
      <w:r>
        <w:t xml:space="preserve"> </w:t>
      </w:r>
      <w:r>
        <w:tab/>
      </w:r>
      <w:r w:rsidRPr="0004576F">
        <w:t>Bertrand Poirot Delpech tirant le portrait de Jean-François Deniau après éle</w:t>
      </w:r>
      <w:r w:rsidRPr="0004576F">
        <w:t>c</w:t>
      </w:r>
      <w:r w:rsidRPr="0004576F">
        <w:t xml:space="preserve">tion de celui-ci à l’Académie française, </w:t>
      </w:r>
      <w:r w:rsidRPr="0004576F">
        <w:rPr>
          <w:i/>
        </w:rPr>
        <w:t>Le Monde,</w:t>
      </w:r>
      <w:r w:rsidRPr="0004576F">
        <w:t xml:space="preserve"> 11 mai 1992, p. 17.</w:t>
      </w:r>
    </w:p>
  </w:footnote>
  <w:footnote w:id="1447">
    <w:p w14:paraId="3E94154C" w14:textId="77777777" w:rsidR="00B01930" w:rsidRDefault="00B01930">
      <w:pPr>
        <w:pStyle w:val="Notedebasdepage"/>
      </w:pPr>
      <w:r>
        <w:rPr>
          <w:rStyle w:val="Appelnotedebasdep"/>
        </w:rPr>
        <w:footnoteRef/>
      </w:r>
      <w:r>
        <w:t xml:space="preserve"> </w:t>
      </w:r>
      <w:r>
        <w:tab/>
      </w:r>
      <w:r w:rsidRPr="0004576F">
        <w:t xml:space="preserve">Cf. la nécrologie de Jean Planchais dans </w:t>
      </w:r>
      <w:r w:rsidRPr="0004576F">
        <w:rPr>
          <w:i/>
        </w:rPr>
        <w:t>Le Monde</w:t>
      </w:r>
      <w:r w:rsidRPr="0004576F">
        <w:t>, 8 août 1990, p. 1.</w:t>
      </w:r>
    </w:p>
  </w:footnote>
  <w:footnote w:id="1448">
    <w:p w14:paraId="5201D0BC" w14:textId="77777777" w:rsidR="00B01930" w:rsidRDefault="00B01930">
      <w:pPr>
        <w:pStyle w:val="Notedebasdepage"/>
      </w:pPr>
      <w:r>
        <w:rPr>
          <w:rStyle w:val="Appelnotedebasdep"/>
        </w:rPr>
        <w:footnoteRef/>
      </w:r>
      <w:r>
        <w:t xml:space="preserve"> </w:t>
      </w:r>
      <w:r>
        <w:tab/>
      </w:r>
      <w:r w:rsidRPr="0004576F">
        <w:t xml:space="preserve">Jean-François Deniau, </w:t>
      </w:r>
      <w:r w:rsidRPr="0004576F">
        <w:rPr>
          <w:i/>
        </w:rPr>
        <w:t>op. cit</w:t>
      </w:r>
      <w:r w:rsidRPr="0004576F">
        <w:t>., tome 2, p. 28.</w:t>
      </w:r>
    </w:p>
  </w:footnote>
  <w:footnote w:id="1449">
    <w:p w14:paraId="2AB1AB1E" w14:textId="77777777" w:rsidR="00B01930" w:rsidRDefault="00B01930">
      <w:pPr>
        <w:pStyle w:val="Notedebasdepage"/>
      </w:pPr>
      <w:r>
        <w:rPr>
          <w:rStyle w:val="Appelnotedebasdep"/>
        </w:rPr>
        <w:footnoteRef/>
      </w:r>
      <w:r>
        <w:t xml:space="preserve"> </w:t>
      </w:r>
      <w:r>
        <w:tab/>
      </w:r>
      <w:r w:rsidRPr="0004576F">
        <w:rPr>
          <w:i/>
        </w:rPr>
        <w:t xml:space="preserve">Le Monde, </w:t>
      </w:r>
      <w:r w:rsidRPr="0004576F">
        <w:t>11 mai 1987.</w:t>
      </w:r>
    </w:p>
  </w:footnote>
  <w:footnote w:id="1450">
    <w:p w14:paraId="7CFE6A2C" w14:textId="77777777" w:rsidR="00B01930" w:rsidRDefault="00B01930">
      <w:pPr>
        <w:pStyle w:val="Notedebasdepage"/>
      </w:pPr>
      <w:r>
        <w:rPr>
          <w:rStyle w:val="Appelnotedebasdep"/>
        </w:rPr>
        <w:footnoteRef/>
      </w:r>
      <w:r>
        <w:t xml:space="preserve"> </w:t>
      </w:r>
      <w:r>
        <w:tab/>
      </w:r>
      <w:r w:rsidRPr="0004576F">
        <w:t xml:space="preserve">Jean-François Deniau, </w:t>
      </w:r>
      <w:r w:rsidRPr="0004576F">
        <w:rPr>
          <w:i/>
        </w:rPr>
        <w:t>op. cit.</w:t>
      </w:r>
      <w:r w:rsidRPr="0004576F">
        <w:t xml:space="preserve">, p. 29 et </w:t>
      </w:r>
      <w:r w:rsidRPr="0004576F">
        <w:rPr>
          <w:i/>
        </w:rPr>
        <w:t>sq</w:t>
      </w:r>
      <w:r w:rsidRPr="0004576F">
        <w:t>.</w:t>
      </w:r>
    </w:p>
  </w:footnote>
  <w:footnote w:id="1451">
    <w:p w14:paraId="473C16BD" w14:textId="77777777" w:rsidR="00B01930" w:rsidRDefault="00B01930">
      <w:pPr>
        <w:pStyle w:val="Notedebasdepage"/>
      </w:pPr>
      <w:r>
        <w:rPr>
          <w:rStyle w:val="Appelnotedebasdep"/>
        </w:rPr>
        <w:footnoteRef/>
      </w:r>
      <w:r>
        <w:t xml:space="preserve"> </w:t>
      </w:r>
      <w:r>
        <w:tab/>
      </w:r>
      <w:r w:rsidRPr="0004576F">
        <w:t xml:space="preserve">Jacques Attali, </w:t>
      </w:r>
      <w:r w:rsidRPr="0004576F">
        <w:rPr>
          <w:i/>
        </w:rPr>
        <w:t>Verbatim</w:t>
      </w:r>
      <w:r w:rsidRPr="0004576F">
        <w:t>, tome 2, 1986-1988, Paris, Fayard, p. 342.</w:t>
      </w:r>
    </w:p>
  </w:footnote>
  <w:footnote w:id="1452">
    <w:p w14:paraId="67413B22" w14:textId="77777777" w:rsidR="00B01930" w:rsidRDefault="00B01930">
      <w:pPr>
        <w:pStyle w:val="Notedebasdepage"/>
      </w:pPr>
      <w:r>
        <w:rPr>
          <w:rStyle w:val="Appelnotedebasdep"/>
        </w:rPr>
        <w:footnoteRef/>
      </w:r>
      <w:r>
        <w:t xml:space="preserve"> </w:t>
      </w:r>
      <w:r>
        <w:tab/>
      </w:r>
      <w:r w:rsidRPr="0004576F">
        <w:t xml:space="preserve">S. Smith, A. Glaser, </w:t>
      </w:r>
      <w:r w:rsidRPr="0004576F">
        <w:rPr>
          <w:i/>
        </w:rPr>
        <w:t>op. cit</w:t>
      </w:r>
      <w:r w:rsidRPr="0004576F">
        <w:t>., p. 154.</w:t>
      </w:r>
    </w:p>
  </w:footnote>
  <w:footnote w:id="1453">
    <w:p w14:paraId="4C866576" w14:textId="77777777" w:rsidR="00B01930" w:rsidRDefault="00B01930">
      <w:pPr>
        <w:pStyle w:val="Notedebasdepage"/>
      </w:pPr>
      <w:r>
        <w:rPr>
          <w:rStyle w:val="Appelnotedebasdep"/>
        </w:rPr>
        <w:footnoteRef/>
      </w:r>
      <w:r>
        <w:t xml:space="preserve"> </w:t>
      </w:r>
      <w:r>
        <w:tab/>
      </w:r>
      <w:r w:rsidRPr="0004576F">
        <w:rPr>
          <w:i/>
        </w:rPr>
        <w:t>Ibidem</w:t>
      </w:r>
      <w:r w:rsidRPr="0004576F">
        <w:t>, p. 156.</w:t>
      </w:r>
    </w:p>
  </w:footnote>
  <w:footnote w:id="1454">
    <w:p w14:paraId="5AEF3F1A" w14:textId="77777777" w:rsidR="00B01930" w:rsidRDefault="00B01930">
      <w:pPr>
        <w:pStyle w:val="Notedebasdepage"/>
      </w:pPr>
      <w:r>
        <w:rPr>
          <w:rStyle w:val="Appelnotedebasdep"/>
        </w:rPr>
        <w:footnoteRef/>
      </w:r>
      <w:r>
        <w:t xml:space="preserve"> </w:t>
      </w:r>
      <w:r>
        <w:tab/>
      </w:r>
      <w:r w:rsidRPr="0004576F">
        <w:t xml:space="preserve">S. Smith, A. Glaser, </w:t>
      </w:r>
      <w:r w:rsidRPr="0004576F">
        <w:rPr>
          <w:i/>
        </w:rPr>
        <w:t>op. cit</w:t>
      </w:r>
      <w:r w:rsidRPr="0004576F">
        <w:t>., p. 156.</w:t>
      </w:r>
    </w:p>
  </w:footnote>
  <w:footnote w:id="1455">
    <w:p w14:paraId="27549D1E" w14:textId="77777777" w:rsidR="00B01930" w:rsidRDefault="00B01930">
      <w:pPr>
        <w:pStyle w:val="Notedebasdepage"/>
      </w:pPr>
      <w:r>
        <w:rPr>
          <w:rStyle w:val="Appelnotedebasdep"/>
        </w:rPr>
        <w:footnoteRef/>
      </w:r>
      <w:r>
        <w:t xml:space="preserve"> </w:t>
      </w:r>
      <w:r>
        <w:tab/>
      </w:r>
      <w:r w:rsidRPr="0004576F">
        <w:t xml:space="preserve">Présentation faite dans S. Smith, A. Glaser, </w:t>
      </w:r>
      <w:r w:rsidRPr="0004576F">
        <w:rPr>
          <w:i/>
        </w:rPr>
        <w:t>op. cit</w:t>
      </w:r>
      <w:r w:rsidRPr="0004576F">
        <w:t>., p. 154 et s.</w:t>
      </w:r>
    </w:p>
  </w:footnote>
  <w:footnote w:id="1456">
    <w:p w14:paraId="741C451D" w14:textId="77777777" w:rsidR="00B01930" w:rsidRDefault="00B01930">
      <w:pPr>
        <w:pStyle w:val="Notedebasdepage"/>
      </w:pPr>
      <w:r>
        <w:rPr>
          <w:rStyle w:val="Appelnotedebasdep"/>
        </w:rPr>
        <w:footnoteRef/>
      </w:r>
      <w:r>
        <w:t xml:space="preserve"> </w:t>
      </w:r>
      <w:r>
        <w:tab/>
      </w:r>
      <w:r w:rsidRPr="0004576F">
        <w:t>Selon l’expression du général Imbot qui, le 11 septembre 1987, quatre jours après la lib</w:t>
      </w:r>
      <w:r w:rsidRPr="0004576F">
        <w:t>é</w:t>
      </w:r>
      <w:r w:rsidRPr="0004576F">
        <w:t>ration d’Albertini, informe Jean-Louis Bianco, secrétaire  général de l’Élysée, le président de la République ayant été mis devant le fait acco</w:t>
      </w:r>
      <w:r w:rsidRPr="0004576F">
        <w:t>m</w:t>
      </w:r>
      <w:r w:rsidRPr="0004576F">
        <w:t>pli, Att</w:t>
      </w:r>
      <w:r w:rsidRPr="0004576F">
        <w:t>a</w:t>
      </w:r>
      <w:r w:rsidRPr="0004576F">
        <w:t xml:space="preserve">li, </w:t>
      </w:r>
      <w:r w:rsidRPr="0004576F">
        <w:rPr>
          <w:i/>
        </w:rPr>
        <w:t>op. cit</w:t>
      </w:r>
      <w:r w:rsidRPr="0004576F">
        <w:t>., p. 385.</w:t>
      </w:r>
    </w:p>
  </w:footnote>
  <w:footnote w:id="1457">
    <w:p w14:paraId="7B9452BB" w14:textId="77777777" w:rsidR="00B01930" w:rsidRDefault="00B01930">
      <w:pPr>
        <w:pStyle w:val="Notedebasdepage"/>
      </w:pPr>
      <w:r>
        <w:rPr>
          <w:rStyle w:val="Appelnotedebasdep"/>
        </w:rPr>
        <w:footnoteRef/>
      </w:r>
      <w:r>
        <w:t xml:space="preserve"> </w:t>
      </w:r>
      <w:r>
        <w:tab/>
      </w:r>
      <w:r w:rsidRPr="0004576F">
        <w:rPr>
          <w:i/>
        </w:rPr>
        <w:t>Foccart parle. Entretien avec Philippe Gaillard</w:t>
      </w:r>
      <w:r w:rsidRPr="0004576F">
        <w:t xml:space="preserve">, </w:t>
      </w:r>
      <w:r w:rsidRPr="0004576F">
        <w:rPr>
          <w:i/>
        </w:rPr>
        <w:t>op. cit</w:t>
      </w:r>
      <w:r w:rsidRPr="0004576F">
        <w:t>., p. 322.</w:t>
      </w:r>
    </w:p>
  </w:footnote>
  <w:footnote w:id="1458">
    <w:p w14:paraId="0436D10A" w14:textId="77777777" w:rsidR="00B01930" w:rsidRDefault="00B01930">
      <w:pPr>
        <w:pStyle w:val="Notedebasdepage"/>
      </w:pPr>
      <w:r>
        <w:rPr>
          <w:rStyle w:val="Appelnotedebasdep"/>
        </w:rPr>
        <w:footnoteRef/>
      </w:r>
      <w:r>
        <w:t xml:space="preserve"> </w:t>
      </w:r>
      <w:r>
        <w:tab/>
      </w:r>
      <w:r w:rsidRPr="0004576F">
        <w:t xml:space="preserve">Yves Loiseau, </w:t>
      </w:r>
      <w:r w:rsidRPr="0004576F">
        <w:rPr>
          <w:i/>
        </w:rPr>
        <w:t>Le Grand Troc</w:t>
      </w:r>
      <w:r w:rsidRPr="0004576F">
        <w:t xml:space="preserve">, 1988, cité par S. Smith, A. Glaser, </w:t>
      </w:r>
      <w:r w:rsidRPr="0004576F">
        <w:rPr>
          <w:i/>
        </w:rPr>
        <w:t>op. cit</w:t>
      </w:r>
      <w:r w:rsidRPr="0004576F">
        <w:t>., p. 165.</w:t>
      </w:r>
    </w:p>
  </w:footnote>
  <w:footnote w:id="1459">
    <w:p w14:paraId="45FE1EE9" w14:textId="77777777" w:rsidR="00B01930" w:rsidRDefault="00B01930">
      <w:pPr>
        <w:pStyle w:val="Notedebasdepage"/>
      </w:pPr>
      <w:r>
        <w:rPr>
          <w:rStyle w:val="Appelnotedebasdep"/>
        </w:rPr>
        <w:footnoteRef/>
      </w:r>
      <w:r>
        <w:t xml:space="preserve"> </w:t>
      </w:r>
      <w:r>
        <w:tab/>
      </w:r>
      <w:r w:rsidRPr="0004576F">
        <w:t xml:space="preserve">S. Smith, A. Glaser, </w:t>
      </w:r>
      <w:r w:rsidRPr="0004576F">
        <w:rPr>
          <w:i/>
        </w:rPr>
        <w:t>op. cit</w:t>
      </w:r>
      <w:r w:rsidRPr="0004576F">
        <w:t>., p. 164.</w:t>
      </w:r>
    </w:p>
  </w:footnote>
  <w:footnote w:id="1460">
    <w:p w14:paraId="40F4A5EA" w14:textId="77777777" w:rsidR="00B01930" w:rsidRDefault="00B01930">
      <w:pPr>
        <w:pStyle w:val="Notedebasdepage"/>
      </w:pPr>
      <w:r>
        <w:rPr>
          <w:rStyle w:val="Appelnotedebasdep"/>
        </w:rPr>
        <w:footnoteRef/>
      </w:r>
      <w:r>
        <w:t xml:space="preserve"> </w:t>
      </w:r>
      <w:r>
        <w:tab/>
      </w:r>
      <w:r w:rsidRPr="0004576F">
        <w:rPr>
          <w:i/>
        </w:rPr>
        <w:t>Foccart parle. Entretien avec Philippe Gaillard</w:t>
      </w:r>
      <w:r w:rsidRPr="0004576F">
        <w:t xml:space="preserve">, </w:t>
      </w:r>
      <w:r w:rsidRPr="0004576F">
        <w:rPr>
          <w:i/>
        </w:rPr>
        <w:t>op. cit</w:t>
      </w:r>
      <w:r w:rsidRPr="0004576F">
        <w:t>., p. 322.</w:t>
      </w:r>
    </w:p>
  </w:footnote>
  <w:footnote w:id="1461">
    <w:p w14:paraId="048DD09D" w14:textId="77777777" w:rsidR="00B01930" w:rsidRDefault="00B01930">
      <w:pPr>
        <w:pStyle w:val="Notedebasdepage"/>
      </w:pPr>
      <w:r>
        <w:rPr>
          <w:rStyle w:val="Appelnotedebasdep"/>
        </w:rPr>
        <w:footnoteRef/>
      </w:r>
      <w:r>
        <w:t xml:space="preserve"> </w:t>
      </w:r>
      <w:r>
        <w:tab/>
      </w:r>
      <w:r w:rsidRPr="0004576F">
        <w:t xml:space="preserve">S. Smith, A. Glaser, </w:t>
      </w:r>
      <w:r w:rsidRPr="0004576F">
        <w:rPr>
          <w:i/>
        </w:rPr>
        <w:t>op. cit</w:t>
      </w:r>
      <w:r w:rsidRPr="0004576F">
        <w:t>., p. 165.</w:t>
      </w:r>
    </w:p>
  </w:footnote>
  <w:footnote w:id="1462">
    <w:p w14:paraId="4F88B8E7" w14:textId="77777777" w:rsidR="00B01930" w:rsidRDefault="00B01930">
      <w:pPr>
        <w:pStyle w:val="Notedebasdepage"/>
      </w:pPr>
      <w:r>
        <w:rPr>
          <w:rStyle w:val="Appelnotedebasdep"/>
        </w:rPr>
        <w:footnoteRef/>
      </w:r>
      <w:r>
        <w:t xml:space="preserve"> </w:t>
      </w:r>
      <w:r>
        <w:tab/>
      </w:r>
      <w:r w:rsidRPr="0004576F">
        <w:t xml:space="preserve">S. Smith, A. Glaser, </w:t>
      </w:r>
      <w:r w:rsidRPr="0004576F">
        <w:rPr>
          <w:i/>
        </w:rPr>
        <w:t>op. cit</w:t>
      </w:r>
      <w:r w:rsidRPr="0004576F">
        <w:t xml:space="preserve">., p. 164 et </w:t>
      </w:r>
      <w:r w:rsidRPr="0004576F">
        <w:rPr>
          <w:i/>
        </w:rPr>
        <w:t>sq</w:t>
      </w:r>
      <w:r w:rsidRPr="0004576F">
        <w:t>.</w:t>
      </w:r>
    </w:p>
  </w:footnote>
  <w:footnote w:id="1463">
    <w:p w14:paraId="4B2A53A7" w14:textId="77777777" w:rsidR="00B01930" w:rsidRDefault="00B01930">
      <w:pPr>
        <w:pStyle w:val="Notedebasdepage"/>
      </w:pPr>
      <w:r>
        <w:rPr>
          <w:rStyle w:val="Appelnotedebasdep"/>
        </w:rPr>
        <w:footnoteRef/>
      </w:r>
      <w:r>
        <w:t xml:space="preserve"> </w:t>
      </w:r>
      <w:r>
        <w:tab/>
      </w:r>
      <w:r w:rsidRPr="0004576F">
        <w:t>C</w:t>
      </w:r>
      <w:r w:rsidRPr="0004576F">
        <w:rPr>
          <w:smallCaps/>
        </w:rPr>
        <w:t>omoil</w:t>
      </w:r>
      <w:r w:rsidRPr="0004576F">
        <w:t xml:space="preserve">, société de négoce pétrolière, </w:t>
      </w:r>
      <w:r w:rsidRPr="0004576F">
        <w:rPr>
          <w:i/>
        </w:rPr>
        <w:t>Le Monde,</w:t>
      </w:r>
      <w:r w:rsidRPr="0004576F">
        <w:t xml:space="preserve"> 21 décembre 1987, p. 3.</w:t>
      </w:r>
    </w:p>
  </w:footnote>
  <w:footnote w:id="1464">
    <w:p w14:paraId="31D8106D" w14:textId="77777777" w:rsidR="00B01930" w:rsidRDefault="00B01930">
      <w:pPr>
        <w:pStyle w:val="Notedebasdepage"/>
      </w:pPr>
      <w:r>
        <w:rPr>
          <w:rStyle w:val="Appelnotedebasdep"/>
        </w:rPr>
        <w:footnoteRef/>
      </w:r>
      <w:r>
        <w:t xml:space="preserve"> </w:t>
      </w:r>
      <w:r>
        <w:tab/>
      </w:r>
      <w:r w:rsidRPr="0004576F">
        <w:rPr>
          <w:i/>
        </w:rPr>
        <w:t>Ibidem.</w:t>
      </w:r>
    </w:p>
  </w:footnote>
  <w:footnote w:id="1465">
    <w:p w14:paraId="48FAE882" w14:textId="77777777" w:rsidR="00B01930" w:rsidRDefault="00B01930">
      <w:pPr>
        <w:pStyle w:val="Notedebasdepage"/>
      </w:pPr>
      <w:r>
        <w:rPr>
          <w:rStyle w:val="Appelnotedebasdep"/>
        </w:rPr>
        <w:footnoteRef/>
      </w:r>
      <w:r>
        <w:t xml:space="preserve"> </w:t>
      </w:r>
      <w:r>
        <w:tab/>
      </w:r>
      <w:r w:rsidRPr="0004576F">
        <w:rPr>
          <w:i/>
        </w:rPr>
        <w:t>Foccart parle. Entretien avec Philippe Gaillard</w:t>
      </w:r>
      <w:r w:rsidRPr="0004576F">
        <w:t xml:space="preserve">, </w:t>
      </w:r>
      <w:r w:rsidRPr="0004576F">
        <w:rPr>
          <w:i/>
        </w:rPr>
        <w:t>op. cit</w:t>
      </w:r>
      <w:r w:rsidRPr="0004576F">
        <w:t>., p. 322.</w:t>
      </w:r>
    </w:p>
  </w:footnote>
  <w:footnote w:id="1466">
    <w:p w14:paraId="5CB6A4EE" w14:textId="77777777" w:rsidR="00B01930" w:rsidRDefault="00B01930">
      <w:pPr>
        <w:pStyle w:val="Notedebasdepage"/>
      </w:pPr>
      <w:r>
        <w:rPr>
          <w:rStyle w:val="Appelnotedebasdep"/>
        </w:rPr>
        <w:footnoteRef/>
      </w:r>
      <w:r>
        <w:t xml:space="preserve"> </w:t>
      </w:r>
      <w:r>
        <w:tab/>
      </w:r>
      <w:r w:rsidRPr="0004576F">
        <w:t xml:space="preserve">S. Smith, A. Glaser, </w:t>
      </w:r>
      <w:r w:rsidRPr="0004576F">
        <w:rPr>
          <w:i/>
        </w:rPr>
        <w:t>op. cit</w:t>
      </w:r>
      <w:r w:rsidRPr="0004576F">
        <w:t>., p. 163.</w:t>
      </w:r>
    </w:p>
  </w:footnote>
  <w:footnote w:id="1467">
    <w:p w14:paraId="65E23944" w14:textId="77777777" w:rsidR="00B01930" w:rsidRDefault="00B01930">
      <w:pPr>
        <w:pStyle w:val="Notedebasdepage"/>
      </w:pPr>
      <w:r>
        <w:rPr>
          <w:rStyle w:val="Appelnotedebasdep"/>
        </w:rPr>
        <w:footnoteRef/>
      </w:r>
      <w:r>
        <w:t xml:space="preserve"> </w:t>
      </w:r>
      <w:r>
        <w:tab/>
      </w:r>
      <w:r w:rsidRPr="0004576F">
        <w:rPr>
          <w:i/>
        </w:rPr>
        <w:t>Ibidem.</w:t>
      </w:r>
    </w:p>
  </w:footnote>
  <w:footnote w:id="1468">
    <w:p w14:paraId="32BBDABE" w14:textId="77777777" w:rsidR="00B01930" w:rsidRDefault="00B01930">
      <w:pPr>
        <w:pStyle w:val="Notedebasdepage"/>
      </w:pPr>
      <w:r>
        <w:rPr>
          <w:rStyle w:val="Appelnotedebasdep"/>
        </w:rPr>
        <w:footnoteRef/>
      </w:r>
      <w:r>
        <w:t xml:space="preserve"> </w:t>
      </w:r>
      <w:r>
        <w:tab/>
      </w:r>
      <w:r w:rsidRPr="0004576F">
        <w:rPr>
          <w:i/>
        </w:rPr>
        <w:t>Foccart parle. Entretien avec Philippe Gaillard</w:t>
      </w:r>
      <w:r w:rsidRPr="0004576F">
        <w:t xml:space="preserve">, </w:t>
      </w:r>
      <w:r w:rsidRPr="0004576F">
        <w:rPr>
          <w:i/>
        </w:rPr>
        <w:t>op. cit</w:t>
      </w:r>
      <w:r w:rsidRPr="0004576F">
        <w:t>., p. 322.</w:t>
      </w:r>
    </w:p>
  </w:footnote>
  <w:footnote w:id="1469">
    <w:p w14:paraId="6BC37A38" w14:textId="77777777" w:rsidR="00B01930" w:rsidRDefault="00B01930">
      <w:pPr>
        <w:pStyle w:val="Notedebasdepage"/>
      </w:pPr>
      <w:r>
        <w:rPr>
          <w:rStyle w:val="Appelnotedebasdep"/>
        </w:rPr>
        <w:footnoteRef/>
      </w:r>
      <w:r>
        <w:t xml:space="preserve"> </w:t>
      </w:r>
      <w:r>
        <w:tab/>
      </w:r>
      <w:r w:rsidRPr="0004576F">
        <w:t xml:space="preserve">S. Smith, A. Glaser, </w:t>
      </w:r>
      <w:r w:rsidRPr="0004576F">
        <w:rPr>
          <w:i/>
        </w:rPr>
        <w:t>op. cit</w:t>
      </w:r>
      <w:r w:rsidRPr="0004576F">
        <w:t>., p. 156.</w:t>
      </w:r>
    </w:p>
  </w:footnote>
  <w:footnote w:id="1470">
    <w:p w14:paraId="4534B652" w14:textId="77777777" w:rsidR="00B01930" w:rsidRDefault="00B01930">
      <w:pPr>
        <w:pStyle w:val="Notedebasdepage"/>
      </w:pPr>
      <w:r>
        <w:rPr>
          <w:rStyle w:val="Appelnotedebasdep"/>
        </w:rPr>
        <w:footnoteRef/>
      </w:r>
      <w:r>
        <w:t xml:space="preserve"> </w:t>
      </w:r>
      <w:r>
        <w:tab/>
      </w:r>
      <w:r w:rsidRPr="0004576F">
        <w:t>F. Mitterrand sera mis devant le fait accompli.</w:t>
      </w:r>
    </w:p>
  </w:footnote>
  <w:footnote w:id="1471">
    <w:p w14:paraId="12434AEC" w14:textId="77777777" w:rsidR="00B01930" w:rsidRDefault="00B01930">
      <w:pPr>
        <w:pStyle w:val="Notedebasdepage"/>
      </w:pPr>
      <w:r>
        <w:rPr>
          <w:rStyle w:val="Appelnotedebasdep"/>
        </w:rPr>
        <w:footnoteRef/>
      </w:r>
      <w:r>
        <w:t xml:space="preserve"> </w:t>
      </w:r>
      <w:r>
        <w:tab/>
      </w:r>
      <w:r w:rsidRPr="0004576F">
        <w:t xml:space="preserve">S. Smith, A. Glaser, </w:t>
      </w:r>
      <w:r w:rsidRPr="0004576F">
        <w:rPr>
          <w:i/>
        </w:rPr>
        <w:t>op. cit</w:t>
      </w:r>
      <w:r w:rsidRPr="0004576F">
        <w:t>., p. 156.</w:t>
      </w:r>
    </w:p>
  </w:footnote>
  <w:footnote w:id="1472">
    <w:p w14:paraId="3A9DFF20" w14:textId="77777777" w:rsidR="00B01930" w:rsidRDefault="00B01930">
      <w:pPr>
        <w:pStyle w:val="Notedebasdepage"/>
      </w:pPr>
      <w:r>
        <w:rPr>
          <w:rStyle w:val="Appelnotedebasdep"/>
        </w:rPr>
        <w:footnoteRef/>
      </w:r>
      <w:r>
        <w:t xml:space="preserve"> </w:t>
      </w:r>
      <w:r>
        <w:tab/>
      </w:r>
      <w:r w:rsidRPr="0004576F">
        <w:rPr>
          <w:i/>
        </w:rPr>
        <w:t>Ibidem.</w:t>
      </w:r>
    </w:p>
  </w:footnote>
  <w:footnote w:id="1473">
    <w:p w14:paraId="5A513BBA" w14:textId="77777777" w:rsidR="00B01930" w:rsidRDefault="00B01930">
      <w:pPr>
        <w:pStyle w:val="Notedebasdepage"/>
      </w:pPr>
      <w:r>
        <w:rPr>
          <w:rStyle w:val="Appelnotedebasdep"/>
        </w:rPr>
        <w:footnoteRef/>
      </w:r>
      <w:r>
        <w:t xml:space="preserve"> </w:t>
      </w:r>
      <w:r>
        <w:tab/>
      </w:r>
      <w:r w:rsidRPr="0004576F">
        <w:t xml:space="preserve">S. Smith, A. Glaser, </w:t>
      </w:r>
      <w:r w:rsidRPr="0004576F">
        <w:rPr>
          <w:i/>
        </w:rPr>
        <w:t>op. cit</w:t>
      </w:r>
      <w:r w:rsidRPr="0004576F">
        <w:t>., p. 156.</w:t>
      </w:r>
    </w:p>
  </w:footnote>
  <w:footnote w:id="1474">
    <w:p w14:paraId="796D24E2" w14:textId="77777777" w:rsidR="00B01930" w:rsidRDefault="00B01930">
      <w:pPr>
        <w:pStyle w:val="Notedebasdepage"/>
      </w:pPr>
      <w:r>
        <w:rPr>
          <w:rStyle w:val="Appelnotedebasdep"/>
        </w:rPr>
        <w:footnoteRef/>
      </w:r>
      <w:r>
        <w:t xml:space="preserve"> </w:t>
      </w:r>
      <w:r>
        <w:tab/>
      </w:r>
      <w:r w:rsidRPr="0004576F">
        <w:t xml:space="preserve">Selon Claude Wauthier, Fernand Wibaux </w:t>
      </w:r>
      <w:r w:rsidRPr="0004576F">
        <w:rPr>
          <w:i/>
        </w:rPr>
        <w:t xml:space="preserve">a été initié au </w:t>
      </w:r>
      <w:r w:rsidRPr="0004576F">
        <w:rPr>
          <w:i/>
          <w:smallCaps/>
        </w:rPr>
        <w:t>Go</w:t>
      </w:r>
      <w:r w:rsidRPr="0004576F">
        <w:t xml:space="preserve"> [Grand Orient], cf. « L’étrange influence des francs-maçons en Afrique francophone » dans </w:t>
      </w:r>
      <w:r w:rsidRPr="0004576F">
        <w:rPr>
          <w:i/>
        </w:rPr>
        <w:t>Le Monde dipl</w:t>
      </w:r>
      <w:r w:rsidRPr="0004576F">
        <w:rPr>
          <w:i/>
        </w:rPr>
        <w:t>o</w:t>
      </w:r>
      <w:r w:rsidRPr="0004576F">
        <w:rPr>
          <w:i/>
        </w:rPr>
        <w:t>matique</w:t>
      </w:r>
      <w:r w:rsidRPr="0004576F">
        <w:t>, septembre 1997, p. 6-7.</w:t>
      </w:r>
    </w:p>
  </w:footnote>
  <w:footnote w:id="1475">
    <w:p w14:paraId="6B2CFBE4" w14:textId="77777777" w:rsidR="00B01930" w:rsidRDefault="00B01930">
      <w:pPr>
        <w:pStyle w:val="Notedebasdepage"/>
      </w:pPr>
      <w:r>
        <w:rPr>
          <w:rStyle w:val="Appelnotedebasdep"/>
        </w:rPr>
        <w:footnoteRef/>
      </w:r>
      <w:r>
        <w:t xml:space="preserve"> </w:t>
      </w:r>
      <w:r>
        <w:tab/>
      </w:r>
      <w:r w:rsidRPr="0004576F">
        <w:rPr>
          <w:i/>
        </w:rPr>
        <w:t>Foccart parle. Entretien avec Philippe Gaillard</w:t>
      </w:r>
      <w:r w:rsidRPr="0004576F">
        <w:t xml:space="preserve">, </w:t>
      </w:r>
      <w:r w:rsidRPr="0004576F">
        <w:rPr>
          <w:i/>
        </w:rPr>
        <w:t>op. cit</w:t>
      </w:r>
      <w:r w:rsidRPr="0004576F">
        <w:t>., p. 324.</w:t>
      </w:r>
    </w:p>
  </w:footnote>
  <w:footnote w:id="1476">
    <w:p w14:paraId="37C85B88" w14:textId="77777777" w:rsidR="00B01930" w:rsidRDefault="00B01930">
      <w:pPr>
        <w:pStyle w:val="Notedebasdepage"/>
      </w:pPr>
      <w:r>
        <w:rPr>
          <w:rStyle w:val="Appelnotedebasdep"/>
        </w:rPr>
        <w:footnoteRef/>
      </w:r>
      <w:r>
        <w:t xml:space="preserve"> </w:t>
      </w:r>
      <w:r>
        <w:tab/>
      </w:r>
      <w:r w:rsidRPr="0004576F">
        <w:t xml:space="preserve">S. Smith, A. Glaser, </w:t>
      </w:r>
      <w:r w:rsidRPr="0004576F">
        <w:rPr>
          <w:i/>
        </w:rPr>
        <w:t>op. cit</w:t>
      </w:r>
      <w:r w:rsidRPr="0004576F">
        <w:t>., p. 156.</w:t>
      </w:r>
    </w:p>
  </w:footnote>
  <w:footnote w:id="1477">
    <w:p w14:paraId="1C6C3412" w14:textId="77777777" w:rsidR="00B01930" w:rsidRDefault="00B01930">
      <w:pPr>
        <w:pStyle w:val="Notedebasdepage"/>
      </w:pPr>
      <w:r>
        <w:rPr>
          <w:rStyle w:val="Appelnotedebasdep"/>
        </w:rPr>
        <w:footnoteRef/>
      </w:r>
      <w:r>
        <w:t xml:space="preserve"> </w:t>
      </w:r>
      <w:r>
        <w:tab/>
      </w:r>
      <w:r w:rsidRPr="0004576F">
        <w:t>U</w:t>
      </w:r>
      <w:r w:rsidRPr="0004576F">
        <w:rPr>
          <w:smallCaps/>
        </w:rPr>
        <w:t>nita</w:t>
      </w:r>
      <w:r w:rsidRPr="0004576F">
        <w:t xml:space="preserve">, abréviation de </w:t>
      </w:r>
      <w:r w:rsidRPr="0004576F">
        <w:rPr>
          <w:i/>
        </w:rPr>
        <w:t>Union nationale pour l’indépendance totale de l’Angola</w:t>
      </w:r>
      <w:r w:rsidRPr="0004576F">
        <w:t>, dirigé par Jonas Savimbi, soutenu par les États-Unis, environ 30 000 hommes en Angola, opposé au M</w:t>
      </w:r>
      <w:r w:rsidRPr="0004576F">
        <w:rPr>
          <w:smallCaps/>
        </w:rPr>
        <w:t>pla</w:t>
      </w:r>
      <w:r w:rsidRPr="0004576F">
        <w:t>, parti au pouvoir, nationaliste-marxiste.</w:t>
      </w:r>
    </w:p>
  </w:footnote>
  <w:footnote w:id="1478">
    <w:p w14:paraId="7E164AD6" w14:textId="77777777" w:rsidR="00B01930" w:rsidRDefault="00B01930">
      <w:pPr>
        <w:pStyle w:val="Notedebasdepage"/>
      </w:pPr>
      <w:r>
        <w:rPr>
          <w:rStyle w:val="Appelnotedebasdep"/>
        </w:rPr>
        <w:footnoteRef/>
      </w:r>
      <w:r>
        <w:t xml:space="preserve"> </w:t>
      </w:r>
      <w:r>
        <w:tab/>
      </w:r>
      <w:r w:rsidRPr="0004576F">
        <w:rPr>
          <w:i/>
        </w:rPr>
        <w:t>Foccart parle. Entretien avec Philippe Gaillard</w:t>
      </w:r>
      <w:r w:rsidRPr="0004576F">
        <w:t xml:space="preserve">, </w:t>
      </w:r>
      <w:r w:rsidRPr="0004576F">
        <w:rPr>
          <w:i/>
        </w:rPr>
        <w:t>op. cit</w:t>
      </w:r>
      <w:r w:rsidRPr="0004576F">
        <w:t>., p. 325.</w:t>
      </w:r>
    </w:p>
  </w:footnote>
  <w:footnote w:id="1479">
    <w:p w14:paraId="3841EBB4"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9 septembre 1987, p. 4.</w:t>
      </w:r>
    </w:p>
  </w:footnote>
  <w:footnote w:id="1480">
    <w:p w14:paraId="53FC2AE3"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9 septembre 1987, p. 4.</w:t>
      </w:r>
    </w:p>
  </w:footnote>
  <w:footnote w:id="1481">
    <w:p w14:paraId="0C061FC8" w14:textId="77777777" w:rsidR="00B01930" w:rsidRDefault="00B01930">
      <w:pPr>
        <w:pStyle w:val="Notedebasdepage"/>
      </w:pPr>
      <w:r>
        <w:rPr>
          <w:rStyle w:val="Appelnotedebasdep"/>
        </w:rPr>
        <w:footnoteRef/>
      </w:r>
      <w:r>
        <w:t xml:space="preserve"> </w:t>
      </w:r>
      <w:r>
        <w:tab/>
      </w:r>
      <w:r w:rsidRPr="0004576F">
        <w:t xml:space="preserve">La Documentation française, </w:t>
      </w:r>
      <w:r w:rsidRPr="0004576F">
        <w:rPr>
          <w:i/>
        </w:rPr>
        <w:t>Politique étrangère de la France. Textes et d</w:t>
      </w:r>
      <w:r w:rsidRPr="0004576F">
        <w:rPr>
          <w:i/>
        </w:rPr>
        <w:t>o</w:t>
      </w:r>
      <w:r w:rsidRPr="0004576F">
        <w:rPr>
          <w:i/>
        </w:rPr>
        <w:t>cuments</w:t>
      </w:r>
      <w:r w:rsidRPr="0004576F">
        <w:t>, septe</w:t>
      </w:r>
      <w:r w:rsidRPr="0004576F">
        <w:t>m</w:t>
      </w:r>
      <w:r w:rsidRPr="0004576F">
        <w:t>bre 1987, p. 16.</w:t>
      </w:r>
    </w:p>
  </w:footnote>
  <w:footnote w:id="1482">
    <w:p w14:paraId="61FE02E9" w14:textId="77777777" w:rsidR="00B01930" w:rsidRDefault="00B01930">
      <w:pPr>
        <w:pStyle w:val="Notedebasdepage"/>
      </w:pPr>
      <w:r>
        <w:rPr>
          <w:rStyle w:val="Appelnotedebasdep"/>
        </w:rPr>
        <w:footnoteRef/>
      </w:r>
      <w:r>
        <w:t xml:space="preserve"> </w:t>
      </w:r>
      <w:r>
        <w:tab/>
      </w:r>
      <w:r w:rsidRPr="0004576F">
        <w:rPr>
          <w:i/>
        </w:rPr>
        <w:t>Le Monde</w:t>
      </w:r>
      <w:r w:rsidRPr="0004576F">
        <w:t>, 9 septembre 1987, p. 4 et 8 septembre 1987, p. 2.</w:t>
      </w:r>
    </w:p>
  </w:footnote>
  <w:footnote w:id="1483">
    <w:p w14:paraId="68C29AE1" w14:textId="77777777" w:rsidR="00B01930" w:rsidRDefault="00B01930">
      <w:pPr>
        <w:pStyle w:val="Notedebasdepage"/>
      </w:pPr>
      <w:r>
        <w:rPr>
          <w:rStyle w:val="Appelnotedebasdep"/>
        </w:rPr>
        <w:footnoteRef/>
      </w:r>
      <w:r>
        <w:t xml:space="preserve"> </w:t>
      </w:r>
      <w:r>
        <w:tab/>
      </w:r>
      <w:r w:rsidRPr="0004576F">
        <w:rPr>
          <w:i/>
        </w:rPr>
        <w:t xml:space="preserve">Le Monde, </w:t>
      </w:r>
      <w:r w:rsidRPr="0004576F">
        <w:t>10 septembre 1987, p. 4.</w:t>
      </w:r>
    </w:p>
  </w:footnote>
  <w:footnote w:id="1484">
    <w:p w14:paraId="0CBC9BB5"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8 septembre 1987, p. 2.</w:t>
      </w:r>
    </w:p>
  </w:footnote>
  <w:footnote w:id="1485">
    <w:p w14:paraId="3AAE2CCC" w14:textId="77777777" w:rsidR="00B01930" w:rsidRDefault="00B01930">
      <w:pPr>
        <w:pStyle w:val="Notedebasdepage"/>
      </w:pPr>
      <w:r>
        <w:rPr>
          <w:rStyle w:val="Appelnotedebasdep"/>
        </w:rPr>
        <w:footnoteRef/>
      </w:r>
      <w:r>
        <w:t xml:space="preserve"> </w:t>
      </w:r>
      <w:r>
        <w:tab/>
      </w:r>
      <w:r w:rsidRPr="0004576F">
        <w:t xml:space="preserve">Smith, Glaser, </w:t>
      </w:r>
      <w:r w:rsidRPr="0004576F">
        <w:rPr>
          <w:i/>
        </w:rPr>
        <w:t>op. cit</w:t>
      </w:r>
      <w:r w:rsidRPr="0004576F">
        <w:t>., p. 158.</w:t>
      </w:r>
    </w:p>
  </w:footnote>
  <w:footnote w:id="1486">
    <w:p w14:paraId="46F950DF" w14:textId="77777777" w:rsidR="00B01930" w:rsidRDefault="00B01930">
      <w:pPr>
        <w:pStyle w:val="Notedebasdepage"/>
      </w:pPr>
      <w:r>
        <w:rPr>
          <w:rStyle w:val="Appelnotedebasdep"/>
        </w:rPr>
        <w:footnoteRef/>
      </w:r>
      <w:r>
        <w:t xml:space="preserve"> </w:t>
      </w:r>
      <w:r>
        <w:tab/>
      </w:r>
      <w:r w:rsidRPr="0004576F">
        <w:t xml:space="preserve">Smith, Glaser, </w:t>
      </w:r>
      <w:r w:rsidRPr="0004576F">
        <w:rPr>
          <w:i/>
        </w:rPr>
        <w:t>op. cit</w:t>
      </w:r>
      <w:r w:rsidRPr="0004576F">
        <w:t>., p. 153.</w:t>
      </w:r>
    </w:p>
  </w:footnote>
  <w:footnote w:id="1487">
    <w:p w14:paraId="65A04EC8" w14:textId="77777777" w:rsidR="00B01930" w:rsidRDefault="00B01930">
      <w:pPr>
        <w:pStyle w:val="Notedebasdepage"/>
      </w:pPr>
      <w:r>
        <w:rPr>
          <w:rStyle w:val="Appelnotedebasdep"/>
        </w:rPr>
        <w:footnoteRef/>
      </w:r>
      <w:r>
        <w:t xml:space="preserve"> </w:t>
      </w:r>
      <w:r>
        <w:tab/>
      </w:r>
      <w:r w:rsidRPr="0004576F">
        <w:rPr>
          <w:i/>
        </w:rPr>
        <w:t xml:space="preserve">Le Monde, </w:t>
      </w:r>
      <w:r w:rsidRPr="0004576F">
        <w:t>12 septembre 1987, p. 6, ainsi que 6 octobre 1987, p. 3 et 4 mars 1995, p. 13.</w:t>
      </w:r>
    </w:p>
  </w:footnote>
  <w:footnote w:id="1488">
    <w:p w14:paraId="51FB2B57" w14:textId="77777777" w:rsidR="00B01930" w:rsidRDefault="00B01930">
      <w:pPr>
        <w:pStyle w:val="Notedebasdepage"/>
      </w:pPr>
      <w:r>
        <w:rPr>
          <w:rStyle w:val="Appelnotedebasdep"/>
        </w:rPr>
        <w:footnoteRef/>
      </w:r>
      <w:r>
        <w:t xml:space="preserve"> </w:t>
      </w:r>
      <w:r>
        <w:tab/>
      </w:r>
      <w:r w:rsidRPr="0004576F">
        <w:t xml:space="preserve">Smith, Glaser, </w:t>
      </w:r>
      <w:r w:rsidRPr="0004576F">
        <w:rPr>
          <w:i/>
        </w:rPr>
        <w:t>op. cit</w:t>
      </w:r>
      <w:r w:rsidRPr="0004576F">
        <w:t>., p. 159.</w:t>
      </w:r>
    </w:p>
  </w:footnote>
  <w:footnote w:id="1489">
    <w:p w14:paraId="2BBA9CE5" w14:textId="77777777" w:rsidR="00B01930" w:rsidRDefault="00B01930">
      <w:pPr>
        <w:pStyle w:val="Notedebasdepage"/>
      </w:pPr>
      <w:r>
        <w:rPr>
          <w:rStyle w:val="Appelnotedebasdep"/>
        </w:rPr>
        <w:footnoteRef/>
      </w:r>
      <w:r>
        <w:t xml:space="preserve"> </w:t>
      </w:r>
      <w:r>
        <w:tab/>
      </w:r>
      <w:r w:rsidRPr="0004576F">
        <w:rPr>
          <w:i/>
        </w:rPr>
        <w:t>Foccart parle</w:t>
      </w:r>
      <w:r w:rsidRPr="0004576F">
        <w:t>, tome 2, p. 322.</w:t>
      </w:r>
    </w:p>
  </w:footnote>
  <w:footnote w:id="1490">
    <w:p w14:paraId="3121D36F"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12 septembre 1987, p. 6.</w:t>
      </w:r>
    </w:p>
  </w:footnote>
  <w:footnote w:id="1491">
    <w:p w14:paraId="79B925C8" w14:textId="77777777" w:rsidR="00B01930" w:rsidRDefault="00B01930">
      <w:pPr>
        <w:pStyle w:val="Notedebasdepage"/>
      </w:pPr>
      <w:r>
        <w:rPr>
          <w:rStyle w:val="Appelnotedebasdep"/>
        </w:rPr>
        <w:footnoteRef/>
      </w:r>
      <w:r>
        <w:t xml:space="preserve"> </w:t>
      </w:r>
      <w:r>
        <w:tab/>
      </w:r>
      <w:r w:rsidRPr="0004576F">
        <w:t xml:space="preserve">Smith, Glaser, </w:t>
      </w:r>
      <w:r w:rsidRPr="0004576F">
        <w:rPr>
          <w:i/>
        </w:rPr>
        <w:t>op. cit</w:t>
      </w:r>
      <w:r w:rsidRPr="0004576F">
        <w:t>., p. 162.</w:t>
      </w:r>
    </w:p>
  </w:footnote>
  <w:footnote w:id="1492">
    <w:p w14:paraId="4EEB6F67" w14:textId="77777777" w:rsidR="00B01930" w:rsidRDefault="00B01930">
      <w:pPr>
        <w:pStyle w:val="Notedebasdepage"/>
      </w:pPr>
      <w:r>
        <w:rPr>
          <w:rStyle w:val="Appelnotedebasdep"/>
        </w:rPr>
        <w:footnoteRef/>
      </w:r>
      <w:r>
        <w:t xml:space="preserve"> </w:t>
      </w:r>
      <w:r>
        <w:tab/>
      </w:r>
      <w:r w:rsidRPr="0004576F">
        <w:t xml:space="preserve">Smith, Glaser, </w:t>
      </w:r>
      <w:r w:rsidRPr="0004576F">
        <w:rPr>
          <w:i/>
        </w:rPr>
        <w:t>op. cit</w:t>
      </w:r>
      <w:r w:rsidRPr="0004576F">
        <w:t>., p. 167.</w:t>
      </w:r>
    </w:p>
  </w:footnote>
  <w:footnote w:id="1493">
    <w:p w14:paraId="391DA519" w14:textId="77777777" w:rsidR="00B01930" w:rsidRDefault="00B01930">
      <w:pPr>
        <w:pStyle w:val="Notedebasdepage"/>
      </w:pPr>
      <w:r>
        <w:rPr>
          <w:rStyle w:val="Appelnotedebasdep"/>
        </w:rPr>
        <w:footnoteRef/>
      </w:r>
      <w:r>
        <w:t xml:space="preserve"> </w:t>
      </w:r>
      <w:r>
        <w:tab/>
      </w:r>
      <w:r w:rsidRPr="0004576F">
        <w:t xml:space="preserve">Ceci est confirmé par J. Foccart, </w:t>
      </w:r>
      <w:r w:rsidRPr="0004576F">
        <w:rPr>
          <w:i/>
        </w:rPr>
        <w:t>Foccart parle</w:t>
      </w:r>
      <w:r w:rsidRPr="0004576F">
        <w:t>, tome 2, p. 326 et Smith, Gl</w:t>
      </w:r>
      <w:r w:rsidRPr="0004576F">
        <w:t>a</w:t>
      </w:r>
      <w:r w:rsidRPr="0004576F">
        <w:t xml:space="preserve">ser, </w:t>
      </w:r>
      <w:r w:rsidRPr="0004576F">
        <w:rPr>
          <w:i/>
        </w:rPr>
        <w:t>op. cit</w:t>
      </w:r>
      <w:r w:rsidRPr="0004576F">
        <w:t>., p. 167.</w:t>
      </w:r>
    </w:p>
  </w:footnote>
  <w:footnote w:id="1494">
    <w:p w14:paraId="41539263" w14:textId="77777777" w:rsidR="00B01930" w:rsidRDefault="00B01930">
      <w:pPr>
        <w:pStyle w:val="Notedebasdepage"/>
      </w:pPr>
      <w:r>
        <w:rPr>
          <w:rStyle w:val="Appelnotedebasdep"/>
        </w:rPr>
        <w:footnoteRef/>
      </w:r>
      <w:r>
        <w:t xml:space="preserve"> </w:t>
      </w:r>
      <w:r>
        <w:tab/>
      </w:r>
      <w:r w:rsidRPr="0004576F">
        <w:t xml:space="preserve">Smith, Glaser, </w:t>
      </w:r>
      <w:r w:rsidRPr="0004576F">
        <w:rPr>
          <w:i/>
        </w:rPr>
        <w:t>op. cit</w:t>
      </w:r>
      <w:r w:rsidRPr="0004576F">
        <w:t>., p. 163.</w:t>
      </w:r>
    </w:p>
  </w:footnote>
  <w:footnote w:id="1495">
    <w:p w14:paraId="3E23C5CB" w14:textId="77777777" w:rsidR="00B01930" w:rsidRDefault="00B01930">
      <w:pPr>
        <w:pStyle w:val="Notedebasdepage"/>
      </w:pPr>
      <w:r>
        <w:rPr>
          <w:rStyle w:val="Appelnotedebasdep"/>
        </w:rPr>
        <w:footnoteRef/>
      </w:r>
      <w:r>
        <w:t xml:space="preserve"> </w:t>
      </w:r>
      <w:r>
        <w:tab/>
      </w:r>
      <w:r w:rsidRPr="0004576F">
        <w:t xml:space="preserve">Rappelons que le « gambit » (espagnol ; </w:t>
      </w:r>
      <w:r w:rsidRPr="0004576F">
        <w:rPr>
          <w:i/>
        </w:rPr>
        <w:t>gambeta</w:t>
      </w:r>
      <w:r w:rsidRPr="0004576F">
        <w:t xml:space="preserve">, équitation, </w:t>
      </w:r>
      <w:r w:rsidRPr="0004576F">
        <w:rPr>
          <w:i/>
        </w:rPr>
        <w:t>courbette, e</w:t>
      </w:r>
      <w:r w:rsidRPr="0004576F">
        <w:rPr>
          <w:i/>
        </w:rPr>
        <w:t>n</w:t>
      </w:r>
      <w:r w:rsidRPr="0004576F">
        <w:rPr>
          <w:i/>
        </w:rPr>
        <w:t>trechat – gambeteo feinte, dribbling</w:t>
      </w:r>
      <w:r w:rsidRPr="0004576F">
        <w:t>) est une figure du jeu d’échecs corre</w:t>
      </w:r>
      <w:r w:rsidRPr="0004576F">
        <w:t>s</w:t>
      </w:r>
      <w:r w:rsidRPr="0004576F">
        <w:t>pondant à une ouverture avec l’offre sacrificielle d’une pièce (le plus souvent un pion) et que cette métaphore se</w:t>
      </w:r>
      <w:r w:rsidRPr="0004576F">
        <w:t>m</w:t>
      </w:r>
      <w:r w:rsidRPr="0004576F">
        <w:t xml:space="preserve">ble avoir été suggérée par J-Y. Olliver à Smith, Glaser, </w:t>
      </w:r>
      <w:r w:rsidRPr="0004576F">
        <w:rPr>
          <w:i/>
        </w:rPr>
        <w:t>op. cit</w:t>
      </w:r>
      <w:r w:rsidRPr="0004576F">
        <w:t>., p. 155.</w:t>
      </w:r>
    </w:p>
  </w:footnote>
  <w:footnote w:id="1496">
    <w:p w14:paraId="7D67D0D0"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21 décembre 1987, p. 3.</w:t>
      </w:r>
    </w:p>
  </w:footnote>
  <w:footnote w:id="1497">
    <w:p w14:paraId="12C2B420" w14:textId="77777777" w:rsidR="00B01930" w:rsidRDefault="00B01930">
      <w:pPr>
        <w:pStyle w:val="Notedebasdepage"/>
      </w:pPr>
      <w:r>
        <w:rPr>
          <w:rStyle w:val="Appelnotedebasdep"/>
        </w:rPr>
        <w:footnoteRef/>
      </w:r>
      <w:r>
        <w:t xml:space="preserve"> </w:t>
      </w:r>
      <w:r>
        <w:tab/>
      </w:r>
      <w:r w:rsidRPr="0004576F">
        <w:rPr>
          <w:i/>
        </w:rPr>
        <w:t>Ibidem.</w:t>
      </w:r>
    </w:p>
  </w:footnote>
  <w:footnote w:id="1498">
    <w:p w14:paraId="5284ED24" w14:textId="77777777" w:rsidR="00B01930" w:rsidRDefault="00B01930">
      <w:pPr>
        <w:pStyle w:val="Notedebasdepage"/>
      </w:pPr>
      <w:r>
        <w:rPr>
          <w:rStyle w:val="Appelnotedebasdep"/>
        </w:rPr>
        <w:footnoteRef/>
      </w:r>
      <w:r>
        <w:t xml:space="preserve"> </w:t>
      </w:r>
      <w:r>
        <w:tab/>
      </w:r>
      <w:r w:rsidRPr="0004576F">
        <w:rPr>
          <w:i/>
        </w:rPr>
        <w:t>Le Monde</w:t>
      </w:r>
      <w:r w:rsidRPr="0004576F">
        <w:t xml:space="preserve"> du 6 mai 1994.</w:t>
      </w:r>
    </w:p>
  </w:footnote>
  <w:footnote w:id="1499">
    <w:p w14:paraId="508A5CC9" w14:textId="77777777" w:rsidR="00B01930" w:rsidRDefault="00B01930">
      <w:pPr>
        <w:pStyle w:val="Notedebasdepage"/>
      </w:pPr>
      <w:r>
        <w:rPr>
          <w:rStyle w:val="Appelnotedebasdep"/>
        </w:rPr>
        <w:footnoteRef/>
      </w:r>
      <w:r>
        <w:t xml:space="preserve"> </w:t>
      </w:r>
      <w:r>
        <w:tab/>
      </w:r>
      <w:r w:rsidRPr="0004576F">
        <w:t>Comme Paul Wolfowitz, Robert Kagan, Richard Perle, Francis Fukuyama, Jean Kirpatrick, John Podhoretz, William Kristol,  Lawrence Kaplan, ou enc</w:t>
      </w:r>
      <w:r w:rsidRPr="0004576F">
        <w:t>o</w:t>
      </w:r>
      <w:r w:rsidRPr="0004576F">
        <w:t>re, mais plus connus des lecteurs des revues spécialisées : Daniel Pipes, Pat Moynihan, Irving Kristol (père de Wi</w:t>
      </w:r>
      <w:r w:rsidRPr="0004576F">
        <w:t>l</w:t>
      </w:r>
      <w:r w:rsidRPr="0004576F">
        <w:t>liam), Charles Krauthammer, Albert Wohlstetter.</w:t>
      </w:r>
    </w:p>
  </w:footnote>
  <w:footnote w:id="1500">
    <w:p w14:paraId="67167BA2" w14:textId="77777777" w:rsidR="00B01930" w:rsidRDefault="00B01930">
      <w:pPr>
        <w:pStyle w:val="Notedebasdepage"/>
      </w:pPr>
      <w:r>
        <w:rPr>
          <w:rStyle w:val="Appelnotedebasdep"/>
        </w:rPr>
        <w:footnoteRef/>
      </w:r>
      <w:r>
        <w:t xml:space="preserve"> </w:t>
      </w:r>
      <w:r>
        <w:tab/>
      </w:r>
      <w:r w:rsidRPr="0004576F">
        <w:t>Pourchassé il sera arrêté le 14 décembre 2003 et, après procès, il sera pendu le 29 déce</w:t>
      </w:r>
      <w:r w:rsidRPr="0004576F">
        <w:t>m</w:t>
      </w:r>
      <w:r w:rsidRPr="0004576F">
        <w:t>bre 2006.</w:t>
      </w:r>
    </w:p>
  </w:footnote>
  <w:footnote w:id="1501">
    <w:p w14:paraId="6491F647" w14:textId="77777777" w:rsidR="00B01930" w:rsidRDefault="00B01930">
      <w:pPr>
        <w:pStyle w:val="Notedebasdepage"/>
      </w:pPr>
      <w:r>
        <w:rPr>
          <w:rStyle w:val="Appelnotedebasdep"/>
        </w:rPr>
        <w:footnoteRef/>
      </w:r>
      <w:r>
        <w:t xml:space="preserve"> </w:t>
      </w:r>
      <w:r>
        <w:tab/>
      </w:r>
      <w:r w:rsidRPr="0004576F">
        <w:t>Président républicain de 2001 à 2009 (deux mandats).</w:t>
      </w:r>
    </w:p>
  </w:footnote>
  <w:footnote w:id="1502">
    <w:p w14:paraId="4EA1E85F" w14:textId="77777777" w:rsidR="00B01930" w:rsidRDefault="00B01930">
      <w:pPr>
        <w:pStyle w:val="Notedebasdepage"/>
      </w:pPr>
      <w:r>
        <w:rPr>
          <w:rStyle w:val="Appelnotedebasdep"/>
        </w:rPr>
        <w:footnoteRef/>
      </w:r>
      <w:r>
        <w:t xml:space="preserve"> </w:t>
      </w:r>
      <w:r>
        <w:tab/>
      </w:r>
      <w:r w:rsidRPr="0004576F">
        <w:t xml:space="preserve">Cf. Philippe Roger, </w:t>
      </w:r>
      <w:r w:rsidRPr="0004576F">
        <w:rPr>
          <w:i/>
        </w:rPr>
        <w:t>L’Ennemi américain, généalogie de l’anti-américanisme français</w:t>
      </w:r>
      <w:r w:rsidRPr="0004576F">
        <w:t>, Le Seuil, col. « Points », 2002.</w:t>
      </w:r>
    </w:p>
  </w:footnote>
  <w:footnote w:id="1503">
    <w:p w14:paraId="345C518A" w14:textId="77777777" w:rsidR="00B01930" w:rsidRDefault="00B01930">
      <w:pPr>
        <w:pStyle w:val="Notedebasdepage"/>
      </w:pPr>
      <w:r>
        <w:rPr>
          <w:rStyle w:val="Appelnotedebasdep"/>
        </w:rPr>
        <w:footnoteRef/>
      </w:r>
      <w:r>
        <w:t xml:space="preserve"> </w:t>
      </w:r>
      <w:r>
        <w:tab/>
      </w:r>
      <w:r w:rsidRPr="0004576F">
        <w:t>Mr Dominique de Villepin, discours devant le Conseil de sécurité de l’</w:t>
      </w:r>
      <w:r w:rsidRPr="0004576F">
        <w:rPr>
          <w:smallCaps/>
        </w:rPr>
        <w:t>Onu</w:t>
      </w:r>
      <w:r w:rsidRPr="0004576F">
        <w:t xml:space="preserve"> du 14 février 2003. La France menaça même d’utiliser son droit de </w:t>
      </w:r>
      <w:r w:rsidRPr="0004576F">
        <w:rPr>
          <w:i/>
        </w:rPr>
        <w:t>veto</w:t>
      </w:r>
      <w:r w:rsidRPr="0004576F">
        <w:t xml:space="preserve"> contre toute résolution en f</w:t>
      </w:r>
      <w:r w:rsidRPr="0004576F">
        <w:t>a</w:t>
      </w:r>
      <w:r w:rsidRPr="0004576F">
        <w:t>veur de l’emploi de la force (ce qui était inédit à l’égard d’un allié). La classe politique et médiatique française applaudit cette position. D’aucuns estim</w:t>
      </w:r>
      <w:r w:rsidRPr="0004576F">
        <w:t>è</w:t>
      </w:r>
      <w:r w:rsidRPr="0004576F">
        <w:t xml:space="preserve">rent même que la France, par ce discours, avait retrouvé…. sa puissance. </w:t>
      </w:r>
      <w:r w:rsidRPr="0004576F">
        <w:rPr>
          <w:i/>
        </w:rPr>
        <w:t>Contra</w:t>
      </w:r>
      <w:r w:rsidRPr="0004576F">
        <w:t>, D</w:t>
      </w:r>
      <w:r w:rsidRPr="0004576F">
        <w:t>a</w:t>
      </w:r>
      <w:r w:rsidRPr="0004576F">
        <w:t xml:space="preserve">niel Lagraula : « Le Verbe et La Puissance », in </w:t>
      </w:r>
      <w:r w:rsidRPr="0004576F">
        <w:rPr>
          <w:i/>
        </w:rPr>
        <w:t>Sud Ouest</w:t>
      </w:r>
      <w:r w:rsidRPr="0004576F">
        <w:t>, 12 avril 2003, p. 1-10.</w:t>
      </w:r>
    </w:p>
  </w:footnote>
  <w:footnote w:id="1504">
    <w:p w14:paraId="54B0EA7B" w14:textId="77777777" w:rsidR="00B01930" w:rsidRDefault="00B01930">
      <w:pPr>
        <w:pStyle w:val="Notedebasdepage"/>
      </w:pPr>
      <w:r>
        <w:rPr>
          <w:rStyle w:val="Appelnotedebasdep"/>
        </w:rPr>
        <w:footnoteRef/>
      </w:r>
      <w:r>
        <w:t xml:space="preserve"> </w:t>
      </w:r>
      <w:r>
        <w:tab/>
      </w:r>
      <w:r w:rsidRPr="0004576F">
        <w:t xml:space="preserve">Justin Vaïsse, </w:t>
      </w:r>
      <w:r w:rsidRPr="0004576F">
        <w:rPr>
          <w:i/>
        </w:rPr>
        <w:t>Histoire du néoconservatisme aux États-Unis</w:t>
      </w:r>
      <w:r w:rsidRPr="0004576F">
        <w:t>, Paris, Odile J</w:t>
      </w:r>
      <w:r w:rsidRPr="0004576F">
        <w:t>a</w:t>
      </w:r>
      <w:r w:rsidRPr="0004576F">
        <w:t>cob, 2008, p.10 ; livre de référence s’il en est. Nonobstant les ouvrages et art</w:t>
      </w:r>
      <w:r w:rsidRPr="0004576F">
        <w:t>i</w:t>
      </w:r>
      <w:r w:rsidRPr="0004576F">
        <w:t>cles consultés, dont on trouvera des éléments dans la bibliographie indicative à la fin du présent article, nous nous a</w:t>
      </w:r>
      <w:r w:rsidRPr="0004576F">
        <w:t>p</w:t>
      </w:r>
      <w:r w:rsidRPr="0004576F">
        <w:t>puierons sur le livre de J. Vaïsse car il est la synthèse de tout ce qu’on peut trouver par ailleurs.</w:t>
      </w:r>
    </w:p>
  </w:footnote>
  <w:footnote w:id="1505">
    <w:p w14:paraId="2220583D" w14:textId="77777777" w:rsidR="00B01930" w:rsidRDefault="00B01930">
      <w:pPr>
        <w:pStyle w:val="Notedebasdepage"/>
      </w:pPr>
      <w:r>
        <w:rPr>
          <w:rStyle w:val="Appelnotedebasdep"/>
        </w:rPr>
        <w:footnoteRef/>
      </w:r>
      <w:r>
        <w:t xml:space="preserve"> </w:t>
      </w:r>
      <w:r>
        <w:tab/>
      </w:r>
      <w:r w:rsidRPr="0004576F">
        <w:t xml:space="preserve">Justin Vaïsse, </w:t>
      </w:r>
      <w:r w:rsidRPr="0004576F">
        <w:rPr>
          <w:i/>
        </w:rPr>
        <w:t>op. cit</w:t>
      </w:r>
      <w:r w:rsidRPr="0004576F">
        <w:t>., p.10.</w:t>
      </w:r>
    </w:p>
  </w:footnote>
  <w:footnote w:id="1506">
    <w:p w14:paraId="4DE5D0AF" w14:textId="77777777" w:rsidR="00B01930" w:rsidRDefault="00B01930">
      <w:pPr>
        <w:pStyle w:val="Notedebasdepage"/>
      </w:pPr>
      <w:r>
        <w:rPr>
          <w:rStyle w:val="Appelnotedebasdep"/>
        </w:rPr>
        <w:footnoteRef/>
      </w:r>
      <w:r>
        <w:t xml:space="preserve"> </w:t>
      </w:r>
      <w:r>
        <w:tab/>
      </w:r>
      <w:r w:rsidRPr="0004576F">
        <w:rPr>
          <w:i/>
        </w:rPr>
        <w:t>Idem.</w:t>
      </w:r>
    </w:p>
  </w:footnote>
  <w:footnote w:id="1507">
    <w:p w14:paraId="0483B014" w14:textId="77777777" w:rsidR="00B01930" w:rsidRDefault="00B01930">
      <w:pPr>
        <w:pStyle w:val="Notedebasdepage"/>
      </w:pPr>
      <w:r>
        <w:rPr>
          <w:rStyle w:val="Appelnotedebasdep"/>
        </w:rPr>
        <w:footnoteRef/>
      </w:r>
      <w:r>
        <w:t xml:space="preserve"> </w:t>
      </w:r>
      <w:r>
        <w:tab/>
      </w:r>
      <w:r w:rsidRPr="0004576F">
        <w:t xml:space="preserve">Expression inspirée de Jean-Pierre Faye, </w:t>
      </w:r>
      <w:r w:rsidRPr="0004576F">
        <w:rPr>
          <w:i/>
        </w:rPr>
        <w:t>Langages totalitaires</w:t>
      </w:r>
      <w:r w:rsidRPr="0004576F">
        <w:t>, Paris, He</w:t>
      </w:r>
      <w:r w:rsidRPr="0004576F">
        <w:t>r</w:t>
      </w:r>
      <w:r w:rsidRPr="0004576F">
        <w:t>mann, 1972.</w:t>
      </w:r>
    </w:p>
  </w:footnote>
  <w:footnote w:id="1508">
    <w:p w14:paraId="4B06B553" w14:textId="77777777" w:rsidR="00B01930" w:rsidRDefault="00B01930">
      <w:pPr>
        <w:pStyle w:val="Notedebasdepage"/>
      </w:pPr>
      <w:r>
        <w:rPr>
          <w:rStyle w:val="Appelnotedebasdep"/>
        </w:rPr>
        <w:footnoteRef/>
      </w:r>
      <w:r>
        <w:t xml:space="preserve"> </w:t>
      </w:r>
      <w:r>
        <w:tab/>
      </w:r>
      <w:r w:rsidRPr="0004576F">
        <w:t xml:space="preserve">Justin Vaïsse, </w:t>
      </w:r>
      <w:r w:rsidRPr="0004576F">
        <w:rPr>
          <w:i/>
        </w:rPr>
        <w:t>op. cit</w:t>
      </w:r>
      <w:r w:rsidRPr="0004576F">
        <w:t>.</w:t>
      </w:r>
    </w:p>
  </w:footnote>
  <w:footnote w:id="1509">
    <w:p w14:paraId="5B67049F" w14:textId="77777777" w:rsidR="00B01930" w:rsidRDefault="00B01930">
      <w:pPr>
        <w:pStyle w:val="Notedebasdepage"/>
      </w:pPr>
      <w:r>
        <w:rPr>
          <w:rStyle w:val="Appelnotedebasdep"/>
        </w:rPr>
        <w:footnoteRef/>
      </w:r>
      <w:r>
        <w:t xml:space="preserve"> </w:t>
      </w:r>
      <w:r>
        <w:tab/>
      </w:r>
      <w:r w:rsidRPr="0004576F">
        <w:rPr>
          <w:i/>
        </w:rPr>
        <w:t>Idem</w:t>
      </w:r>
      <w:r w:rsidRPr="0004576F">
        <w:t>.</w:t>
      </w:r>
    </w:p>
  </w:footnote>
  <w:footnote w:id="1510">
    <w:p w14:paraId="1A292EF1" w14:textId="77777777" w:rsidR="00B01930" w:rsidRDefault="00B01930">
      <w:pPr>
        <w:pStyle w:val="Notedebasdepage"/>
      </w:pPr>
      <w:r>
        <w:rPr>
          <w:rStyle w:val="Appelnotedebasdep"/>
        </w:rPr>
        <w:footnoteRef/>
      </w:r>
      <w:r>
        <w:t xml:space="preserve"> </w:t>
      </w:r>
      <w:r>
        <w:tab/>
      </w:r>
      <w:r w:rsidRPr="0004576F">
        <w:rPr>
          <w:i/>
        </w:rPr>
        <w:t>Idem.</w:t>
      </w:r>
    </w:p>
  </w:footnote>
  <w:footnote w:id="1511">
    <w:p w14:paraId="38FA8B99" w14:textId="77777777" w:rsidR="00B01930" w:rsidRDefault="00B01930">
      <w:pPr>
        <w:pStyle w:val="Notedebasdepage"/>
      </w:pPr>
      <w:r>
        <w:rPr>
          <w:rStyle w:val="Appelnotedebasdep"/>
        </w:rPr>
        <w:footnoteRef/>
      </w:r>
      <w:r>
        <w:t xml:space="preserve"> </w:t>
      </w:r>
      <w:r>
        <w:tab/>
      </w:r>
      <w:r w:rsidRPr="0004576F">
        <w:t xml:space="preserve">Sur celles-ci voir, par exemple, Évelyne Joslain, </w:t>
      </w:r>
      <w:r w:rsidRPr="0004576F">
        <w:rPr>
          <w:i/>
        </w:rPr>
        <w:t xml:space="preserve">L’Amérique des </w:t>
      </w:r>
      <w:r w:rsidRPr="0004576F">
        <w:t>think tanks, Paris, L’Harmattan, 2006.</w:t>
      </w:r>
    </w:p>
  </w:footnote>
  <w:footnote w:id="1512">
    <w:p w14:paraId="7ECA4153" w14:textId="77777777" w:rsidR="00B01930" w:rsidRDefault="00B01930">
      <w:pPr>
        <w:pStyle w:val="Notedebasdepage"/>
      </w:pPr>
      <w:r>
        <w:rPr>
          <w:rStyle w:val="Appelnotedebasdep"/>
        </w:rPr>
        <w:footnoteRef/>
      </w:r>
      <w:r>
        <w:t xml:space="preserve"> </w:t>
      </w:r>
      <w:r>
        <w:tab/>
      </w:r>
      <w:r w:rsidRPr="0004576F">
        <w:t xml:space="preserve">Jean-Louis Martres, </w:t>
      </w:r>
      <w:r w:rsidRPr="0004576F">
        <w:rPr>
          <w:i/>
        </w:rPr>
        <w:t>Les Grilles de la pensée politique</w:t>
      </w:r>
      <w:r w:rsidRPr="0004576F">
        <w:t xml:space="preserve">, </w:t>
      </w:r>
      <w:r w:rsidRPr="0004576F">
        <w:rPr>
          <w:i/>
        </w:rPr>
        <w:t>op. cit</w:t>
      </w:r>
      <w:r w:rsidRPr="0004576F">
        <w:t>., p.17,  ouvrage imprimé mais non diffusé à ce jour (sur ce sujet voir la préface au présent o</w:t>
      </w:r>
      <w:r w:rsidRPr="0004576F">
        <w:t>u</w:t>
      </w:r>
      <w:r w:rsidRPr="0004576F">
        <w:t>vrage). Dans le reste de notre étude, la référence sera JLM.</w:t>
      </w:r>
    </w:p>
  </w:footnote>
  <w:footnote w:id="1513">
    <w:p w14:paraId="3038F7B4" w14:textId="77777777" w:rsidR="00B01930" w:rsidRDefault="00B01930">
      <w:pPr>
        <w:pStyle w:val="Notedebasdepage"/>
      </w:pPr>
      <w:r>
        <w:rPr>
          <w:rStyle w:val="Appelnotedebasdep"/>
        </w:rPr>
        <w:footnoteRef/>
      </w:r>
      <w:r>
        <w:t xml:space="preserve"> </w:t>
      </w:r>
      <w:r>
        <w:tab/>
      </w:r>
      <w:r w:rsidRPr="0004576F">
        <w:t xml:space="preserve">Cité par Bernard Sionneau, </w:t>
      </w:r>
      <w:r w:rsidRPr="0004576F">
        <w:rPr>
          <w:i/>
        </w:rPr>
        <w:t>La Construction du conservatisme moderne aux États-Unis</w:t>
      </w:r>
      <w:r w:rsidRPr="0004576F">
        <w:t>, préface de James Ceaser, Université de Vi</w:t>
      </w:r>
      <w:r w:rsidRPr="0004576F">
        <w:t>r</w:t>
      </w:r>
      <w:r w:rsidRPr="0004576F">
        <w:t>ginie (</w:t>
      </w:r>
      <w:r w:rsidRPr="0004576F">
        <w:rPr>
          <w:smallCaps/>
        </w:rPr>
        <w:t>Usa</w:t>
      </w:r>
      <w:r w:rsidRPr="0004576F">
        <w:t>), Paris, L’Harmattan, col. « Pouvoirs comparés », 2012, p. 96.</w:t>
      </w:r>
    </w:p>
  </w:footnote>
  <w:footnote w:id="1514">
    <w:p w14:paraId="14837342" w14:textId="77777777" w:rsidR="00B01930" w:rsidRDefault="00B01930">
      <w:pPr>
        <w:pStyle w:val="Notedebasdepage"/>
      </w:pPr>
      <w:r>
        <w:rPr>
          <w:rStyle w:val="Appelnotedebasdep"/>
        </w:rPr>
        <w:footnoteRef/>
      </w:r>
      <w:r>
        <w:t xml:space="preserve"> </w:t>
      </w:r>
      <w:r>
        <w:tab/>
      </w:r>
      <w:r w:rsidRPr="0004576F">
        <w:t xml:space="preserve">Justin Vaïsse, </w:t>
      </w:r>
      <w:r w:rsidRPr="0004576F">
        <w:rPr>
          <w:i/>
        </w:rPr>
        <w:t>op. cit</w:t>
      </w:r>
      <w:r w:rsidRPr="0004576F">
        <w:t>., p. 23.</w:t>
      </w:r>
    </w:p>
  </w:footnote>
  <w:footnote w:id="1515">
    <w:p w14:paraId="11E96DAA" w14:textId="77777777" w:rsidR="00B01930" w:rsidRDefault="00B01930">
      <w:pPr>
        <w:pStyle w:val="Notedebasdepage"/>
      </w:pPr>
      <w:r>
        <w:rPr>
          <w:rStyle w:val="Appelnotedebasdep"/>
        </w:rPr>
        <w:footnoteRef/>
      </w:r>
      <w:r>
        <w:t xml:space="preserve"> </w:t>
      </w:r>
      <w:r>
        <w:tab/>
      </w:r>
      <w:r w:rsidRPr="0004576F">
        <w:rPr>
          <w:i/>
        </w:rPr>
        <w:t>Ibidem</w:t>
      </w:r>
      <w:r w:rsidRPr="0004576F">
        <w:t xml:space="preserve">. Mais, ajoute l’auteur, ce n’était pas suffisant. Il fallait un contexte qui soit propice à une réception positive du message. En l’occurrence, l’attentat du 11 septembre 2001 contre les tours du </w:t>
      </w:r>
      <w:r w:rsidRPr="0004576F">
        <w:rPr>
          <w:i/>
        </w:rPr>
        <w:t>World Trade Center</w:t>
      </w:r>
      <w:r w:rsidRPr="0004576F">
        <w:t xml:space="preserve"> de New York (qui fit environ 3000 morts et disp</w:t>
      </w:r>
      <w:r w:rsidRPr="0004576F">
        <w:t>a</w:t>
      </w:r>
      <w:r w:rsidRPr="0004576F">
        <w:t>rus), l’attitude de Saddam Hussein quant à ses intentions réelles, à la possession, ou non, d’armes de destructions mass</w:t>
      </w:r>
      <w:r w:rsidRPr="0004576F">
        <w:t>i</w:t>
      </w:r>
      <w:r w:rsidRPr="0004576F">
        <w:t xml:space="preserve">ves, ainsi que ses liens avec </w:t>
      </w:r>
      <w:r w:rsidRPr="0004576F">
        <w:rPr>
          <w:i/>
        </w:rPr>
        <w:t>Al Qaïda</w:t>
      </w:r>
      <w:r w:rsidRPr="0004576F">
        <w:t>. N’oublions pas qu’en 1991 il avait e</w:t>
      </w:r>
      <w:r w:rsidRPr="0004576F">
        <w:t>n</w:t>
      </w:r>
      <w:r w:rsidRPr="0004576F">
        <w:t>vahi le Koweït, et par la suite, pendant des années, il avait sans cesse fait ob</w:t>
      </w:r>
      <w:r w:rsidRPr="0004576F">
        <w:t>s</w:t>
      </w:r>
      <w:r w:rsidRPr="0004576F">
        <w:t>truction aux contrôles de l’</w:t>
      </w:r>
      <w:r w:rsidRPr="0004576F">
        <w:rPr>
          <w:smallCaps/>
        </w:rPr>
        <w:t>Aiea</w:t>
      </w:r>
      <w:r w:rsidRPr="0004576F">
        <w:t xml:space="preserve"> (Agence internationale de l’Énergie atom</w:t>
      </w:r>
      <w:r w:rsidRPr="0004576F">
        <w:t>i</w:t>
      </w:r>
      <w:r w:rsidRPr="0004576F">
        <w:t>que).</w:t>
      </w:r>
    </w:p>
  </w:footnote>
  <w:footnote w:id="1516">
    <w:p w14:paraId="4320DF8F" w14:textId="77777777" w:rsidR="00B01930" w:rsidRDefault="00B01930">
      <w:pPr>
        <w:pStyle w:val="Notedebasdepage"/>
      </w:pPr>
      <w:r>
        <w:rPr>
          <w:rStyle w:val="Appelnotedebasdep"/>
        </w:rPr>
        <w:footnoteRef/>
      </w:r>
      <w:r>
        <w:t xml:space="preserve"> </w:t>
      </w:r>
      <w:r>
        <w:tab/>
      </w:r>
      <w:r w:rsidRPr="0004576F">
        <w:t xml:space="preserve">Jean-Louis Martres, </w:t>
      </w:r>
      <w:r w:rsidRPr="0004576F">
        <w:rPr>
          <w:i/>
        </w:rPr>
        <w:t>op. cit.</w:t>
      </w:r>
      <w:r w:rsidRPr="0004576F">
        <w:t>, p. 577.</w:t>
      </w:r>
    </w:p>
  </w:footnote>
  <w:footnote w:id="1517">
    <w:p w14:paraId="5F2D51C1" w14:textId="77777777" w:rsidR="00B01930" w:rsidRDefault="00B01930">
      <w:pPr>
        <w:pStyle w:val="Notedebasdepage"/>
      </w:pPr>
      <w:r>
        <w:rPr>
          <w:rStyle w:val="Appelnotedebasdep"/>
        </w:rPr>
        <w:footnoteRef/>
      </w:r>
      <w:r>
        <w:t xml:space="preserve"> </w:t>
      </w:r>
      <w:r>
        <w:tab/>
      </w:r>
      <w:r w:rsidRPr="0004576F">
        <w:t xml:space="preserve">Jean-Louis Martres, </w:t>
      </w:r>
      <w:r w:rsidRPr="0004576F">
        <w:rPr>
          <w:i/>
        </w:rPr>
        <w:t>op. cit.</w:t>
      </w:r>
      <w:r w:rsidRPr="0004576F">
        <w:t>, p. 551.</w:t>
      </w:r>
    </w:p>
  </w:footnote>
  <w:footnote w:id="1518">
    <w:p w14:paraId="68A64D06" w14:textId="77777777" w:rsidR="00B01930" w:rsidRDefault="00B01930">
      <w:pPr>
        <w:pStyle w:val="Notedebasdepage"/>
      </w:pPr>
      <w:r>
        <w:rPr>
          <w:rStyle w:val="Appelnotedebasdep"/>
        </w:rPr>
        <w:footnoteRef/>
      </w:r>
      <w:r>
        <w:t xml:space="preserve"> </w:t>
      </w:r>
      <w:r>
        <w:tab/>
      </w:r>
      <w:r w:rsidRPr="0004576F">
        <w:t>Cette notion n’ayant aucun rapport avec le sens qu’on lui donne en Europe, e</w:t>
      </w:r>
      <w:r w:rsidRPr="0004576F">
        <w:t>n</w:t>
      </w:r>
      <w:r w:rsidRPr="0004576F">
        <w:t>core moins en France.</w:t>
      </w:r>
    </w:p>
  </w:footnote>
  <w:footnote w:id="1519">
    <w:p w14:paraId="4EE5DF4E" w14:textId="77777777" w:rsidR="00B01930" w:rsidRDefault="00B01930">
      <w:pPr>
        <w:pStyle w:val="Notedebasdepage"/>
      </w:pPr>
      <w:r>
        <w:rPr>
          <w:rStyle w:val="Appelnotedebasdep"/>
        </w:rPr>
        <w:footnoteRef/>
      </w:r>
      <w:r>
        <w:t xml:space="preserve"> </w:t>
      </w:r>
      <w:r>
        <w:tab/>
      </w:r>
      <w:r w:rsidRPr="0004576F">
        <w:t>Rappelons que le parti dominant dans le Sud raciste (au sens pr</w:t>
      </w:r>
      <w:r w:rsidRPr="0004576F">
        <w:t>é</w:t>
      </w:r>
      <w:r w:rsidRPr="0004576F">
        <w:t>cis du terme) était le parti démocrate. Toute la stratégie électorale consistait, surtout jusque dans les années soixante-dix, à ne pas perdre ces démocrates sudi</w:t>
      </w:r>
      <w:r w:rsidRPr="0004576F">
        <w:t>s</w:t>
      </w:r>
      <w:r w:rsidRPr="0004576F">
        <w:t>tes, tout en se conciliant l’électorat libéral de la côte Est. Tout aspirant au pouvoir se voyait donc contraint, une fois élu, de gouverner au centre.</w:t>
      </w:r>
    </w:p>
  </w:footnote>
  <w:footnote w:id="1520">
    <w:p w14:paraId="63B4A467" w14:textId="77777777" w:rsidR="00B01930" w:rsidRDefault="00B01930">
      <w:pPr>
        <w:pStyle w:val="Notedebasdepage"/>
      </w:pPr>
      <w:r>
        <w:rPr>
          <w:rStyle w:val="Appelnotedebasdep"/>
        </w:rPr>
        <w:footnoteRef/>
      </w:r>
      <w:r>
        <w:t xml:space="preserve"> </w:t>
      </w:r>
      <w:r>
        <w:tab/>
      </w:r>
      <w:r w:rsidRPr="0004576F">
        <w:t>Nous nous référons, de façon très schématique, au livre de Be</w:t>
      </w:r>
      <w:r w:rsidRPr="0004576F">
        <w:t>r</w:t>
      </w:r>
      <w:r w:rsidRPr="0004576F">
        <w:t xml:space="preserve">nard Sionneau, </w:t>
      </w:r>
      <w:r w:rsidRPr="0004576F">
        <w:rPr>
          <w:i/>
        </w:rPr>
        <w:t>op. cit</w:t>
      </w:r>
      <w:r w:rsidRPr="0004576F">
        <w:t>.</w:t>
      </w:r>
    </w:p>
  </w:footnote>
  <w:footnote w:id="1521">
    <w:p w14:paraId="2413E0EE" w14:textId="77777777" w:rsidR="00B01930" w:rsidRDefault="00B01930">
      <w:pPr>
        <w:pStyle w:val="Notedebasdepage"/>
      </w:pPr>
      <w:r>
        <w:rPr>
          <w:rStyle w:val="Appelnotedebasdep"/>
        </w:rPr>
        <w:footnoteRef/>
      </w:r>
      <w:r>
        <w:t xml:space="preserve"> </w:t>
      </w:r>
      <w:r>
        <w:tab/>
      </w:r>
      <w:r w:rsidRPr="0004576F">
        <w:t xml:space="preserve">Roosevelt, démocrate, président de 1933 à 1945, décédé d’une hémorragie cérébrale le 12 avril 1945. Le </w:t>
      </w:r>
      <w:r w:rsidRPr="0004576F">
        <w:rPr>
          <w:i/>
        </w:rPr>
        <w:t>New Deal</w:t>
      </w:r>
      <w:r w:rsidRPr="0004576F">
        <w:t>, « nouvelle donne », politique éc</w:t>
      </w:r>
      <w:r w:rsidRPr="0004576F">
        <w:t>o</w:t>
      </w:r>
      <w:r w:rsidRPr="0004576F">
        <w:t>nomique d’inspiration keynésienne, impliquait l’intervention de l’État pour r</w:t>
      </w:r>
      <w:r w:rsidRPr="0004576F">
        <w:t>e</w:t>
      </w:r>
      <w:r w:rsidRPr="0004576F">
        <w:t>la</w:t>
      </w:r>
      <w:r w:rsidRPr="0004576F">
        <w:t>n</w:t>
      </w:r>
      <w:r w:rsidRPr="0004576F">
        <w:t>cer le pays ravagé par la crise de 1929.</w:t>
      </w:r>
    </w:p>
  </w:footnote>
  <w:footnote w:id="1522">
    <w:p w14:paraId="29A8D850" w14:textId="77777777" w:rsidR="00B01930" w:rsidRDefault="00B01930">
      <w:pPr>
        <w:pStyle w:val="Notedebasdepage"/>
      </w:pPr>
      <w:r>
        <w:rPr>
          <w:rStyle w:val="Appelnotedebasdep"/>
        </w:rPr>
        <w:footnoteRef/>
      </w:r>
      <w:r>
        <w:t xml:space="preserve"> </w:t>
      </w:r>
      <w:r>
        <w:tab/>
      </w:r>
      <w:r w:rsidRPr="0004576F">
        <w:t>Roosevelt fût appelé « l’homme rouge dans la Maison Blanche », sa politique étant assimilée, par les conse</w:t>
      </w:r>
      <w:r w:rsidRPr="0004576F">
        <w:t>r</w:t>
      </w:r>
      <w:r w:rsidRPr="0004576F">
        <w:t>vateurs, au socialisme, voire au communisme.</w:t>
      </w:r>
    </w:p>
  </w:footnote>
  <w:footnote w:id="1523">
    <w:p w14:paraId="4D7F4456" w14:textId="77777777" w:rsidR="00B01930" w:rsidRDefault="00B01930">
      <w:pPr>
        <w:pStyle w:val="Notedebasdepage"/>
      </w:pPr>
      <w:r>
        <w:rPr>
          <w:rStyle w:val="Appelnotedebasdep"/>
        </w:rPr>
        <w:footnoteRef/>
      </w:r>
      <w:r>
        <w:t xml:space="preserve"> </w:t>
      </w:r>
      <w:r>
        <w:tab/>
      </w:r>
      <w:r w:rsidRPr="0004576F">
        <w:t>Dwight D. Eisenhower, républicain, président de 1953 à 1961 (deux ma</w:t>
      </w:r>
      <w:r w:rsidRPr="0004576F">
        <w:t>n</w:t>
      </w:r>
      <w:r w:rsidRPr="0004576F">
        <w:t xml:space="preserve">dats) ; Richard Milhous Nixon, républicain, président de 1969 à 1974 (second mandat interrompu par une démission suite à l’affaire dite  « du </w:t>
      </w:r>
      <w:r w:rsidRPr="0004576F">
        <w:rPr>
          <w:i/>
        </w:rPr>
        <w:t>W</w:t>
      </w:r>
      <w:r w:rsidRPr="0004576F">
        <w:rPr>
          <w:i/>
        </w:rPr>
        <w:t>a</w:t>
      </w:r>
      <w:r w:rsidRPr="0004576F">
        <w:rPr>
          <w:i/>
        </w:rPr>
        <w:t>tergate</w:t>
      </w:r>
      <w:r w:rsidRPr="0004576F">
        <w:t> »).</w:t>
      </w:r>
    </w:p>
  </w:footnote>
  <w:footnote w:id="1524">
    <w:p w14:paraId="266D77D4" w14:textId="77777777" w:rsidR="00B01930" w:rsidRDefault="00B01930">
      <w:pPr>
        <w:pStyle w:val="Notedebasdepage"/>
      </w:pPr>
      <w:r>
        <w:rPr>
          <w:rStyle w:val="Appelnotedebasdep"/>
        </w:rPr>
        <w:footnoteRef/>
      </w:r>
      <w:r>
        <w:t xml:space="preserve"> </w:t>
      </w:r>
      <w:r>
        <w:tab/>
      </w:r>
      <w:r w:rsidRPr="0004576F">
        <w:t>B. Goldwater disait « ne faites pas tant de foin à propos des h</w:t>
      </w:r>
      <w:r w:rsidRPr="0004576F">
        <w:t>o</w:t>
      </w:r>
      <w:r w:rsidRPr="0004576F">
        <w:t>mos, des noirs, et des mexicains, les hommes libres ont le droit de faire ce qu’ils veulent », c</w:t>
      </w:r>
      <w:r w:rsidRPr="0004576F">
        <w:t>i</w:t>
      </w:r>
      <w:r w:rsidRPr="0004576F">
        <w:t>té par Hillary Rh</w:t>
      </w:r>
      <w:r w:rsidRPr="0004576F">
        <w:t>o</w:t>
      </w:r>
      <w:r w:rsidRPr="0004576F">
        <w:t xml:space="preserve">dam Clinton, </w:t>
      </w:r>
      <w:r w:rsidRPr="0004576F">
        <w:rPr>
          <w:i/>
        </w:rPr>
        <w:t>Mon histoire</w:t>
      </w:r>
      <w:r w:rsidRPr="0004576F">
        <w:t>, Paris, Fayard, 1</w:t>
      </w:r>
      <w:r w:rsidRPr="0004576F">
        <w:rPr>
          <w:vertAlign w:val="superscript"/>
        </w:rPr>
        <w:t>ére</w:t>
      </w:r>
      <w:r w:rsidRPr="0004576F">
        <w:t> édition, 2003, p. 39. Ce qui est une position typiquement libertarienne, difficilement co</w:t>
      </w:r>
      <w:r w:rsidRPr="0004576F">
        <w:t>m</w:t>
      </w:r>
      <w:r w:rsidRPr="0004576F">
        <w:t>préhensible, surtout à l’époque, pour un conservateur européen, et tout aussi étrange pour un homme de gauche qui voyait en Goldwater un dangereux fa</w:t>
      </w:r>
      <w:r w:rsidRPr="0004576F">
        <w:t>s</w:t>
      </w:r>
      <w:r w:rsidRPr="0004576F">
        <w:t>ciste l</w:t>
      </w:r>
      <w:r w:rsidRPr="0004576F">
        <w:t>i</w:t>
      </w:r>
      <w:r w:rsidRPr="0004576F">
        <w:t>berticide.</w:t>
      </w:r>
    </w:p>
  </w:footnote>
  <w:footnote w:id="1525">
    <w:p w14:paraId="509AB8A9" w14:textId="77777777" w:rsidR="00B01930" w:rsidRDefault="00B01930">
      <w:pPr>
        <w:pStyle w:val="Notedebasdepage"/>
      </w:pPr>
      <w:r>
        <w:rPr>
          <w:rStyle w:val="Appelnotedebasdep"/>
        </w:rPr>
        <w:footnoteRef/>
      </w:r>
      <w:r>
        <w:t xml:space="preserve"> </w:t>
      </w:r>
      <w:r>
        <w:tab/>
      </w:r>
      <w:r w:rsidRPr="0004576F">
        <w:t>Président, républicain, de 1981 à 1989 (deux mandats).</w:t>
      </w:r>
    </w:p>
  </w:footnote>
  <w:footnote w:id="1526">
    <w:p w14:paraId="5AAB1185" w14:textId="77777777" w:rsidR="00B01930" w:rsidRDefault="00B01930">
      <w:pPr>
        <w:pStyle w:val="Notedebasdepage"/>
      </w:pPr>
      <w:r>
        <w:rPr>
          <w:rStyle w:val="Appelnotedebasdep"/>
        </w:rPr>
        <w:footnoteRef/>
      </w:r>
      <w:r>
        <w:t xml:space="preserve"> </w:t>
      </w:r>
      <w:r>
        <w:tab/>
      </w:r>
      <w:r w:rsidRPr="0004576F">
        <w:t xml:space="preserve">Justin Vaïsse, </w:t>
      </w:r>
      <w:r w:rsidRPr="0004576F">
        <w:rPr>
          <w:i/>
        </w:rPr>
        <w:t>op. cit</w:t>
      </w:r>
      <w:r w:rsidRPr="0004576F">
        <w:t>., p. 29.</w:t>
      </w:r>
    </w:p>
  </w:footnote>
  <w:footnote w:id="1527">
    <w:p w14:paraId="6FCC0B42" w14:textId="77777777" w:rsidR="00B01930" w:rsidRDefault="00B01930">
      <w:pPr>
        <w:pStyle w:val="Notedebasdepage"/>
      </w:pPr>
      <w:r>
        <w:rPr>
          <w:rStyle w:val="Appelnotedebasdep"/>
        </w:rPr>
        <w:footnoteRef/>
      </w:r>
      <w:r>
        <w:t xml:space="preserve"> </w:t>
      </w:r>
      <w:r>
        <w:tab/>
      </w:r>
      <w:r w:rsidRPr="0004576F">
        <w:t>Président, démocrate, de 1945 à 1953 (deux mandats).</w:t>
      </w:r>
    </w:p>
  </w:footnote>
  <w:footnote w:id="1528">
    <w:p w14:paraId="01D8CB0E" w14:textId="77777777" w:rsidR="00B01930" w:rsidRDefault="00B01930">
      <w:pPr>
        <w:pStyle w:val="Notedebasdepage"/>
      </w:pPr>
      <w:r>
        <w:rPr>
          <w:rStyle w:val="Appelnotedebasdep"/>
        </w:rPr>
        <w:footnoteRef/>
      </w:r>
      <w:r>
        <w:t xml:space="preserve"> </w:t>
      </w:r>
      <w:r>
        <w:tab/>
      </w:r>
      <w:r w:rsidRPr="0004576F">
        <w:t>Président, démocrate, de 1961 à 1963 (mort assassiné à Dallas, Texas).</w:t>
      </w:r>
    </w:p>
  </w:footnote>
  <w:footnote w:id="1529">
    <w:p w14:paraId="74F29719" w14:textId="77777777" w:rsidR="00B01930" w:rsidRDefault="00B01930">
      <w:pPr>
        <w:pStyle w:val="Notedebasdepage"/>
      </w:pPr>
      <w:r>
        <w:rPr>
          <w:rStyle w:val="Appelnotedebasdep"/>
        </w:rPr>
        <w:footnoteRef/>
      </w:r>
      <w:r>
        <w:t xml:space="preserve"> </w:t>
      </w:r>
      <w:r>
        <w:tab/>
      </w:r>
      <w:r w:rsidRPr="0004576F">
        <w:t>Sur ce président si décrié, voir le remarquable ouvrage de R</w:t>
      </w:r>
      <w:r w:rsidRPr="0004576F">
        <w:t>o</w:t>
      </w:r>
      <w:r w:rsidRPr="0004576F">
        <w:t xml:space="preserve">main Huret, </w:t>
      </w:r>
      <w:r w:rsidRPr="0004576F">
        <w:rPr>
          <w:i/>
        </w:rPr>
        <w:t>De l’Amérique ordinaire à l’</w:t>
      </w:r>
      <w:r>
        <w:rPr>
          <w:i/>
        </w:rPr>
        <w:t>État</w:t>
      </w:r>
      <w:r w:rsidRPr="0004576F">
        <w:rPr>
          <w:i/>
        </w:rPr>
        <w:t xml:space="preserve"> secret, le cas Nixon</w:t>
      </w:r>
      <w:r w:rsidRPr="0004576F">
        <w:t xml:space="preserve">, Paris, Presse de Science Po. 2009 – ainsi que la monumentale biographie d’Antoine Coppolani, </w:t>
      </w:r>
      <w:r w:rsidRPr="0004576F">
        <w:rPr>
          <w:i/>
        </w:rPr>
        <w:t>R</w:t>
      </w:r>
      <w:r w:rsidRPr="0004576F">
        <w:rPr>
          <w:i/>
        </w:rPr>
        <w:t>i</w:t>
      </w:r>
      <w:r w:rsidRPr="0004576F">
        <w:rPr>
          <w:i/>
        </w:rPr>
        <w:t>chard Nixon</w:t>
      </w:r>
      <w:r w:rsidRPr="0004576F">
        <w:t>, Paris, Fayard, 2023.</w:t>
      </w:r>
    </w:p>
  </w:footnote>
  <w:footnote w:id="1530">
    <w:p w14:paraId="199B9113" w14:textId="77777777" w:rsidR="00B01930" w:rsidRDefault="00B01930">
      <w:pPr>
        <w:pStyle w:val="Notedebasdepage"/>
      </w:pPr>
      <w:r>
        <w:rPr>
          <w:rStyle w:val="Appelnotedebasdep"/>
        </w:rPr>
        <w:footnoteRef/>
      </w:r>
      <w:r>
        <w:t xml:space="preserve"> </w:t>
      </w:r>
      <w:r>
        <w:tab/>
      </w:r>
      <w:r w:rsidRPr="0004576F">
        <w:t>Président, démocrate, de 1963 à 1969.</w:t>
      </w:r>
    </w:p>
  </w:footnote>
  <w:footnote w:id="1531">
    <w:p w14:paraId="00193B2E" w14:textId="77777777" w:rsidR="00B01930" w:rsidRDefault="00B01930">
      <w:pPr>
        <w:pStyle w:val="Notedebasdepage"/>
      </w:pPr>
      <w:r>
        <w:rPr>
          <w:rStyle w:val="Appelnotedebasdep"/>
        </w:rPr>
        <w:footnoteRef/>
      </w:r>
      <w:r>
        <w:t xml:space="preserve"> </w:t>
      </w:r>
      <w:r>
        <w:tab/>
      </w:r>
      <w:r w:rsidRPr="0004576F">
        <w:t>Organisation des transports scolaires publics visant à promouvoir la mixité raci</w:t>
      </w:r>
      <w:r w:rsidRPr="0004576F">
        <w:t>a</w:t>
      </w:r>
      <w:r w:rsidRPr="0004576F">
        <w:t>le dans les écoles publiques par transports (bus) d’enfants noirs vers les écoles blanches, puisque les Noirs, sinon, restaient dans les écoles des qua</w:t>
      </w:r>
      <w:r w:rsidRPr="0004576F">
        <w:t>r</w:t>
      </w:r>
      <w:r w:rsidRPr="0004576F">
        <w:t xml:space="preserve">tiers noirs, ce qui </w:t>
      </w:r>
      <w:r w:rsidRPr="0004576F">
        <w:rPr>
          <w:i/>
        </w:rPr>
        <w:t>de facto</w:t>
      </w:r>
      <w:r w:rsidRPr="0004576F">
        <w:t>, faisait perd</w:t>
      </w:r>
      <w:r w:rsidRPr="0004576F">
        <w:t>u</w:t>
      </w:r>
      <w:r w:rsidRPr="0004576F">
        <w:t>rer la ségrégation dès l’école. Hannah Arendt pris position dès 1959, contre ces techniques de déségrégation dans « </w:t>
      </w:r>
      <w:r w:rsidRPr="0004576F">
        <w:rPr>
          <w:i/>
        </w:rPr>
        <w:t>Reflections on Little Rock</w:t>
      </w:r>
      <w:r w:rsidRPr="0004576F">
        <w:t> », voir, entre autre, la biographie de Elis</w:t>
      </w:r>
      <w:r w:rsidRPr="0004576F">
        <w:t>a</w:t>
      </w:r>
      <w:r w:rsidRPr="0004576F">
        <w:t xml:space="preserve">beth Young Bruehl, </w:t>
      </w:r>
      <w:r w:rsidRPr="0004576F">
        <w:rPr>
          <w:i/>
        </w:rPr>
        <w:t>Hannah Arendt</w:t>
      </w:r>
      <w:r w:rsidRPr="0004576F">
        <w:t>, Paris, Calmann-Lévy, 1999, p. 402-414 ; art</w:t>
      </w:r>
      <w:r w:rsidRPr="0004576F">
        <w:t>i</w:t>
      </w:r>
      <w:r w:rsidRPr="0004576F">
        <w:t>cle qui déclencha une vive polémique dans les milieux intellectuels libéraux.</w:t>
      </w:r>
    </w:p>
  </w:footnote>
  <w:footnote w:id="1532">
    <w:p w14:paraId="63000CCE" w14:textId="77777777" w:rsidR="00B01930" w:rsidRDefault="00B01930">
      <w:pPr>
        <w:pStyle w:val="Notedebasdepage"/>
      </w:pPr>
      <w:r>
        <w:rPr>
          <w:rStyle w:val="Appelnotedebasdep"/>
        </w:rPr>
        <w:footnoteRef/>
      </w:r>
      <w:r>
        <w:t xml:space="preserve"> </w:t>
      </w:r>
      <w:r>
        <w:tab/>
      </w:r>
      <w:r w:rsidRPr="0004576F">
        <w:t xml:space="preserve">Justin Vaïsse, </w:t>
      </w:r>
      <w:r w:rsidRPr="0004576F">
        <w:rPr>
          <w:i/>
        </w:rPr>
        <w:t>op. cit., passim.</w:t>
      </w:r>
    </w:p>
  </w:footnote>
  <w:footnote w:id="1533">
    <w:p w14:paraId="13F8246A" w14:textId="77777777" w:rsidR="00B01930" w:rsidRDefault="00B01930">
      <w:pPr>
        <w:pStyle w:val="Notedebasdepage"/>
      </w:pPr>
      <w:r>
        <w:rPr>
          <w:rStyle w:val="Appelnotedebasdep"/>
        </w:rPr>
        <w:footnoteRef/>
      </w:r>
      <w:r>
        <w:t xml:space="preserve"> </w:t>
      </w:r>
      <w:r>
        <w:tab/>
      </w:r>
      <w:r w:rsidRPr="0004576F">
        <w:rPr>
          <w:i/>
        </w:rPr>
        <w:t>Ibidem</w:t>
      </w:r>
      <w:r w:rsidRPr="0004576F">
        <w:t>, p. 17.</w:t>
      </w:r>
    </w:p>
  </w:footnote>
  <w:footnote w:id="1534">
    <w:p w14:paraId="3199B500" w14:textId="77777777" w:rsidR="00B01930" w:rsidRDefault="00B01930">
      <w:pPr>
        <w:pStyle w:val="Notedebasdepage"/>
      </w:pPr>
      <w:r>
        <w:rPr>
          <w:rStyle w:val="Appelnotedebasdep"/>
        </w:rPr>
        <w:footnoteRef/>
      </w:r>
      <w:r>
        <w:t xml:space="preserve"> </w:t>
      </w:r>
      <w:r>
        <w:tab/>
      </w:r>
      <w:r w:rsidRPr="0004576F">
        <w:t>Henry Alfred Kissinger, professeur à Harvard devenu conseiller pour la Séc</w:t>
      </w:r>
      <w:r w:rsidRPr="0004576F">
        <w:t>u</w:t>
      </w:r>
      <w:r w:rsidRPr="0004576F">
        <w:t>rité nationale de Richard Nixon entre 1969 et 1975, il d</w:t>
      </w:r>
      <w:r w:rsidRPr="0004576F">
        <w:t>e</w:t>
      </w:r>
      <w:r w:rsidRPr="0004576F">
        <w:t>vint Secrétaire d’État en sus de son rôle de conseiller entre 1973 et 1977.</w:t>
      </w:r>
    </w:p>
  </w:footnote>
  <w:footnote w:id="1535">
    <w:p w14:paraId="70C18735" w14:textId="77777777" w:rsidR="00B01930" w:rsidRDefault="00B01930">
      <w:pPr>
        <w:pStyle w:val="Notedebasdepage"/>
      </w:pPr>
      <w:r>
        <w:rPr>
          <w:rStyle w:val="Appelnotedebasdep"/>
        </w:rPr>
        <w:footnoteRef/>
      </w:r>
      <w:r>
        <w:t xml:space="preserve"> </w:t>
      </w:r>
      <w:r>
        <w:tab/>
      </w:r>
      <w:r w:rsidRPr="0004576F">
        <w:t>S</w:t>
      </w:r>
      <w:r w:rsidRPr="0004576F">
        <w:rPr>
          <w:smallCaps/>
        </w:rPr>
        <w:t xml:space="preserve">alt </w:t>
      </w:r>
      <w:r w:rsidRPr="0004576F">
        <w:t>(S</w:t>
      </w:r>
      <w:r w:rsidRPr="0004576F">
        <w:rPr>
          <w:smallCaps/>
        </w:rPr>
        <w:t>alt</w:t>
      </w:r>
      <w:r w:rsidRPr="0004576F">
        <w:t xml:space="preserve"> I, qui devait être suivi de S. II etc. ce qui ne fût pas le cas), </w:t>
      </w:r>
      <w:r w:rsidRPr="0004576F">
        <w:rPr>
          <w:i/>
        </w:rPr>
        <w:t>Str</w:t>
      </w:r>
      <w:r w:rsidRPr="0004576F">
        <w:rPr>
          <w:i/>
        </w:rPr>
        <w:t>a</w:t>
      </w:r>
      <w:r w:rsidRPr="0004576F">
        <w:rPr>
          <w:i/>
        </w:rPr>
        <w:t>tégic Arms limitation Talks</w:t>
      </w:r>
      <w:r w:rsidRPr="0004576F">
        <w:t> ; Albert Wohlstetter, Richard Perle, Paul Wolf</w:t>
      </w:r>
      <w:r w:rsidRPr="0004576F">
        <w:t>o</w:t>
      </w:r>
      <w:r w:rsidRPr="0004576F">
        <w:t>witz, par exemple, étaient de ces opposants.</w:t>
      </w:r>
    </w:p>
  </w:footnote>
  <w:footnote w:id="1536">
    <w:p w14:paraId="4B6CDDA9" w14:textId="77777777" w:rsidR="00B01930" w:rsidRDefault="00B01930">
      <w:pPr>
        <w:pStyle w:val="Notedebasdepage"/>
      </w:pPr>
      <w:r>
        <w:rPr>
          <w:rStyle w:val="Appelnotedebasdep"/>
        </w:rPr>
        <w:footnoteRef/>
      </w:r>
      <w:r>
        <w:t xml:space="preserve"> </w:t>
      </w:r>
      <w:r>
        <w:tab/>
      </w:r>
      <w:r w:rsidRPr="0004576F">
        <w:t xml:space="preserve">Justin Vaïsse, </w:t>
      </w:r>
      <w:r w:rsidRPr="0004576F">
        <w:rPr>
          <w:i/>
        </w:rPr>
        <w:t>op. cit</w:t>
      </w:r>
      <w:r w:rsidRPr="0004576F">
        <w:t>.</w:t>
      </w:r>
    </w:p>
  </w:footnote>
  <w:footnote w:id="1537">
    <w:p w14:paraId="2A807B55" w14:textId="77777777" w:rsidR="00B01930" w:rsidRDefault="00B01930">
      <w:pPr>
        <w:pStyle w:val="Notedebasdepage"/>
      </w:pPr>
      <w:r>
        <w:rPr>
          <w:rStyle w:val="Appelnotedebasdep"/>
        </w:rPr>
        <w:footnoteRef/>
      </w:r>
      <w:r>
        <w:t xml:space="preserve"> </w:t>
      </w:r>
      <w:r>
        <w:tab/>
      </w:r>
      <w:r w:rsidRPr="0004576F">
        <w:rPr>
          <w:i/>
        </w:rPr>
        <w:t>Ibidem</w:t>
      </w:r>
      <w:r w:rsidRPr="0004576F">
        <w:t>, p.182, sur tout  ce « deuxième âge » comme l’écrit l’auteur, nous re</w:t>
      </w:r>
      <w:r w:rsidRPr="0004576F">
        <w:t>n</w:t>
      </w:r>
      <w:r w:rsidRPr="0004576F">
        <w:t>voyons à l’ouvrage de celui-ci pour ce qui est des variations entre auteurs et la chronologie ; qui ne changent rien sur l’essentiel qui nous int</w:t>
      </w:r>
      <w:r w:rsidRPr="0004576F">
        <w:t>é</w:t>
      </w:r>
      <w:r w:rsidRPr="0004576F">
        <w:t>resse ici.</w:t>
      </w:r>
    </w:p>
  </w:footnote>
  <w:footnote w:id="1538">
    <w:p w14:paraId="1E0824AD" w14:textId="77777777" w:rsidR="00B01930" w:rsidRDefault="00B01930">
      <w:pPr>
        <w:pStyle w:val="Notedebasdepage"/>
      </w:pPr>
      <w:r>
        <w:rPr>
          <w:rStyle w:val="Appelnotedebasdep"/>
        </w:rPr>
        <w:footnoteRef/>
      </w:r>
      <w:r>
        <w:t xml:space="preserve"> </w:t>
      </w:r>
      <w:r>
        <w:tab/>
      </w:r>
      <w:r w:rsidRPr="0004576F">
        <w:t xml:space="preserve">Justin Vaïsse, </w:t>
      </w:r>
      <w:r w:rsidRPr="0004576F">
        <w:rPr>
          <w:i/>
        </w:rPr>
        <w:t>op. cit</w:t>
      </w:r>
      <w:r w:rsidRPr="0004576F">
        <w:t>., p. 11.</w:t>
      </w:r>
    </w:p>
  </w:footnote>
  <w:footnote w:id="1539">
    <w:p w14:paraId="3973CE8D" w14:textId="77777777" w:rsidR="00B01930" w:rsidRDefault="00B01930">
      <w:pPr>
        <w:pStyle w:val="Notedebasdepage"/>
      </w:pPr>
      <w:r>
        <w:rPr>
          <w:rStyle w:val="Appelnotedebasdep"/>
        </w:rPr>
        <w:footnoteRef/>
      </w:r>
      <w:r>
        <w:t xml:space="preserve"> </w:t>
      </w:r>
      <w:r>
        <w:tab/>
      </w:r>
      <w:r w:rsidRPr="0004576F">
        <w:t>Georges Herbert Walker Bush, républicain, président de 1989 à 1993.</w:t>
      </w:r>
    </w:p>
  </w:footnote>
  <w:footnote w:id="1540">
    <w:p w14:paraId="2AC7B890" w14:textId="77777777" w:rsidR="00B01930" w:rsidRDefault="00B01930">
      <w:pPr>
        <w:pStyle w:val="Notedebasdepage"/>
      </w:pPr>
      <w:r>
        <w:rPr>
          <w:rStyle w:val="Appelnotedebasdep"/>
        </w:rPr>
        <w:footnoteRef/>
      </w:r>
      <w:r>
        <w:t xml:space="preserve"> </w:t>
      </w:r>
      <w:r>
        <w:tab/>
      </w:r>
      <w:r w:rsidRPr="0004576F">
        <w:t xml:space="preserve">Initiative de Défense stratégique, prévoyant de déployer un </w:t>
      </w:r>
      <w:r w:rsidRPr="0004576F">
        <w:rPr>
          <w:rFonts w:ascii="Arial Narrow" w:hAnsi="Arial Narrow"/>
        </w:rPr>
        <w:t>« </w:t>
      </w:r>
      <w:r w:rsidRPr="0004576F">
        <w:t>bouclier</w:t>
      </w:r>
      <w:r w:rsidRPr="0004576F">
        <w:rPr>
          <w:rFonts w:ascii="Arial Narrow" w:hAnsi="Arial Narrow"/>
        </w:rPr>
        <w:t> »</w:t>
      </w:r>
      <w:r w:rsidRPr="0004576F">
        <w:t xml:space="preserve"> anti-missiles dans l’espace rendant ainsi inopérant toute attaque, d’où le nom jou</w:t>
      </w:r>
      <w:r w:rsidRPr="0004576F">
        <w:t>r</w:t>
      </w:r>
      <w:r w:rsidRPr="0004576F">
        <w:t>nalistique de « guerre des étoiles ». Projet dont le coût apparu vite aux dir</w:t>
      </w:r>
      <w:r w:rsidRPr="0004576F">
        <w:t>i</w:t>
      </w:r>
      <w:r w:rsidRPr="0004576F">
        <w:t>geants soviétiques hors de portée, au r</w:t>
      </w:r>
      <w:r w:rsidRPr="0004576F">
        <w:t>e</w:t>
      </w:r>
      <w:r w:rsidRPr="0004576F">
        <w:t>gard de la situation économique du pays, et les poussa à être plus actifs en matière de r</w:t>
      </w:r>
      <w:r w:rsidRPr="0004576F">
        <w:t>é</w:t>
      </w:r>
      <w:r w:rsidRPr="0004576F">
        <w:t xml:space="preserve">duction des armements nucléaires. Ce qui, en réalité, était bien le but de Reagan, car les États-Unis n’étaient pas </w:t>
      </w:r>
      <w:r w:rsidRPr="0004576F">
        <w:rPr>
          <w:i/>
        </w:rPr>
        <w:t>a priori</w:t>
      </w:r>
      <w:r w:rsidRPr="0004576F">
        <w:t xml:space="preserve"> à même, lors de l’annonce, de mettre en œuvre ce projet colo</w:t>
      </w:r>
      <w:r w:rsidRPr="0004576F">
        <w:t>s</w:t>
      </w:r>
      <w:r w:rsidRPr="0004576F">
        <w:t>sal. L’</w:t>
      </w:r>
      <w:r w:rsidRPr="0004576F">
        <w:rPr>
          <w:smallCaps/>
        </w:rPr>
        <w:t>Ids</w:t>
      </w:r>
      <w:r w:rsidRPr="0004576F">
        <w:t xml:space="preserve"> n’a pas vu le jour.</w:t>
      </w:r>
    </w:p>
  </w:footnote>
  <w:footnote w:id="1541">
    <w:p w14:paraId="4B002EC6" w14:textId="77777777" w:rsidR="00B01930" w:rsidRDefault="00B01930">
      <w:pPr>
        <w:pStyle w:val="Notedebasdepage"/>
      </w:pPr>
      <w:r>
        <w:rPr>
          <w:rStyle w:val="Appelnotedebasdep"/>
        </w:rPr>
        <w:footnoteRef/>
      </w:r>
      <w:r>
        <w:t xml:space="preserve"> </w:t>
      </w:r>
      <w:r>
        <w:tab/>
      </w:r>
      <w:r w:rsidRPr="0004576F">
        <w:t xml:space="preserve">Justin Vaïsse, </w:t>
      </w:r>
      <w:r w:rsidRPr="0004576F">
        <w:rPr>
          <w:i/>
        </w:rPr>
        <w:t>op. cit</w:t>
      </w:r>
      <w:r w:rsidRPr="0004576F">
        <w:t>., p. 195 et suiv.</w:t>
      </w:r>
    </w:p>
  </w:footnote>
  <w:footnote w:id="1542">
    <w:p w14:paraId="610F4030" w14:textId="77777777" w:rsidR="00B01930" w:rsidRDefault="00B01930">
      <w:pPr>
        <w:pStyle w:val="Notedebasdepage"/>
      </w:pPr>
      <w:r>
        <w:rPr>
          <w:rStyle w:val="Appelnotedebasdep"/>
        </w:rPr>
        <w:footnoteRef/>
      </w:r>
      <w:r>
        <w:t xml:space="preserve"> </w:t>
      </w:r>
      <w:r>
        <w:tab/>
      </w:r>
      <w:r w:rsidRPr="0004576F">
        <w:t>William Jefferson Clinton, démocrate, président de 1993 à 2001 (deux ma</w:t>
      </w:r>
      <w:r w:rsidRPr="0004576F">
        <w:t>n</w:t>
      </w:r>
      <w:r w:rsidRPr="0004576F">
        <w:t>dats).</w:t>
      </w:r>
    </w:p>
  </w:footnote>
  <w:footnote w:id="1543">
    <w:p w14:paraId="211E5E9C" w14:textId="77777777" w:rsidR="00B01930" w:rsidRDefault="00B01930">
      <w:pPr>
        <w:pStyle w:val="Notedebasdepage"/>
      </w:pPr>
      <w:r>
        <w:rPr>
          <w:rStyle w:val="Appelnotedebasdep"/>
        </w:rPr>
        <w:footnoteRef/>
      </w:r>
      <w:r>
        <w:t xml:space="preserve"> </w:t>
      </w:r>
      <w:r>
        <w:tab/>
      </w:r>
      <w:r w:rsidRPr="0004576F">
        <w:t>Selon la pertinente périodisation de Justin Vaïsse.</w:t>
      </w:r>
    </w:p>
  </w:footnote>
  <w:footnote w:id="1544">
    <w:p w14:paraId="2520531A" w14:textId="77777777" w:rsidR="00B01930" w:rsidRDefault="00B01930">
      <w:pPr>
        <w:pStyle w:val="Notedebasdepage"/>
      </w:pPr>
      <w:r>
        <w:rPr>
          <w:rStyle w:val="Appelnotedebasdep"/>
        </w:rPr>
        <w:footnoteRef/>
      </w:r>
      <w:r>
        <w:t xml:space="preserve"> </w:t>
      </w:r>
      <w:r>
        <w:tab/>
      </w:r>
      <w:r w:rsidRPr="0004576F">
        <w:t>Cf.</w:t>
      </w:r>
      <w:r w:rsidRPr="0004576F">
        <w:rPr>
          <w:i/>
        </w:rPr>
        <w:t xml:space="preserve"> supra.</w:t>
      </w:r>
    </w:p>
  </w:footnote>
  <w:footnote w:id="1545">
    <w:p w14:paraId="6420CA69" w14:textId="77777777" w:rsidR="00B01930" w:rsidRDefault="00B01930">
      <w:pPr>
        <w:pStyle w:val="Notedebasdepage"/>
      </w:pPr>
      <w:r>
        <w:rPr>
          <w:rStyle w:val="Appelnotedebasdep"/>
        </w:rPr>
        <w:footnoteRef/>
      </w:r>
      <w:r>
        <w:t xml:space="preserve"> </w:t>
      </w:r>
      <w:r>
        <w:tab/>
      </w:r>
      <w:r w:rsidRPr="0004576F">
        <w:t>En sa version américaine, ce n’est pas dit mais s’est implicite.</w:t>
      </w:r>
    </w:p>
  </w:footnote>
  <w:footnote w:id="1546">
    <w:p w14:paraId="5902004D" w14:textId="77777777" w:rsidR="00B01930" w:rsidRDefault="00B01930">
      <w:pPr>
        <w:pStyle w:val="Notedebasdepage"/>
      </w:pPr>
      <w:r>
        <w:rPr>
          <w:rStyle w:val="Appelnotedebasdep"/>
        </w:rPr>
        <w:footnoteRef/>
      </w:r>
      <w:r>
        <w:t xml:space="preserve"> </w:t>
      </w:r>
      <w:r>
        <w:tab/>
      </w:r>
      <w:r w:rsidRPr="0004576F">
        <w:t>Le caractère primordial de cette idée, totalement opposé aux « réalistes », comme le postulat de la supériorité morale de la démocratie, seraient dus, s</w:t>
      </w:r>
      <w:r w:rsidRPr="0004576F">
        <w:t>e</w:t>
      </w:r>
      <w:r w:rsidRPr="0004576F">
        <w:t>lon une polémique qui naquit en 2003, au fait que nombre de néoconserv</w:t>
      </w:r>
      <w:r w:rsidRPr="0004576F">
        <w:t>a</w:t>
      </w:r>
      <w:r w:rsidRPr="0004576F">
        <w:t>teurs (dont ceux de l’équipe Bush-fils) auraient été des élèves, en son temps du philosophe Leo Strauss (1899-1973). Le débat dépasse l’objet de notre e</w:t>
      </w:r>
      <w:r w:rsidRPr="0004576F">
        <w:t>s</w:t>
      </w:r>
      <w:r w:rsidRPr="0004576F">
        <w:t>sai, il y a lieu de se reporter à, notamment :</w:t>
      </w:r>
    </w:p>
    <w:p w14:paraId="3CD261DD" w14:textId="77777777" w:rsidR="00B01930" w:rsidRDefault="00B01930">
      <w:pPr>
        <w:pStyle w:val="Notedebasdepage"/>
      </w:pPr>
      <w:r>
        <w:tab/>
      </w:r>
      <w:r>
        <w:tab/>
      </w:r>
      <w:r w:rsidRPr="0004576F">
        <w:t>Jenny Strauss Clay (fille de Léo Strauss), « Leo Strauss, défenseur de la démocr</w:t>
      </w:r>
      <w:r w:rsidRPr="0004576F">
        <w:t>a</w:t>
      </w:r>
      <w:r w:rsidRPr="0004576F">
        <w:t xml:space="preserve">tie libérale », </w:t>
      </w:r>
      <w:r w:rsidRPr="0004576F">
        <w:rPr>
          <w:i/>
        </w:rPr>
        <w:t>Commentaire</w:t>
      </w:r>
      <w:r w:rsidRPr="0004576F">
        <w:t>, n° 103, 2003 (suivi d’une interview de Paul Wolfowitz, né</w:t>
      </w:r>
      <w:r w:rsidRPr="0004576F">
        <w:t>o</w:t>
      </w:r>
      <w:r w:rsidRPr="0004576F">
        <w:t>conservateur, sous-secrétaire d’État à la Défense de G. W. Bush, ardent partisan de la guerre en Irak (2003) ; Thomas G. West, « Que dirait Leo Strauss de la polit</w:t>
      </w:r>
      <w:r w:rsidRPr="0004576F">
        <w:t>i</w:t>
      </w:r>
      <w:r w:rsidRPr="0004576F">
        <w:t xml:space="preserve">que étrangère  américaine, </w:t>
      </w:r>
      <w:r w:rsidRPr="0004576F">
        <w:rPr>
          <w:i/>
        </w:rPr>
        <w:t>Commentaire</w:t>
      </w:r>
      <w:r w:rsidRPr="0004576F">
        <w:t xml:space="preserve">, n°105, 2004 ; « Leo Strauss, le philosophe et les faucons », </w:t>
      </w:r>
      <w:r w:rsidRPr="0004576F">
        <w:rPr>
          <w:i/>
        </w:rPr>
        <w:t>Critique</w:t>
      </w:r>
      <w:r w:rsidRPr="0004576F">
        <w:t xml:space="preserve">, 2004, tome LX, n° 682 ; Gilles Labelle (Université d’Ottawa, Canada), « Entre la modération et la démesure : Leo Strauss, “les straussiens”, la philosophie et la guerre », </w:t>
      </w:r>
      <w:r w:rsidRPr="0004576F">
        <w:rPr>
          <w:i/>
        </w:rPr>
        <w:t>Arguments,</w:t>
      </w:r>
      <w:r w:rsidRPr="0004576F">
        <w:t xml:space="preserve"> n° 9, vol. 2, 2007 ; Daniel Tanguay, « Néoconservatisme et rel</w:t>
      </w:r>
      <w:r w:rsidRPr="0004576F">
        <w:t>i</w:t>
      </w:r>
      <w:r w:rsidRPr="0004576F">
        <w:t>gion démocr</w:t>
      </w:r>
      <w:r w:rsidRPr="0004576F">
        <w:t>a</w:t>
      </w:r>
      <w:r w:rsidRPr="0004576F">
        <w:t xml:space="preserve">tique, Leo Strauss et l’Amérique », </w:t>
      </w:r>
      <w:r w:rsidRPr="0004576F">
        <w:rPr>
          <w:i/>
        </w:rPr>
        <w:t>Commentaire</w:t>
      </w:r>
      <w:r w:rsidRPr="0004576F">
        <w:t xml:space="preserve">, n° 114, 2006 ; Heinrich Meier, « Pourquoi Leo Strauss ?, </w:t>
      </w:r>
      <w:r w:rsidRPr="0004576F">
        <w:rPr>
          <w:i/>
        </w:rPr>
        <w:t>Commenta</w:t>
      </w:r>
      <w:r w:rsidRPr="0004576F">
        <w:rPr>
          <w:i/>
        </w:rPr>
        <w:t>i</w:t>
      </w:r>
      <w:r w:rsidRPr="0004576F">
        <w:rPr>
          <w:i/>
        </w:rPr>
        <w:t>re</w:t>
      </w:r>
      <w:r w:rsidRPr="0004576F">
        <w:t>, n° 114, 2006 ; Anne Morton, « </w:t>
      </w:r>
      <w:r w:rsidRPr="0004576F">
        <w:rPr>
          <w:i/>
        </w:rPr>
        <w:t>Leo Strauss et la politique de l’empire américain </w:t>
      </w:r>
      <w:r w:rsidRPr="0004576F">
        <w:t>», Paris, Denoël, 2006, 224.</w:t>
      </w:r>
    </w:p>
  </w:footnote>
  <w:footnote w:id="1547">
    <w:p w14:paraId="6E013798" w14:textId="77777777" w:rsidR="00B01930" w:rsidRDefault="00B01930">
      <w:pPr>
        <w:pStyle w:val="Notedebasdepage"/>
      </w:pPr>
      <w:r>
        <w:rPr>
          <w:rStyle w:val="Appelnotedebasdep"/>
        </w:rPr>
        <w:footnoteRef/>
      </w:r>
      <w:r>
        <w:t xml:space="preserve"> </w:t>
      </w:r>
      <w:r>
        <w:tab/>
      </w:r>
      <w:r w:rsidRPr="0004576F">
        <w:t>Qui hébergeaient le chef du mouvement terroriste islamiste Al Qaïda, Ouss</w:t>
      </w:r>
      <w:r w:rsidRPr="0004576F">
        <w:t>a</w:t>
      </w:r>
      <w:r w:rsidRPr="0004576F">
        <w:t>ma Ben L</w:t>
      </w:r>
      <w:r w:rsidRPr="0004576F">
        <w:t>a</w:t>
      </w:r>
      <w:r w:rsidRPr="0004576F">
        <w:t xml:space="preserve">den, responsable des attentats du 11 septembre (cf. </w:t>
      </w:r>
      <w:r w:rsidRPr="0004576F">
        <w:rPr>
          <w:i/>
        </w:rPr>
        <w:t>supra</w:t>
      </w:r>
      <w:r w:rsidRPr="0004576F">
        <w:t xml:space="preserve"> note 17), qui sera tué par les forces spéciales de la mar</w:t>
      </w:r>
      <w:r w:rsidRPr="0004576F">
        <w:t>i</w:t>
      </w:r>
      <w:r w:rsidRPr="0004576F">
        <w:t>ne américaine « </w:t>
      </w:r>
      <w:r w:rsidRPr="0004576F">
        <w:rPr>
          <w:i/>
        </w:rPr>
        <w:t>Navy Seals</w:t>
      </w:r>
      <w:r w:rsidRPr="0004576F">
        <w:t> » dans sa cache du Pakistan le 2 mars 2011 sous la présidence de Barack Ob</w:t>
      </w:r>
      <w:r w:rsidRPr="0004576F">
        <w:t>a</w:t>
      </w:r>
      <w:r w:rsidRPr="0004576F">
        <w:t>ma, après dix ans de traque.</w:t>
      </w:r>
    </w:p>
  </w:footnote>
  <w:footnote w:id="1548">
    <w:p w14:paraId="3FBEBA08" w14:textId="77777777" w:rsidR="00B01930" w:rsidRDefault="00B01930">
      <w:pPr>
        <w:pStyle w:val="Notedebasdepage"/>
      </w:pPr>
      <w:r>
        <w:rPr>
          <w:rStyle w:val="Appelnotedebasdep"/>
        </w:rPr>
        <w:footnoteRef/>
      </w:r>
      <w:r>
        <w:t xml:space="preserve"> </w:t>
      </w:r>
      <w:r>
        <w:tab/>
      </w:r>
      <w:r w:rsidRPr="0004576F">
        <w:t>Alors même qu’il est souligné  par nombre d’analystes, et d’historiens, que ces deux exemples n’étaient pas transposables à la situation présente.</w:t>
      </w:r>
    </w:p>
  </w:footnote>
  <w:footnote w:id="1549">
    <w:p w14:paraId="12F38978" w14:textId="77777777" w:rsidR="00B01930" w:rsidRDefault="00B01930">
      <w:pPr>
        <w:pStyle w:val="Notedebasdepage"/>
      </w:pPr>
      <w:r>
        <w:rPr>
          <w:rStyle w:val="Appelnotedebasdep"/>
        </w:rPr>
        <w:footnoteRef/>
      </w:r>
      <w:r>
        <w:t xml:space="preserve"> </w:t>
      </w:r>
      <w:r>
        <w:tab/>
      </w:r>
      <w:r w:rsidRPr="0004576F">
        <w:t xml:space="preserve">Justin Vaïsse, </w:t>
      </w:r>
      <w:r w:rsidRPr="0004576F">
        <w:rPr>
          <w:i/>
        </w:rPr>
        <w:t>op. cit</w:t>
      </w:r>
      <w:r w:rsidRPr="0004576F">
        <w:t>.</w:t>
      </w:r>
    </w:p>
  </w:footnote>
  <w:footnote w:id="1550">
    <w:p w14:paraId="23ED7BCA" w14:textId="77777777" w:rsidR="00B01930" w:rsidRDefault="00B01930">
      <w:pPr>
        <w:pStyle w:val="Notedebasdepage"/>
      </w:pPr>
      <w:r>
        <w:rPr>
          <w:rStyle w:val="Appelnotedebasdep"/>
        </w:rPr>
        <w:footnoteRef/>
      </w:r>
      <w:r>
        <w:t xml:space="preserve"> </w:t>
      </w:r>
      <w:r>
        <w:tab/>
      </w:r>
      <w:r w:rsidRPr="0004576F">
        <w:rPr>
          <w:i/>
        </w:rPr>
        <w:t>Ibidem</w:t>
      </w:r>
      <w:r w:rsidRPr="0004576F">
        <w:t>, p. 231.</w:t>
      </w:r>
    </w:p>
  </w:footnote>
  <w:footnote w:id="1551">
    <w:p w14:paraId="68B2BAE3" w14:textId="77777777" w:rsidR="00B01930" w:rsidRDefault="00B01930">
      <w:pPr>
        <w:pStyle w:val="Notedebasdepage"/>
      </w:pPr>
      <w:r>
        <w:rPr>
          <w:rStyle w:val="Appelnotedebasdep"/>
        </w:rPr>
        <w:footnoteRef/>
      </w:r>
      <w:r>
        <w:t xml:space="preserve"> </w:t>
      </w:r>
      <w:r>
        <w:tab/>
      </w:r>
      <w:r w:rsidRPr="0004576F">
        <w:t>Cf.</w:t>
      </w:r>
      <w:r w:rsidRPr="0004576F">
        <w:rPr>
          <w:i/>
        </w:rPr>
        <w:t xml:space="preserve"> supra</w:t>
      </w:r>
      <w:r w:rsidRPr="0004576F">
        <w:t>, introduction.</w:t>
      </w:r>
    </w:p>
  </w:footnote>
  <w:footnote w:id="1552">
    <w:p w14:paraId="2BB893BF" w14:textId="77777777" w:rsidR="00B01930" w:rsidRDefault="00B01930">
      <w:pPr>
        <w:pStyle w:val="Notedebasdepage"/>
      </w:pPr>
      <w:r>
        <w:rPr>
          <w:rStyle w:val="Appelnotedebasdep"/>
        </w:rPr>
        <w:footnoteRef/>
      </w:r>
      <w:r>
        <w:t xml:space="preserve"> </w:t>
      </w:r>
      <w:r>
        <w:tab/>
      </w:r>
      <w:r w:rsidRPr="0004576F">
        <w:rPr>
          <w:i/>
        </w:rPr>
        <w:t>Ibid</w:t>
      </w:r>
      <w:r w:rsidRPr="0004576F">
        <w:t>.</w:t>
      </w:r>
    </w:p>
  </w:footnote>
  <w:footnote w:id="1553">
    <w:p w14:paraId="6308D4D6" w14:textId="77777777" w:rsidR="00B01930" w:rsidRDefault="00B01930">
      <w:pPr>
        <w:pStyle w:val="Notedebasdepage"/>
      </w:pPr>
      <w:r>
        <w:rPr>
          <w:rStyle w:val="Appelnotedebasdep"/>
        </w:rPr>
        <w:footnoteRef/>
      </w:r>
      <w:r>
        <w:t xml:space="preserve"> </w:t>
      </w:r>
      <w:r>
        <w:tab/>
      </w:r>
      <w:r w:rsidRPr="0004576F">
        <w:rPr>
          <w:i/>
        </w:rPr>
        <w:t>Op. cit</w:t>
      </w:r>
      <w:r w:rsidRPr="0004576F">
        <w:t>., p. 22.</w:t>
      </w:r>
    </w:p>
  </w:footnote>
  <w:footnote w:id="1554">
    <w:p w14:paraId="64D9F666" w14:textId="77777777" w:rsidR="00B01930" w:rsidRDefault="00B01930">
      <w:pPr>
        <w:pStyle w:val="Notedebasdepage"/>
      </w:pPr>
      <w:r>
        <w:rPr>
          <w:rStyle w:val="Appelnotedebasdep"/>
        </w:rPr>
        <w:footnoteRef/>
      </w:r>
      <w:r>
        <w:t xml:space="preserve"> </w:t>
      </w:r>
      <w:r>
        <w:tab/>
      </w:r>
      <w:r w:rsidRPr="0004576F">
        <w:t xml:space="preserve">Justin Vaïsse, </w:t>
      </w:r>
      <w:r w:rsidRPr="0004576F">
        <w:rPr>
          <w:i/>
        </w:rPr>
        <w:t>op. cit</w:t>
      </w:r>
      <w:r w:rsidRPr="0004576F">
        <w:t>., p. 274.</w:t>
      </w:r>
    </w:p>
  </w:footnote>
  <w:footnote w:id="1555">
    <w:p w14:paraId="18CE8D09" w14:textId="77777777" w:rsidR="00B01930" w:rsidRDefault="00B01930">
      <w:pPr>
        <w:pStyle w:val="Notedebasdepage"/>
      </w:pPr>
      <w:r>
        <w:rPr>
          <w:rStyle w:val="Appelnotedebasdep"/>
        </w:rPr>
        <w:footnoteRef/>
      </w:r>
      <w:r>
        <w:t xml:space="preserve"> </w:t>
      </w:r>
      <w:r>
        <w:tab/>
      </w:r>
      <w:r w:rsidRPr="0004576F">
        <w:t xml:space="preserve">Justin Vaïsse, </w:t>
      </w:r>
      <w:r w:rsidRPr="0004576F">
        <w:rPr>
          <w:i/>
        </w:rPr>
        <w:t>op. cit</w:t>
      </w:r>
      <w:r w:rsidRPr="0004576F">
        <w:t xml:space="preserve">., </w:t>
      </w:r>
      <w:r w:rsidRPr="0004576F">
        <w:rPr>
          <w:i/>
        </w:rPr>
        <w:t>passim.</w:t>
      </w:r>
    </w:p>
  </w:footnote>
  <w:footnote w:id="1556">
    <w:p w14:paraId="47054DEA" w14:textId="77777777" w:rsidR="00B01930" w:rsidRDefault="00B01930">
      <w:pPr>
        <w:pStyle w:val="Notedebasdepage"/>
      </w:pPr>
      <w:r>
        <w:rPr>
          <w:rStyle w:val="Appelnotedebasdep"/>
        </w:rPr>
        <w:footnoteRef/>
      </w:r>
      <w:r>
        <w:t xml:space="preserve"> </w:t>
      </w:r>
      <w:r>
        <w:tab/>
      </w:r>
      <w:r w:rsidRPr="0004576F">
        <w:t xml:space="preserve">Pierre Hassner, « L’Empire de la force ou la force de l’Empire ? », </w:t>
      </w:r>
      <w:r w:rsidRPr="0004576F">
        <w:rPr>
          <w:i/>
        </w:rPr>
        <w:t>Cahiers de Chaillot</w:t>
      </w:r>
      <w:r w:rsidRPr="0004576F">
        <w:t>, n° 54, 2002.</w:t>
      </w:r>
    </w:p>
  </w:footnote>
  <w:footnote w:id="1557">
    <w:p w14:paraId="318AD3F7" w14:textId="77777777" w:rsidR="00B01930" w:rsidRDefault="00B01930">
      <w:pPr>
        <w:pStyle w:val="Notedebasdepage"/>
      </w:pPr>
      <w:r>
        <w:rPr>
          <w:rStyle w:val="Appelnotedebasdep"/>
        </w:rPr>
        <w:footnoteRef/>
      </w:r>
      <w:r>
        <w:t xml:space="preserve"> </w:t>
      </w:r>
      <w:r>
        <w:tab/>
      </w:r>
      <w:r w:rsidRPr="0004576F">
        <w:t xml:space="preserve">Jean-Louis Martres, </w:t>
      </w:r>
      <w:r w:rsidRPr="0004576F">
        <w:rPr>
          <w:i/>
        </w:rPr>
        <w:t>Les Grilles…</w:t>
      </w:r>
      <w:r w:rsidRPr="0004576F">
        <w:t xml:space="preserve">, </w:t>
      </w:r>
      <w:r w:rsidRPr="0004576F">
        <w:rPr>
          <w:i/>
        </w:rPr>
        <w:t>op. cit.</w:t>
      </w:r>
      <w:r w:rsidRPr="0004576F">
        <w:t>, et Daniel Lagraula, « Introduction critique à la pensée martrienne des idées politiques », dans le présent ouvrage.</w:t>
      </w:r>
    </w:p>
  </w:footnote>
  <w:footnote w:id="1558">
    <w:p w14:paraId="35F268EC" w14:textId="77777777" w:rsidR="00B01930" w:rsidRDefault="00B01930">
      <w:pPr>
        <w:pStyle w:val="Notedebasdepage"/>
      </w:pPr>
      <w:r>
        <w:rPr>
          <w:rStyle w:val="Appelnotedebasdep"/>
        </w:rPr>
        <w:footnoteRef/>
      </w:r>
      <w:r>
        <w:t xml:space="preserve"> </w:t>
      </w:r>
      <w:r>
        <w:tab/>
      </w:r>
      <w:r w:rsidRPr="0004576F">
        <w:t xml:space="preserve">En 1969 : 602 attentats, ou tentatives, à l’explosif – 1970 : 1577 – en un an : 41 morts. Des dizaines de milliers d’alertes à la bombe, l’extrémisme touchait surtout les Blancs. Les </w:t>
      </w:r>
      <w:r w:rsidRPr="0004576F">
        <w:rPr>
          <w:i/>
        </w:rPr>
        <w:t>Weathermen</w:t>
      </w:r>
      <w:r w:rsidRPr="0004576F">
        <w:t xml:space="preserve"> furent les plus radicaux et actifs, ils pr</w:t>
      </w:r>
      <w:r w:rsidRPr="0004576F">
        <w:t>ô</w:t>
      </w:r>
      <w:r w:rsidRPr="0004576F">
        <w:t>naient la lutte armée, inspirée des guérillas notamment du Vietcong. Cf. Co</w:t>
      </w:r>
      <w:r w:rsidRPr="0004576F">
        <w:t>p</w:t>
      </w:r>
      <w:r w:rsidRPr="0004576F">
        <w:t xml:space="preserve">polani, </w:t>
      </w:r>
      <w:r w:rsidRPr="0004576F">
        <w:rPr>
          <w:i/>
        </w:rPr>
        <w:t>op. cit</w:t>
      </w:r>
      <w:r w:rsidRPr="0004576F">
        <w:t>., p. 814.</w:t>
      </w:r>
    </w:p>
  </w:footnote>
  <w:footnote w:id="1559">
    <w:p w14:paraId="2FAFF66F" w14:textId="77777777" w:rsidR="00B01930" w:rsidRDefault="00B01930">
      <w:pPr>
        <w:pStyle w:val="Notedebasdepage"/>
      </w:pPr>
      <w:r>
        <w:rPr>
          <w:rStyle w:val="Appelnotedebasdep"/>
        </w:rPr>
        <w:footnoteRef/>
      </w:r>
      <w:r>
        <w:t xml:space="preserve"> </w:t>
      </w:r>
      <w:r>
        <w:tab/>
      </w:r>
      <w:r w:rsidRPr="0004576F">
        <w:t>Cette illégitimité  se manifesta violemment  le jour de la prest</w:t>
      </w:r>
      <w:r w:rsidRPr="0004576F">
        <w:t>a</w:t>
      </w:r>
      <w:r w:rsidRPr="0004576F">
        <w:t>tion de serment de Nixon, légalement élu.</w:t>
      </w:r>
    </w:p>
  </w:footnote>
  <w:footnote w:id="1560">
    <w:p w14:paraId="0C8DCBDB" w14:textId="77777777" w:rsidR="00B01930" w:rsidRDefault="00B01930">
      <w:pPr>
        <w:pStyle w:val="Notedebasdepage"/>
      </w:pPr>
      <w:r>
        <w:rPr>
          <w:rStyle w:val="Appelnotedebasdep"/>
        </w:rPr>
        <w:footnoteRef/>
      </w:r>
      <w:r>
        <w:t xml:space="preserve"> </w:t>
      </w:r>
      <w:r>
        <w:tab/>
      </w:r>
      <w:r w:rsidRPr="0004576F">
        <w:t>Ce point  de vue était partagé bien au-delà des libéraux et focal</w:t>
      </w:r>
      <w:r w:rsidRPr="0004576F">
        <w:t>i</w:t>
      </w:r>
      <w:r w:rsidRPr="0004576F">
        <w:t>sait le débat politique comme clef des maux de la société américaine ; ainsi bien que rép</w:t>
      </w:r>
      <w:r w:rsidRPr="0004576F">
        <w:t>u</w:t>
      </w:r>
      <w:r w:rsidRPr="0004576F">
        <w:t>blicain  le vice-président Spiro Agnew (sous Nixon) disait en 1968 : « Une des principales causes qui font de notre époque une ère d’angoisse est le relat</w:t>
      </w:r>
      <w:r w:rsidRPr="0004576F">
        <w:t>i</w:t>
      </w:r>
      <w:r w:rsidRPr="0004576F">
        <w:t>visme insidieux qui s’est immiscé dans notre mode de pensée », cité par A</w:t>
      </w:r>
      <w:r w:rsidRPr="0004576F">
        <w:t>n</w:t>
      </w:r>
      <w:r w:rsidRPr="0004576F">
        <w:t xml:space="preserve">toine Coppolani, </w:t>
      </w:r>
      <w:r w:rsidRPr="0004576F">
        <w:rPr>
          <w:i/>
        </w:rPr>
        <w:t>op. cit</w:t>
      </w:r>
      <w:r w:rsidRPr="0004576F">
        <w:t>., p. 356.</w:t>
      </w:r>
    </w:p>
  </w:footnote>
  <w:footnote w:id="1561">
    <w:p w14:paraId="36D247A2" w14:textId="77777777" w:rsidR="00B01930" w:rsidRDefault="00B01930">
      <w:pPr>
        <w:pStyle w:val="Notedebasdepage"/>
      </w:pPr>
      <w:r>
        <w:rPr>
          <w:rStyle w:val="Appelnotedebasdep"/>
        </w:rPr>
        <w:footnoteRef/>
      </w:r>
      <w:r>
        <w:t xml:space="preserve"> </w:t>
      </w:r>
      <w:r>
        <w:tab/>
      </w:r>
      <w:r w:rsidRPr="0004576F">
        <w:t>Ce qui n’excluait pas le recours à la force, et la violence, si n</w:t>
      </w:r>
      <w:r w:rsidRPr="0004576F">
        <w:t>é</w:t>
      </w:r>
      <w:r w:rsidRPr="0004576F">
        <w:t>cessaire ; cf. la présidence Nixon.</w:t>
      </w:r>
    </w:p>
  </w:footnote>
  <w:footnote w:id="1562">
    <w:p w14:paraId="3C12D8BC" w14:textId="77777777" w:rsidR="00B01930" w:rsidRDefault="00B01930">
      <w:pPr>
        <w:pStyle w:val="Notedebasdepage"/>
      </w:pPr>
      <w:r>
        <w:rPr>
          <w:rStyle w:val="Appelnotedebasdep"/>
        </w:rPr>
        <w:footnoteRef/>
      </w:r>
      <w:r>
        <w:t xml:space="preserve"> </w:t>
      </w:r>
      <w:r>
        <w:tab/>
      </w:r>
      <w:r w:rsidRPr="0004576F">
        <w:rPr>
          <w:i/>
        </w:rPr>
        <w:t>Supra</w:t>
      </w:r>
      <w:r w:rsidRPr="0004576F">
        <w:t>, première partie.</w:t>
      </w:r>
    </w:p>
  </w:footnote>
  <w:footnote w:id="1563">
    <w:p w14:paraId="3A1177B1" w14:textId="77777777" w:rsidR="00B01930" w:rsidRDefault="00B01930">
      <w:pPr>
        <w:pStyle w:val="Notedebasdepage"/>
      </w:pPr>
      <w:r>
        <w:rPr>
          <w:rStyle w:val="Appelnotedebasdep"/>
        </w:rPr>
        <w:footnoteRef/>
      </w:r>
      <w:r>
        <w:t xml:space="preserve"> </w:t>
      </w:r>
      <w:r>
        <w:tab/>
      </w:r>
      <w:r w:rsidRPr="0004576F">
        <w:t xml:space="preserve">Jean-Louis Martres, </w:t>
      </w:r>
      <w:r w:rsidRPr="0004576F">
        <w:rPr>
          <w:i/>
        </w:rPr>
        <w:t>Les Grilles…</w:t>
      </w:r>
      <w:r w:rsidRPr="0004576F">
        <w:t xml:space="preserve">, </w:t>
      </w:r>
      <w:r w:rsidRPr="0004576F">
        <w:rPr>
          <w:i/>
        </w:rPr>
        <w:t>op. cit.</w:t>
      </w:r>
      <w:r w:rsidRPr="0004576F">
        <w:t>, et Daniel Lagraula « introduction… ».</w:t>
      </w:r>
    </w:p>
  </w:footnote>
  <w:footnote w:id="1564">
    <w:p w14:paraId="4B29A182" w14:textId="77777777" w:rsidR="00B01930" w:rsidRDefault="00B01930">
      <w:pPr>
        <w:pStyle w:val="Notedebasdepage"/>
      </w:pPr>
      <w:r>
        <w:rPr>
          <w:rStyle w:val="Appelnotedebasdep"/>
        </w:rPr>
        <w:footnoteRef/>
      </w:r>
      <w:r>
        <w:t xml:space="preserve"> </w:t>
      </w:r>
      <w:r>
        <w:tab/>
      </w:r>
      <w:r w:rsidRPr="0004576F">
        <w:rPr>
          <w:i/>
        </w:rPr>
        <w:t>Ibidem</w:t>
      </w:r>
      <w:r w:rsidRPr="0004576F">
        <w:t>.</w:t>
      </w:r>
    </w:p>
  </w:footnote>
  <w:footnote w:id="1565">
    <w:p w14:paraId="1725DAC3" w14:textId="77777777" w:rsidR="00B01930" w:rsidRDefault="00B01930">
      <w:pPr>
        <w:pStyle w:val="Notedebasdepage"/>
      </w:pPr>
      <w:r>
        <w:rPr>
          <w:rStyle w:val="Appelnotedebasdep"/>
        </w:rPr>
        <w:footnoteRef/>
      </w:r>
      <w:r>
        <w:t xml:space="preserve"> </w:t>
      </w:r>
      <w:r>
        <w:tab/>
      </w:r>
      <w:r w:rsidRPr="0004576F">
        <w:t xml:space="preserve">Jean-Louis Martres, </w:t>
      </w:r>
      <w:r w:rsidRPr="0004576F">
        <w:rPr>
          <w:i/>
        </w:rPr>
        <w:t>Les Grilles…</w:t>
      </w:r>
      <w:r w:rsidRPr="0004576F">
        <w:t xml:space="preserve">, </w:t>
      </w:r>
      <w:r w:rsidRPr="0004576F">
        <w:rPr>
          <w:i/>
        </w:rPr>
        <w:t>op. cit.</w:t>
      </w:r>
      <w:r w:rsidRPr="0004576F">
        <w:t>, p. 486.</w:t>
      </w:r>
    </w:p>
  </w:footnote>
  <w:footnote w:id="1566">
    <w:p w14:paraId="224618D9" w14:textId="77777777" w:rsidR="00B01930" w:rsidRDefault="00B01930">
      <w:pPr>
        <w:pStyle w:val="Notedebasdepage"/>
      </w:pPr>
      <w:r>
        <w:rPr>
          <w:rStyle w:val="Appelnotedebasdep"/>
        </w:rPr>
        <w:footnoteRef/>
      </w:r>
      <w:r>
        <w:t xml:space="preserve"> </w:t>
      </w:r>
      <w:r>
        <w:tab/>
      </w:r>
      <w:r w:rsidRPr="0004576F">
        <w:rPr>
          <w:i/>
        </w:rPr>
        <w:t>Ibidem</w:t>
      </w:r>
      <w:r w:rsidRPr="0004576F">
        <w:t>, p. 476.</w:t>
      </w:r>
    </w:p>
  </w:footnote>
  <w:footnote w:id="1567">
    <w:p w14:paraId="76340489" w14:textId="77777777" w:rsidR="00B01930" w:rsidRDefault="00B01930">
      <w:pPr>
        <w:pStyle w:val="Notedebasdepage"/>
      </w:pPr>
      <w:r>
        <w:rPr>
          <w:rStyle w:val="Appelnotedebasdep"/>
        </w:rPr>
        <w:footnoteRef/>
      </w:r>
      <w:r>
        <w:t xml:space="preserve"> </w:t>
      </w:r>
      <w:r>
        <w:tab/>
      </w:r>
      <w:r w:rsidRPr="0004576F">
        <w:rPr>
          <w:i/>
        </w:rPr>
        <w:t>Idem</w:t>
      </w:r>
      <w:r w:rsidRPr="0004576F">
        <w:t>.</w:t>
      </w:r>
    </w:p>
  </w:footnote>
  <w:footnote w:id="1568">
    <w:p w14:paraId="449EF574" w14:textId="77777777" w:rsidR="00B01930" w:rsidRDefault="00B01930">
      <w:pPr>
        <w:pStyle w:val="Notedebasdepage"/>
      </w:pPr>
      <w:r>
        <w:rPr>
          <w:rStyle w:val="Appelnotedebasdep"/>
        </w:rPr>
        <w:footnoteRef/>
      </w:r>
      <w:r>
        <w:t xml:space="preserve"> </w:t>
      </w:r>
      <w:r>
        <w:tab/>
      </w:r>
      <w:r w:rsidRPr="0004576F">
        <w:rPr>
          <w:i/>
        </w:rPr>
        <w:t>Ibidem</w:t>
      </w:r>
      <w:r w:rsidRPr="0004576F">
        <w:t>, p. 458.</w:t>
      </w:r>
    </w:p>
  </w:footnote>
  <w:footnote w:id="1569">
    <w:p w14:paraId="213B3C62" w14:textId="77777777" w:rsidR="00B01930" w:rsidRDefault="00B01930">
      <w:pPr>
        <w:pStyle w:val="Notedebasdepage"/>
      </w:pPr>
      <w:r>
        <w:rPr>
          <w:rStyle w:val="Appelnotedebasdep"/>
        </w:rPr>
        <w:footnoteRef/>
      </w:r>
      <w:r>
        <w:t xml:space="preserve"> </w:t>
      </w:r>
      <w:r>
        <w:tab/>
      </w:r>
      <w:r w:rsidRPr="0004576F">
        <w:rPr>
          <w:i/>
        </w:rPr>
        <w:t>Ibidem</w:t>
      </w:r>
      <w:r w:rsidRPr="0004576F">
        <w:t>, p. 459.</w:t>
      </w:r>
    </w:p>
  </w:footnote>
  <w:footnote w:id="1570">
    <w:p w14:paraId="78883BE3" w14:textId="77777777" w:rsidR="00B01930" w:rsidRDefault="00B01930">
      <w:pPr>
        <w:pStyle w:val="Notedebasdepage"/>
      </w:pPr>
      <w:r>
        <w:rPr>
          <w:rStyle w:val="Appelnotedebasdep"/>
        </w:rPr>
        <w:footnoteRef/>
      </w:r>
      <w:r>
        <w:t xml:space="preserve"> </w:t>
      </w:r>
      <w:r>
        <w:tab/>
      </w:r>
      <w:r w:rsidRPr="0004576F">
        <w:rPr>
          <w:i/>
        </w:rPr>
        <w:t>Ibidem</w:t>
      </w:r>
      <w:r w:rsidRPr="0004576F">
        <w:t>, p. 500.</w:t>
      </w:r>
    </w:p>
  </w:footnote>
  <w:footnote w:id="1571">
    <w:p w14:paraId="1D6E6DD3" w14:textId="77777777" w:rsidR="00B01930" w:rsidRDefault="00B01930">
      <w:pPr>
        <w:pStyle w:val="Notedebasdepage"/>
      </w:pPr>
      <w:r>
        <w:rPr>
          <w:rStyle w:val="Appelnotedebasdep"/>
        </w:rPr>
        <w:footnoteRef/>
      </w:r>
      <w:r>
        <w:t xml:space="preserve"> </w:t>
      </w:r>
      <w:r>
        <w:tab/>
      </w:r>
      <w:r w:rsidRPr="0004576F">
        <w:t>Ce qui fait dire à Jean-Louis Martres : « Le libéralisme n’existe pas. Il s’agit d’une chim</w:t>
      </w:r>
      <w:r w:rsidRPr="0004576F">
        <w:t>è</w:t>
      </w:r>
      <w:r w:rsidRPr="0004576F">
        <w:t>re de laboratoire, artéfact doctrinal qui […] a fini par faire croire à son existence », p. 454. L’exemple le plus éclatant du méc</w:t>
      </w:r>
      <w:r w:rsidRPr="0004576F">
        <w:t>a</w:t>
      </w:r>
      <w:r w:rsidRPr="0004576F">
        <w:t>nisme est Von Hayek (1899-1992), qui va justifier son dogme de la toute puissance du ma</w:t>
      </w:r>
      <w:r w:rsidRPr="0004576F">
        <w:t>r</w:t>
      </w:r>
      <w:r w:rsidRPr="0004576F">
        <w:t>ché comme étant de l’ordre de la Nature humaine, en en faisant le reflet du fonctionnement du cerveau. Le Mal étant le socialisme, le Bien le l</w:t>
      </w:r>
      <w:r w:rsidRPr="0004576F">
        <w:t>i</w:t>
      </w:r>
      <w:r w:rsidRPr="0004576F">
        <w:t>béralisme, il a voulu tirer une efficacité d’une certitude alors que le doute est le ressort le plus pr</w:t>
      </w:r>
      <w:r w:rsidRPr="0004576F">
        <w:t>o</w:t>
      </w:r>
      <w:r w:rsidRPr="0004576F">
        <w:t>fond du libéralisme. Voulant transformer une opinion en une Vérité définitive il a fait muter le libéralisme relativiste en dogme man</w:t>
      </w:r>
      <w:r w:rsidRPr="0004576F">
        <w:t>i</w:t>
      </w:r>
      <w:r w:rsidRPr="0004576F">
        <w:t xml:space="preserve">chéen. (cf. Jean-Louis Martres, </w:t>
      </w:r>
      <w:r w:rsidRPr="0004576F">
        <w:rPr>
          <w:i/>
        </w:rPr>
        <w:t>Les Grilles…</w:t>
      </w:r>
      <w:r w:rsidRPr="0004576F">
        <w:t xml:space="preserve">, </w:t>
      </w:r>
      <w:r w:rsidRPr="0004576F">
        <w:rPr>
          <w:i/>
        </w:rPr>
        <w:t>op. cit.</w:t>
      </w:r>
      <w:r w:rsidRPr="0004576F">
        <w:t>, p. 498-506). Ce n’est pas un hasard si Hayek débouche au plan polit</w:t>
      </w:r>
      <w:r w:rsidRPr="0004576F">
        <w:t>i</w:t>
      </w:r>
      <w:r w:rsidRPr="0004576F">
        <w:t>que sur la remise du pouvoir à une « élite » sélectionnée par la concurrence (retour du darwinisme social) et si dans sa Constitution idéale l’assemblée lég</w:t>
      </w:r>
      <w:r w:rsidRPr="0004576F">
        <w:t>i</w:t>
      </w:r>
      <w:r w:rsidRPr="0004576F">
        <w:t>slative repose sur un mandat qui doit être d’au moins quinze ans (on retrouve, édulcorée, une idée platonicie</w:t>
      </w:r>
      <w:r w:rsidRPr="0004576F">
        <w:t>n</w:t>
      </w:r>
      <w:r w:rsidRPr="0004576F">
        <w:t>ne).</w:t>
      </w:r>
    </w:p>
  </w:footnote>
  <w:footnote w:id="1572">
    <w:p w14:paraId="307802F5" w14:textId="77777777" w:rsidR="00B01930" w:rsidRDefault="00B01930">
      <w:pPr>
        <w:pStyle w:val="Notedebasdepage"/>
      </w:pPr>
      <w:r>
        <w:rPr>
          <w:rStyle w:val="Appelnotedebasdep"/>
        </w:rPr>
        <w:footnoteRef/>
      </w:r>
      <w:r>
        <w:t xml:space="preserve"> </w:t>
      </w:r>
      <w:r>
        <w:tab/>
      </w:r>
      <w:r w:rsidRPr="0004576F">
        <w:t xml:space="preserve">Jean-Louis Martres, </w:t>
      </w:r>
      <w:r w:rsidRPr="0004576F">
        <w:rPr>
          <w:i/>
        </w:rPr>
        <w:t>Les Grilles…</w:t>
      </w:r>
      <w:r w:rsidRPr="0004576F">
        <w:t xml:space="preserve">, </w:t>
      </w:r>
      <w:r w:rsidRPr="0004576F">
        <w:rPr>
          <w:i/>
        </w:rPr>
        <w:t>op. cit.</w:t>
      </w:r>
      <w:r w:rsidRPr="0004576F">
        <w:t>,, p. 545.</w:t>
      </w:r>
    </w:p>
  </w:footnote>
  <w:footnote w:id="1573">
    <w:p w14:paraId="0716398A" w14:textId="77777777" w:rsidR="00B01930" w:rsidRDefault="00B01930">
      <w:pPr>
        <w:pStyle w:val="Notedebasdepage"/>
      </w:pPr>
      <w:r>
        <w:rPr>
          <w:rStyle w:val="Appelnotedebasdep"/>
        </w:rPr>
        <w:footnoteRef/>
      </w:r>
      <w:r>
        <w:t xml:space="preserve"> </w:t>
      </w:r>
      <w:r>
        <w:tab/>
      </w:r>
      <w:r w:rsidRPr="0004576F">
        <w:t>Les grandes réactualisations du code n° 1, communisme, fasci</w:t>
      </w:r>
      <w:r w:rsidRPr="0004576F">
        <w:t>s</w:t>
      </w:r>
      <w:r w:rsidRPr="0004576F">
        <w:t>me, nazisme, ne toucheront guère les États-Unis, en tous cas  leur propagation sera bannie.</w:t>
      </w:r>
    </w:p>
  </w:footnote>
  <w:footnote w:id="1574">
    <w:p w14:paraId="7AAA1003" w14:textId="77777777" w:rsidR="00B01930" w:rsidRDefault="00B01930">
      <w:pPr>
        <w:pStyle w:val="Notedebasdepage"/>
      </w:pPr>
      <w:r>
        <w:rPr>
          <w:rStyle w:val="Appelnotedebasdep"/>
        </w:rPr>
        <w:footnoteRef/>
      </w:r>
      <w:r>
        <w:t xml:space="preserve"> </w:t>
      </w:r>
      <w:r>
        <w:tab/>
      </w:r>
      <w:r w:rsidRPr="0004576F">
        <w:t xml:space="preserve">Justin Vaïsse, </w:t>
      </w:r>
      <w:r w:rsidRPr="0004576F">
        <w:rPr>
          <w:i/>
        </w:rPr>
        <w:t>op. cit</w:t>
      </w:r>
      <w:r w:rsidRPr="0004576F">
        <w:t>., p. 11.</w:t>
      </w:r>
    </w:p>
  </w:footnote>
  <w:footnote w:id="1575">
    <w:p w14:paraId="69353BB9" w14:textId="77777777" w:rsidR="00B01930" w:rsidRDefault="00B01930">
      <w:pPr>
        <w:pStyle w:val="Notedebasdepage"/>
      </w:pPr>
      <w:r>
        <w:rPr>
          <w:rStyle w:val="Appelnotedebasdep"/>
        </w:rPr>
        <w:footnoteRef/>
      </w:r>
      <w:r>
        <w:t xml:space="preserve"> </w:t>
      </w:r>
      <w:r>
        <w:tab/>
      </w:r>
      <w:r w:rsidRPr="0004576F">
        <w:t xml:space="preserve">Jean-Louis Martres, </w:t>
      </w:r>
      <w:r w:rsidRPr="0004576F">
        <w:rPr>
          <w:i/>
        </w:rPr>
        <w:t>Les Grilles…</w:t>
      </w:r>
      <w:r w:rsidRPr="0004576F">
        <w:t xml:space="preserve">, </w:t>
      </w:r>
      <w:r w:rsidRPr="0004576F">
        <w:rPr>
          <w:i/>
        </w:rPr>
        <w:t>op. cit.</w:t>
      </w:r>
      <w:r w:rsidRPr="0004576F">
        <w:t>, p. 551.</w:t>
      </w:r>
    </w:p>
  </w:footnote>
  <w:footnote w:id="1576">
    <w:p w14:paraId="3A411321" w14:textId="77777777" w:rsidR="00B01930" w:rsidRDefault="00B01930">
      <w:pPr>
        <w:pStyle w:val="Notedebasdepage"/>
      </w:pPr>
      <w:r>
        <w:rPr>
          <w:rStyle w:val="Appelnotedebasdep"/>
        </w:rPr>
        <w:footnoteRef/>
      </w:r>
      <w:r>
        <w:t xml:space="preserve"> </w:t>
      </w:r>
      <w:r>
        <w:tab/>
      </w:r>
      <w:r w:rsidRPr="0004576F">
        <w:rPr>
          <w:i/>
        </w:rPr>
        <w:t>Ibidem</w:t>
      </w:r>
      <w:r w:rsidRPr="0004576F">
        <w:t>, comme Allan Bloom, ou Francis Fukuyama.</w:t>
      </w:r>
    </w:p>
  </w:footnote>
  <w:footnote w:id="1577">
    <w:p w14:paraId="6D87BA8B" w14:textId="77777777" w:rsidR="00B01930" w:rsidRDefault="00B01930">
      <w:pPr>
        <w:pStyle w:val="Notedebasdepage"/>
      </w:pPr>
      <w:r>
        <w:rPr>
          <w:rStyle w:val="Appelnotedebasdep"/>
        </w:rPr>
        <w:footnoteRef/>
      </w:r>
      <w:r>
        <w:t xml:space="preserve"> </w:t>
      </w:r>
      <w:r>
        <w:tab/>
      </w:r>
      <w:r w:rsidRPr="0004576F">
        <w:t>D’où la réélection de George W. Bush (2004) pour un second mandat tout a fait prévis</w:t>
      </w:r>
      <w:r w:rsidRPr="0004576F">
        <w:t>i</w:t>
      </w:r>
      <w:r w:rsidRPr="0004576F">
        <w:t>ble. Contrairement à ce que les médias français soutenaient, pour peu qu’on eût suivi objectivement la vie politique et sociale américa</w:t>
      </w:r>
      <w:r w:rsidRPr="0004576F">
        <w:t>i</w:t>
      </w:r>
      <w:r w:rsidRPr="0004576F">
        <w:t>ne, ou écouté et lu les rares spécialistes qui n’avaient pas cédé à « l’hystérie » anti-Bush qui fit même écrire à un écrivain de renom (Tahar ben Jelloun) dans un grand quotidien (</w:t>
      </w:r>
      <w:r w:rsidRPr="0004576F">
        <w:rPr>
          <w:i/>
        </w:rPr>
        <w:t>Le Monde</w:t>
      </w:r>
      <w:r w:rsidRPr="0004576F">
        <w:t xml:space="preserve"> du 5 septembre 2004) un article appelant les pe</w:t>
      </w:r>
      <w:r w:rsidRPr="0004576F">
        <w:t>u</w:t>
      </w:r>
      <w:r w:rsidRPr="0004576F">
        <w:t>ples du monde à se mobiliser pour… voter contre G.W. Bush ! Nous avions pris pos</w:t>
      </w:r>
      <w:r w:rsidRPr="0004576F">
        <w:t>i</w:t>
      </w:r>
      <w:r w:rsidRPr="0004576F">
        <w:t>tion dans un texte qui tendait, entre autre, à montrer que G.W. Bush serait réélu, « </w:t>
      </w:r>
      <w:r w:rsidRPr="0004576F">
        <w:rPr>
          <w:i/>
        </w:rPr>
        <w:t>Amérique : illusions européennes et réalités politiques, le pac</w:t>
      </w:r>
      <w:r w:rsidRPr="0004576F">
        <w:rPr>
          <w:i/>
        </w:rPr>
        <w:t>i</w:t>
      </w:r>
      <w:r w:rsidRPr="0004576F">
        <w:rPr>
          <w:i/>
        </w:rPr>
        <w:t>fisme en tous ses états</w:t>
      </w:r>
      <w:r w:rsidRPr="0004576F">
        <w:t xml:space="preserve"> », qui n’eut pas l’heur de plaire, même au journal </w:t>
      </w:r>
      <w:r w:rsidRPr="0004576F">
        <w:rPr>
          <w:i/>
        </w:rPr>
        <w:t>Le Figaro</w:t>
      </w:r>
      <w:r w:rsidRPr="0004576F">
        <w:t>… et resta inédit.</w:t>
      </w:r>
    </w:p>
  </w:footnote>
  <w:footnote w:id="1578">
    <w:p w14:paraId="0B0C535F" w14:textId="77777777" w:rsidR="00B01930" w:rsidRDefault="00B01930">
      <w:pPr>
        <w:pStyle w:val="Notedebasdepage"/>
      </w:pPr>
      <w:r>
        <w:rPr>
          <w:rStyle w:val="Appelnotedebasdep"/>
        </w:rPr>
        <w:footnoteRef/>
      </w:r>
      <w:r>
        <w:t xml:space="preserve"> </w:t>
      </w:r>
      <w:r>
        <w:tab/>
      </w:r>
      <w:r w:rsidRPr="0004576F">
        <w:t>Qui qualifie le  mode de gouvernance américain (deux partis) et la constitution de majorités de compromis impliquant les deux partis, républicains et dém</w:t>
      </w:r>
      <w:r w:rsidRPr="0004576F">
        <w:t>o</w:t>
      </w:r>
      <w:r w:rsidRPr="0004576F">
        <w:t>crates.</w:t>
      </w:r>
    </w:p>
  </w:footnote>
  <w:footnote w:id="1579">
    <w:p w14:paraId="72E71423" w14:textId="77777777" w:rsidR="00B01930" w:rsidRDefault="00B01930">
      <w:pPr>
        <w:pStyle w:val="Notedebasdepage"/>
      </w:pPr>
      <w:r>
        <w:rPr>
          <w:rStyle w:val="Appelnotedebasdep"/>
        </w:rPr>
        <w:footnoteRef/>
      </w:r>
      <w:r>
        <w:t xml:space="preserve"> </w:t>
      </w:r>
      <w:r>
        <w:tab/>
      </w:r>
      <w:r w:rsidRPr="0004576F">
        <w:t xml:space="preserve">Le </w:t>
      </w:r>
      <w:r w:rsidRPr="0004576F">
        <w:rPr>
          <w:i/>
        </w:rPr>
        <w:t>Tea Party</w:t>
      </w:r>
      <w:r w:rsidRPr="0004576F">
        <w:t xml:space="preserve"> né en 2008 pour s’opposer au renflouement des banques par l’État fédéral, suite à la crise fina</w:t>
      </w:r>
      <w:r w:rsidRPr="0004576F">
        <w:t>n</w:t>
      </w:r>
      <w:r w:rsidRPr="0004576F">
        <w:t>cière des « </w:t>
      </w:r>
      <w:r w:rsidRPr="0004576F">
        <w:rPr>
          <w:i/>
        </w:rPr>
        <w:t>surprimes</w:t>
      </w:r>
      <w:r w:rsidRPr="0004576F">
        <w:t> », puis à l’interventionnisme dans le domaine de la sécurité sociale, est un rassembl</w:t>
      </w:r>
      <w:r w:rsidRPr="0004576F">
        <w:t>e</w:t>
      </w:r>
      <w:r w:rsidRPr="0004576F">
        <w:t>ment assez hétéroclite de libertariens farouchement individualistes, de rép</w:t>
      </w:r>
      <w:r w:rsidRPr="0004576F">
        <w:t>u</w:t>
      </w:r>
      <w:r w:rsidRPr="0004576F">
        <w:t>blicains conservateurs, et d’évangélistes « radicaux ».</w:t>
      </w:r>
    </w:p>
  </w:footnote>
  <w:footnote w:id="1580">
    <w:p w14:paraId="25FC7E80" w14:textId="77777777" w:rsidR="00B01930" w:rsidRDefault="00B01930">
      <w:pPr>
        <w:pStyle w:val="Notedebasdepage"/>
      </w:pPr>
      <w:r>
        <w:rPr>
          <w:rStyle w:val="Appelnotedebasdep"/>
        </w:rPr>
        <w:footnoteRef/>
      </w:r>
      <w:r>
        <w:t xml:space="preserve"> </w:t>
      </w:r>
      <w:r>
        <w:tab/>
      </w:r>
      <w:r w:rsidRPr="0004576F">
        <w:t xml:space="preserve">Jean-Louis Martres, </w:t>
      </w:r>
      <w:r w:rsidRPr="0004576F">
        <w:rPr>
          <w:i/>
        </w:rPr>
        <w:t>Les Grilles…</w:t>
      </w:r>
      <w:r w:rsidRPr="0004576F">
        <w:t xml:space="preserve">, </w:t>
      </w:r>
      <w:r w:rsidRPr="0004576F">
        <w:rPr>
          <w:i/>
        </w:rPr>
        <w:t>op. cit.</w:t>
      </w:r>
      <w:r w:rsidRPr="0004576F">
        <w:t>, p. 477.</w:t>
      </w:r>
    </w:p>
  </w:footnote>
  <w:footnote w:id="1581">
    <w:p w14:paraId="628DAAAC" w14:textId="77777777" w:rsidR="00B01930" w:rsidRDefault="00B01930">
      <w:pPr>
        <w:pStyle w:val="Notedebasdepage"/>
      </w:pPr>
      <w:r>
        <w:rPr>
          <w:rStyle w:val="Appelnotedebasdep"/>
        </w:rPr>
        <w:footnoteRef/>
      </w:r>
      <w:r>
        <w:t xml:space="preserve"> </w:t>
      </w:r>
      <w:r>
        <w:tab/>
      </w:r>
      <w:r w:rsidRPr="0004576F">
        <w:t xml:space="preserve">Justin Vaïsse, </w:t>
      </w:r>
      <w:r w:rsidRPr="0004576F">
        <w:rPr>
          <w:i/>
        </w:rPr>
        <w:t>op.cit</w:t>
      </w:r>
      <w:r w:rsidRPr="0004576F">
        <w:t>., p. 288.</w:t>
      </w:r>
    </w:p>
  </w:footnote>
  <w:footnote w:id="1582">
    <w:p w14:paraId="6FD96ED5" w14:textId="77777777" w:rsidR="00B01930" w:rsidRDefault="00B01930">
      <w:pPr>
        <w:pStyle w:val="Notedebasdepage"/>
      </w:pPr>
      <w:r>
        <w:rPr>
          <w:rStyle w:val="Appelnotedebasdep"/>
        </w:rPr>
        <w:footnoteRef/>
      </w:r>
      <w:r>
        <w:t xml:space="preserve"> </w:t>
      </w:r>
      <w:r>
        <w:tab/>
      </w:r>
      <w:r w:rsidRPr="0004576F">
        <w:rPr>
          <w:i/>
        </w:rPr>
        <w:t>Idem</w:t>
      </w:r>
      <w:r w:rsidRPr="0004576F">
        <w:t>.</w:t>
      </w:r>
    </w:p>
  </w:footnote>
  <w:footnote w:id="1583">
    <w:p w14:paraId="037DE63B" w14:textId="77777777" w:rsidR="00B01930" w:rsidRDefault="00B01930">
      <w:pPr>
        <w:pStyle w:val="Notedebasdepage"/>
      </w:pPr>
      <w:r>
        <w:rPr>
          <w:rStyle w:val="Appelnotedebasdep"/>
        </w:rPr>
        <w:footnoteRef/>
      </w:r>
      <w:r>
        <w:t xml:space="preserve"> </w:t>
      </w:r>
      <w:r>
        <w:tab/>
      </w:r>
      <w:r w:rsidRPr="0004576F">
        <w:t>L’Islande est rarement citée comme « modèle »… Pour l’instant…</w:t>
      </w:r>
    </w:p>
  </w:footnote>
  <w:footnote w:id="1584">
    <w:p w14:paraId="0FF61ADC" w14:textId="77777777" w:rsidR="00B01930" w:rsidRDefault="00B01930">
      <w:pPr>
        <w:pStyle w:val="Notedebasdepage"/>
      </w:pPr>
      <w:r>
        <w:rPr>
          <w:rStyle w:val="Appelnotedebasdep"/>
        </w:rPr>
        <w:footnoteRef/>
      </w:r>
      <w:r>
        <w:t xml:space="preserve"> </w:t>
      </w:r>
      <w:r>
        <w:tab/>
      </w:r>
      <w:r w:rsidRPr="0004576F">
        <w:t xml:space="preserve">Voir : </w:t>
      </w:r>
      <w:r>
        <w:t>« </w:t>
      </w:r>
      <w:hyperlink r:id="rId55" w:history="1">
        <w:r w:rsidRPr="00824827">
          <w:rPr>
            <w:rStyle w:val="Hyperlien"/>
          </w:rPr>
          <w:t>Après les attentats de Copenhague, la déradicalisation “made in D</w:t>
        </w:r>
        <w:r w:rsidRPr="00824827">
          <w:rPr>
            <w:rStyle w:val="Hyperlien"/>
          </w:rPr>
          <w:t>a</w:t>
        </w:r>
        <w:r w:rsidRPr="00824827">
          <w:rPr>
            <w:rStyle w:val="Hyperlien"/>
          </w:rPr>
          <w:t>namark” en question </w:t>
        </w:r>
      </w:hyperlink>
      <w:r>
        <w:t xml:space="preserve">». </w:t>
      </w:r>
      <w:r w:rsidRPr="0004576F">
        <w:t>Danemark : du tutorat pour réhabiliter les jih</w:t>
      </w:r>
      <w:r w:rsidRPr="0004576F">
        <w:t>a</w:t>
      </w:r>
      <w:r w:rsidRPr="0004576F">
        <w:t>distes, AFP,</w:t>
      </w:r>
      <w:r>
        <w:t xml:space="preserve"> </w:t>
      </w:r>
      <w:hyperlink r:id="rId56" w:history="1">
        <w:r w:rsidRPr="00824827">
          <w:rPr>
            <w:rStyle w:val="Hyperlien"/>
          </w:rPr>
          <w:t>L’OBS</w:t>
        </w:r>
      </w:hyperlink>
      <w:r w:rsidRPr="0004576F">
        <w:t>. Consulté le 16/06/2015.</w:t>
      </w:r>
    </w:p>
  </w:footnote>
  <w:footnote w:id="1585">
    <w:p w14:paraId="6F7130F4" w14:textId="77777777" w:rsidR="00B01930" w:rsidRDefault="00B01930">
      <w:pPr>
        <w:pStyle w:val="Notedebasdepage"/>
      </w:pPr>
      <w:r>
        <w:rPr>
          <w:rStyle w:val="Appelnotedebasdep"/>
        </w:rPr>
        <w:footnoteRef/>
      </w:r>
      <w:r>
        <w:t xml:space="preserve"> </w:t>
      </w:r>
      <w:r>
        <w:tab/>
      </w:r>
      <w:r w:rsidRPr="0004576F">
        <w:t>Sites des ambassades « La France en Suède », « La France en Norvège », « la France au Danemark », « La France en Finlande », « La France en Islande », onglet « actualités bil</w:t>
      </w:r>
      <w:r w:rsidRPr="0004576F">
        <w:t>a</w:t>
      </w:r>
      <w:r w:rsidRPr="0004576F">
        <w:t>térales », sous-onglet « visites » : le site suédois donne une liste des visites depuis 1998, le site finlandais depuis 1999, le site danois depuis 2014, les sites norvégien et islandais ne donnent mention que des vis</w:t>
      </w:r>
      <w:r w:rsidRPr="0004576F">
        <w:t>i</w:t>
      </w:r>
      <w:r w:rsidRPr="0004576F">
        <w:t>tes les plus récentes.</w:t>
      </w:r>
    </w:p>
  </w:footnote>
  <w:footnote w:id="1586">
    <w:p w14:paraId="646FE1F8" w14:textId="77777777" w:rsidR="00B01930" w:rsidRDefault="00B01930">
      <w:pPr>
        <w:pStyle w:val="Notedebasdepage"/>
      </w:pPr>
      <w:r>
        <w:rPr>
          <w:rStyle w:val="Appelnotedebasdep"/>
        </w:rPr>
        <w:footnoteRef/>
      </w:r>
      <w:r>
        <w:t xml:space="preserve"> </w:t>
      </w:r>
      <w:r>
        <w:tab/>
      </w:r>
      <w:r w:rsidRPr="0004576F">
        <w:t>Pour les autres pays, il n’est pas mentionné.</w:t>
      </w:r>
    </w:p>
  </w:footnote>
  <w:footnote w:id="1587">
    <w:p w14:paraId="333CE580" w14:textId="77777777" w:rsidR="00B01930" w:rsidRDefault="00B01930">
      <w:pPr>
        <w:pStyle w:val="Notedebasdepage"/>
      </w:pPr>
      <w:r>
        <w:rPr>
          <w:rStyle w:val="Appelnotedebasdep"/>
        </w:rPr>
        <w:footnoteRef/>
      </w:r>
      <w:r>
        <w:t xml:space="preserve"> </w:t>
      </w:r>
      <w:r>
        <w:tab/>
      </w:r>
      <w:r w:rsidRPr="0004576F">
        <w:t xml:space="preserve">Romain Lescurieux, </w:t>
      </w:r>
      <w:hyperlink r:id="rId57" w:history="1">
        <w:r w:rsidRPr="00824827">
          <w:rPr>
            <w:rStyle w:val="Hyperlien"/>
          </w:rPr>
          <w:t>Manuel Valls au Danemark, pays de la flexisécurité</w:t>
        </w:r>
      </w:hyperlink>
      <w:r w:rsidRPr="0004576F">
        <w:t xml:space="preserve">, </w:t>
      </w:r>
      <w:r w:rsidRPr="0004576F">
        <w:rPr>
          <w:i/>
        </w:rPr>
        <w:t>20 minutes,</w:t>
      </w:r>
      <w:r w:rsidRPr="0004576F">
        <w:t xml:space="preserve"> 28/11/2014.</w:t>
      </w:r>
    </w:p>
  </w:footnote>
  <w:footnote w:id="1588">
    <w:p w14:paraId="423D2363" w14:textId="77777777" w:rsidR="00B01930" w:rsidRDefault="00B01930">
      <w:pPr>
        <w:pStyle w:val="Notedebasdepage"/>
      </w:pPr>
      <w:r>
        <w:rPr>
          <w:rStyle w:val="Appelnotedebasdep"/>
        </w:rPr>
        <w:footnoteRef/>
      </w:r>
      <w:r>
        <w:t xml:space="preserve"> </w:t>
      </w:r>
      <w:r>
        <w:tab/>
      </w:r>
      <w:r w:rsidRPr="0004576F">
        <w:t xml:space="preserve">Christina Peicuti, </w:t>
      </w:r>
      <w:hyperlink r:id="rId58" w:history="1">
        <w:r w:rsidRPr="00134C32">
          <w:rPr>
            <w:rStyle w:val="Hyperlien"/>
          </w:rPr>
          <w:t>Le modèle des pays nordiques est une vraie a</w:t>
        </w:r>
        <w:r w:rsidRPr="00134C32">
          <w:rPr>
            <w:rStyle w:val="Hyperlien"/>
          </w:rPr>
          <w:t>l</w:t>
        </w:r>
        <w:r w:rsidRPr="00134C32">
          <w:rPr>
            <w:rStyle w:val="Hyperlien"/>
          </w:rPr>
          <w:t>ternative à l’économie de l’offre</w:t>
        </w:r>
      </w:hyperlink>
      <w:r w:rsidRPr="0004576F">
        <w:t xml:space="preserve">, </w:t>
      </w:r>
      <w:r w:rsidRPr="0004576F">
        <w:rPr>
          <w:i/>
        </w:rPr>
        <w:t>Le Monde,</w:t>
      </w:r>
      <w:r>
        <w:t xml:space="preserve"> 20/05/2014.</w:t>
      </w:r>
    </w:p>
  </w:footnote>
  <w:footnote w:id="1589">
    <w:p w14:paraId="3E83562C" w14:textId="77777777" w:rsidR="00B01930" w:rsidRDefault="00B01930">
      <w:pPr>
        <w:pStyle w:val="Notedebasdepage"/>
      </w:pPr>
      <w:r>
        <w:rPr>
          <w:rStyle w:val="Appelnotedebasdep"/>
        </w:rPr>
        <w:footnoteRef/>
      </w:r>
      <w:r>
        <w:t xml:space="preserve"> </w:t>
      </w:r>
      <w:r>
        <w:tab/>
      </w:r>
      <w:r w:rsidRPr="0004576F">
        <w:t xml:space="preserve">Béatrice Richez-Baum, </w:t>
      </w:r>
      <w:hyperlink r:id="rId59" w:history="1">
        <w:r w:rsidRPr="00134C32">
          <w:rPr>
            <w:rStyle w:val="Hyperlien"/>
          </w:rPr>
          <w:t>Pays nordiques : des enseignements d’actualité pour la France</w:t>
        </w:r>
      </w:hyperlink>
      <w:r w:rsidRPr="0004576F">
        <w:t>, Les Échos.f</w:t>
      </w:r>
      <w:r>
        <w:t>r, 17/06/2014.</w:t>
      </w:r>
    </w:p>
  </w:footnote>
  <w:footnote w:id="1590">
    <w:p w14:paraId="4F8D9B38" w14:textId="77777777" w:rsidR="00B01930" w:rsidRDefault="00B01930">
      <w:pPr>
        <w:pStyle w:val="Notedebasdepage"/>
      </w:pPr>
      <w:r>
        <w:rPr>
          <w:rStyle w:val="Appelnotedebasdep"/>
        </w:rPr>
        <w:footnoteRef/>
      </w:r>
      <w:r>
        <w:t xml:space="preserve"> </w:t>
      </w:r>
      <w:r>
        <w:tab/>
      </w:r>
      <w:r w:rsidRPr="0004576F">
        <w:t xml:space="preserve">Sondage LH2, </w:t>
      </w:r>
      <w:r w:rsidRPr="0004576F">
        <w:rPr>
          <w:i/>
        </w:rPr>
        <w:t xml:space="preserve">Les modèles à l’étranger, </w:t>
      </w:r>
      <w:r w:rsidRPr="0004576F">
        <w:t>23 février 2007. Les Français se tou</w:t>
      </w:r>
      <w:r w:rsidRPr="0004576F">
        <w:t>r</w:t>
      </w:r>
      <w:r w:rsidRPr="0004576F">
        <w:t xml:space="preserve">nent vers le Nord, </w:t>
      </w:r>
      <w:r w:rsidRPr="0004576F">
        <w:rPr>
          <w:i/>
        </w:rPr>
        <w:t xml:space="preserve">20 minutes, </w:t>
      </w:r>
      <w:r w:rsidRPr="0004576F">
        <w:t>23/07/2007.</w:t>
      </w:r>
    </w:p>
  </w:footnote>
  <w:footnote w:id="1591">
    <w:p w14:paraId="068886E5" w14:textId="77777777" w:rsidR="00B01930" w:rsidRDefault="00B01930">
      <w:pPr>
        <w:pStyle w:val="Notedebasdepage"/>
      </w:pPr>
      <w:r>
        <w:rPr>
          <w:rStyle w:val="Appelnotedebasdep"/>
        </w:rPr>
        <w:footnoteRef/>
      </w:r>
      <w:r>
        <w:t xml:space="preserve"> </w:t>
      </w:r>
      <w:r>
        <w:tab/>
      </w:r>
      <w:r w:rsidRPr="0004576F">
        <w:t>Fait que je constate par exemple chaque année avec mes étudiants de Mast</w:t>
      </w:r>
      <w:r w:rsidRPr="0004576F">
        <w:t>è</w:t>
      </w:r>
      <w:r w:rsidRPr="0004576F">
        <w:t>re en Science politique inscrits à mon cours sur les systèmes politiques nord</w:t>
      </w:r>
      <w:r w:rsidRPr="0004576F">
        <w:t>i</w:t>
      </w:r>
      <w:r w:rsidRPr="0004576F">
        <w:t>ques…</w:t>
      </w:r>
    </w:p>
  </w:footnote>
  <w:footnote w:id="1592">
    <w:p w14:paraId="3EABA09C" w14:textId="77777777" w:rsidR="00B01930" w:rsidRDefault="00B01930">
      <w:pPr>
        <w:pStyle w:val="Notedebasdepage"/>
      </w:pPr>
      <w:r>
        <w:rPr>
          <w:rStyle w:val="Appelnotedebasdep"/>
        </w:rPr>
        <w:footnoteRef/>
      </w:r>
      <w:r>
        <w:t xml:space="preserve"> </w:t>
      </w:r>
      <w:r>
        <w:tab/>
      </w:r>
      <w:r w:rsidRPr="0004576F">
        <w:t>Pour faire court, on peut dire que « Scandinave » désigne les pays de culture scandinave et parlant des langues scandinaves (Suède, Danemark, Norvège, Islande), alors que « nordique » désigne l’ensemble de ces pays plus la Fi</w:t>
      </w:r>
      <w:r w:rsidRPr="0004576F">
        <w:t>n</w:t>
      </w:r>
      <w:r w:rsidRPr="0004576F">
        <w:t>lande qui ne parle pas une langue scandinave et les autres populations autoc</w:t>
      </w:r>
      <w:r w:rsidRPr="0004576F">
        <w:t>h</w:t>
      </w:r>
      <w:r w:rsidRPr="0004576F">
        <w:t>tones ne parlant pas des langues scandinaves (Sâmes, Inuit).</w:t>
      </w:r>
    </w:p>
  </w:footnote>
  <w:footnote w:id="1593">
    <w:p w14:paraId="593D5AF6" w14:textId="77777777" w:rsidR="00B01930" w:rsidRDefault="00B01930">
      <w:pPr>
        <w:pStyle w:val="Notedebasdepage"/>
      </w:pPr>
      <w:r>
        <w:rPr>
          <w:rStyle w:val="Appelnotedebasdep"/>
        </w:rPr>
        <w:footnoteRef/>
      </w:r>
      <w:r>
        <w:t xml:space="preserve"> </w:t>
      </w:r>
      <w:r>
        <w:tab/>
      </w:r>
      <w:r w:rsidRPr="0004576F">
        <w:t>Série de romans de Stieg Larsson, parus chez Actes Sud.</w:t>
      </w:r>
    </w:p>
  </w:footnote>
  <w:footnote w:id="1594">
    <w:p w14:paraId="21D7647D" w14:textId="77777777" w:rsidR="00B01930" w:rsidRDefault="00B01930">
      <w:pPr>
        <w:pStyle w:val="Notedebasdepage"/>
      </w:pPr>
      <w:r>
        <w:rPr>
          <w:rStyle w:val="Appelnotedebasdep"/>
        </w:rPr>
        <w:footnoteRef/>
      </w:r>
      <w:r>
        <w:t xml:space="preserve"> </w:t>
      </w:r>
      <w:r>
        <w:tab/>
      </w:r>
      <w:r w:rsidRPr="0004576F">
        <w:t>Jonas Jonasson, Pocket, 2012.</w:t>
      </w:r>
    </w:p>
  </w:footnote>
  <w:footnote w:id="1595">
    <w:p w14:paraId="5F36D012" w14:textId="77777777" w:rsidR="00B01930" w:rsidRDefault="00B01930">
      <w:pPr>
        <w:pStyle w:val="Notedebasdepage"/>
      </w:pPr>
      <w:r>
        <w:rPr>
          <w:rStyle w:val="Appelnotedebasdep"/>
        </w:rPr>
        <w:footnoteRef/>
      </w:r>
      <w:r>
        <w:t xml:space="preserve"> </w:t>
      </w:r>
      <w:r>
        <w:tab/>
      </w:r>
      <w:r w:rsidRPr="0004576F">
        <w:t>Briens, Sylvain, Valeurs démocratiques et littérature. Le roman policier su</w:t>
      </w:r>
      <w:r w:rsidRPr="0004576F">
        <w:t>é</w:t>
      </w:r>
      <w:r w:rsidRPr="0004576F">
        <w:t xml:space="preserve">dois : une nouvelle </w:t>
      </w:r>
      <w:r w:rsidRPr="0004576F">
        <w:rPr>
          <w:i/>
        </w:rPr>
        <w:t>littérature de mobilisation ?</w:t>
      </w:r>
      <w:r w:rsidRPr="0004576F">
        <w:t xml:space="preserve">, </w:t>
      </w:r>
      <w:r w:rsidRPr="0004576F">
        <w:rPr>
          <w:i/>
        </w:rPr>
        <w:t>Nord</w:t>
      </w:r>
      <w:r w:rsidRPr="0004576F">
        <w:rPr>
          <w:i/>
        </w:rPr>
        <w:t>i</w:t>
      </w:r>
      <w:r w:rsidRPr="0004576F">
        <w:rPr>
          <w:i/>
        </w:rPr>
        <w:t xml:space="preserve">ques, </w:t>
      </w:r>
      <w:r w:rsidRPr="0004576F">
        <w:t xml:space="preserve">Automne 2013, n° 26, p. 147-161. Voir aussi : Margrethe Lykke-Eriksen, « La reception de la littérature nordique : un modèle démasqué ? », </w:t>
      </w:r>
      <w:r w:rsidRPr="0004576F">
        <w:rPr>
          <w:i/>
        </w:rPr>
        <w:t xml:space="preserve">Nordiques, </w:t>
      </w:r>
      <w:r w:rsidRPr="0004576F">
        <w:t>n° 25, 2013.</w:t>
      </w:r>
    </w:p>
  </w:footnote>
  <w:footnote w:id="1596">
    <w:p w14:paraId="54D93960" w14:textId="77777777" w:rsidR="00B01930" w:rsidRDefault="00B01930">
      <w:pPr>
        <w:pStyle w:val="Notedebasdepage"/>
      </w:pPr>
      <w:r>
        <w:rPr>
          <w:rStyle w:val="Appelnotedebasdep"/>
        </w:rPr>
        <w:footnoteRef/>
      </w:r>
      <w:r>
        <w:t xml:space="preserve"> </w:t>
      </w:r>
      <w:r>
        <w:tab/>
      </w:r>
      <w:r w:rsidRPr="0004576F">
        <w:rPr>
          <w:i/>
        </w:rPr>
        <w:t>Ibidem</w:t>
      </w:r>
      <w:r w:rsidRPr="0004576F">
        <w:t>, p. 159.</w:t>
      </w:r>
    </w:p>
  </w:footnote>
  <w:footnote w:id="1597">
    <w:p w14:paraId="2C7AF4DD" w14:textId="77777777" w:rsidR="00B01930" w:rsidRDefault="00B01930">
      <w:pPr>
        <w:pStyle w:val="Notedebasdepage"/>
      </w:pPr>
      <w:r>
        <w:rPr>
          <w:rStyle w:val="Appelnotedebasdep"/>
        </w:rPr>
        <w:footnoteRef/>
      </w:r>
      <w:r>
        <w:t xml:space="preserve"> </w:t>
      </w:r>
      <w:r>
        <w:tab/>
      </w:r>
      <w:r w:rsidRPr="0004576F">
        <w:t xml:space="preserve">Briens, S. Gadelii, K. E., Lehman, M-B., Maillefer, J-M. dirs, </w:t>
      </w:r>
      <w:r w:rsidRPr="0004576F">
        <w:rPr>
          <w:i/>
        </w:rPr>
        <w:t>Cent ans d’études scandinaves, centenaire de la fondation de la cha</w:t>
      </w:r>
      <w:r w:rsidRPr="0004576F">
        <w:rPr>
          <w:i/>
        </w:rPr>
        <w:t>i</w:t>
      </w:r>
      <w:r w:rsidRPr="0004576F">
        <w:rPr>
          <w:i/>
        </w:rPr>
        <w:t xml:space="preserve">re de langues et littératures scandinaves à la Sorbonne en 1909, </w:t>
      </w:r>
      <w:r w:rsidRPr="0004576F">
        <w:t>Konferenser 77, Kungl. Vi</w:t>
      </w:r>
      <w:r w:rsidRPr="0004576F">
        <w:t>t</w:t>
      </w:r>
      <w:r w:rsidRPr="0004576F">
        <w:t>terhets Historie och Antikvitets Akad</w:t>
      </w:r>
      <w:r w:rsidRPr="0004576F">
        <w:t>e</w:t>
      </w:r>
      <w:r w:rsidRPr="0004576F">
        <w:t>mien, Stockholm, 2012.</w:t>
      </w:r>
    </w:p>
  </w:footnote>
  <w:footnote w:id="1598">
    <w:p w14:paraId="041085B9" w14:textId="77777777" w:rsidR="00B01930" w:rsidRDefault="00B01930">
      <w:pPr>
        <w:pStyle w:val="Notedebasdepage"/>
      </w:pPr>
      <w:r>
        <w:rPr>
          <w:rStyle w:val="Appelnotedebasdep"/>
        </w:rPr>
        <w:footnoteRef/>
      </w:r>
      <w:r>
        <w:t xml:space="preserve"> </w:t>
      </w:r>
      <w:r>
        <w:tab/>
      </w:r>
      <w:r w:rsidRPr="0004576F">
        <w:t xml:space="preserve">Fournier, Vincent, </w:t>
      </w:r>
      <w:r w:rsidRPr="0004576F">
        <w:rPr>
          <w:i/>
        </w:rPr>
        <w:t xml:space="preserve">Le Voyage en Scancinavie, Anthologie de voyageurs 1627-1914, </w:t>
      </w:r>
      <w:r w:rsidRPr="0004576F">
        <w:t>Paris, Robert Laffont, Bouquins, 2001.</w:t>
      </w:r>
    </w:p>
  </w:footnote>
  <w:footnote w:id="1599">
    <w:p w14:paraId="08E6CFF8" w14:textId="77777777" w:rsidR="00B01930" w:rsidRDefault="00B01930">
      <w:pPr>
        <w:pStyle w:val="Notedebasdepage"/>
      </w:pPr>
      <w:r>
        <w:rPr>
          <w:rStyle w:val="Appelnotedebasdep"/>
        </w:rPr>
        <w:footnoteRef/>
      </w:r>
      <w:r>
        <w:t xml:space="preserve"> </w:t>
      </w:r>
      <w:r>
        <w:tab/>
      </w:r>
      <w:r w:rsidRPr="0004576F">
        <w:t xml:space="preserve">Dont </w:t>
      </w:r>
      <w:r w:rsidRPr="0004576F">
        <w:rPr>
          <w:i/>
        </w:rPr>
        <w:t xml:space="preserve">Le Voyage au centre de la terre </w:t>
      </w:r>
      <w:r w:rsidRPr="0004576F">
        <w:t>de Jules Verne, qui ne s’est pas rendu sur place mais dont la précision des informations permit une description fidèle de Reykjavik.</w:t>
      </w:r>
    </w:p>
  </w:footnote>
  <w:footnote w:id="1600">
    <w:p w14:paraId="19C514B1" w14:textId="77777777" w:rsidR="00B01930" w:rsidRDefault="00B01930">
      <w:pPr>
        <w:pStyle w:val="Notedebasdepage"/>
      </w:pPr>
      <w:r>
        <w:rPr>
          <w:rStyle w:val="Appelnotedebasdep"/>
        </w:rPr>
        <w:footnoteRef/>
      </w:r>
      <w:r>
        <w:t xml:space="preserve"> </w:t>
      </w:r>
      <w:r>
        <w:tab/>
      </w:r>
      <w:r w:rsidRPr="0004576F">
        <w:t xml:space="preserve">Malaurie, Jean, </w:t>
      </w:r>
      <w:hyperlink r:id="rId60" w:history="1">
        <w:r w:rsidRPr="00134C32">
          <w:rPr>
            <w:rStyle w:val="Hyperlien"/>
          </w:rPr>
          <w:t>Le mythe du pôle nord : Les hyperboréens, Apo</w:t>
        </w:r>
        <w:r w:rsidRPr="00134C32">
          <w:rPr>
            <w:rStyle w:val="Hyperlien"/>
          </w:rPr>
          <w:t>l</w:t>
        </w:r>
        <w:r w:rsidRPr="00134C32">
          <w:rPr>
            <w:rStyle w:val="Hyperlien"/>
          </w:rPr>
          <w:t>lon, la licorne de mer et l’étoile polaire</w:t>
        </w:r>
      </w:hyperlink>
      <w:r w:rsidRPr="0004576F">
        <w:t>, Co</w:t>
      </w:r>
      <w:r w:rsidRPr="0004576F">
        <w:t>l</w:t>
      </w:r>
      <w:r w:rsidRPr="0004576F">
        <w:t xml:space="preserve">loque d’études arctiques, </w:t>
      </w:r>
      <w:r w:rsidRPr="0004576F">
        <w:rPr>
          <w:i/>
        </w:rPr>
        <w:t xml:space="preserve">Pôle nord, </w:t>
      </w:r>
      <w:r>
        <w:t>1983.</w:t>
      </w:r>
    </w:p>
  </w:footnote>
  <w:footnote w:id="1601">
    <w:p w14:paraId="38B79B99" w14:textId="77777777" w:rsidR="00B01930" w:rsidRDefault="00B01930">
      <w:pPr>
        <w:pStyle w:val="Notedebasdepage"/>
      </w:pPr>
      <w:r>
        <w:rPr>
          <w:rStyle w:val="Appelnotedebasdep"/>
        </w:rPr>
        <w:footnoteRef/>
      </w:r>
      <w:r>
        <w:t xml:space="preserve"> </w:t>
      </w:r>
      <w:r>
        <w:tab/>
      </w:r>
      <w:r w:rsidRPr="0004576F">
        <w:t>Battail, Jean-François, « L’Image du nord en France et les études scandin</w:t>
      </w:r>
      <w:r w:rsidRPr="0004576F">
        <w:t>a</w:t>
      </w:r>
      <w:r w:rsidRPr="0004576F">
        <w:t xml:space="preserve">ves », in Briens, Gadelli, Lehman, Maillefer, dir. </w:t>
      </w:r>
      <w:r w:rsidRPr="0004576F">
        <w:rPr>
          <w:i/>
        </w:rPr>
        <w:t>Cent ans d’études scandin</w:t>
      </w:r>
      <w:r w:rsidRPr="0004576F">
        <w:rPr>
          <w:i/>
        </w:rPr>
        <w:t>a</w:t>
      </w:r>
      <w:r w:rsidRPr="0004576F">
        <w:rPr>
          <w:i/>
        </w:rPr>
        <w:t>ves…</w:t>
      </w:r>
      <w:r w:rsidRPr="0004576F">
        <w:t xml:space="preserve">, </w:t>
      </w:r>
      <w:r w:rsidRPr="0004576F">
        <w:rPr>
          <w:i/>
        </w:rPr>
        <w:t>op. cit</w:t>
      </w:r>
      <w:r w:rsidRPr="0004576F">
        <w:t>., p. 86. Je m’inspire largement de ce texte pour ce pass</w:t>
      </w:r>
      <w:r w:rsidRPr="0004576F">
        <w:t>a</w:t>
      </w:r>
      <w:r w:rsidRPr="0004576F">
        <w:t>ge, merci à M. Battail.</w:t>
      </w:r>
    </w:p>
  </w:footnote>
  <w:footnote w:id="1602">
    <w:p w14:paraId="76D9197D" w14:textId="77777777" w:rsidR="00B01930" w:rsidRDefault="00B01930">
      <w:pPr>
        <w:pStyle w:val="Notedebasdepage"/>
      </w:pPr>
      <w:r>
        <w:rPr>
          <w:rStyle w:val="Appelnotedebasdep"/>
        </w:rPr>
        <w:footnoteRef/>
      </w:r>
      <w:r>
        <w:t xml:space="preserve"> </w:t>
      </w:r>
      <w:r>
        <w:tab/>
      </w:r>
      <w:r w:rsidRPr="0004576F">
        <w:rPr>
          <w:i/>
        </w:rPr>
        <w:t>Ibidem</w:t>
      </w:r>
      <w:r w:rsidRPr="0004576F">
        <w:t>, p. 87.</w:t>
      </w:r>
    </w:p>
  </w:footnote>
  <w:footnote w:id="1603">
    <w:p w14:paraId="01B3D99C" w14:textId="77777777" w:rsidR="00B01930" w:rsidRDefault="00B01930">
      <w:pPr>
        <w:pStyle w:val="Notedebasdepage"/>
      </w:pPr>
      <w:r>
        <w:rPr>
          <w:rStyle w:val="Appelnotedebasdep"/>
        </w:rPr>
        <w:footnoteRef/>
      </w:r>
      <w:r>
        <w:t xml:space="preserve"> </w:t>
      </w:r>
      <w:r>
        <w:tab/>
      </w:r>
      <w:r w:rsidRPr="0004576F">
        <w:t>Ce texte, redécouvert en Suède au XVI</w:t>
      </w:r>
      <w:r w:rsidRPr="0004576F">
        <w:rPr>
          <w:vertAlign w:val="superscript"/>
        </w:rPr>
        <w:t>ème</w:t>
      </w:r>
      <w:r w:rsidRPr="0004576F">
        <w:t xml:space="preserve"> siècle sera à l’origine du götici</w:t>
      </w:r>
      <w:r w:rsidRPr="0004576F">
        <w:t>s</w:t>
      </w:r>
      <w:r w:rsidRPr="0004576F">
        <w:t>me, mouvement qui fut le support d’un discours identitaire national renouvelé.</w:t>
      </w:r>
    </w:p>
  </w:footnote>
  <w:footnote w:id="1604">
    <w:p w14:paraId="6BAFD943" w14:textId="77777777" w:rsidR="00B01930" w:rsidRDefault="00B01930">
      <w:pPr>
        <w:pStyle w:val="Notedebasdepage"/>
      </w:pPr>
      <w:r>
        <w:rPr>
          <w:rStyle w:val="Appelnotedebasdep"/>
        </w:rPr>
        <w:footnoteRef/>
      </w:r>
      <w:r>
        <w:t xml:space="preserve"> </w:t>
      </w:r>
      <w:r>
        <w:tab/>
      </w:r>
      <w:r w:rsidRPr="0004576F">
        <w:t xml:space="preserve">Il appliquera sa théorie des climats au nord… Montesquieu, </w:t>
      </w:r>
      <w:hyperlink r:id="rId61" w:history="1">
        <w:r w:rsidRPr="00134C32">
          <w:rPr>
            <w:rStyle w:val="Hyperlien"/>
            <w:i/>
          </w:rPr>
          <w:t>L’Esprit des lois</w:t>
        </w:r>
      </w:hyperlink>
      <w:r w:rsidRPr="0004576F">
        <w:rPr>
          <w:i/>
        </w:rPr>
        <w:t xml:space="preserve">, </w:t>
      </w:r>
      <w:r w:rsidRPr="0004576F">
        <w:t>livre XVII, chapitre 5, 1772.</w:t>
      </w:r>
    </w:p>
  </w:footnote>
  <w:footnote w:id="1605">
    <w:p w14:paraId="542EC3E5" w14:textId="77777777" w:rsidR="00B01930" w:rsidRDefault="00B01930">
      <w:pPr>
        <w:pStyle w:val="Notedebasdepage"/>
      </w:pPr>
      <w:r>
        <w:rPr>
          <w:rStyle w:val="Appelnotedebasdep"/>
        </w:rPr>
        <w:footnoteRef/>
      </w:r>
      <w:r>
        <w:t xml:space="preserve"> </w:t>
      </w:r>
      <w:r>
        <w:tab/>
      </w:r>
      <w:r w:rsidRPr="0004576F">
        <w:t xml:space="preserve">Voltaire, </w:t>
      </w:r>
      <w:hyperlink r:id="rId62" w:history="1">
        <w:r w:rsidRPr="00134C32">
          <w:rPr>
            <w:rStyle w:val="Hyperlien"/>
            <w:i/>
          </w:rPr>
          <w:t>Essai sur les moeurs et l’esprit des nations</w:t>
        </w:r>
      </w:hyperlink>
      <w:r w:rsidRPr="0004576F">
        <w:rPr>
          <w:i/>
        </w:rPr>
        <w:t xml:space="preserve">, </w:t>
      </w:r>
      <w:r w:rsidRPr="0004576F">
        <w:t>M. Be</w:t>
      </w:r>
      <w:r w:rsidRPr="0004576F">
        <w:t>u</w:t>
      </w:r>
      <w:r w:rsidRPr="0004576F">
        <w:t xml:space="preserve">chot, </w:t>
      </w:r>
      <w:r>
        <w:t>Paris, 1829.</w:t>
      </w:r>
    </w:p>
  </w:footnote>
  <w:footnote w:id="1606">
    <w:p w14:paraId="211E0FF8" w14:textId="77777777" w:rsidR="00B01930" w:rsidRDefault="00B01930">
      <w:pPr>
        <w:pStyle w:val="Notedebasdepage"/>
      </w:pPr>
      <w:r>
        <w:rPr>
          <w:rStyle w:val="Appelnotedebasdep"/>
        </w:rPr>
        <w:footnoteRef/>
      </w:r>
      <w:r>
        <w:t xml:space="preserve"> </w:t>
      </w:r>
      <w:r>
        <w:tab/>
      </w:r>
      <w:r w:rsidRPr="0004576F">
        <w:t xml:space="preserve">Ampère, Jean-Jacques, </w:t>
      </w:r>
      <w:r w:rsidRPr="0004576F">
        <w:rPr>
          <w:i/>
        </w:rPr>
        <w:t xml:space="preserve">En Suède et en Norvège, </w:t>
      </w:r>
      <w:r w:rsidRPr="0004576F">
        <w:t>1827. In Fou</w:t>
      </w:r>
      <w:r w:rsidRPr="0004576F">
        <w:t>r</w:t>
      </w:r>
      <w:r w:rsidRPr="0004576F">
        <w:t xml:space="preserve">nier, Vincent, </w:t>
      </w:r>
      <w:r w:rsidRPr="0004576F">
        <w:rPr>
          <w:i/>
        </w:rPr>
        <w:t>Le Voyage en Scandinavie, A</w:t>
      </w:r>
      <w:r w:rsidRPr="0004576F">
        <w:rPr>
          <w:i/>
        </w:rPr>
        <w:t>n</w:t>
      </w:r>
      <w:r w:rsidRPr="0004576F">
        <w:rPr>
          <w:i/>
        </w:rPr>
        <w:t xml:space="preserve">thologie de voyageurs 1627-1914, </w:t>
      </w:r>
      <w:r w:rsidRPr="0004576F">
        <w:t>Paris, Robert Laffont, Bouquins, 2001, p. 177.</w:t>
      </w:r>
    </w:p>
  </w:footnote>
  <w:footnote w:id="1607">
    <w:p w14:paraId="19576687" w14:textId="77777777" w:rsidR="00B01930" w:rsidRDefault="00B01930">
      <w:pPr>
        <w:pStyle w:val="Notedebasdepage"/>
      </w:pPr>
      <w:r>
        <w:rPr>
          <w:rStyle w:val="Appelnotedebasdep"/>
        </w:rPr>
        <w:footnoteRef/>
      </w:r>
      <w:r>
        <w:t xml:space="preserve"> </w:t>
      </w:r>
      <w:r>
        <w:tab/>
      </w:r>
      <w:r w:rsidRPr="0004576F">
        <w:t>La Suède et la Norvège constituaient alors une union d’États.</w:t>
      </w:r>
    </w:p>
  </w:footnote>
  <w:footnote w:id="1608">
    <w:p w14:paraId="4904FCD1" w14:textId="77777777" w:rsidR="00B01930" w:rsidRDefault="00B01930">
      <w:pPr>
        <w:pStyle w:val="Notedebasdepage"/>
      </w:pPr>
      <w:r>
        <w:rPr>
          <w:rStyle w:val="Appelnotedebasdep"/>
        </w:rPr>
        <w:footnoteRef/>
      </w:r>
      <w:r>
        <w:t xml:space="preserve"> </w:t>
      </w:r>
      <w:r>
        <w:tab/>
      </w:r>
      <w:r w:rsidRPr="0004576F">
        <w:t xml:space="preserve">Battail, J.-F., </w:t>
      </w:r>
      <w:r w:rsidRPr="0004576F">
        <w:rPr>
          <w:i/>
        </w:rPr>
        <w:t>L’Image du nord</w:t>
      </w:r>
      <w:r w:rsidRPr="0004576F">
        <w:t xml:space="preserve">, </w:t>
      </w:r>
      <w:r w:rsidRPr="0004576F">
        <w:rPr>
          <w:i/>
        </w:rPr>
        <w:t>op. cit</w:t>
      </w:r>
      <w:r w:rsidRPr="0004576F">
        <w:t>., p. 96.</w:t>
      </w:r>
    </w:p>
  </w:footnote>
  <w:footnote w:id="1609">
    <w:p w14:paraId="5F63CB78" w14:textId="77777777" w:rsidR="00B01930" w:rsidRDefault="00B01930">
      <w:pPr>
        <w:pStyle w:val="Notedebasdepage"/>
      </w:pPr>
      <w:r>
        <w:rPr>
          <w:rStyle w:val="Appelnotedebasdep"/>
        </w:rPr>
        <w:footnoteRef/>
      </w:r>
      <w:r>
        <w:t xml:space="preserve"> </w:t>
      </w:r>
      <w:r>
        <w:tab/>
      </w:r>
      <w:r w:rsidRPr="0004576F">
        <w:t xml:space="preserve">Fournier, Vincent, </w:t>
      </w:r>
      <w:r w:rsidRPr="0004576F">
        <w:rPr>
          <w:i/>
        </w:rPr>
        <w:t>L’Utopie ambiguë. La Suède et la Norvège chez les voy</w:t>
      </w:r>
      <w:r w:rsidRPr="0004576F">
        <w:rPr>
          <w:i/>
        </w:rPr>
        <w:t>a</w:t>
      </w:r>
      <w:r w:rsidRPr="0004576F">
        <w:rPr>
          <w:i/>
        </w:rPr>
        <w:t>geurs et e</w:t>
      </w:r>
      <w:r w:rsidRPr="0004576F">
        <w:rPr>
          <w:i/>
        </w:rPr>
        <w:t>s</w:t>
      </w:r>
      <w:r w:rsidRPr="0004576F">
        <w:rPr>
          <w:i/>
        </w:rPr>
        <w:t xml:space="preserve">sayistes français (1882-1914), </w:t>
      </w:r>
      <w:r w:rsidRPr="0004576F">
        <w:t>Clermont-Ferrand, Adosa, 1989.</w:t>
      </w:r>
    </w:p>
  </w:footnote>
  <w:footnote w:id="1610">
    <w:p w14:paraId="1281A9DE" w14:textId="77777777" w:rsidR="00B01930" w:rsidRDefault="00B01930">
      <w:pPr>
        <w:pStyle w:val="Notedebasdepage"/>
      </w:pPr>
      <w:r>
        <w:rPr>
          <w:rStyle w:val="Appelnotedebasdep"/>
        </w:rPr>
        <w:footnoteRef/>
      </w:r>
      <w:r>
        <w:t xml:space="preserve"> </w:t>
      </w:r>
      <w:r>
        <w:tab/>
      </w:r>
      <w:r w:rsidRPr="0004576F">
        <w:t xml:space="preserve">Malaurie, J., </w:t>
      </w:r>
      <w:r w:rsidRPr="0004576F">
        <w:rPr>
          <w:i/>
        </w:rPr>
        <w:t>op. cit</w:t>
      </w:r>
      <w:r w:rsidRPr="0004576F">
        <w:t>.</w:t>
      </w:r>
    </w:p>
  </w:footnote>
  <w:footnote w:id="1611">
    <w:p w14:paraId="135E5303" w14:textId="77777777" w:rsidR="00B01930" w:rsidRDefault="00B01930">
      <w:pPr>
        <w:pStyle w:val="Notedebasdepage"/>
      </w:pPr>
      <w:r>
        <w:rPr>
          <w:rStyle w:val="Appelnotedebasdep"/>
        </w:rPr>
        <w:footnoteRef/>
      </w:r>
      <w:r>
        <w:t xml:space="preserve"> </w:t>
      </w:r>
      <w:r>
        <w:tab/>
      </w:r>
      <w:r w:rsidRPr="0004576F">
        <w:t xml:space="preserve">Andersson, Kajsa (dir.), </w:t>
      </w:r>
      <w:r w:rsidRPr="0004576F">
        <w:rPr>
          <w:i/>
        </w:rPr>
        <w:t xml:space="preserve">L’Image du Nord chez Stendahl et les romantiques, </w:t>
      </w:r>
      <w:r w:rsidRPr="0004576F">
        <w:t>Actes du co</w:t>
      </w:r>
      <w:r w:rsidRPr="0004576F">
        <w:t>l</w:t>
      </w:r>
      <w:r w:rsidRPr="0004576F">
        <w:t xml:space="preserve">loque de l’Université d’Örebro, 25-27 avril 2002, Presses de l’Université d’Örebro, 2004, 2t. Cf. Faramond, Guy de, </w:t>
      </w:r>
      <w:r w:rsidRPr="0004576F">
        <w:rPr>
          <w:i/>
        </w:rPr>
        <w:t xml:space="preserve">Svea et Marianne, les relations franco-suédoises une fascination réciproque, </w:t>
      </w:r>
      <w:r w:rsidRPr="0004576F">
        <w:t>Paris, Michel de Ma</w:t>
      </w:r>
      <w:r w:rsidRPr="0004576F">
        <w:t>u</w:t>
      </w:r>
      <w:r w:rsidRPr="0004576F">
        <w:t xml:space="preserve">le, 2007, p. 28. Fournier, V. </w:t>
      </w:r>
      <w:r w:rsidRPr="0004576F">
        <w:rPr>
          <w:i/>
        </w:rPr>
        <w:t>Le Voyage en Scand</w:t>
      </w:r>
      <w:r w:rsidRPr="0004576F">
        <w:rPr>
          <w:i/>
        </w:rPr>
        <w:t>i</w:t>
      </w:r>
      <w:r w:rsidRPr="0004576F">
        <w:rPr>
          <w:i/>
        </w:rPr>
        <w:t>navie, op. cit</w:t>
      </w:r>
      <w:r w:rsidRPr="0004576F">
        <w:t>.</w:t>
      </w:r>
    </w:p>
  </w:footnote>
  <w:footnote w:id="1612">
    <w:p w14:paraId="24A357C2" w14:textId="77777777" w:rsidR="00B01930" w:rsidRDefault="00B01930">
      <w:pPr>
        <w:pStyle w:val="Notedebasdepage"/>
      </w:pPr>
      <w:r>
        <w:rPr>
          <w:rStyle w:val="Appelnotedebasdep"/>
        </w:rPr>
        <w:footnoteRef/>
      </w:r>
      <w:r>
        <w:t xml:space="preserve"> </w:t>
      </w:r>
      <w:r>
        <w:tab/>
      </w:r>
      <w:r w:rsidRPr="0004576F">
        <w:t xml:space="preserve">Boyer, Régis, « De la tenace survie des mythes du Nord », </w:t>
      </w:r>
      <w:r w:rsidRPr="0004576F">
        <w:rPr>
          <w:i/>
        </w:rPr>
        <w:t>No</w:t>
      </w:r>
      <w:r w:rsidRPr="0004576F">
        <w:rPr>
          <w:i/>
        </w:rPr>
        <w:t>r</w:t>
      </w:r>
      <w:r w:rsidRPr="0004576F">
        <w:rPr>
          <w:i/>
        </w:rPr>
        <w:t xml:space="preserve">diques, </w:t>
      </w:r>
      <w:r w:rsidRPr="0004576F">
        <w:t>2003, n° 1.</w:t>
      </w:r>
    </w:p>
  </w:footnote>
  <w:footnote w:id="1613">
    <w:p w14:paraId="296A73C3" w14:textId="77777777" w:rsidR="00B01930" w:rsidRDefault="00B01930">
      <w:pPr>
        <w:pStyle w:val="Notedebasdepage"/>
      </w:pPr>
      <w:r>
        <w:rPr>
          <w:rStyle w:val="Appelnotedebasdep"/>
        </w:rPr>
        <w:footnoteRef/>
      </w:r>
      <w:r>
        <w:t xml:space="preserve"> </w:t>
      </w:r>
      <w:r>
        <w:tab/>
      </w:r>
      <w:r w:rsidRPr="0004576F">
        <w:t>Maillefer, « Jean-Marie, Paul Verrier et la première chaire d’études scandin</w:t>
      </w:r>
      <w:r w:rsidRPr="0004576F">
        <w:t>a</w:t>
      </w:r>
      <w:r w:rsidRPr="0004576F">
        <w:t xml:space="preserve">ves à la Sorbonne », in </w:t>
      </w:r>
      <w:r w:rsidRPr="0004576F">
        <w:rPr>
          <w:i/>
        </w:rPr>
        <w:t>Cent ans d’études scandinaves, op. cit.</w:t>
      </w:r>
      <w:r w:rsidRPr="0004576F">
        <w:t>, p. 21-43. Mai</w:t>
      </w:r>
      <w:r w:rsidRPr="0004576F">
        <w:t>l</w:t>
      </w:r>
      <w:r w:rsidRPr="0004576F">
        <w:t>lefer, Jean-Marie, « Les premiers successeurs de Paul Verrier : Alfred J</w:t>
      </w:r>
      <w:r w:rsidRPr="0004576F">
        <w:t>o</w:t>
      </w:r>
      <w:r w:rsidRPr="0004576F">
        <w:t xml:space="preserve">livet et Maurice Gravier », </w:t>
      </w:r>
      <w:r w:rsidRPr="0004576F">
        <w:rPr>
          <w:i/>
        </w:rPr>
        <w:t>ibid.</w:t>
      </w:r>
      <w:r w:rsidRPr="0004576F">
        <w:t>, p. 45-74.</w:t>
      </w:r>
    </w:p>
  </w:footnote>
  <w:footnote w:id="1614">
    <w:p w14:paraId="73E7C1D9" w14:textId="77777777" w:rsidR="00B01930" w:rsidRDefault="00B01930">
      <w:pPr>
        <w:pStyle w:val="Notedebasdepage"/>
      </w:pPr>
      <w:r>
        <w:rPr>
          <w:rStyle w:val="Appelnotedebasdep"/>
        </w:rPr>
        <w:footnoteRef/>
      </w:r>
      <w:r>
        <w:t xml:space="preserve"> </w:t>
      </w:r>
      <w:r>
        <w:tab/>
      </w:r>
      <w:r w:rsidRPr="0004576F">
        <w:t>Boyer, Régis, « Les études scandinaves à la Sorbonne : un b</w:t>
      </w:r>
      <w:r w:rsidRPr="0004576F">
        <w:t>i</w:t>
      </w:r>
      <w:r w:rsidRPr="0004576F">
        <w:t xml:space="preserve">lan », </w:t>
      </w:r>
      <w:r w:rsidRPr="0004576F">
        <w:rPr>
          <w:i/>
        </w:rPr>
        <w:t>ibidem</w:t>
      </w:r>
      <w:r w:rsidRPr="0004576F">
        <w:t>, p. 75-84.</w:t>
      </w:r>
    </w:p>
  </w:footnote>
  <w:footnote w:id="1615">
    <w:p w14:paraId="1D04A303" w14:textId="77777777" w:rsidR="00B01930" w:rsidRDefault="00B01930">
      <w:pPr>
        <w:pStyle w:val="Notedebasdepage"/>
      </w:pPr>
      <w:r>
        <w:rPr>
          <w:rStyle w:val="Appelnotedebasdep"/>
        </w:rPr>
        <w:footnoteRef/>
      </w:r>
      <w:r>
        <w:t xml:space="preserve"> </w:t>
      </w:r>
      <w:r>
        <w:tab/>
      </w:r>
      <w:r w:rsidRPr="0004576F">
        <w:t>François Émion, « Les theses d’études scandinaves à la Sorbo</w:t>
      </w:r>
      <w:r w:rsidRPr="0004576F">
        <w:t>n</w:t>
      </w:r>
      <w:r w:rsidRPr="0004576F">
        <w:t xml:space="preserve">ne », </w:t>
      </w:r>
      <w:r w:rsidRPr="0004576F">
        <w:rPr>
          <w:i/>
        </w:rPr>
        <w:t>ibidem</w:t>
      </w:r>
      <w:r w:rsidRPr="0004576F">
        <w:t>, p. 101-125.</w:t>
      </w:r>
    </w:p>
  </w:footnote>
  <w:footnote w:id="1616">
    <w:p w14:paraId="55EE6342" w14:textId="77777777" w:rsidR="00B01930" w:rsidRDefault="00B01930">
      <w:pPr>
        <w:pStyle w:val="Notedebasdepage"/>
      </w:pPr>
      <w:r>
        <w:rPr>
          <w:rStyle w:val="Appelnotedebasdep"/>
        </w:rPr>
        <w:footnoteRef/>
      </w:r>
      <w:r>
        <w:t xml:space="preserve"> </w:t>
      </w:r>
      <w:r>
        <w:tab/>
      </w:r>
      <w:r w:rsidRPr="0004576F">
        <w:rPr>
          <w:i/>
        </w:rPr>
        <w:t>Ibidem.</w:t>
      </w:r>
    </w:p>
  </w:footnote>
  <w:footnote w:id="1617">
    <w:p w14:paraId="3562CB85" w14:textId="77777777" w:rsidR="00B01930" w:rsidRDefault="00B01930">
      <w:pPr>
        <w:pStyle w:val="Notedebasdepage"/>
      </w:pPr>
      <w:r>
        <w:rPr>
          <w:rStyle w:val="Appelnotedebasdep"/>
        </w:rPr>
        <w:footnoteRef/>
      </w:r>
      <w:r>
        <w:t xml:space="preserve"> </w:t>
      </w:r>
      <w:r>
        <w:tab/>
      </w:r>
      <w:r w:rsidRPr="0004576F">
        <w:t>Les sujets de Science économique portaient en général sur des mécanismes très techn</w:t>
      </w:r>
      <w:r w:rsidRPr="0004576F">
        <w:t>i</w:t>
      </w:r>
      <w:r w:rsidRPr="0004576F">
        <w:t>ques, je n’ai recensé que ceux qui pouvaient entrer dans le thème « modèle nordique », par exemple des sujets sur les politiques économ</w:t>
      </w:r>
      <w:r w:rsidRPr="0004576F">
        <w:t>i</w:t>
      </w:r>
      <w:r w:rsidRPr="0004576F">
        <w:t>ques.</w:t>
      </w:r>
    </w:p>
  </w:footnote>
  <w:footnote w:id="1618">
    <w:p w14:paraId="2A26806A" w14:textId="77777777" w:rsidR="00B01930" w:rsidRDefault="00B01930">
      <w:pPr>
        <w:pStyle w:val="Notedebasdepage"/>
      </w:pPr>
      <w:r>
        <w:rPr>
          <w:rStyle w:val="Appelnotedebasdep"/>
        </w:rPr>
        <w:footnoteRef/>
      </w:r>
      <w:r>
        <w:t xml:space="preserve"> </w:t>
      </w:r>
      <w:r>
        <w:tab/>
      </w:r>
      <w:r w:rsidRPr="0004576F">
        <w:t>J’ai de plus eu connaissance d’une thèse de Droit soutenue mais non encore inscrite au catalogue (étude faite fin mai 2015).</w:t>
      </w:r>
    </w:p>
  </w:footnote>
  <w:footnote w:id="1619">
    <w:p w14:paraId="221926D8" w14:textId="77777777" w:rsidR="00B01930" w:rsidRDefault="00B01930">
      <w:pPr>
        <w:pStyle w:val="Notedebasdepage"/>
      </w:pPr>
      <w:r>
        <w:rPr>
          <w:rStyle w:val="Appelnotedebasdep"/>
        </w:rPr>
        <w:footnoteRef/>
      </w:r>
      <w:r>
        <w:t xml:space="preserve"> </w:t>
      </w:r>
      <w:r>
        <w:tab/>
      </w:r>
      <w:r w:rsidRPr="0004576F">
        <w:t>François Émion relève les mêmes difficultés en utilisant d’autres catalogues français.</w:t>
      </w:r>
    </w:p>
  </w:footnote>
  <w:footnote w:id="1620">
    <w:p w14:paraId="39F3F91F" w14:textId="77777777" w:rsidR="00B01930" w:rsidRDefault="00B01930">
      <w:pPr>
        <w:pStyle w:val="Notedebasdepage"/>
      </w:pPr>
      <w:r>
        <w:rPr>
          <w:rStyle w:val="Appelnotedebasdep"/>
        </w:rPr>
        <w:footnoteRef/>
      </w:r>
      <w:r>
        <w:t xml:space="preserve"> </w:t>
      </w:r>
      <w:r>
        <w:tab/>
      </w:r>
      <w:r w:rsidRPr="0004576F">
        <w:t>Soit deux ans après l’Exposition internationale de Stockholm, qui mit égal</w:t>
      </w:r>
      <w:r w:rsidRPr="0004576F">
        <w:t>e</w:t>
      </w:r>
      <w:r w:rsidRPr="0004576F">
        <w:t>ment la Suède en lumière.</w:t>
      </w:r>
    </w:p>
  </w:footnote>
  <w:footnote w:id="1621">
    <w:p w14:paraId="5FA8ED21" w14:textId="77777777" w:rsidR="00B01930" w:rsidRDefault="00B01930">
      <w:pPr>
        <w:pStyle w:val="Notedebasdepage"/>
      </w:pPr>
      <w:r>
        <w:rPr>
          <w:rStyle w:val="Appelnotedebasdep"/>
        </w:rPr>
        <w:footnoteRef/>
      </w:r>
      <w:r>
        <w:t xml:space="preserve"> </w:t>
      </w:r>
      <w:r>
        <w:tab/>
      </w:r>
      <w:r w:rsidRPr="0004576F">
        <w:t xml:space="preserve">Blanc-Noël, Nathalie, « Démocratie et égalité en Suède. Culture politique et pratiques sociales », </w:t>
      </w:r>
      <w:r w:rsidRPr="0004576F">
        <w:rPr>
          <w:i/>
        </w:rPr>
        <w:t xml:space="preserve">Nordiques, 2013, </w:t>
      </w:r>
      <w:r w:rsidRPr="0004576F">
        <w:t>n° 26</w:t>
      </w:r>
      <w:r w:rsidRPr="0004576F">
        <w:rPr>
          <w:i/>
        </w:rPr>
        <w:t xml:space="preserve">. </w:t>
      </w:r>
      <w:r w:rsidRPr="0004576F">
        <w:t xml:space="preserve">Hilson, Mary, </w:t>
      </w:r>
      <w:r w:rsidRPr="0004576F">
        <w:rPr>
          <w:i/>
        </w:rPr>
        <w:t>The Nordic M</w:t>
      </w:r>
      <w:r w:rsidRPr="0004576F">
        <w:rPr>
          <w:i/>
        </w:rPr>
        <w:t>o</w:t>
      </w:r>
      <w:r w:rsidRPr="0004576F">
        <w:rPr>
          <w:i/>
        </w:rPr>
        <w:t xml:space="preserve">del, </w:t>
      </w:r>
      <w:r w:rsidRPr="0004576F">
        <w:t>London, Reaktion Books, 2010, 2</w:t>
      </w:r>
      <w:r w:rsidRPr="0004576F">
        <w:rPr>
          <w:vertAlign w:val="superscript"/>
        </w:rPr>
        <w:t>ème</w:t>
      </w:r>
      <w:r w:rsidRPr="0004576F">
        <w:t xml:space="preserve"> édition.</w:t>
      </w:r>
    </w:p>
  </w:footnote>
  <w:footnote w:id="1622">
    <w:p w14:paraId="6E9E0724" w14:textId="77777777" w:rsidR="00B01930" w:rsidRDefault="00B01930">
      <w:pPr>
        <w:pStyle w:val="Notedebasdepage"/>
      </w:pPr>
      <w:r>
        <w:rPr>
          <w:rStyle w:val="Appelnotedebasdep"/>
        </w:rPr>
        <w:footnoteRef/>
      </w:r>
      <w:r>
        <w:t xml:space="preserve"> </w:t>
      </w:r>
      <w:r>
        <w:tab/>
      </w:r>
      <w:r w:rsidRPr="0004576F">
        <w:t xml:space="preserve">Musial, Kazimierz, </w:t>
      </w:r>
      <w:r w:rsidRPr="0004576F">
        <w:rPr>
          <w:i/>
        </w:rPr>
        <w:t>Tracing Roots of the Scandinavian Model. Image of Pr</w:t>
      </w:r>
      <w:r w:rsidRPr="0004576F">
        <w:rPr>
          <w:i/>
        </w:rPr>
        <w:t>o</w:t>
      </w:r>
      <w:r w:rsidRPr="0004576F">
        <w:rPr>
          <w:i/>
        </w:rPr>
        <w:t xml:space="preserve">gress in the Era of Modernisation, </w:t>
      </w:r>
      <w:r w:rsidRPr="0004576F">
        <w:t xml:space="preserve">University of Berlin, </w:t>
      </w:r>
      <w:r w:rsidRPr="0004576F">
        <w:rPr>
          <w:i/>
        </w:rPr>
        <w:t xml:space="preserve">Working Papers </w:t>
      </w:r>
      <w:r w:rsidRPr="0004576F">
        <w:t>« </w:t>
      </w:r>
      <w:r w:rsidRPr="0004576F">
        <w:rPr>
          <w:i/>
        </w:rPr>
        <w:t>Gemenskaper Gemein</w:t>
      </w:r>
      <w:r w:rsidRPr="0004576F">
        <w:rPr>
          <w:i/>
        </w:rPr>
        <w:t>s</w:t>
      </w:r>
      <w:r w:rsidRPr="0004576F">
        <w:rPr>
          <w:i/>
        </w:rPr>
        <w:t>chaften</w:t>
      </w:r>
      <w:r w:rsidRPr="0004576F">
        <w:t> »</w:t>
      </w:r>
      <w:r>
        <w:rPr>
          <w:i/>
        </w:rPr>
        <w:t xml:space="preserve">, </w:t>
      </w:r>
      <w:r w:rsidRPr="003217E3">
        <w:t>vol. 17, 2004</w:t>
      </w:r>
      <w:r w:rsidRPr="0004576F">
        <w:t>, p. 3.</w:t>
      </w:r>
    </w:p>
  </w:footnote>
  <w:footnote w:id="1623">
    <w:p w14:paraId="3F84EF75" w14:textId="77777777" w:rsidR="00B01930" w:rsidRDefault="00B01930">
      <w:pPr>
        <w:pStyle w:val="Notedebasdepage"/>
      </w:pPr>
      <w:r>
        <w:rPr>
          <w:rStyle w:val="Appelnotedebasdep"/>
        </w:rPr>
        <w:footnoteRef/>
      </w:r>
      <w:r>
        <w:t xml:space="preserve"> </w:t>
      </w:r>
      <w:r>
        <w:tab/>
      </w:r>
      <w:r w:rsidRPr="0004576F">
        <w:t>Le développement de ce que l’on appelle « modèle nordique » fut beaucoup plus tardif en Finlande.</w:t>
      </w:r>
    </w:p>
  </w:footnote>
  <w:footnote w:id="1624">
    <w:p w14:paraId="69E32D40" w14:textId="77777777" w:rsidR="00B01930" w:rsidRDefault="00B01930">
      <w:pPr>
        <w:pStyle w:val="Notedebasdepage"/>
      </w:pPr>
      <w:r>
        <w:rPr>
          <w:rStyle w:val="Appelnotedebasdep"/>
        </w:rPr>
        <w:footnoteRef/>
      </w:r>
      <w:r>
        <w:t xml:space="preserve"> </w:t>
      </w:r>
      <w:r>
        <w:tab/>
      </w:r>
      <w:r w:rsidRPr="0004576F">
        <w:t xml:space="preserve">Vergnon, Gilles, </w:t>
      </w:r>
      <w:r w:rsidRPr="0004576F">
        <w:rPr>
          <w:i/>
        </w:rPr>
        <w:t>Le « Modèle » suédois, les gauches françaises et l’impossible démocr</w:t>
      </w:r>
      <w:r w:rsidRPr="0004576F">
        <w:rPr>
          <w:i/>
        </w:rPr>
        <w:t>a</w:t>
      </w:r>
      <w:r w:rsidRPr="0004576F">
        <w:rPr>
          <w:i/>
        </w:rPr>
        <w:t xml:space="preserve">tie, </w:t>
      </w:r>
      <w:r w:rsidRPr="0004576F">
        <w:t>Rennes, Presses Universitaires de Rennes, 2015, p. 10. Nous nous fondons sur cet excellent ouvrage pour ce passage, que l’auteur en soit reme</w:t>
      </w:r>
      <w:r w:rsidRPr="0004576F">
        <w:t>r</w:t>
      </w:r>
      <w:r w:rsidRPr="0004576F">
        <w:t>cié.</w:t>
      </w:r>
    </w:p>
  </w:footnote>
  <w:footnote w:id="1625">
    <w:p w14:paraId="4B4BD09B" w14:textId="77777777" w:rsidR="00B01930" w:rsidRDefault="00B01930">
      <w:pPr>
        <w:pStyle w:val="Notedebasdepage"/>
      </w:pPr>
      <w:r>
        <w:rPr>
          <w:rStyle w:val="Appelnotedebasdep"/>
        </w:rPr>
        <w:footnoteRef/>
      </w:r>
      <w:r>
        <w:t xml:space="preserve"> </w:t>
      </w:r>
      <w:r>
        <w:tab/>
      </w:r>
      <w:r w:rsidRPr="0004576F">
        <w:t>Pesnot, Patrick, « Le Modèle suédois »</w:t>
      </w:r>
      <w:r w:rsidRPr="0004576F">
        <w:rPr>
          <w:i/>
        </w:rPr>
        <w:t>,</w:t>
      </w:r>
      <w:r w:rsidRPr="0004576F">
        <w:t xml:space="preserve"> </w:t>
      </w:r>
      <w:r w:rsidRPr="0004576F">
        <w:rPr>
          <w:i/>
        </w:rPr>
        <w:t>Objectifs</w:t>
      </w:r>
      <w:r w:rsidRPr="0004576F">
        <w:t>, 8 mars 1971, Ina.fr.</w:t>
      </w:r>
    </w:p>
  </w:footnote>
  <w:footnote w:id="1626">
    <w:p w14:paraId="368EBAC7" w14:textId="77777777" w:rsidR="00B01930" w:rsidRDefault="00B01930">
      <w:pPr>
        <w:pStyle w:val="Notedebasdepage"/>
      </w:pPr>
      <w:r>
        <w:rPr>
          <w:rStyle w:val="Appelnotedebasdep"/>
        </w:rPr>
        <w:footnoteRef/>
      </w:r>
      <w:r>
        <w:t xml:space="preserve"> </w:t>
      </w:r>
      <w:r>
        <w:tab/>
      </w:r>
      <w:r w:rsidRPr="0004576F">
        <w:rPr>
          <w:i/>
        </w:rPr>
        <w:t>Ibidem</w:t>
      </w:r>
      <w:r w:rsidRPr="0004576F">
        <w:t>, p. 20.</w:t>
      </w:r>
    </w:p>
  </w:footnote>
  <w:footnote w:id="1627">
    <w:p w14:paraId="1CA0306C" w14:textId="77777777" w:rsidR="00B01930" w:rsidRDefault="00B01930">
      <w:pPr>
        <w:pStyle w:val="Notedebasdepage"/>
      </w:pPr>
      <w:r>
        <w:rPr>
          <w:rStyle w:val="Appelnotedebasdep"/>
        </w:rPr>
        <w:footnoteRef/>
      </w:r>
      <w:r>
        <w:t xml:space="preserve"> </w:t>
      </w:r>
      <w:r>
        <w:tab/>
      </w:r>
      <w:r w:rsidRPr="0004576F">
        <w:t xml:space="preserve">De Chessin, Serge, </w:t>
      </w:r>
      <w:r w:rsidRPr="0004576F">
        <w:rPr>
          <w:i/>
        </w:rPr>
        <w:t xml:space="preserve">Les Clés de la Suède, </w:t>
      </w:r>
      <w:r w:rsidRPr="0004576F">
        <w:t xml:space="preserve">Paris, Hachette, 1935. De Chessin, Serge, </w:t>
      </w:r>
      <w:r w:rsidRPr="0004576F">
        <w:rPr>
          <w:i/>
        </w:rPr>
        <w:t>Sour</w:t>
      </w:r>
      <w:r w:rsidRPr="0004576F">
        <w:rPr>
          <w:i/>
        </w:rPr>
        <w:t>i</w:t>
      </w:r>
      <w:r w:rsidRPr="0004576F">
        <w:rPr>
          <w:i/>
        </w:rPr>
        <w:t xml:space="preserve">res du Danemark, </w:t>
      </w:r>
      <w:r w:rsidRPr="0004576F">
        <w:t xml:space="preserve">Paris, Hachette, 1936. Planus, Paul, </w:t>
      </w:r>
      <w:r w:rsidRPr="0004576F">
        <w:rPr>
          <w:i/>
        </w:rPr>
        <w:t xml:space="preserve">Patrons et ouvriers en Suède, </w:t>
      </w:r>
      <w:r w:rsidRPr="0004576F">
        <w:t xml:space="preserve">Paris, Plon, 1938. Schreiber, Émile, </w:t>
      </w:r>
      <w:r w:rsidRPr="0004576F">
        <w:rPr>
          <w:i/>
        </w:rPr>
        <w:t xml:space="preserve">Heureux scandinaves, </w:t>
      </w:r>
      <w:r w:rsidRPr="0004576F">
        <w:t>Paris, Denoël, 1936. Childs, Ma</w:t>
      </w:r>
      <w:r w:rsidRPr="0004576F">
        <w:t>r</w:t>
      </w:r>
      <w:r w:rsidRPr="0004576F">
        <w:t xml:space="preserve">quis, </w:t>
      </w:r>
      <w:r w:rsidRPr="0004576F">
        <w:rPr>
          <w:i/>
        </w:rPr>
        <w:t>Sweden. The Middle Way on Trial,</w:t>
      </w:r>
      <w:r w:rsidRPr="0004576F">
        <w:t xml:space="preserve"> New Have, Yale Unive</w:t>
      </w:r>
      <w:r w:rsidRPr="0004576F">
        <w:t>r</w:t>
      </w:r>
      <w:r w:rsidRPr="0004576F">
        <w:t>sity Press, 1936.</w:t>
      </w:r>
    </w:p>
  </w:footnote>
  <w:footnote w:id="1628">
    <w:p w14:paraId="486E67B1" w14:textId="77777777" w:rsidR="00B01930" w:rsidRDefault="00B01930">
      <w:pPr>
        <w:pStyle w:val="Notedebasdepage"/>
      </w:pPr>
      <w:r>
        <w:rPr>
          <w:rStyle w:val="Appelnotedebasdep"/>
        </w:rPr>
        <w:footnoteRef/>
      </w:r>
      <w:r>
        <w:t xml:space="preserve"> </w:t>
      </w:r>
      <w:r>
        <w:tab/>
      </w:r>
      <w:r w:rsidRPr="0004576F">
        <w:t xml:space="preserve">Raymond Fusilier, </w:t>
      </w:r>
      <w:r w:rsidRPr="0004576F">
        <w:rPr>
          <w:i/>
        </w:rPr>
        <w:t>Le Parti socialiste suédois, son organisation</w:t>
      </w:r>
      <w:r w:rsidRPr="0004576F">
        <w:t>, Paris, Éd</w:t>
      </w:r>
      <w:r w:rsidRPr="0004576F">
        <w:t>i</w:t>
      </w:r>
      <w:r w:rsidRPr="0004576F">
        <w:t>tions ouvrières, 1954.</w:t>
      </w:r>
    </w:p>
  </w:footnote>
  <w:footnote w:id="1629">
    <w:p w14:paraId="4E8CBD94" w14:textId="77777777" w:rsidR="00B01930" w:rsidRDefault="00B01930">
      <w:pPr>
        <w:pStyle w:val="Notedebasdepage"/>
      </w:pPr>
      <w:r>
        <w:rPr>
          <w:rStyle w:val="Appelnotedebasdep"/>
        </w:rPr>
        <w:footnoteRef/>
      </w:r>
      <w:r>
        <w:t xml:space="preserve"> </w:t>
      </w:r>
      <w:r>
        <w:tab/>
      </w:r>
      <w:r w:rsidRPr="0004576F">
        <w:t xml:space="preserve">Vergnon, Gilles, </w:t>
      </w:r>
      <w:r w:rsidRPr="0004576F">
        <w:rPr>
          <w:i/>
        </w:rPr>
        <w:t>op. cit</w:t>
      </w:r>
      <w:r w:rsidRPr="0004576F">
        <w:t>., p. 67.</w:t>
      </w:r>
    </w:p>
  </w:footnote>
  <w:footnote w:id="1630">
    <w:p w14:paraId="0851AD29" w14:textId="77777777" w:rsidR="00B01930" w:rsidRDefault="00B01930">
      <w:pPr>
        <w:pStyle w:val="Notedebasdepage"/>
      </w:pPr>
      <w:r>
        <w:rPr>
          <w:rStyle w:val="Appelnotedebasdep"/>
        </w:rPr>
        <w:footnoteRef/>
      </w:r>
      <w:r>
        <w:t xml:space="preserve"> </w:t>
      </w:r>
      <w:r>
        <w:tab/>
      </w:r>
      <w:r w:rsidRPr="0004576F">
        <w:t xml:space="preserve">Mounier, Emmanuel, « Notes scandinaves, ou du bonheur », </w:t>
      </w:r>
      <w:r w:rsidRPr="0004576F">
        <w:rPr>
          <w:i/>
        </w:rPr>
        <w:t>E</w:t>
      </w:r>
      <w:r w:rsidRPr="0004576F">
        <w:rPr>
          <w:i/>
        </w:rPr>
        <w:t>s</w:t>
      </w:r>
      <w:r w:rsidRPr="0004576F">
        <w:rPr>
          <w:i/>
        </w:rPr>
        <w:t xml:space="preserve">prit, </w:t>
      </w:r>
      <w:r w:rsidRPr="0004576F">
        <w:t>février 1950, p. 253-286.</w:t>
      </w:r>
    </w:p>
  </w:footnote>
  <w:footnote w:id="1631">
    <w:p w14:paraId="406CC1EE" w14:textId="77777777" w:rsidR="00B01930" w:rsidRDefault="00B01930">
      <w:pPr>
        <w:pStyle w:val="Notedebasdepage"/>
      </w:pPr>
      <w:r>
        <w:rPr>
          <w:rStyle w:val="Appelnotedebasdep"/>
        </w:rPr>
        <w:footnoteRef/>
      </w:r>
      <w:r>
        <w:t xml:space="preserve"> </w:t>
      </w:r>
      <w:r>
        <w:tab/>
      </w:r>
      <w:r w:rsidRPr="0004576F">
        <w:t xml:space="preserve">Stråth, Bo, </w:t>
      </w:r>
      <w:r w:rsidRPr="0004576F">
        <w:rPr>
          <w:i/>
        </w:rPr>
        <w:t xml:space="preserve">Folkhemmet mot Europa, </w:t>
      </w:r>
      <w:r w:rsidRPr="0004576F">
        <w:t xml:space="preserve">Stockholm, Tiden, 1993, p. 205. L’auteur explique que JJSS fut le premier à utiliser l’expression de « modèle suédois » dans </w:t>
      </w:r>
      <w:r w:rsidRPr="0004576F">
        <w:rPr>
          <w:i/>
        </w:rPr>
        <w:t xml:space="preserve">Le Défi américain, p. 312 : </w:t>
      </w:r>
      <w:r w:rsidRPr="0004576F">
        <w:t>« </w:t>
      </w:r>
      <w:r w:rsidRPr="0004576F">
        <w:rPr>
          <w:i/>
        </w:rPr>
        <w:t>le modèle suédois n’est ni amér</w:t>
      </w:r>
      <w:r w:rsidRPr="0004576F">
        <w:rPr>
          <w:i/>
        </w:rPr>
        <w:t>i</w:t>
      </w:r>
      <w:r w:rsidRPr="0004576F">
        <w:rPr>
          <w:i/>
        </w:rPr>
        <w:t>cain, ni j</w:t>
      </w:r>
      <w:r w:rsidRPr="0004576F">
        <w:rPr>
          <w:i/>
        </w:rPr>
        <w:t>a</w:t>
      </w:r>
      <w:r w:rsidRPr="0004576F">
        <w:rPr>
          <w:i/>
        </w:rPr>
        <w:t>ponais</w:t>
      </w:r>
      <w:r w:rsidRPr="0004576F">
        <w:t xml:space="preserve"> ». Servan-Schreiber, Jean-Jacques, </w:t>
      </w:r>
      <w:r w:rsidRPr="0004576F">
        <w:rPr>
          <w:i/>
        </w:rPr>
        <w:t>Le Défi américain,</w:t>
      </w:r>
      <w:r w:rsidRPr="0004576F">
        <w:t xml:space="preserve"> Paris, Denoël, 1967. Marquis Childs, pour sa part, ne l’avait pas utilisée dans son ouvrage de 1934.</w:t>
      </w:r>
    </w:p>
  </w:footnote>
  <w:footnote w:id="1632">
    <w:p w14:paraId="27589E9B" w14:textId="77777777" w:rsidR="00B01930" w:rsidRDefault="00B01930">
      <w:pPr>
        <w:pStyle w:val="Notedebasdepage"/>
      </w:pPr>
      <w:r>
        <w:rPr>
          <w:rStyle w:val="Appelnotedebasdep"/>
        </w:rPr>
        <w:footnoteRef/>
      </w:r>
      <w:r>
        <w:t xml:space="preserve"> </w:t>
      </w:r>
      <w:r>
        <w:tab/>
      </w:r>
      <w:r w:rsidRPr="0004576F">
        <w:rPr>
          <w:i/>
        </w:rPr>
        <w:t>Ibid.</w:t>
      </w:r>
      <w:r w:rsidRPr="0004576F">
        <w:t xml:space="preserve">, cité in Vergnon, G., </w:t>
      </w:r>
      <w:r w:rsidRPr="0004576F">
        <w:rPr>
          <w:i/>
        </w:rPr>
        <w:t>op. cit.</w:t>
      </w:r>
      <w:r w:rsidRPr="0004576F">
        <w:t>, p. 82.</w:t>
      </w:r>
    </w:p>
  </w:footnote>
  <w:footnote w:id="1633">
    <w:p w14:paraId="0DC95D4E" w14:textId="77777777" w:rsidR="00B01930" w:rsidRDefault="00B01930">
      <w:pPr>
        <w:pStyle w:val="Notedebasdepage"/>
      </w:pPr>
      <w:r>
        <w:rPr>
          <w:rStyle w:val="Appelnotedebasdep"/>
        </w:rPr>
        <w:footnoteRef/>
      </w:r>
      <w:r>
        <w:t xml:space="preserve"> </w:t>
      </w:r>
      <w:r>
        <w:tab/>
      </w:r>
      <w:r w:rsidRPr="0004576F">
        <w:t xml:space="preserve">Cité in Vergnon, </w:t>
      </w:r>
      <w:r w:rsidRPr="0004576F">
        <w:rPr>
          <w:i/>
        </w:rPr>
        <w:t>op. cit.</w:t>
      </w:r>
      <w:r w:rsidRPr="0004576F">
        <w:t>, p. 93. La célèbre phrase du Président Pompidou n’était pas due au hasard : il étudiait attentivement les évolutions des pays nord</w:t>
      </w:r>
      <w:r w:rsidRPr="0004576F">
        <w:t>i</w:t>
      </w:r>
      <w:r w:rsidRPr="0004576F">
        <w:t xml:space="preserve">ques : Le Béguec, Gilles (dir.), </w:t>
      </w:r>
      <w:r w:rsidRPr="0004576F">
        <w:rPr>
          <w:i/>
        </w:rPr>
        <w:t>Action et pensée sociale de Georges Pomp</w:t>
      </w:r>
      <w:r w:rsidRPr="0004576F">
        <w:rPr>
          <w:i/>
        </w:rPr>
        <w:t>i</w:t>
      </w:r>
      <w:r w:rsidRPr="0004576F">
        <w:rPr>
          <w:i/>
        </w:rPr>
        <w:t xml:space="preserve">dou, </w:t>
      </w:r>
      <w:r w:rsidRPr="0004576F">
        <w:t xml:space="preserve">Paris, </w:t>
      </w:r>
      <w:r w:rsidRPr="0004576F">
        <w:rPr>
          <w:smallCaps/>
        </w:rPr>
        <w:t>Puf</w:t>
      </w:r>
      <w:r w:rsidRPr="0004576F">
        <w:t>, 2004, p. 16.</w:t>
      </w:r>
    </w:p>
  </w:footnote>
  <w:footnote w:id="1634">
    <w:p w14:paraId="010D2745" w14:textId="77777777" w:rsidR="00B01930" w:rsidRDefault="00B01930">
      <w:pPr>
        <w:pStyle w:val="Notedebasdepage"/>
      </w:pPr>
      <w:r>
        <w:rPr>
          <w:rStyle w:val="Appelnotedebasdep"/>
        </w:rPr>
        <w:footnoteRef/>
      </w:r>
      <w:r>
        <w:t xml:space="preserve"> </w:t>
      </w:r>
      <w:r>
        <w:tab/>
      </w:r>
      <w:r w:rsidRPr="0004576F">
        <w:t>« </w:t>
      </w:r>
      <w:hyperlink r:id="rId63" w:history="1">
        <w:r w:rsidRPr="003217E3">
          <w:rPr>
            <w:rStyle w:val="Hyperlien"/>
          </w:rPr>
          <w:t>La Nouvelle Société </w:t>
        </w:r>
      </w:hyperlink>
      <w:r w:rsidRPr="0004576F">
        <w:t>», Discours à l’Assemblée nationale de Jacques Ch</w:t>
      </w:r>
      <w:r w:rsidRPr="0004576F">
        <w:t>a</w:t>
      </w:r>
      <w:r>
        <w:t>ban-Delmas, 16 septembre 1969</w:t>
      </w:r>
      <w:r w:rsidRPr="0004576F">
        <w:t>.</w:t>
      </w:r>
    </w:p>
  </w:footnote>
  <w:footnote w:id="1635">
    <w:p w14:paraId="70A842CD" w14:textId="77777777" w:rsidR="00B01930" w:rsidRDefault="00B01930">
      <w:pPr>
        <w:pStyle w:val="Notedebasdepage"/>
      </w:pPr>
      <w:r>
        <w:rPr>
          <w:rStyle w:val="Appelnotedebasdep"/>
        </w:rPr>
        <w:footnoteRef/>
      </w:r>
      <w:r>
        <w:t xml:space="preserve"> </w:t>
      </w:r>
      <w:r>
        <w:tab/>
      </w:r>
      <w:r w:rsidRPr="0004576F">
        <w:t xml:space="preserve">Par exemple : Arnaut, Jacques, </w:t>
      </w:r>
      <w:r w:rsidRPr="0004576F">
        <w:rPr>
          <w:i/>
        </w:rPr>
        <w:t>Une Société mixte,</w:t>
      </w:r>
      <w:r w:rsidRPr="0004576F">
        <w:t xml:space="preserve"> Paris, Seghers, 1971. De Faramond, Guy, </w:t>
      </w:r>
      <w:r w:rsidRPr="0004576F">
        <w:rPr>
          <w:i/>
        </w:rPr>
        <w:t xml:space="preserve">Une Politique du bien-être, </w:t>
      </w:r>
      <w:r w:rsidRPr="0004576F">
        <w:t xml:space="preserve">Paris, Seghers, 1972. Ardant, Gabriel, </w:t>
      </w:r>
      <w:r w:rsidRPr="0004576F">
        <w:rPr>
          <w:i/>
        </w:rPr>
        <w:t xml:space="preserve">La Révolution suédoise, </w:t>
      </w:r>
      <w:r w:rsidRPr="0004576F">
        <w:t>Paris, Robert Laffont, 1976. De Faramond, Guy, Glayman, Claude, (dir.)</w:t>
      </w:r>
      <w:r w:rsidRPr="0004576F">
        <w:rPr>
          <w:i/>
        </w:rPr>
        <w:t xml:space="preserve"> Su</w:t>
      </w:r>
      <w:r w:rsidRPr="0004576F">
        <w:rPr>
          <w:i/>
        </w:rPr>
        <w:t>è</w:t>
      </w:r>
      <w:r w:rsidRPr="0004576F">
        <w:rPr>
          <w:i/>
        </w:rPr>
        <w:t xml:space="preserve">de : la réforme permanente, </w:t>
      </w:r>
      <w:r w:rsidRPr="0004576F">
        <w:t xml:space="preserve"> Paris, Stock, 1977. Parent, Jean, </w:t>
      </w:r>
      <w:r w:rsidRPr="0004576F">
        <w:rPr>
          <w:i/>
        </w:rPr>
        <w:t xml:space="preserve">Le Modèle suédois, </w:t>
      </w:r>
      <w:r w:rsidRPr="0004576F">
        <w:t>P</w:t>
      </w:r>
      <w:r w:rsidRPr="0004576F">
        <w:t>a</w:t>
      </w:r>
      <w:r w:rsidRPr="0004576F">
        <w:t>ris, Armand Colin, 1970.</w:t>
      </w:r>
    </w:p>
  </w:footnote>
  <w:footnote w:id="1636">
    <w:p w14:paraId="0217B048" w14:textId="77777777" w:rsidR="00B01930" w:rsidRDefault="00B01930">
      <w:pPr>
        <w:pStyle w:val="Notedebasdepage"/>
      </w:pPr>
      <w:r>
        <w:rPr>
          <w:rStyle w:val="Appelnotedebasdep"/>
        </w:rPr>
        <w:footnoteRef/>
      </w:r>
      <w:r>
        <w:t xml:space="preserve"> </w:t>
      </w:r>
      <w:r>
        <w:tab/>
      </w:r>
      <w:r w:rsidRPr="0004576F">
        <w:t xml:space="preserve">Vergnon, Gilles, </w:t>
      </w:r>
      <w:r w:rsidRPr="0004576F">
        <w:rPr>
          <w:i/>
        </w:rPr>
        <w:t>op. cit</w:t>
      </w:r>
      <w:r w:rsidRPr="0004576F">
        <w:t>., p. 88.</w:t>
      </w:r>
    </w:p>
  </w:footnote>
  <w:footnote w:id="1637">
    <w:p w14:paraId="61D27845" w14:textId="77777777" w:rsidR="00B01930" w:rsidRDefault="00B01930">
      <w:pPr>
        <w:pStyle w:val="Notedebasdepage"/>
      </w:pPr>
      <w:r>
        <w:rPr>
          <w:rStyle w:val="Appelnotedebasdep"/>
        </w:rPr>
        <w:footnoteRef/>
      </w:r>
      <w:r>
        <w:t xml:space="preserve"> </w:t>
      </w:r>
      <w:r>
        <w:tab/>
      </w:r>
      <w:r w:rsidRPr="0004576F">
        <w:t xml:space="preserve">Durand, Jean-Pierre (dir.), </w:t>
      </w:r>
      <w:r w:rsidRPr="0004576F">
        <w:rPr>
          <w:i/>
        </w:rPr>
        <w:t xml:space="preserve">La Fin du modèle suédois, </w:t>
      </w:r>
      <w:r w:rsidRPr="0004576F">
        <w:t>Paris, S</w:t>
      </w:r>
      <w:r w:rsidRPr="0004576F">
        <w:t>y</w:t>
      </w:r>
      <w:r w:rsidRPr="0004576F">
        <w:t>ros, 1994. Le livre contient des contributions d’économistes et de s</w:t>
      </w:r>
      <w:r w:rsidRPr="0004576F">
        <w:t>o</w:t>
      </w:r>
      <w:r w:rsidRPr="0004576F">
        <w:t>ciologues.</w:t>
      </w:r>
    </w:p>
  </w:footnote>
  <w:footnote w:id="1638">
    <w:p w14:paraId="625CDF29" w14:textId="77777777" w:rsidR="00B01930" w:rsidRDefault="00B01930">
      <w:pPr>
        <w:pStyle w:val="Notedebasdepage"/>
      </w:pPr>
      <w:r>
        <w:rPr>
          <w:rStyle w:val="Appelnotedebasdep"/>
        </w:rPr>
        <w:footnoteRef/>
      </w:r>
      <w:r>
        <w:t xml:space="preserve"> </w:t>
      </w:r>
      <w:r>
        <w:tab/>
      </w:r>
      <w:r w:rsidRPr="0004576F">
        <w:t xml:space="preserve">Mer, Jacques, </w:t>
      </w:r>
      <w:r w:rsidRPr="0004576F">
        <w:rPr>
          <w:i/>
        </w:rPr>
        <w:t xml:space="preserve">L’Islande, une ouverture obligée mais prudente, </w:t>
      </w:r>
      <w:r w:rsidRPr="0004576F">
        <w:t>Paris, La D</w:t>
      </w:r>
      <w:r w:rsidRPr="0004576F">
        <w:t>o</w:t>
      </w:r>
      <w:r w:rsidRPr="0004576F">
        <w:t xml:space="preserve">cumentation française, coll. « Les études de la documentation française », 1994. Mer, Jacques, </w:t>
      </w:r>
      <w:r w:rsidRPr="0004576F">
        <w:rPr>
          <w:i/>
        </w:rPr>
        <w:t xml:space="preserve">La Norvège, entre tradition et ouverture, </w:t>
      </w:r>
      <w:r w:rsidRPr="0004576F">
        <w:t>Paris, La D</w:t>
      </w:r>
      <w:r w:rsidRPr="0004576F">
        <w:t>o</w:t>
      </w:r>
      <w:r w:rsidRPr="0004576F">
        <w:t>cument</w:t>
      </w:r>
      <w:r w:rsidRPr="0004576F">
        <w:t>a</w:t>
      </w:r>
      <w:r w:rsidRPr="0004576F">
        <w:t>tion française, coll. « Les études de la documentation française », 1996.</w:t>
      </w:r>
    </w:p>
  </w:footnote>
  <w:footnote w:id="1639">
    <w:p w14:paraId="1FEA0E8C" w14:textId="77777777" w:rsidR="00B01930" w:rsidRDefault="00B01930">
      <w:pPr>
        <w:pStyle w:val="Notedebasdepage"/>
      </w:pPr>
      <w:r>
        <w:rPr>
          <w:rStyle w:val="Appelnotedebasdep"/>
        </w:rPr>
        <w:footnoteRef/>
      </w:r>
      <w:r>
        <w:t xml:space="preserve"> </w:t>
      </w:r>
      <w:r>
        <w:tab/>
      </w:r>
      <w:r w:rsidRPr="0004576F">
        <w:t xml:space="preserve">Boyer, Robert, </w:t>
      </w:r>
      <w:r w:rsidRPr="0004576F">
        <w:rPr>
          <w:i/>
        </w:rPr>
        <w:t>La Flexicurité danoise : quels enseignements pour la Fra</w:t>
      </w:r>
      <w:r w:rsidRPr="0004576F">
        <w:rPr>
          <w:i/>
        </w:rPr>
        <w:t>n</w:t>
      </w:r>
      <w:r w:rsidRPr="0004576F">
        <w:rPr>
          <w:i/>
        </w:rPr>
        <w:t>ce ?</w:t>
      </w:r>
      <w:r w:rsidRPr="0004576F">
        <w:t>, Paris, C</w:t>
      </w:r>
      <w:r w:rsidRPr="0004576F">
        <w:t>e</w:t>
      </w:r>
      <w:r w:rsidRPr="0004576F">
        <w:t>premap, Éditions rue d’Ulm, 2006.</w:t>
      </w:r>
    </w:p>
  </w:footnote>
  <w:footnote w:id="1640">
    <w:p w14:paraId="713CE4DA" w14:textId="77777777" w:rsidR="00B01930" w:rsidRDefault="00B01930">
      <w:pPr>
        <w:pStyle w:val="Notedebasdepage"/>
      </w:pPr>
      <w:r>
        <w:rPr>
          <w:rStyle w:val="Appelnotedebasdep"/>
        </w:rPr>
        <w:footnoteRef/>
      </w:r>
      <w:r>
        <w:t xml:space="preserve"> </w:t>
      </w:r>
      <w:r>
        <w:tab/>
      </w:r>
      <w:r w:rsidRPr="0004576F">
        <w:t xml:space="preserve">Battail, Jean-François, </w:t>
      </w:r>
      <w:r w:rsidRPr="0004576F">
        <w:rPr>
          <w:i/>
        </w:rPr>
        <w:t>Les Destinées de la Norvège moderne, e</w:t>
      </w:r>
      <w:r w:rsidRPr="0004576F">
        <w:rPr>
          <w:i/>
        </w:rPr>
        <w:t>s</w:t>
      </w:r>
      <w:r w:rsidRPr="0004576F">
        <w:rPr>
          <w:i/>
        </w:rPr>
        <w:t xml:space="preserve">sai sur l’histoire et la culture (1814-1905), </w:t>
      </w:r>
      <w:r w:rsidRPr="0004576F">
        <w:t>Paris, Michel de Maule, 2005.</w:t>
      </w:r>
    </w:p>
  </w:footnote>
  <w:footnote w:id="1641">
    <w:p w14:paraId="482470C9" w14:textId="77777777" w:rsidR="00B01930" w:rsidRDefault="00B01930">
      <w:pPr>
        <w:pStyle w:val="Notedebasdepage"/>
      </w:pPr>
      <w:r>
        <w:rPr>
          <w:rStyle w:val="Appelnotedebasdep"/>
        </w:rPr>
        <w:footnoteRef/>
      </w:r>
      <w:r>
        <w:t xml:space="preserve"> </w:t>
      </w:r>
      <w:r>
        <w:tab/>
      </w:r>
      <w:r w:rsidRPr="0004576F">
        <w:t>Mon inventaire n’est peut-être pas totalement exhaustif, que les auteurs m</w:t>
      </w:r>
      <w:r w:rsidRPr="0004576F">
        <w:t>a</w:t>
      </w:r>
      <w:r w:rsidRPr="0004576F">
        <w:t>lencontreus</w:t>
      </w:r>
      <w:r w:rsidRPr="0004576F">
        <w:t>e</w:t>
      </w:r>
      <w:r w:rsidRPr="0004576F">
        <w:t>ment oubliés veuillent bien m’excuser… Mais s’ils existent, ils ne doivent pas être bien nombreux et cela ne peut nuire au fond de cette démon</w:t>
      </w:r>
      <w:r w:rsidRPr="0004576F">
        <w:t>s</w:t>
      </w:r>
      <w:r w:rsidRPr="0004576F">
        <w:t>tration.</w:t>
      </w:r>
    </w:p>
  </w:footnote>
  <w:footnote w:id="1642">
    <w:p w14:paraId="3907B6F2" w14:textId="77777777" w:rsidR="00B01930" w:rsidRDefault="00B01930">
      <w:pPr>
        <w:pStyle w:val="Notedebasdepage"/>
      </w:pPr>
      <w:r>
        <w:rPr>
          <w:rStyle w:val="Appelnotedebasdep"/>
        </w:rPr>
        <w:footnoteRef/>
      </w:r>
      <w:r>
        <w:t xml:space="preserve"> </w:t>
      </w:r>
      <w:r>
        <w:tab/>
      </w:r>
      <w:r w:rsidRPr="0004576F">
        <w:t xml:space="preserve">Il existe aussi un certain nombre d’articles, notamment dans des revues d’économie, par exemple : Yves Bourdet, « La Suède et les limites de l’États-providence », </w:t>
      </w:r>
      <w:r w:rsidRPr="0004576F">
        <w:rPr>
          <w:i/>
        </w:rPr>
        <w:t>Observations et diagnostics économ</w:t>
      </w:r>
      <w:r w:rsidRPr="0004576F">
        <w:rPr>
          <w:i/>
        </w:rPr>
        <w:t>i</w:t>
      </w:r>
      <w:r w:rsidRPr="0004576F">
        <w:rPr>
          <w:i/>
        </w:rPr>
        <w:t>ques,</w:t>
      </w:r>
      <w:r w:rsidRPr="0004576F">
        <w:t xml:space="preserve"> 1988, n° 25, p. 76-100.</w:t>
      </w:r>
    </w:p>
  </w:footnote>
  <w:footnote w:id="1643">
    <w:p w14:paraId="78023947" w14:textId="77777777" w:rsidR="00B01930" w:rsidRDefault="00B01930">
      <w:pPr>
        <w:pStyle w:val="Notedebasdepage"/>
      </w:pPr>
      <w:r>
        <w:rPr>
          <w:rStyle w:val="Appelnotedebasdep"/>
        </w:rPr>
        <w:footnoteRef/>
      </w:r>
      <w:r>
        <w:t xml:space="preserve"> </w:t>
      </w:r>
      <w:r>
        <w:tab/>
      </w:r>
      <w:r w:rsidRPr="0004576F">
        <w:rPr>
          <w:i/>
        </w:rPr>
        <w:t>Revue internationale de politique comparée</w:t>
      </w:r>
      <w:r w:rsidRPr="0004576F">
        <w:t>, Le modèle nord</w:t>
      </w:r>
      <w:r w:rsidRPr="0004576F">
        <w:t>i</w:t>
      </w:r>
      <w:r w:rsidRPr="0004576F">
        <w:t>que</w:t>
      </w:r>
      <w:r w:rsidRPr="0004576F">
        <w:rPr>
          <w:i/>
        </w:rPr>
        <w:t>,</w:t>
      </w:r>
      <w:r w:rsidRPr="0004576F">
        <w:t xml:space="preserve"> 2006/3, vol. 3. </w:t>
      </w:r>
      <w:r w:rsidRPr="0004576F">
        <w:rPr>
          <w:i/>
        </w:rPr>
        <w:t>Revue française des affaires sociales</w:t>
      </w:r>
      <w:r w:rsidRPr="0004576F">
        <w:t>, L’État-providence nordique, ajust</w:t>
      </w:r>
      <w:r w:rsidRPr="0004576F">
        <w:t>e</w:t>
      </w:r>
      <w:r w:rsidRPr="0004576F">
        <w:t>ments, transformations au cours des a</w:t>
      </w:r>
      <w:r w:rsidRPr="0004576F">
        <w:t>n</w:t>
      </w:r>
      <w:r w:rsidRPr="0004576F">
        <w:t>nées 1990, 2003/4, n° 4.</w:t>
      </w:r>
    </w:p>
  </w:footnote>
  <w:footnote w:id="1644">
    <w:p w14:paraId="085C510E" w14:textId="77777777" w:rsidR="00B01930" w:rsidRDefault="00B01930">
      <w:pPr>
        <w:pStyle w:val="Notedebasdepage"/>
      </w:pPr>
      <w:r>
        <w:rPr>
          <w:rStyle w:val="Appelnotedebasdep"/>
        </w:rPr>
        <w:footnoteRef/>
      </w:r>
      <w:r>
        <w:t xml:space="preserve"> </w:t>
      </w:r>
      <w:r>
        <w:tab/>
      </w:r>
      <w:r w:rsidRPr="0004576F">
        <w:t xml:space="preserve">« Les paradoxes du modèle nordique », </w:t>
      </w:r>
      <w:r w:rsidRPr="0004576F">
        <w:rPr>
          <w:i/>
        </w:rPr>
        <w:t xml:space="preserve">Problèmes économiques et sociaux, </w:t>
      </w:r>
      <w:r w:rsidRPr="0004576F">
        <w:t>n° 3024, 20 juillet 2011, La D</w:t>
      </w:r>
      <w:r w:rsidRPr="0004576F">
        <w:t>o</w:t>
      </w:r>
      <w:r w:rsidRPr="0004576F">
        <w:t>cumentation française.</w:t>
      </w:r>
    </w:p>
  </w:footnote>
  <w:footnote w:id="1645">
    <w:p w14:paraId="589E4E17" w14:textId="77777777" w:rsidR="00B01930" w:rsidRDefault="00B01930">
      <w:pPr>
        <w:pStyle w:val="Notedebasdepage"/>
      </w:pPr>
      <w:r>
        <w:rPr>
          <w:rStyle w:val="Appelnotedebasdep"/>
        </w:rPr>
        <w:footnoteRef/>
      </w:r>
      <w:r>
        <w:t xml:space="preserve"> </w:t>
      </w:r>
      <w:r>
        <w:tab/>
      </w:r>
      <w:r w:rsidRPr="0004576F">
        <w:t>Régis Soubrouillard, « </w:t>
      </w:r>
      <w:hyperlink r:id="rId64" w:history="1">
        <w:r w:rsidRPr="003217E3">
          <w:rPr>
            <w:rStyle w:val="Hyperlien"/>
            <w:i/>
          </w:rPr>
          <w:t>Le modèle suédois à bout de souffle </w:t>
        </w:r>
      </w:hyperlink>
      <w:r w:rsidRPr="0004576F">
        <w:t xml:space="preserve">», </w:t>
      </w:r>
      <w:r w:rsidRPr="0004576F">
        <w:rPr>
          <w:i/>
        </w:rPr>
        <w:t>Marianne,</w:t>
      </w:r>
      <w:r>
        <w:t xml:space="preserve"> 17 sept. 2014</w:t>
      </w:r>
      <w:r w:rsidRPr="0004576F">
        <w:t>.</w:t>
      </w:r>
    </w:p>
  </w:footnote>
  <w:footnote w:id="1646">
    <w:p w14:paraId="4C26B78C" w14:textId="77777777" w:rsidR="00B01930" w:rsidRDefault="00B01930">
      <w:pPr>
        <w:pStyle w:val="Notedebasdepage"/>
      </w:pPr>
      <w:r>
        <w:rPr>
          <w:rStyle w:val="Appelnotedebasdep"/>
        </w:rPr>
        <w:footnoteRef/>
      </w:r>
      <w:r>
        <w:t xml:space="preserve"> </w:t>
      </w:r>
      <w:r>
        <w:tab/>
      </w:r>
      <w:r w:rsidRPr="0004576F">
        <w:t>Marianne Meunier, « </w:t>
      </w:r>
      <w:hyperlink r:id="rId65" w:history="1">
        <w:r w:rsidRPr="003217E3">
          <w:rPr>
            <w:rStyle w:val="Hyperlien"/>
          </w:rPr>
          <w:t>Parité en politique, le modèle suédois </w:t>
        </w:r>
      </w:hyperlink>
      <w:r w:rsidRPr="0004576F">
        <w:t xml:space="preserve">», </w:t>
      </w:r>
      <w:r w:rsidRPr="0004576F">
        <w:rPr>
          <w:i/>
        </w:rPr>
        <w:t xml:space="preserve">La Croix, </w:t>
      </w:r>
      <w:r>
        <w:t>17/5/12</w:t>
      </w:r>
      <w:r w:rsidRPr="0004576F">
        <w:t>.</w:t>
      </w:r>
    </w:p>
  </w:footnote>
  <w:footnote w:id="1647">
    <w:p w14:paraId="045C64FB" w14:textId="77777777" w:rsidR="00B01930" w:rsidRDefault="00B01930">
      <w:pPr>
        <w:pStyle w:val="Notedebasdepage"/>
      </w:pPr>
      <w:r>
        <w:rPr>
          <w:rStyle w:val="Appelnotedebasdep"/>
        </w:rPr>
        <w:footnoteRef/>
      </w:r>
      <w:r>
        <w:t xml:space="preserve"> </w:t>
      </w:r>
      <w:r>
        <w:tab/>
      </w:r>
      <w:r w:rsidRPr="0004576F">
        <w:t>François Charles Mougel, « </w:t>
      </w:r>
      <w:hyperlink r:id="rId66" w:history="1">
        <w:r w:rsidRPr="003217E3">
          <w:rPr>
            <w:rStyle w:val="Hyperlien"/>
          </w:rPr>
          <w:t>Faut-il que nous nous inspirions davantage du modèle nord</w:t>
        </w:r>
        <w:r w:rsidRPr="003217E3">
          <w:rPr>
            <w:rStyle w:val="Hyperlien"/>
          </w:rPr>
          <w:t>i</w:t>
        </w:r>
        <w:r w:rsidRPr="003217E3">
          <w:rPr>
            <w:rStyle w:val="Hyperlien"/>
          </w:rPr>
          <w:t>que ? </w:t>
        </w:r>
      </w:hyperlink>
      <w:r w:rsidRPr="0004576F">
        <w:t xml:space="preserve">», </w:t>
      </w:r>
      <w:r w:rsidRPr="0004576F">
        <w:rPr>
          <w:i/>
        </w:rPr>
        <w:t xml:space="preserve">Atlantico.fr, </w:t>
      </w:r>
      <w:r>
        <w:t>7/02/2013.</w:t>
      </w:r>
    </w:p>
  </w:footnote>
  <w:footnote w:id="1648">
    <w:p w14:paraId="679AB2F8" w14:textId="77777777" w:rsidR="00B01930" w:rsidRDefault="00B01930">
      <w:pPr>
        <w:pStyle w:val="Notedebasdepage"/>
      </w:pPr>
      <w:r>
        <w:rPr>
          <w:rStyle w:val="Appelnotedebasdep"/>
        </w:rPr>
        <w:footnoteRef/>
      </w:r>
      <w:r>
        <w:t xml:space="preserve"> </w:t>
      </w:r>
      <w:r>
        <w:tab/>
      </w:r>
      <w:r w:rsidRPr="003217E3">
        <w:t>Philippe Frémeaux, Wojtek Kalinowski, «</w:t>
      </w:r>
      <w:r>
        <w:t> </w:t>
      </w:r>
      <w:r w:rsidRPr="003217E3">
        <w:t>Retraites</w:t>
      </w:r>
      <w:r>
        <w:t> </w:t>
      </w:r>
      <w:r w:rsidRPr="003217E3">
        <w:t>: le modèle suédois et ses limites</w:t>
      </w:r>
      <w:r>
        <w:t> </w:t>
      </w:r>
      <w:r w:rsidRPr="003217E3">
        <w:t xml:space="preserve">», </w:t>
      </w:r>
      <w:r w:rsidRPr="003217E3">
        <w:rPr>
          <w:i/>
        </w:rPr>
        <w:t>Alternatives économiques</w:t>
      </w:r>
      <w:r w:rsidRPr="003217E3">
        <w:t>, n°</w:t>
      </w:r>
      <w:r>
        <w:t> </w:t>
      </w:r>
      <w:r w:rsidRPr="003217E3">
        <w:t>283, septembre 2009.</w:t>
      </w:r>
    </w:p>
  </w:footnote>
  <w:footnote w:id="1649">
    <w:p w14:paraId="34D0C05E" w14:textId="77777777" w:rsidR="00B01930" w:rsidRDefault="00B01930">
      <w:pPr>
        <w:pStyle w:val="Notedebasdepage"/>
      </w:pPr>
      <w:r>
        <w:rPr>
          <w:rStyle w:val="Appelnotedebasdep"/>
        </w:rPr>
        <w:footnoteRef/>
      </w:r>
      <w:r>
        <w:t xml:space="preserve"> </w:t>
      </w:r>
      <w:r>
        <w:tab/>
      </w:r>
      <w:r w:rsidRPr="0004576F">
        <w:t>Anne-Charlotte Dusseaulx, « </w:t>
      </w:r>
      <w:hyperlink r:id="rId67" w:history="1">
        <w:r w:rsidRPr="00B96E6A">
          <w:rPr>
            <w:rStyle w:val="Hyperlien"/>
          </w:rPr>
          <w:t>Emploi : Valls vante le modèle danois </w:t>
        </w:r>
      </w:hyperlink>
      <w:r w:rsidRPr="0004576F">
        <w:t xml:space="preserve">», </w:t>
      </w:r>
      <w:r w:rsidRPr="0004576F">
        <w:rPr>
          <w:i/>
        </w:rPr>
        <w:t>Le Journal du d</w:t>
      </w:r>
      <w:r w:rsidRPr="0004576F">
        <w:rPr>
          <w:i/>
        </w:rPr>
        <w:t>i</w:t>
      </w:r>
      <w:r w:rsidRPr="0004576F">
        <w:rPr>
          <w:i/>
        </w:rPr>
        <w:t>manche,</w:t>
      </w:r>
      <w:r>
        <w:t xml:space="preserve"> 28 novembre 2014</w:t>
      </w:r>
      <w:r w:rsidRPr="0004576F">
        <w:t>.</w:t>
      </w:r>
    </w:p>
  </w:footnote>
  <w:footnote w:id="1650">
    <w:p w14:paraId="47709BAF" w14:textId="77777777" w:rsidR="00B01930" w:rsidRDefault="00B01930">
      <w:pPr>
        <w:pStyle w:val="Notedebasdepage"/>
      </w:pPr>
      <w:r>
        <w:rPr>
          <w:rStyle w:val="Appelnotedebasdep"/>
        </w:rPr>
        <w:footnoteRef/>
      </w:r>
      <w:r>
        <w:t xml:space="preserve"> </w:t>
      </w:r>
      <w:r>
        <w:tab/>
      </w:r>
      <w:r w:rsidRPr="0004576F">
        <w:t>Marie Pierre Gröndahl, Anne Sophie Chevallier, « Le “paradis suédois” : un modèle à suivre ? »,</w:t>
      </w:r>
      <w:r w:rsidRPr="0004576F">
        <w:rPr>
          <w:i/>
        </w:rPr>
        <w:t xml:space="preserve"> Paris Match,</w:t>
      </w:r>
      <w:r w:rsidRPr="0004576F">
        <w:t xml:space="preserve"> 15/11/2012.</w:t>
      </w:r>
    </w:p>
  </w:footnote>
  <w:footnote w:id="1651">
    <w:p w14:paraId="461151A1" w14:textId="77777777" w:rsidR="00B01930" w:rsidRDefault="00B01930">
      <w:pPr>
        <w:pStyle w:val="Notedebasdepage"/>
      </w:pPr>
      <w:r>
        <w:rPr>
          <w:rStyle w:val="Appelnotedebasdep"/>
        </w:rPr>
        <w:footnoteRef/>
      </w:r>
      <w:r>
        <w:t xml:space="preserve"> </w:t>
      </w:r>
      <w:r>
        <w:tab/>
      </w:r>
      <w:r w:rsidRPr="0004576F">
        <w:t>« </w:t>
      </w:r>
      <w:hyperlink r:id="rId68" w:history="1">
        <w:r w:rsidRPr="00B96E6A">
          <w:rPr>
            <w:rStyle w:val="Hyperlien"/>
          </w:rPr>
          <w:t>La Finlande, eldorado de l’éducation ? </w:t>
        </w:r>
      </w:hyperlink>
      <w:r w:rsidRPr="0004576F">
        <w:t xml:space="preserve">», </w:t>
      </w:r>
      <w:r w:rsidRPr="0004576F">
        <w:rPr>
          <w:i/>
        </w:rPr>
        <w:t xml:space="preserve">L’Express, </w:t>
      </w:r>
      <w:r>
        <w:t>20/10/2013</w:t>
      </w:r>
      <w:r w:rsidRPr="0004576F">
        <w:t>.</w:t>
      </w:r>
    </w:p>
  </w:footnote>
  <w:footnote w:id="1652">
    <w:p w14:paraId="21756B27" w14:textId="77777777" w:rsidR="00B01930" w:rsidRDefault="00B01930">
      <w:pPr>
        <w:pStyle w:val="Notedebasdepage"/>
      </w:pPr>
      <w:r>
        <w:rPr>
          <w:rStyle w:val="Appelnotedebasdep"/>
        </w:rPr>
        <w:footnoteRef/>
      </w:r>
      <w:r>
        <w:t xml:space="preserve"> </w:t>
      </w:r>
      <w:r>
        <w:tab/>
      </w:r>
      <w:r w:rsidRPr="0004576F">
        <w:t>Sandrine Goldschmidt, muriel Salmona, « </w:t>
      </w:r>
      <w:hyperlink r:id="rId69" w:history="1">
        <w:r w:rsidRPr="00B96E6A">
          <w:rPr>
            <w:rStyle w:val="Hyperlien"/>
          </w:rPr>
          <w:t>Interdiction de la pro</w:t>
        </w:r>
        <w:r w:rsidRPr="00B96E6A">
          <w:rPr>
            <w:rStyle w:val="Hyperlien"/>
          </w:rPr>
          <w:t>s</w:t>
        </w:r>
        <w:r w:rsidRPr="00B96E6A">
          <w:rPr>
            <w:rStyle w:val="Hyperlien"/>
          </w:rPr>
          <w:t>titution : pourquoi la Suède est un bon modèle </w:t>
        </w:r>
      </w:hyperlink>
      <w:r w:rsidRPr="0004576F">
        <w:t>»,</w:t>
      </w:r>
      <w:r w:rsidRPr="0004576F">
        <w:rPr>
          <w:i/>
        </w:rPr>
        <w:t xml:space="preserve"> Slate.fr,</w:t>
      </w:r>
      <w:r w:rsidRPr="0004576F">
        <w:t xml:space="preserve"> 14/10/2013.</w:t>
      </w:r>
    </w:p>
  </w:footnote>
  <w:footnote w:id="1653">
    <w:p w14:paraId="309C6C98" w14:textId="77777777" w:rsidR="00B01930" w:rsidRDefault="00B01930">
      <w:pPr>
        <w:pStyle w:val="Notedebasdepage"/>
      </w:pPr>
      <w:r>
        <w:rPr>
          <w:rStyle w:val="Appelnotedebasdep"/>
        </w:rPr>
        <w:footnoteRef/>
      </w:r>
      <w:r>
        <w:t xml:space="preserve"> </w:t>
      </w:r>
      <w:r>
        <w:tab/>
      </w:r>
      <w:r w:rsidRPr="0004576F">
        <w:t>« Au pays de la fessée interdite », reportage Doc en Stocks diff</w:t>
      </w:r>
      <w:r w:rsidRPr="0004576F">
        <w:t>u</w:t>
      </w:r>
      <w:r w:rsidRPr="0004576F">
        <w:t xml:space="preserve">sé sur </w:t>
      </w:r>
      <w:r w:rsidRPr="0004576F">
        <w:rPr>
          <w:i/>
        </w:rPr>
        <w:t>Arte</w:t>
      </w:r>
      <w:r w:rsidRPr="0004576F">
        <w:t xml:space="preserve"> le 6 décembre 2011.</w:t>
      </w:r>
    </w:p>
  </w:footnote>
  <w:footnote w:id="1654">
    <w:p w14:paraId="7BFECA3F" w14:textId="77777777" w:rsidR="00B01930" w:rsidRDefault="00B01930">
      <w:pPr>
        <w:pStyle w:val="Notedebasdepage"/>
      </w:pPr>
      <w:r>
        <w:rPr>
          <w:rStyle w:val="Appelnotedebasdep"/>
        </w:rPr>
        <w:footnoteRef/>
      </w:r>
      <w:r>
        <w:t xml:space="preserve"> </w:t>
      </w:r>
      <w:r>
        <w:tab/>
      </w:r>
      <w:r w:rsidRPr="0004576F">
        <w:t>Anne Téca, « </w:t>
      </w:r>
      <w:hyperlink r:id="rId70" w:history="1">
        <w:r w:rsidRPr="00B96E6A">
          <w:rPr>
            <w:rStyle w:val="Hyperlien"/>
          </w:rPr>
          <w:t>La Suède, un modèle pour les sympathisants LGBT </w:t>
        </w:r>
      </w:hyperlink>
      <w:r w:rsidRPr="0004576F">
        <w:t xml:space="preserve">», </w:t>
      </w:r>
      <w:r w:rsidRPr="0004576F">
        <w:rPr>
          <w:i/>
        </w:rPr>
        <w:t>Le R</w:t>
      </w:r>
      <w:r w:rsidRPr="0004576F">
        <w:rPr>
          <w:i/>
        </w:rPr>
        <w:t>é</w:t>
      </w:r>
      <w:r w:rsidRPr="0004576F">
        <w:rPr>
          <w:i/>
        </w:rPr>
        <w:t>el</w:t>
      </w:r>
      <w:r>
        <w:t>, 15/06/2012.</w:t>
      </w:r>
    </w:p>
  </w:footnote>
  <w:footnote w:id="1655">
    <w:p w14:paraId="78A1DA94" w14:textId="77777777" w:rsidR="00B01930" w:rsidRDefault="00B01930">
      <w:pPr>
        <w:pStyle w:val="Notedebasdepage"/>
      </w:pPr>
      <w:r>
        <w:rPr>
          <w:rStyle w:val="Appelnotedebasdep"/>
        </w:rPr>
        <w:footnoteRef/>
      </w:r>
      <w:r>
        <w:t xml:space="preserve"> </w:t>
      </w:r>
      <w:r>
        <w:tab/>
      </w:r>
      <w:r w:rsidRPr="0004576F">
        <w:t>Truc, Olivier, « </w:t>
      </w:r>
      <w:hyperlink r:id="rId71" w:history="1">
        <w:r w:rsidRPr="00B96E6A">
          <w:rPr>
            <w:rStyle w:val="Hyperlien"/>
          </w:rPr>
          <w:t>Au Danemark pays de la flexisécurité le chôm</w:t>
        </w:r>
        <w:r w:rsidRPr="00B96E6A">
          <w:rPr>
            <w:rStyle w:val="Hyperlien"/>
          </w:rPr>
          <w:t>a</w:t>
        </w:r>
        <w:r w:rsidRPr="00B96E6A">
          <w:rPr>
            <w:rStyle w:val="Hyperlien"/>
          </w:rPr>
          <w:t>ge est au plus bas </w:t>
        </w:r>
      </w:hyperlink>
      <w:r w:rsidRPr="0004576F">
        <w:t xml:space="preserve">», </w:t>
      </w:r>
      <w:r w:rsidRPr="0004576F">
        <w:rPr>
          <w:i/>
        </w:rPr>
        <w:t>Le Monde,</w:t>
      </w:r>
      <w:r>
        <w:rPr>
          <w:i/>
        </w:rPr>
        <w:t xml:space="preserve"> </w:t>
      </w:r>
      <w:r>
        <w:t>28/03/2014</w:t>
      </w:r>
      <w:r w:rsidRPr="0004576F">
        <w:t>.</w:t>
      </w:r>
    </w:p>
  </w:footnote>
  <w:footnote w:id="1656">
    <w:p w14:paraId="744B5E2B" w14:textId="77777777" w:rsidR="00B01930" w:rsidRDefault="00B01930">
      <w:pPr>
        <w:pStyle w:val="Notedebasdepage"/>
      </w:pPr>
      <w:r>
        <w:rPr>
          <w:rStyle w:val="Appelnotedebasdep"/>
        </w:rPr>
        <w:footnoteRef/>
      </w:r>
      <w:r>
        <w:t xml:space="preserve"> </w:t>
      </w:r>
      <w:r>
        <w:tab/>
      </w:r>
      <w:r w:rsidRPr="0004576F">
        <w:t>Caroline Brizard, « </w:t>
      </w:r>
      <w:hyperlink r:id="rId72" w:history="1">
        <w:r w:rsidRPr="00B96E6A">
          <w:rPr>
            <w:rStyle w:val="Hyperlien"/>
          </w:rPr>
          <w:t>École : les bonnes recettes de la Finlande </w:t>
        </w:r>
      </w:hyperlink>
      <w:r w:rsidRPr="0004576F">
        <w:t xml:space="preserve">», </w:t>
      </w:r>
      <w:r w:rsidRPr="0004576F">
        <w:rPr>
          <w:i/>
        </w:rPr>
        <w:t xml:space="preserve">L’Obs, </w:t>
      </w:r>
      <w:r>
        <w:t>31/10/2013</w:t>
      </w:r>
      <w:r w:rsidRPr="0004576F">
        <w:t>.</w:t>
      </w:r>
    </w:p>
  </w:footnote>
  <w:footnote w:id="1657">
    <w:p w14:paraId="0A6881F3" w14:textId="77777777" w:rsidR="00B01930" w:rsidRDefault="00B01930">
      <w:pPr>
        <w:pStyle w:val="Notedebasdepage"/>
      </w:pPr>
      <w:r>
        <w:rPr>
          <w:rStyle w:val="Appelnotedebasdep"/>
        </w:rPr>
        <w:footnoteRef/>
      </w:r>
      <w:r>
        <w:t xml:space="preserve"> </w:t>
      </w:r>
      <w:r>
        <w:tab/>
      </w:r>
      <w:r w:rsidRPr="0004576F">
        <w:t>Une notable exception fut constituée au moment des attentats d’Utøya à l’été 2011.</w:t>
      </w:r>
    </w:p>
  </w:footnote>
  <w:footnote w:id="1658">
    <w:p w14:paraId="664DF129" w14:textId="77777777" w:rsidR="00B01930" w:rsidRDefault="00B01930">
      <w:pPr>
        <w:pStyle w:val="Notedebasdepage"/>
      </w:pPr>
      <w:r>
        <w:rPr>
          <w:rStyle w:val="Appelnotedebasdep"/>
        </w:rPr>
        <w:footnoteRef/>
      </w:r>
      <w:r>
        <w:t xml:space="preserve"> </w:t>
      </w:r>
      <w:r>
        <w:tab/>
      </w:r>
      <w:r w:rsidRPr="0004576F">
        <w:t xml:space="preserve">Clerc, Louis, « Un serpent de mer du débat français, le modèle nordique au prisme des discussions politiques françaises », </w:t>
      </w:r>
      <w:r w:rsidRPr="0004576F">
        <w:rPr>
          <w:i/>
        </w:rPr>
        <w:t xml:space="preserve">Nordiques, </w:t>
      </w:r>
      <w:r w:rsidRPr="0004576F">
        <w:t>n°15, hiver 2007-2008, p. 25-45.</w:t>
      </w:r>
    </w:p>
  </w:footnote>
  <w:footnote w:id="1659">
    <w:p w14:paraId="5729A056" w14:textId="77777777" w:rsidR="00B01930" w:rsidRDefault="00B01930">
      <w:pPr>
        <w:pStyle w:val="Notedebasdepage"/>
      </w:pPr>
      <w:r>
        <w:rPr>
          <w:rStyle w:val="Appelnotedebasdep"/>
        </w:rPr>
        <w:footnoteRef/>
      </w:r>
      <w:r>
        <w:t xml:space="preserve"> </w:t>
      </w:r>
      <w:r>
        <w:tab/>
      </w:r>
      <w:r w:rsidRPr="0004576F">
        <w:t xml:space="preserve">Schreiber, Émile, </w:t>
      </w:r>
      <w:r w:rsidRPr="0004576F">
        <w:rPr>
          <w:i/>
        </w:rPr>
        <w:t>Heureux Scandinaves, enquête sur les réalisations sociali</w:t>
      </w:r>
      <w:r w:rsidRPr="0004576F">
        <w:rPr>
          <w:i/>
        </w:rPr>
        <w:t>s</w:t>
      </w:r>
      <w:r w:rsidRPr="0004576F">
        <w:rPr>
          <w:i/>
        </w:rPr>
        <w:t>tes au Danemark, en Suède, No</w:t>
      </w:r>
      <w:r w:rsidRPr="0004576F">
        <w:rPr>
          <w:i/>
        </w:rPr>
        <w:t>r</w:t>
      </w:r>
      <w:r w:rsidRPr="0004576F">
        <w:rPr>
          <w:i/>
        </w:rPr>
        <w:t xml:space="preserve">vège et Finlande, </w:t>
      </w:r>
      <w:r w:rsidRPr="0004576F">
        <w:t>Paris, Denoël et Steele, 1936.</w:t>
      </w:r>
    </w:p>
  </w:footnote>
  <w:footnote w:id="1660">
    <w:p w14:paraId="72F8F967" w14:textId="77777777" w:rsidR="00B01930" w:rsidRDefault="00B01930">
      <w:pPr>
        <w:pStyle w:val="Notedebasdepage"/>
      </w:pPr>
      <w:r>
        <w:rPr>
          <w:rStyle w:val="Appelnotedebasdep"/>
        </w:rPr>
        <w:footnoteRef/>
      </w:r>
      <w:r>
        <w:t xml:space="preserve"> </w:t>
      </w:r>
      <w:r>
        <w:tab/>
      </w:r>
      <w:r w:rsidRPr="0004576F">
        <w:rPr>
          <w:i/>
        </w:rPr>
        <w:t>Ibidem</w:t>
      </w:r>
      <w:r w:rsidRPr="0004576F">
        <w:t>, p. 195.</w:t>
      </w:r>
    </w:p>
  </w:footnote>
  <w:footnote w:id="1661">
    <w:p w14:paraId="5484CF6A" w14:textId="77777777" w:rsidR="00B01930" w:rsidRDefault="00B01930">
      <w:pPr>
        <w:pStyle w:val="Notedebasdepage"/>
      </w:pPr>
      <w:r>
        <w:rPr>
          <w:rStyle w:val="Appelnotedebasdep"/>
        </w:rPr>
        <w:footnoteRef/>
      </w:r>
      <w:r>
        <w:t xml:space="preserve"> </w:t>
      </w:r>
      <w:r>
        <w:tab/>
      </w:r>
      <w:r w:rsidRPr="0004576F">
        <w:t xml:space="preserve">Clerc, Louis, </w:t>
      </w:r>
      <w:r w:rsidRPr="0004576F">
        <w:rPr>
          <w:i/>
        </w:rPr>
        <w:t>Un Serpent de mer</w:t>
      </w:r>
      <w:r w:rsidRPr="0004576F">
        <w:t xml:space="preserve">…, </w:t>
      </w:r>
      <w:r w:rsidRPr="0004576F">
        <w:rPr>
          <w:i/>
        </w:rPr>
        <w:t>op. cit</w:t>
      </w:r>
      <w:r w:rsidRPr="0004576F">
        <w:t>.</w:t>
      </w:r>
    </w:p>
  </w:footnote>
  <w:footnote w:id="1662">
    <w:p w14:paraId="0615FE09" w14:textId="77777777" w:rsidR="00B01930" w:rsidRDefault="00B01930">
      <w:pPr>
        <w:pStyle w:val="Notedebasdepage"/>
      </w:pPr>
      <w:r>
        <w:rPr>
          <w:rStyle w:val="Appelnotedebasdep"/>
        </w:rPr>
        <w:footnoteRef/>
      </w:r>
      <w:r>
        <w:t xml:space="preserve"> </w:t>
      </w:r>
      <w:r>
        <w:tab/>
      </w:r>
      <w:r w:rsidRPr="0004576F">
        <w:t xml:space="preserve">Planus, Paul, </w:t>
      </w:r>
      <w:r w:rsidRPr="0004576F">
        <w:rPr>
          <w:i/>
        </w:rPr>
        <w:t xml:space="preserve">Patrons et ouvriers en Suède, </w:t>
      </w:r>
      <w:r w:rsidRPr="0004576F">
        <w:t>Paris, Plon, 1938.</w:t>
      </w:r>
    </w:p>
  </w:footnote>
  <w:footnote w:id="1663">
    <w:p w14:paraId="14BF61A9" w14:textId="77777777" w:rsidR="00B01930" w:rsidRDefault="00B01930">
      <w:pPr>
        <w:pStyle w:val="Notedebasdepage"/>
      </w:pPr>
      <w:r>
        <w:rPr>
          <w:rStyle w:val="Appelnotedebasdep"/>
        </w:rPr>
        <w:footnoteRef/>
      </w:r>
      <w:r>
        <w:t xml:space="preserve"> </w:t>
      </w:r>
      <w:r>
        <w:tab/>
      </w:r>
      <w:r w:rsidRPr="0004576F">
        <w:t>Vergnon, Gilles,</w:t>
      </w:r>
      <w:r w:rsidRPr="0004576F">
        <w:rPr>
          <w:i/>
        </w:rPr>
        <w:t xml:space="preserve"> Le Modèle suédois… op. cit</w:t>
      </w:r>
      <w:r w:rsidRPr="0004576F">
        <w:t>., p. 33.</w:t>
      </w:r>
    </w:p>
  </w:footnote>
  <w:footnote w:id="1664">
    <w:p w14:paraId="0D124153" w14:textId="77777777" w:rsidR="00B01930" w:rsidRDefault="00B01930">
      <w:pPr>
        <w:pStyle w:val="Notedebasdepage"/>
      </w:pPr>
      <w:r>
        <w:rPr>
          <w:rStyle w:val="Appelnotedebasdep"/>
        </w:rPr>
        <w:footnoteRef/>
      </w:r>
      <w:r>
        <w:t xml:space="preserve"> </w:t>
      </w:r>
      <w:r>
        <w:tab/>
      </w:r>
      <w:r w:rsidRPr="0004576F">
        <w:rPr>
          <w:i/>
        </w:rPr>
        <w:t>Ibidem</w:t>
      </w:r>
      <w:r w:rsidRPr="0004576F">
        <w:t>, p. 40.</w:t>
      </w:r>
    </w:p>
  </w:footnote>
  <w:footnote w:id="1665">
    <w:p w14:paraId="1060D815" w14:textId="77777777" w:rsidR="00B01930" w:rsidRDefault="00B01930">
      <w:pPr>
        <w:pStyle w:val="Notedebasdepage"/>
      </w:pPr>
      <w:r>
        <w:rPr>
          <w:rStyle w:val="Appelnotedebasdep"/>
        </w:rPr>
        <w:footnoteRef/>
      </w:r>
      <w:r>
        <w:t xml:space="preserve"> </w:t>
      </w:r>
      <w:r>
        <w:tab/>
      </w:r>
      <w:r w:rsidRPr="0004576F">
        <w:t>Rapport de la délagation française au C</w:t>
      </w:r>
      <w:r w:rsidRPr="0004576F">
        <w:rPr>
          <w:smallCaps/>
        </w:rPr>
        <w:t>omisco</w:t>
      </w:r>
      <w:r w:rsidRPr="0004576F">
        <w:t>, octobre 1950, AGM 53, c</w:t>
      </w:r>
      <w:r w:rsidRPr="0004576F">
        <w:t>i</w:t>
      </w:r>
      <w:r w:rsidRPr="0004576F">
        <w:t xml:space="preserve">té in Vergnon, Gille, </w:t>
      </w:r>
      <w:r w:rsidRPr="0004576F">
        <w:rPr>
          <w:i/>
        </w:rPr>
        <w:t>op. cit</w:t>
      </w:r>
      <w:r w:rsidRPr="0004576F">
        <w:t>., p. 75.</w:t>
      </w:r>
    </w:p>
  </w:footnote>
  <w:footnote w:id="1666">
    <w:p w14:paraId="6E4E69AE" w14:textId="77777777" w:rsidR="00B01930" w:rsidRDefault="00B01930">
      <w:pPr>
        <w:pStyle w:val="Notedebasdepage"/>
      </w:pPr>
      <w:r>
        <w:rPr>
          <w:rStyle w:val="Appelnotedebasdep"/>
        </w:rPr>
        <w:footnoteRef/>
      </w:r>
      <w:r>
        <w:t xml:space="preserve"> </w:t>
      </w:r>
      <w:r>
        <w:tab/>
      </w:r>
      <w:r w:rsidRPr="0004576F">
        <w:t>Pour la France, cf. Auchet, Marc, « Le “modèle scandinave” : vitrine ou m</w:t>
      </w:r>
      <w:r w:rsidRPr="0004576F">
        <w:t>i</w:t>
      </w:r>
      <w:r w:rsidRPr="0004576F">
        <w:t xml:space="preserve">roir ? », </w:t>
      </w:r>
      <w:r w:rsidRPr="0004576F">
        <w:rPr>
          <w:i/>
        </w:rPr>
        <w:t>Revue d’Études German</w:t>
      </w:r>
      <w:r w:rsidRPr="0004576F">
        <w:rPr>
          <w:i/>
        </w:rPr>
        <w:t>i</w:t>
      </w:r>
      <w:r w:rsidRPr="0004576F">
        <w:rPr>
          <w:i/>
        </w:rPr>
        <w:t>ques,</w:t>
      </w:r>
      <w:r w:rsidRPr="0004576F">
        <w:t xml:space="preserve"> octobre-décembre 1995, p. 679-689.</w:t>
      </w:r>
    </w:p>
  </w:footnote>
  <w:footnote w:id="1667">
    <w:p w14:paraId="51392010" w14:textId="77777777" w:rsidR="00B01930" w:rsidRDefault="00B01930">
      <w:pPr>
        <w:pStyle w:val="Notedebasdepage"/>
      </w:pPr>
      <w:r>
        <w:rPr>
          <w:rStyle w:val="Appelnotedebasdep"/>
        </w:rPr>
        <w:footnoteRef/>
      </w:r>
      <w:r>
        <w:t xml:space="preserve"> </w:t>
      </w:r>
      <w:r>
        <w:tab/>
      </w:r>
      <w:r w:rsidRPr="0004576F">
        <w:t xml:space="preserve">Vergnon, Gilles, </w:t>
      </w:r>
      <w:r w:rsidRPr="0004576F">
        <w:rPr>
          <w:i/>
        </w:rPr>
        <w:t>op. cit</w:t>
      </w:r>
      <w:r w:rsidRPr="0004576F">
        <w:t>., p. 91.</w:t>
      </w:r>
    </w:p>
  </w:footnote>
  <w:footnote w:id="1668">
    <w:p w14:paraId="178FD65D" w14:textId="77777777" w:rsidR="00B01930" w:rsidRDefault="00B01930">
      <w:pPr>
        <w:pStyle w:val="Notedebasdepage"/>
      </w:pPr>
      <w:r>
        <w:rPr>
          <w:rStyle w:val="Appelnotedebasdep"/>
        </w:rPr>
        <w:footnoteRef/>
      </w:r>
      <w:r>
        <w:t xml:space="preserve"> </w:t>
      </w:r>
      <w:r>
        <w:tab/>
      </w:r>
      <w:r w:rsidRPr="0004576F">
        <w:t xml:space="preserve">Albert, Michel, Servan-Schreiber, Jean-Jacques, </w:t>
      </w:r>
      <w:r w:rsidRPr="0004576F">
        <w:rPr>
          <w:i/>
        </w:rPr>
        <w:t>Ciel et terre, le Manifeste rad</w:t>
      </w:r>
      <w:r w:rsidRPr="0004576F">
        <w:rPr>
          <w:i/>
        </w:rPr>
        <w:t>i</w:t>
      </w:r>
      <w:r w:rsidRPr="0004576F">
        <w:rPr>
          <w:i/>
        </w:rPr>
        <w:t xml:space="preserve">cal, </w:t>
      </w:r>
      <w:r w:rsidRPr="0004576F">
        <w:t>Paris, Denoël, 1970.</w:t>
      </w:r>
    </w:p>
  </w:footnote>
  <w:footnote w:id="1669">
    <w:p w14:paraId="041F6B61" w14:textId="77777777" w:rsidR="00B01930" w:rsidRDefault="00B01930">
      <w:pPr>
        <w:pStyle w:val="Notedebasdepage"/>
      </w:pPr>
      <w:r>
        <w:rPr>
          <w:rStyle w:val="Appelnotedebasdep"/>
        </w:rPr>
        <w:footnoteRef/>
      </w:r>
      <w:r>
        <w:t xml:space="preserve"> </w:t>
      </w:r>
      <w:r>
        <w:tab/>
        <w:t>«</w:t>
      </w:r>
      <w:r w:rsidRPr="0004576F">
        <w:t xml:space="preserve"> Déclaration de principes », in Bergounioux, Alain, </w:t>
      </w:r>
      <w:r w:rsidRPr="0004576F">
        <w:rPr>
          <w:i/>
        </w:rPr>
        <w:t>Déclarations de princ</w:t>
      </w:r>
      <w:r w:rsidRPr="0004576F">
        <w:rPr>
          <w:i/>
        </w:rPr>
        <w:t>i</w:t>
      </w:r>
      <w:r w:rsidRPr="0004576F">
        <w:rPr>
          <w:i/>
        </w:rPr>
        <w:t xml:space="preserve">pes socialistes 1905-2008, </w:t>
      </w:r>
      <w:r w:rsidRPr="0004576F">
        <w:t>Paris, Bruno Leprince, 2008, coll. « Encyclopédie du socialisme », p. 37-43. Cité in Gilles Ve</w:t>
      </w:r>
      <w:r w:rsidRPr="0004576F">
        <w:t>r</w:t>
      </w:r>
      <w:r w:rsidRPr="0004576F">
        <w:t xml:space="preserve">gnon, </w:t>
      </w:r>
      <w:r w:rsidRPr="0004576F">
        <w:rPr>
          <w:i/>
        </w:rPr>
        <w:t>op.cit</w:t>
      </w:r>
      <w:r w:rsidRPr="0004576F">
        <w:t>., p. 103.</w:t>
      </w:r>
    </w:p>
  </w:footnote>
  <w:footnote w:id="1670">
    <w:p w14:paraId="4467278E" w14:textId="77777777" w:rsidR="00B01930" w:rsidRDefault="00B01930">
      <w:pPr>
        <w:pStyle w:val="Notedebasdepage"/>
      </w:pPr>
      <w:r>
        <w:rPr>
          <w:rStyle w:val="Appelnotedebasdep"/>
        </w:rPr>
        <w:footnoteRef/>
      </w:r>
      <w:r>
        <w:t xml:space="preserve"> </w:t>
      </w:r>
      <w:r>
        <w:tab/>
      </w:r>
      <w:r w:rsidRPr="0004576F">
        <w:t xml:space="preserve">Vergnon, Gilles, </w:t>
      </w:r>
      <w:r w:rsidRPr="0004576F">
        <w:rPr>
          <w:i/>
        </w:rPr>
        <w:t>op. cit.</w:t>
      </w:r>
      <w:r w:rsidRPr="0004576F">
        <w:t>, p. 105.</w:t>
      </w:r>
    </w:p>
  </w:footnote>
  <w:footnote w:id="1671">
    <w:p w14:paraId="446538B8" w14:textId="77777777" w:rsidR="00B01930" w:rsidRDefault="00B01930">
      <w:pPr>
        <w:pStyle w:val="Notedebasdepage"/>
      </w:pPr>
      <w:r>
        <w:rPr>
          <w:rStyle w:val="Appelnotedebasdep"/>
        </w:rPr>
        <w:footnoteRef/>
      </w:r>
      <w:r>
        <w:t xml:space="preserve"> </w:t>
      </w:r>
      <w:r>
        <w:tab/>
      </w:r>
      <w:r w:rsidRPr="0004576F">
        <w:t xml:space="preserve">Voir Arnault, Jacques, </w:t>
      </w:r>
      <w:r w:rsidRPr="0004576F">
        <w:rPr>
          <w:i/>
        </w:rPr>
        <w:t xml:space="preserve">Le “Socialisme” suédois, </w:t>
      </w:r>
      <w:r w:rsidRPr="0004576F">
        <w:t>Paris, Éditons sociales, 1970.</w:t>
      </w:r>
    </w:p>
  </w:footnote>
  <w:footnote w:id="1672">
    <w:p w14:paraId="7A3DC547" w14:textId="77777777" w:rsidR="00B01930" w:rsidRDefault="00B01930">
      <w:pPr>
        <w:pStyle w:val="Notedebasdepage"/>
      </w:pPr>
      <w:r>
        <w:rPr>
          <w:rStyle w:val="Appelnotedebasdep"/>
        </w:rPr>
        <w:footnoteRef/>
      </w:r>
      <w:r>
        <w:t xml:space="preserve"> </w:t>
      </w:r>
      <w:r>
        <w:tab/>
      </w:r>
      <w:r w:rsidRPr="0004576F">
        <w:t xml:space="preserve">Huntford, Roland, </w:t>
      </w:r>
      <w:r w:rsidRPr="0004576F">
        <w:rPr>
          <w:i/>
        </w:rPr>
        <w:t xml:space="preserve">The New Totalitarians, </w:t>
      </w:r>
      <w:r w:rsidRPr="0004576F">
        <w:t xml:space="preserve">London, Penguin, 1971. Huntford, Roland, </w:t>
      </w:r>
      <w:r w:rsidRPr="0004576F">
        <w:rPr>
          <w:i/>
        </w:rPr>
        <w:t>Le Nouveau Totalit</w:t>
      </w:r>
      <w:r w:rsidRPr="0004576F">
        <w:rPr>
          <w:i/>
        </w:rPr>
        <w:t>a</w:t>
      </w:r>
      <w:r w:rsidRPr="0004576F">
        <w:rPr>
          <w:i/>
        </w:rPr>
        <w:t xml:space="preserve">risme, </w:t>
      </w:r>
      <w:r w:rsidRPr="0004576F">
        <w:t>Paris, Fayard, 1975.</w:t>
      </w:r>
    </w:p>
  </w:footnote>
  <w:footnote w:id="1673">
    <w:p w14:paraId="2EC63E36" w14:textId="77777777" w:rsidR="00B01930" w:rsidRDefault="00B01930">
      <w:pPr>
        <w:pStyle w:val="Notedebasdepage"/>
      </w:pPr>
      <w:r>
        <w:rPr>
          <w:rStyle w:val="Appelnotedebasdep"/>
        </w:rPr>
        <w:footnoteRef/>
      </w:r>
      <w:r>
        <w:t xml:space="preserve"> </w:t>
      </w:r>
      <w:r>
        <w:tab/>
      </w:r>
      <w:hyperlink r:id="rId73" w:history="1">
        <w:r w:rsidRPr="00B96E6A">
          <w:rPr>
            <w:rStyle w:val="Hyperlien"/>
            <w:i/>
          </w:rPr>
          <w:t>Suède, un succès qui dérange</w:t>
        </w:r>
      </w:hyperlink>
      <w:r w:rsidRPr="0004576F">
        <w:rPr>
          <w:i/>
        </w:rPr>
        <w:t xml:space="preserve">, Questionnaire, </w:t>
      </w:r>
      <w:r>
        <w:t>TFI, 9 mai 1796</w:t>
      </w:r>
      <w:r w:rsidRPr="0004576F">
        <w:t>.</w:t>
      </w:r>
    </w:p>
  </w:footnote>
  <w:footnote w:id="1674">
    <w:p w14:paraId="064D7C8E" w14:textId="77777777" w:rsidR="00B01930" w:rsidRDefault="00B01930">
      <w:pPr>
        <w:pStyle w:val="Notedebasdepage"/>
      </w:pPr>
      <w:r>
        <w:rPr>
          <w:rStyle w:val="Appelnotedebasdep"/>
        </w:rPr>
        <w:footnoteRef/>
      </w:r>
      <w:r>
        <w:t xml:space="preserve"> </w:t>
      </w:r>
      <w:r>
        <w:tab/>
      </w:r>
      <w:r w:rsidRPr="0004576F">
        <w:t>La Suède entre alors dans une période d’alternances.</w:t>
      </w:r>
    </w:p>
  </w:footnote>
  <w:footnote w:id="1675">
    <w:p w14:paraId="65B00C61" w14:textId="77777777" w:rsidR="00B01930" w:rsidRDefault="00B01930">
      <w:pPr>
        <w:pStyle w:val="Notedebasdepage"/>
      </w:pPr>
      <w:r>
        <w:rPr>
          <w:rStyle w:val="Appelnotedebasdep"/>
        </w:rPr>
        <w:footnoteRef/>
      </w:r>
      <w:r>
        <w:t xml:space="preserve"> </w:t>
      </w:r>
      <w:r>
        <w:tab/>
      </w:r>
      <w:r w:rsidRPr="0004576F">
        <w:t xml:space="preserve">Aucante, Yohann, « L’antimodèle : les racines de la critique de la social-démocratie en Suède après 1945 », </w:t>
      </w:r>
      <w:r w:rsidRPr="0004576F">
        <w:rPr>
          <w:i/>
        </w:rPr>
        <w:t xml:space="preserve">Nordiques, </w:t>
      </w:r>
      <w:r w:rsidRPr="0004576F">
        <w:t>2013, n°25, p. 23-37.</w:t>
      </w:r>
    </w:p>
  </w:footnote>
  <w:footnote w:id="1676">
    <w:p w14:paraId="2DD7D94E" w14:textId="77777777" w:rsidR="00B01930" w:rsidRDefault="00B01930">
      <w:pPr>
        <w:pStyle w:val="Notedebasdepage"/>
      </w:pPr>
      <w:r>
        <w:rPr>
          <w:rStyle w:val="Appelnotedebasdep"/>
        </w:rPr>
        <w:footnoteRef/>
      </w:r>
      <w:r>
        <w:t xml:space="preserve"> </w:t>
      </w:r>
      <w:r>
        <w:tab/>
      </w:r>
      <w:r w:rsidRPr="0004576F">
        <w:t xml:space="preserve">Sejersted, Francis, </w:t>
      </w:r>
      <w:r w:rsidRPr="0004576F">
        <w:rPr>
          <w:i/>
        </w:rPr>
        <w:t xml:space="preserve">The Age of Social Democracy, Norway and Sweden in the Twentieth Century, </w:t>
      </w:r>
      <w:r w:rsidRPr="0004576F">
        <w:t>Princeton University Press, 2011. Chap. 13, « From Equ</w:t>
      </w:r>
      <w:r w:rsidRPr="0004576F">
        <w:t>a</w:t>
      </w:r>
      <w:r w:rsidRPr="0004576F">
        <w:t>lity to Freedom ».</w:t>
      </w:r>
    </w:p>
  </w:footnote>
  <w:footnote w:id="1677">
    <w:p w14:paraId="4CB846AC" w14:textId="77777777" w:rsidR="00B01930" w:rsidRDefault="00B01930">
      <w:pPr>
        <w:pStyle w:val="Notedebasdepage"/>
      </w:pPr>
      <w:r>
        <w:rPr>
          <w:rStyle w:val="Appelnotedebasdep"/>
        </w:rPr>
        <w:footnoteRef/>
      </w:r>
      <w:r>
        <w:t xml:space="preserve"> </w:t>
      </w:r>
      <w:r>
        <w:tab/>
      </w:r>
      <w:r w:rsidRPr="0004576F">
        <w:t>Stellinger, Anna, « </w:t>
      </w:r>
      <w:hyperlink r:id="rId74" w:history="1">
        <w:r w:rsidRPr="000A3499">
          <w:rPr>
            <w:rStyle w:val="Hyperlien"/>
          </w:rPr>
          <w:t>Le modèle danois, un modèle pour la France </w:t>
        </w:r>
      </w:hyperlink>
      <w:r w:rsidRPr="0004576F">
        <w:t xml:space="preserve">», </w:t>
      </w:r>
      <w:r w:rsidRPr="0004576F">
        <w:rPr>
          <w:i/>
        </w:rPr>
        <w:t>Société civ</w:t>
      </w:r>
      <w:r w:rsidRPr="0004576F">
        <w:rPr>
          <w:i/>
        </w:rPr>
        <w:t>i</w:t>
      </w:r>
      <w:r w:rsidRPr="0004576F">
        <w:rPr>
          <w:i/>
        </w:rPr>
        <w:t>le,</w:t>
      </w:r>
      <w:r w:rsidRPr="0004576F">
        <w:t xml:space="preserve"> n</w:t>
      </w:r>
      <w:r>
        <w:t>° 40, oct. 2004</w:t>
      </w:r>
      <w:r w:rsidRPr="0004576F">
        <w:t>. « </w:t>
      </w:r>
      <w:hyperlink r:id="rId75" w:history="1">
        <w:r w:rsidRPr="000A3499">
          <w:rPr>
            <w:rStyle w:val="Hyperlien"/>
          </w:rPr>
          <w:t>Valls loue le modèle danois contre le chômage </w:t>
        </w:r>
      </w:hyperlink>
      <w:r w:rsidRPr="0004576F">
        <w:t>»,</w:t>
      </w:r>
      <w:r w:rsidRPr="0004576F">
        <w:rPr>
          <w:i/>
        </w:rPr>
        <w:t xml:space="preserve"> Le Point,</w:t>
      </w:r>
      <w:r w:rsidRPr="0004576F">
        <w:t xml:space="preserve"> 28/11</w:t>
      </w:r>
      <w:r>
        <w:t>/2014</w:t>
      </w:r>
      <w:r w:rsidRPr="0004576F">
        <w:t>. Ba</w:t>
      </w:r>
      <w:r w:rsidRPr="0004576F">
        <w:t>r</w:t>
      </w:r>
      <w:r w:rsidRPr="0004576F">
        <w:t xml:space="preserve">bier, Jean-Claude, « Retours sur le “modèle danois”, quinze ans d’analyses croisées », </w:t>
      </w:r>
      <w:r w:rsidRPr="0004576F">
        <w:rPr>
          <w:i/>
        </w:rPr>
        <w:t>Politiques sociales et fam</w:t>
      </w:r>
      <w:r w:rsidRPr="0004576F">
        <w:rPr>
          <w:i/>
        </w:rPr>
        <w:t>i</w:t>
      </w:r>
      <w:r w:rsidRPr="0004576F">
        <w:rPr>
          <w:i/>
        </w:rPr>
        <w:t xml:space="preserve">liales, </w:t>
      </w:r>
      <w:r w:rsidRPr="0004576F">
        <w:t>2013, vol.</w:t>
      </w:r>
      <w:r>
        <w:t> </w:t>
      </w:r>
      <w:r w:rsidRPr="0004576F">
        <w:t>112, p. 29-37.</w:t>
      </w:r>
    </w:p>
  </w:footnote>
  <w:footnote w:id="1678">
    <w:p w14:paraId="547C1D4F" w14:textId="77777777" w:rsidR="00B01930" w:rsidRDefault="00B01930">
      <w:pPr>
        <w:pStyle w:val="Notedebasdepage"/>
      </w:pPr>
      <w:r>
        <w:rPr>
          <w:rStyle w:val="Appelnotedebasdep"/>
        </w:rPr>
        <w:footnoteRef/>
      </w:r>
      <w:r>
        <w:t xml:space="preserve"> </w:t>
      </w:r>
      <w:r>
        <w:tab/>
      </w:r>
      <w:r w:rsidRPr="0004576F">
        <w:t xml:space="preserve">Boujnah, Stéphane, « L’inoxydable modèle suédois. Du modèle de société au modèle de gouvernement », </w:t>
      </w:r>
      <w:r w:rsidRPr="0004576F">
        <w:rPr>
          <w:i/>
        </w:rPr>
        <w:t xml:space="preserve">En temps réel, </w:t>
      </w:r>
      <w:r w:rsidRPr="0004576F">
        <w:t xml:space="preserve"> n° 6, déce</w:t>
      </w:r>
      <w:r w:rsidRPr="0004576F">
        <w:t>m</w:t>
      </w:r>
      <w:r w:rsidRPr="0004576F">
        <w:t>bre 2002.</w:t>
      </w:r>
    </w:p>
  </w:footnote>
  <w:footnote w:id="1679">
    <w:p w14:paraId="387D3DF6" w14:textId="77777777" w:rsidR="00B01930" w:rsidRDefault="00B01930">
      <w:pPr>
        <w:pStyle w:val="Notedebasdepage"/>
      </w:pPr>
      <w:r>
        <w:rPr>
          <w:rStyle w:val="Appelnotedebasdep"/>
        </w:rPr>
        <w:footnoteRef/>
      </w:r>
      <w:r>
        <w:t xml:space="preserve"> </w:t>
      </w:r>
      <w:r>
        <w:tab/>
      </w:r>
      <w:r w:rsidRPr="0004576F">
        <w:t>Nathalie Segaumes, « </w:t>
      </w:r>
      <w:hyperlink r:id="rId76" w:anchor="xtref=https%3A%2F%2Fwww.google.fr%2F" w:history="1">
        <w:r w:rsidRPr="000A3499">
          <w:rPr>
            <w:rStyle w:val="Hyperlien"/>
          </w:rPr>
          <w:t>Royal admire le modèle suédois </w:t>
        </w:r>
      </w:hyperlink>
      <w:r w:rsidRPr="0004576F">
        <w:t xml:space="preserve">», </w:t>
      </w:r>
      <w:r w:rsidRPr="0004576F">
        <w:rPr>
          <w:i/>
        </w:rPr>
        <w:t xml:space="preserve">Le Parisien, </w:t>
      </w:r>
      <w:r w:rsidRPr="0004576F">
        <w:t>4 jui</w:t>
      </w:r>
      <w:r w:rsidRPr="0004576F">
        <w:t>l</w:t>
      </w:r>
      <w:r>
        <w:t>let 2006</w:t>
      </w:r>
      <w:r w:rsidRPr="0004576F">
        <w:t>.</w:t>
      </w:r>
    </w:p>
  </w:footnote>
  <w:footnote w:id="1680">
    <w:p w14:paraId="37BECD2D" w14:textId="77777777" w:rsidR="00B01930" w:rsidRDefault="00B01930">
      <w:pPr>
        <w:pStyle w:val="Notedebasdepage"/>
      </w:pPr>
      <w:r>
        <w:rPr>
          <w:rStyle w:val="Appelnotedebasdep"/>
        </w:rPr>
        <w:footnoteRef/>
      </w:r>
      <w:r>
        <w:t xml:space="preserve"> </w:t>
      </w:r>
      <w:r>
        <w:tab/>
      </w:r>
      <w:r w:rsidRPr="0004576F">
        <w:t xml:space="preserve">Voir : Simoulin, « Le “modèle suédois” : succès persistant, recompositions actorielles et reconfigurations intellectuelles », </w:t>
      </w:r>
      <w:r w:rsidRPr="0004576F">
        <w:rPr>
          <w:i/>
        </w:rPr>
        <w:t>Cahiers internationaux de s</w:t>
      </w:r>
      <w:r w:rsidRPr="0004576F">
        <w:rPr>
          <w:i/>
        </w:rPr>
        <w:t>o</w:t>
      </w:r>
      <w:r w:rsidRPr="0004576F">
        <w:rPr>
          <w:i/>
        </w:rPr>
        <w:t>ciol</w:t>
      </w:r>
      <w:r w:rsidRPr="0004576F">
        <w:rPr>
          <w:i/>
        </w:rPr>
        <w:t>o</w:t>
      </w:r>
      <w:r w:rsidRPr="0004576F">
        <w:rPr>
          <w:i/>
        </w:rPr>
        <w:t>gie,</w:t>
      </w:r>
      <w:r w:rsidRPr="0004576F">
        <w:t xml:space="preserve"> 2005, vol. XIX, p. 289-309.</w:t>
      </w:r>
    </w:p>
  </w:footnote>
  <w:footnote w:id="1681">
    <w:p w14:paraId="2DD203C7" w14:textId="77777777" w:rsidR="00B01930" w:rsidRDefault="00B01930">
      <w:pPr>
        <w:pStyle w:val="Notedebasdepage"/>
      </w:pPr>
      <w:r>
        <w:rPr>
          <w:rStyle w:val="Appelnotedebasdep"/>
        </w:rPr>
        <w:footnoteRef/>
      </w:r>
      <w:r>
        <w:t xml:space="preserve"> </w:t>
      </w:r>
      <w:r>
        <w:tab/>
      </w:r>
      <w:r w:rsidRPr="0004576F">
        <w:t>Stellinger, Anna, « L’exemple scandinave, modèle ou alibi ? Document de travail », Fo</w:t>
      </w:r>
      <w:r w:rsidRPr="0004576F">
        <w:t>n</w:t>
      </w:r>
      <w:r w:rsidRPr="0004576F">
        <w:t>dation pour l’innovation politique, mars 2007.</w:t>
      </w:r>
    </w:p>
  </w:footnote>
  <w:footnote w:id="1682">
    <w:p w14:paraId="6CE7A742" w14:textId="77777777" w:rsidR="00B01930" w:rsidRDefault="00B01930">
      <w:pPr>
        <w:pStyle w:val="Notedebasdepage"/>
      </w:pPr>
      <w:r>
        <w:rPr>
          <w:rStyle w:val="Appelnotedebasdep"/>
        </w:rPr>
        <w:footnoteRef/>
      </w:r>
      <w:r>
        <w:t xml:space="preserve"> </w:t>
      </w:r>
      <w:r>
        <w:tab/>
      </w:r>
      <w:r w:rsidRPr="0004576F">
        <w:t>Qui dispose d’un site à Pari</w:t>
      </w:r>
      <w:r>
        <w:t>s</w:t>
      </w:r>
      <w:r w:rsidRPr="0004576F">
        <w:t>, l’Institut culturel suédois.</w:t>
      </w:r>
    </w:p>
  </w:footnote>
  <w:footnote w:id="1683">
    <w:p w14:paraId="0E087123" w14:textId="77777777" w:rsidR="00B01930" w:rsidRDefault="00B01930">
      <w:pPr>
        <w:pStyle w:val="Notedebasdepage"/>
      </w:pPr>
      <w:r>
        <w:rPr>
          <w:rStyle w:val="Appelnotedebasdep"/>
        </w:rPr>
        <w:footnoteRef/>
      </w:r>
      <w:r>
        <w:t xml:space="preserve"> </w:t>
      </w:r>
      <w:r>
        <w:tab/>
      </w:r>
      <w:r w:rsidRPr="0004576F">
        <w:t xml:space="preserve">Svenska Institutet, Sverigebilder 2014, Resultat och slutsatser, Stockhlom, 2014. Svenska Institutet, </w:t>
      </w:r>
      <w:r w:rsidRPr="0004576F">
        <w:rPr>
          <w:i/>
        </w:rPr>
        <w:t>Den svenska modellen, synen på den svenska sa</w:t>
      </w:r>
      <w:r w:rsidRPr="0004576F">
        <w:rPr>
          <w:i/>
        </w:rPr>
        <w:t>m</w:t>
      </w:r>
      <w:r w:rsidRPr="0004576F">
        <w:rPr>
          <w:i/>
        </w:rPr>
        <w:t>hällesmodellens relevans i omvärlden,</w:t>
      </w:r>
      <w:r w:rsidRPr="0004576F">
        <w:t xml:space="preserve"> 2012.</w:t>
      </w:r>
    </w:p>
  </w:footnote>
  <w:footnote w:id="1684">
    <w:p w14:paraId="74E8FD64" w14:textId="77777777" w:rsidR="00B01930" w:rsidRDefault="00B01930">
      <w:pPr>
        <w:pStyle w:val="Notedebasdepage"/>
      </w:pPr>
      <w:r>
        <w:rPr>
          <w:rStyle w:val="Appelnotedebasdep"/>
        </w:rPr>
        <w:footnoteRef/>
      </w:r>
      <w:r>
        <w:t xml:space="preserve"> </w:t>
      </w:r>
      <w:r>
        <w:tab/>
      </w:r>
      <w:hyperlink r:id="rId77" w:history="1">
        <w:r w:rsidRPr="000A3499">
          <w:rPr>
            <w:rStyle w:val="Hyperlien"/>
            <w:i/>
          </w:rPr>
          <w:t>Stragegy for the promotion of Sweden abroad</w:t>
        </w:r>
      </w:hyperlink>
      <w:r>
        <w:rPr>
          <w:i/>
        </w:rPr>
        <w:t>.</w:t>
      </w:r>
    </w:p>
  </w:footnote>
  <w:footnote w:id="1685">
    <w:p w14:paraId="294DCF94" w14:textId="77777777" w:rsidR="00B01930" w:rsidRDefault="00B01930">
      <w:pPr>
        <w:pStyle w:val="Notedebasdepage"/>
      </w:pPr>
      <w:r>
        <w:rPr>
          <w:rStyle w:val="Appelnotedebasdep"/>
        </w:rPr>
        <w:footnoteRef/>
      </w:r>
      <w:r>
        <w:t xml:space="preserve"> </w:t>
      </w:r>
      <w:r>
        <w:tab/>
      </w:r>
      <w:r w:rsidRPr="0004576F">
        <w:t xml:space="preserve">Voir la thèse de Nikolas Glover, </w:t>
      </w:r>
      <w:r w:rsidRPr="0004576F">
        <w:rPr>
          <w:i/>
        </w:rPr>
        <w:t>National relations : public diplomacy, nati</w:t>
      </w:r>
      <w:r w:rsidRPr="0004576F">
        <w:rPr>
          <w:i/>
        </w:rPr>
        <w:t>o</w:t>
      </w:r>
      <w:r w:rsidRPr="0004576F">
        <w:rPr>
          <w:i/>
        </w:rPr>
        <w:t xml:space="preserve">nal identity and the Swedish Institute 1945-1970, </w:t>
      </w:r>
      <w:r w:rsidRPr="0004576F">
        <w:t>Lund, Nordic Academic Press, 2011.</w:t>
      </w:r>
    </w:p>
  </w:footnote>
  <w:footnote w:id="1686">
    <w:p w14:paraId="29212A1F" w14:textId="77777777" w:rsidR="00B01930" w:rsidRDefault="00B01930">
      <w:pPr>
        <w:pStyle w:val="Notedebasdepage"/>
      </w:pPr>
      <w:r>
        <w:rPr>
          <w:rStyle w:val="Appelnotedebasdep"/>
        </w:rPr>
        <w:footnoteRef/>
      </w:r>
      <w:r>
        <w:t xml:space="preserve"> </w:t>
      </w:r>
      <w:r>
        <w:tab/>
      </w:r>
      <w:r w:rsidRPr="0004576F">
        <w:t xml:space="preserve">« Ce que nous considérons aujourd’hui comme la “civilisation chinoise” est intimement lié au despotisme impérial. » Cf. Jean François Billeter, </w:t>
      </w:r>
      <w:r w:rsidRPr="0004576F">
        <w:rPr>
          <w:i/>
        </w:rPr>
        <w:t>Contre Fra</w:t>
      </w:r>
      <w:r w:rsidRPr="0004576F">
        <w:rPr>
          <w:i/>
        </w:rPr>
        <w:t>n</w:t>
      </w:r>
      <w:r w:rsidRPr="0004576F">
        <w:rPr>
          <w:i/>
        </w:rPr>
        <w:t>çois Jullien</w:t>
      </w:r>
      <w:r w:rsidRPr="0004576F">
        <w:t>, Paris, Allia, 2006.</w:t>
      </w:r>
    </w:p>
  </w:footnote>
  <w:footnote w:id="1687">
    <w:p w14:paraId="7859BA6E" w14:textId="77777777" w:rsidR="00B01930" w:rsidRDefault="00B01930">
      <w:pPr>
        <w:pStyle w:val="Notedebasdepage"/>
      </w:pPr>
      <w:r>
        <w:rPr>
          <w:rStyle w:val="Appelnotedebasdep"/>
        </w:rPr>
        <w:footnoteRef/>
      </w:r>
      <w:r>
        <w:t xml:space="preserve"> </w:t>
      </w:r>
      <w:r>
        <w:tab/>
      </w:r>
      <w:r w:rsidRPr="0004576F">
        <w:t>« La politique en Chine depuis 2000 ans, c’est celle des Qin ». Voir TAN S</w:t>
      </w:r>
      <w:r w:rsidRPr="0004576F">
        <w:t>i</w:t>
      </w:r>
      <w:r w:rsidRPr="0004576F">
        <w:t>tong (</w:t>
      </w:r>
      <w:r w:rsidRPr="002362BE">
        <w:rPr>
          <w:rFonts w:ascii="SONGTI SC BLACK" w:hAnsi="SONGTI SC BLACK" w:cs="SONGTI SC BLACK"/>
          <w:color w:val="000000"/>
        </w:rPr>
        <w:t>谭</w:t>
      </w:r>
      <w:r w:rsidRPr="00D763DF">
        <w:rPr>
          <w:rFonts w:ascii="Lantinghei SC Extralight" w:eastAsia="ヒラギノ明朝 ProN W3" w:hAnsi="Lantinghei SC Extralight" w:cs="ヒラギノ明朝 ProN W3"/>
          <w:sz w:val="28"/>
          <w:szCs w:val="20"/>
        </w:rPr>
        <w:t>嗣同</w:t>
      </w:r>
      <w:r w:rsidRPr="0004576F">
        <w:rPr>
          <w:rFonts w:ascii="Lantinghei SC Extralight" w:hAnsi="Lantinghei SC Extralight" w:cs="Lantinghei SC Extralight"/>
        </w:rPr>
        <w:t>)</w:t>
      </w:r>
      <w:r w:rsidRPr="0004576F">
        <w:t>, (</w:t>
      </w:r>
      <w:r w:rsidRPr="0004576F">
        <w:rPr>
          <w:i/>
        </w:rPr>
        <w:t>Ren Xu</w:t>
      </w:r>
      <w:r w:rsidRPr="0004576F">
        <w:t>)</w:t>
      </w:r>
      <w:r>
        <w:t xml:space="preserve"> </w:t>
      </w:r>
      <w:r w:rsidRPr="00D763DF">
        <w:rPr>
          <w:rFonts w:ascii="Lantinghei SC Extralight" w:eastAsia="ヒラギノ明朝 ProN W3" w:hAnsi="Lantinghei SC Extralight" w:cs="ヒラギノ明朝 ProN W3"/>
          <w:sz w:val="28"/>
          <w:szCs w:val="20"/>
        </w:rPr>
        <w:t>仁学</w:t>
      </w:r>
      <w:r w:rsidRPr="0004576F">
        <w:t xml:space="preserve">). </w:t>
      </w:r>
      <w:r w:rsidRPr="0004576F">
        <w:rPr>
          <w:i/>
        </w:rPr>
        <w:t>Qin</w:t>
      </w:r>
      <w:r w:rsidRPr="0004576F">
        <w:t xml:space="preserve"> est synonyme d’un régime dur, so</w:t>
      </w:r>
      <w:r w:rsidRPr="0004576F">
        <w:t>u</w:t>
      </w:r>
      <w:r w:rsidRPr="0004576F">
        <w:t>vent cruel.</w:t>
      </w:r>
    </w:p>
  </w:footnote>
  <w:footnote w:id="1688">
    <w:p w14:paraId="2551FFA1" w14:textId="77777777" w:rsidR="00B01930" w:rsidRDefault="00B01930">
      <w:pPr>
        <w:pStyle w:val="Notedebasdepage"/>
      </w:pPr>
      <w:r>
        <w:rPr>
          <w:rStyle w:val="Appelnotedebasdep"/>
        </w:rPr>
        <w:footnoteRef/>
      </w:r>
      <w:r>
        <w:t xml:space="preserve"> </w:t>
      </w:r>
      <w:r>
        <w:tab/>
      </w:r>
      <w:r w:rsidRPr="0004576F">
        <w:t xml:space="preserve">Cf. à ce sujet l’ouvrage de référence d’Étienne Balazs, </w:t>
      </w:r>
      <w:r w:rsidRPr="0004576F">
        <w:rPr>
          <w:i/>
        </w:rPr>
        <w:t>La Bureaucratie célé</w:t>
      </w:r>
      <w:r w:rsidRPr="0004576F">
        <w:rPr>
          <w:i/>
        </w:rPr>
        <w:t>s</w:t>
      </w:r>
      <w:r w:rsidRPr="0004576F">
        <w:rPr>
          <w:i/>
        </w:rPr>
        <w:t>te. Reche</w:t>
      </w:r>
      <w:r w:rsidRPr="0004576F">
        <w:rPr>
          <w:i/>
        </w:rPr>
        <w:t>r</w:t>
      </w:r>
      <w:r w:rsidRPr="0004576F">
        <w:rPr>
          <w:i/>
        </w:rPr>
        <w:t>ches sur l’économie et la société de la Chine traditionnelle</w:t>
      </w:r>
      <w:r w:rsidRPr="0004576F">
        <w:t>, Paris, Gallimard, 1968, rééd</w:t>
      </w:r>
      <w:r w:rsidRPr="0004576F">
        <w:t>i</w:t>
      </w:r>
      <w:r w:rsidRPr="0004576F">
        <w:t>tion col. « Tel », 1988.</w:t>
      </w:r>
    </w:p>
  </w:footnote>
  <w:footnote w:id="1689">
    <w:p w14:paraId="55C88C18" w14:textId="77777777" w:rsidR="00B01930" w:rsidRDefault="00B01930">
      <w:pPr>
        <w:pStyle w:val="Notedebasdepage"/>
      </w:pPr>
      <w:r>
        <w:rPr>
          <w:rStyle w:val="Appelnotedebasdep"/>
        </w:rPr>
        <w:footnoteRef/>
      </w:r>
      <w:r>
        <w:t xml:space="preserve"> </w:t>
      </w:r>
      <w:r>
        <w:tab/>
      </w:r>
      <w:r w:rsidRPr="0004576F">
        <w:t xml:space="preserve">Cf. d’Étiemble, </w:t>
      </w:r>
      <w:r w:rsidRPr="0004576F">
        <w:rPr>
          <w:i/>
        </w:rPr>
        <w:t>L’Europe chinoise</w:t>
      </w:r>
      <w:r w:rsidRPr="0004576F">
        <w:t>, Paris, Gallimard, 1988.</w:t>
      </w:r>
    </w:p>
  </w:footnote>
  <w:footnote w:id="1690">
    <w:p w14:paraId="09B34EF0" w14:textId="77777777" w:rsidR="00B01930" w:rsidRDefault="00B01930">
      <w:pPr>
        <w:pStyle w:val="Notedebasdepage"/>
      </w:pPr>
      <w:r>
        <w:rPr>
          <w:rStyle w:val="Appelnotedebasdep"/>
        </w:rPr>
        <w:footnoteRef/>
      </w:r>
      <w:r>
        <w:t xml:space="preserve"> </w:t>
      </w:r>
      <w:r>
        <w:tab/>
      </w:r>
      <w:r w:rsidRPr="0004576F">
        <w:t>Joseph Aloïs Schumpeter a raison de dire que le roi n’est jamais autoritaire car il est obl</w:t>
      </w:r>
      <w:r w:rsidRPr="0004576F">
        <w:t>i</w:t>
      </w:r>
      <w:r w:rsidRPr="0004576F">
        <w:t xml:space="preserve">gé d’agir avec certains, de coopérer pacifiquement avec d’autres. Voir </w:t>
      </w:r>
      <w:r w:rsidRPr="0004576F">
        <w:rPr>
          <w:i/>
        </w:rPr>
        <w:t>le Capitalisme, le Socialisme et la Démocratie</w:t>
      </w:r>
      <w:r w:rsidRPr="0004576F">
        <w:t>, version chinoise, Presse commerci</w:t>
      </w:r>
      <w:r w:rsidRPr="0004576F">
        <w:t>a</w:t>
      </w:r>
      <w:r w:rsidRPr="0004576F">
        <w:t>le, Beijing, 1999, p. 363-364.</w:t>
      </w:r>
    </w:p>
  </w:footnote>
  <w:footnote w:id="1691">
    <w:p w14:paraId="3EE7F4FA" w14:textId="77777777" w:rsidR="00B01930" w:rsidRDefault="00B01930">
      <w:pPr>
        <w:pStyle w:val="Notedebasdepage"/>
      </w:pPr>
      <w:r>
        <w:rPr>
          <w:rStyle w:val="Appelnotedebasdep"/>
        </w:rPr>
        <w:footnoteRef/>
      </w:r>
      <w:r>
        <w:t xml:space="preserve"> </w:t>
      </w:r>
      <w:r>
        <w:tab/>
      </w:r>
      <w:r w:rsidRPr="0004576F">
        <w:t xml:space="preserve">Voir Tocqueville, </w:t>
      </w:r>
      <w:hyperlink r:id="rId78" w:history="1">
        <w:r w:rsidRPr="000A3499">
          <w:rPr>
            <w:rStyle w:val="Hyperlien"/>
            <w:i/>
          </w:rPr>
          <w:t>De la démocratie en Amérique</w:t>
        </w:r>
      </w:hyperlink>
      <w:r w:rsidRPr="0004576F">
        <w:t>, version chinoise, Tome II, Presse commerci</w:t>
      </w:r>
      <w:r w:rsidRPr="0004576F">
        <w:t>a</w:t>
      </w:r>
      <w:r w:rsidRPr="0004576F">
        <w:t>le, Beijing, 1993, p. 520.</w:t>
      </w:r>
    </w:p>
  </w:footnote>
  <w:footnote w:id="1692">
    <w:p w14:paraId="63ADDF9A" w14:textId="77777777" w:rsidR="00B01930" w:rsidRDefault="00B01930">
      <w:pPr>
        <w:pStyle w:val="Notedebasdepage"/>
      </w:pPr>
      <w:r>
        <w:rPr>
          <w:rStyle w:val="Appelnotedebasdep"/>
        </w:rPr>
        <w:footnoteRef/>
      </w:r>
      <w:r>
        <w:t xml:space="preserve"> </w:t>
      </w:r>
      <w:r>
        <w:tab/>
      </w:r>
      <w:r w:rsidRPr="0004576F">
        <w:t>«</w:t>
      </w:r>
      <w:r>
        <w:t> </w:t>
      </w:r>
      <w:r w:rsidRPr="0004576F">
        <w:t>On critique les rois qui s’abstiennent au gouvernement de leurs pays. Que Dieu nous donne ces rois ! On les préfère que les tyrans laborieux !</w:t>
      </w:r>
      <w:r>
        <w:t> </w:t>
      </w:r>
      <w:r w:rsidRPr="0004576F">
        <w:t xml:space="preserve">»Voir Benjanmin Constant, </w:t>
      </w:r>
      <w:r w:rsidRPr="0004576F">
        <w:rPr>
          <w:i/>
        </w:rPr>
        <w:t>De la liberté des anciens comparée à celle des mode</w:t>
      </w:r>
      <w:r w:rsidRPr="0004576F">
        <w:rPr>
          <w:i/>
        </w:rPr>
        <w:t>r</w:t>
      </w:r>
      <w:r w:rsidRPr="0004576F">
        <w:rPr>
          <w:i/>
        </w:rPr>
        <w:t>nes</w:t>
      </w:r>
      <w:r w:rsidRPr="0004576F">
        <w:t>, version chinoise, Presse comme</w:t>
      </w:r>
      <w:r w:rsidRPr="0004576F">
        <w:t>r</w:t>
      </w:r>
      <w:r w:rsidRPr="0004576F">
        <w:t>ciale, Beijing, 1999, p.284.</w:t>
      </w:r>
    </w:p>
  </w:footnote>
  <w:footnote w:id="1693">
    <w:p w14:paraId="20680D69" w14:textId="77777777" w:rsidR="00B01930" w:rsidRDefault="00B01930">
      <w:pPr>
        <w:pStyle w:val="Notedebasdepage"/>
      </w:pPr>
      <w:r>
        <w:rPr>
          <w:rStyle w:val="Appelnotedebasdep"/>
        </w:rPr>
        <w:footnoteRef/>
      </w:r>
      <w:r>
        <w:t xml:space="preserve"> </w:t>
      </w:r>
      <w:r>
        <w:tab/>
      </w:r>
      <w:r w:rsidRPr="0004576F">
        <w:t xml:space="preserve">Par exemple, pour Ouyang Xiu </w:t>
      </w:r>
      <w:r w:rsidRPr="00D763DF">
        <w:rPr>
          <w:rFonts w:ascii="Lantinghei SC Extralight" w:eastAsia="ヒラギノ明朝 ProN W3" w:hAnsi="Lantinghei SC Extralight" w:cs="ヒラギノ明朝 ProN W3"/>
          <w:sz w:val="28"/>
          <w:szCs w:val="20"/>
        </w:rPr>
        <w:t>欧阳修</w:t>
      </w:r>
      <w:r w:rsidRPr="0004576F">
        <w:t xml:space="preserve"> ou Su Shi</w:t>
      </w:r>
      <w:r w:rsidRPr="001F7894">
        <w:rPr>
          <w:rFonts w:ascii="SONGTI SC BLACK" w:hAnsi="SONGTI SC BLACK" w:cs="SONGTI SC BLACK"/>
          <w:color w:val="000000"/>
        </w:rPr>
        <w:t>苏轼</w:t>
      </w:r>
      <w:r w:rsidRPr="0004576F">
        <w:t>.</w:t>
      </w:r>
    </w:p>
  </w:footnote>
  <w:footnote w:id="1694">
    <w:p w14:paraId="52D72F4A" w14:textId="77777777" w:rsidR="00B01930" w:rsidRDefault="00B01930">
      <w:pPr>
        <w:pStyle w:val="Notedebasdepage"/>
      </w:pPr>
      <w:r>
        <w:rPr>
          <w:rStyle w:val="Appelnotedebasdep"/>
        </w:rPr>
        <w:footnoteRef/>
      </w:r>
      <w:r>
        <w:t xml:space="preserve"> </w:t>
      </w:r>
      <w:r>
        <w:tab/>
      </w:r>
      <w:r w:rsidRPr="0004576F">
        <w:t xml:space="preserve">Voir John Stuart Mill, </w:t>
      </w:r>
      <w:r w:rsidRPr="0004576F">
        <w:rPr>
          <w:i/>
        </w:rPr>
        <w:t>Considerations on representative gouvernment</w:t>
      </w:r>
      <w:r w:rsidRPr="0004576F">
        <w:t>, ve</w:t>
      </w:r>
      <w:r w:rsidRPr="0004576F">
        <w:t>r</w:t>
      </w:r>
      <w:r w:rsidRPr="0004576F">
        <w:t>sion chinoise, Presse commerciale, Beijing, 1982, p. 61.</w:t>
      </w:r>
    </w:p>
  </w:footnote>
  <w:footnote w:id="1695">
    <w:p w14:paraId="243E01ED" w14:textId="77777777" w:rsidR="00B01930" w:rsidRDefault="00B01930">
      <w:pPr>
        <w:pStyle w:val="Notedebasdepage"/>
      </w:pPr>
      <w:r>
        <w:rPr>
          <w:rStyle w:val="Appelnotedebasdep"/>
        </w:rPr>
        <w:footnoteRef/>
      </w:r>
      <w:r>
        <w:t xml:space="preserve"> </w:t>
      </w:r>
      <w:r>
        <w:tab/>
      </w:r>
      <w:r w:rsidRPr="0004576F">
        <w:t>Voir Voltaire,</w:t>
      </w:r>
      <w:r w:rsidRPr="0004576F">
        <w:rPr>
          <w:i/>
        </w:rPr>
        <w:t xml:space="preserve"> Essai sur les mœurs et l'esprit des nations et sur les princ</w:t>
      </w:r>
      <w:r w:rsidRPr="0004576F">
        <w:rPr>
          <w:i/>
        </w:rPr>
        <w:t>i</w:t>
      </w:r>
      <w:r w:rsidRPr="0004576F">
        <w:rPr>
          <w:i/>
        </w:rPr>
        <w:t xml:space="preserve">paux faits de l'histoire depuis Charlemagne jusqu'à </w:t>
      </w:r>
      <w:r>
        <w:rPr>
          <w:i/>
        </w:rPr>
        <w:t>Louis X</w:t>
      </w:r>
      <w:r w:rsidRPr="0004576F">
        <w:rPr>
          <w:i/>
        </w:rPr>
        <w:t>III</w:t>
      </w:r>
      <w:r w:rsidRPr="0004576F">
        <w:t>, version chinoise, tome I, Presse commerciale, Be</w:t>
      </w:r>
      <w:r w:rsidRPr="0004576F">
        <w:t>i</w:t>
      </w:r>
      <w:r w:rsidRPr="0004576F">
        <w:t>jing, 1991, p. 41.</w:t>
      </w:r>
    </w:p>
  </w:footnote>
  <w:footnote w:id="1696">
    <w:p w14:paraId="79DCA4FB" w14:textId="77777777" w:rsidR="00B01930" w:rsidRDefault="00B01930">
      <w:pPr>
        <w:pStyle w:val="Notedebasdepage"/>
      </w:pPr>
      <w:r>
        <w:rPr>
          <w:rStyle w:val="Appelnotedebasdep"/>
        </w:rPr>
        <w:footnoteRef/>
      </w:r>
      <w:r>
        <w:t xml:space="preserve"> </w:t>
      </w:r>
      <w:r>
        <w:tab/>
      </w:r>
      <w:r w:rsidRPr="0004576F">
        <w:t xml:space="preserve">LIN Yutang, </w:t>
      </w:r>
      <w:r w:rsidRPr="0004576F">
        <w:rPr>
          <w:i/>
        </w:rPr>
        <w:t>Notre pays et notre peuple</w:t>
      </w:r>
      <w:r w:rsidRPr="0004576F">
        <w:t xml:space="preserve"> (</w:t>
      </w:r>
      <w:r w:rsidRPr="00D763DF">
        <w:rPr>
          <w:rFonts w:ascii="Lantinghei SC Extralight" w:eastAsia="ヒラギノ明朝 ProN W3" w:hAnsi="Lantinghei SC Extralight" w:cs="ヒラギノ明朝 ProN W3"/>
          <w:sz w:val="28"/>
          <w:szCs w:val="20"/>
        </w:rPr>
        <w:t>吾国与吾民</w:t>
      </w:r>
      <w:r w:rsidRPr="0004576F">
        <w:t>), Presse du théatre, Be</w:t>
      </w:r>
      <w:r w:rsidRPr="0004576F">
        <w:t>i</w:t>
      </w:r>
      <w:r w:rsidRPr="0004576F">
        <w:t>jing, 1990, p. 93, 100-101.</w:t>
      </w:r>
    </w:p>
  </w:footnote>
  <w:footnote w:id="1697">
    <w:p w14:paraId="20B220C1" w14:textId="77777777" w:rsidR="00B01930" w:rsidRDefault="00B01930">
      <w:pPr>
        <w:pStyle w:val="Notedebasdepage"/>
      </w:pPr>
      <w:r>
        <w:rPr>
          <w:rStyle w:val="Appelnotedebasdep"/>
        </w:rPr>
        <w:footnoteRef/>
      </w:r>
      <w:r>
        <w:t xml:space="preserve"> </w:t>
      </w:r>
      <w:r>
        <w:tab/>
      </w:r>
      <w:r w:rsidRPr="0004576F">
        <w:t xml:space="preserve">Gu Hongming, </w:t>
      </w:r>
      <w:r w:rsidRPr="0004576F">
        <w:rPr>
          <w:i/>
        </w:rPr>
        <w:t>L’Esprit des Chinois</w:t>
      </w:r>
      <w:r w:rsidRPr="0004576F">
        <w:t xml:space="preserve"> (</w:t>
      </w:r>
      <w:r w:rsidRPr="00D763DF">
        <w:rPr>
          <w:rFonts w:ascii="Lantinghei SC Extralight" w:eastAsia="ヒラギノ明朝 ProN W3" w:hAnsi="Lantinghei SC Extralight" w:cs="ヒラギノ明朝 ProN W3"/>
          <w:sz w:val="28"/>
          <w:szCs w:val="20"/>
        </w:rPr>
        <w:t>中国人的精神</w:t>
      </w:r>
      <w:r w:rsidRPr="0004576F">
        <w:t>), Éditions Haikou, Ha</w:t>
      </w:r>
      <w:r w:rsidRPr="0004576F">
        <w:t>i</w:t>
      </w:r>
      <w:r w:rsidRPr="0004576F">
        <w:t>kou, 1996, p. 40.</w:t>
      </w:r>
    </w:p>
  </w:footnote>
  <w:footnote w:id="1698">
    <w:p w14:paraId="6C9F516B" w14:textId="77777777" w:rsidR="00B01930" w:rsidRDefault="00B01930">
      <w:pPr>
        <w:pStyle w:val="Notedebasdepage"/>
      </w:pPr>
      <w:r>
        <w:rPr>
          <w:rStyle w:val="Appelnotedebasdep"/>
        </w:rPr>
        <w:footnoteRef/>
      </w:r>
      <w:r>
        <w:t xml:space="preserve"> </w:t>
      </w:r>
      <w:r>
        <w:tab/>
      </w:r>
      <w:r w:rsidRPr="0004576F">
        <w:t xml:space="preserve">Voir Alexis de Tocqueville, </w:t>
      </w:r>
      <w:r w:rsidRPr="0004576F">
        <w:rPr>
          <w:i/>
        </w:rPr>
        <w:t>De la démocratie en Amérique,</w:t>
      </w:r>
      <w:r w:rsidRPr="0004576F">
        <w:t xml:space="preserve"> version chino</w:t>
      </w:r>
      <w:r w:rsidRPr="0004576F">
        <w:t>i</w:t>
      </w:r>
      <w:r w:rsidRPr="0004576F">
        <w:t>se, op. cit., p. 539.</w:t>
      </w:r>
    </w:p>
  </w:footnote>
  <w:footnote w:id="1699">
    <w:p w14:paraId="370376C0" w14:textId="77777777" w:rsidR="00B01930" w:rsidRDefault="00B01930">
      <w:pPr>
        <w:pStyle w:val="Notedebasdepage"/>
      </w:pPr>
      <w:r>
        <w:rPr>
          <w:rStyle w:val="Appelnotedebasdep"/>
        </w:rPr>
        <w:footnoteRef/>
      </w:r>
      <w:r>
        <w:t xml:space="preserve"> </w:t>
      </w:r>
      <w:r>
        <w:tab/>
      </w:r>
      <w:r w:rsidRPr="0004576F">
        <w:t xml:space="preserve">Voir Max Weber, </w:t>
      </w:r>
      <w:hyperlink r:id="rId79" w:history="1">
        <w:r w:rsidRPr="000A3499">
          <w:rPr>
            <w:rStyle w:val="Hyperlien"/>
            <w:i/>
          </w:rPr>
          <w:t>L’Éthique du protestantisme et l’esprit du capitalisme</w:t>
        </w:r>
      </w:hyperlink>
      <w:r w:rsidRPr="0004576F">
        <w:t>, ve</w:t>
      </w:r>
      <w:r w:rsidRPr="0004576F">
        <w:t>r</w:t>
      </w:r>
      <w:r w:rsidRPr="0004576F">
        <w:t>sion chinoise, Pre</w:t>
      </w:r>
      <w:r w:rsidRPr="0004576F">
        <w:t>s</w:t>
      </w:r>
      <w:r w:rsidRPr="0004576F">
        <w:t>se Sanlian, Beijing, 1987.</w:t>
      </w:r>
    </w:p>
  </w:footnote>
  <w:footnote w:id="1700">
    <w:p w14:paraId="1AEF676A" w14:textId="77777777" w:rsidR="00B01930" w:rsidRDefault="00B01930">
      <w:pPr>
        <w:pStyle w:val="Notedebasdepage"/>
      </w:pPr>
      <w:r>
        <w:rPr>
          <w:rStyle w:val="Appelnotedebasdep"/>
        </w:rPr>
        <w:footnoteRef/>
      </w:r>
      <w:r>
        <w:t xml:space="preserve"> </w:t>
      </w:r>
      <w:r>
        <w:tab/>
      </w:r>
      <w:r w:rsidRPr="0004576F">
        <w:t>De ce point de vue, la fameuse phrase en Chine des années quatre-vingt : « le seul critère de la vérité est la pratique », n’est qu’une répétition de cette trad</w:t>
      </w:r>
      <w:r w:rsidRPr="0004576F">
        <w:t>i</w:t>
      </w:r>
      <w:r w:rsidRPr="0004576F">
        <w:t>tion.</w:t>
      </w:r>
    </w:p>
  </w:footnote>
  <w:footnote w:id="1701">
    <w:p w14:paraId="6D5F01CE" w14:textId="77777777" w:rsidR="00B01930" w:rsidRDefault="00B01930">
      <w:pPr>
        <w:pStyle w:val="Notedebasdepage"/>
      </w:pPr>
      <w:r>
        <w:rPr>
          <w:rStyle w:val="Appelnotedebasdep"/>
        </w:rPr>
        <w:footnoteRef/>
      </w:r>
      <w:r>
        <w:t xml:space="preserve"> </w:t>
      </w:r>
      <w:r>
        <w:tab/>
      </w:r>
      <w:r w:rsidRPr="0004576F">
        <w:t>Li Yu des Ming (</w:t>
      </w:r>
      <w:r w:rsidRPr="00D763DF">
        <w:rPr>
          <w:rFonts w:ascii="Lantinghei SC Extralight" w:eastAsia="ヒラギノ明朝 ProN W3" w:hAnsi="Lantinghei SC Extralight" w:cs="ヒラギノ明朝 ProN W3"/>
          <w:sz w:val="28"/>
          <w:szCs w:val="20"/>
        </w:rPr>
        <w:t>李</w:t>
      </w:r>
      <w:r w:rsidRPr="00786987">
        <w:rPr>
          <w:rFonts w:ascii="SONGTI SC BLACK" w:hAnsi="SONGTI SC BLACK" w:cs="SONGTI SC BLACK"/>
          <w:color w:val="000000"/>
        </w:rPr>
        <w:t>渔</w:t>
      </w:r>
      <w:r w:rsidRPr="0004576F">
        <w:t xml:space="preserve">), </w:t>
      </w:r>
      <w:r w:rsidRPr="0004576F">
        <w:rPr>
          <w:i/>
        </w:rPr>
        <w:t>Les Plaisirs dans notre vie</w:t>
      </w:r>
      <w:r w:rsidRPr="0004576F">
        <w:t>,</w:t>
      </w:r>
      <w:r w:rsidRPr="0004576F">
        <w:rPr>
          <w:rFonts w:hint="eastAsia"/>
        </w:rPr>
        <w:t xml:space="preserve"> </w:t>
      </w:r>
      <w:r w:rsidRPr="0004576F">
        <w:t>(</w:t>
      </w:r>
      <w:r w:rsidRPr="00713323">
        <w:rPr>
          <w:rFonts w:ascii="SONGTI SC BLACK" w:hAnsi="SONGTI SC BLACK" w:cs="SONGTI SC BLACK"/>
          <w:color w:val="000000"/>
        </w:rPr>
        <w:t>闲</w:t>
      </w:r>
      <w:r w:rsidRPr="00D763DF">
        <w:rPr>
          <w:rFonts w:ascii="Lantinghei SC Extralight" w:eastAsia="ヒラギノ明朝 ProN W3" w:hAnsi="Lantinghei SC Extralight" w:cs="ヒラギノ明朝 ProN W3"/>
          <w:sz w:val="28"/>
          <w:szCs w:val="20"/>
        </w:rPr>
        <w:t>情偶</w:t>
      </w:r>
      <w:r w:rsidRPr="00C761CF">
        <w:rPr>
          <w:rFonts w:ascii="SONGTI SC BLACK" w:hAnsi="SONGTI SC BLACK" w:cs="SONGTI SC BLACK"/>
          <w:color w:val="000000"/>
        </w:rPr>
        <w:t>记</w:t>
      </w:r>
      <w:r w:rsidRPr="0004576F">
        <w:t>)</w:t>
      </w:r>
      <w:r w:rsidRPr="0004576F">
        <w:rPr>
          <w:rFonts w:hint="eastAsia"/>
        </w:rPr>
        <w:t>,</w:t>
      </w:r>
      <w:r w:rsidRPr="0004576F">
        <w:t xml:space="preserve"> Éditions des écr</w:t>
      </w:r>
      <w:r w:rsidRPr="0004576F">
        <w:t>i</w:t>
      </w:r>
      <w:r w:rsidRPr="0004576F">
        <w:t>vains, Beijing, 1995, p. 326.</w:t>
      </w:r>
    </w:p>
  </w:footnote>
  <w:footnote w:id="1702">
    <w:p w14:paraId="70D533CB" w14:textId="77777777" w:rsidR="00B01930" w:rsidRDefault="00B01930">
      <w:pPr>
        <w:pStyle w:val="Notedebasdepage"/>
      </w:pPr>
      <w:r>
        <w:rPr>
          <w:rStyle w:val="Appelnotedebasdep"/>
        </w:rPr>
        <w:footnoteRef/>
      </w:r>
      <w:r>
        <w:t xml:space="preserve"> </w:t>
      </w:r>
      <w:r>
        <w:tab/>
      </w:r>
      <w:r w:rsidRPr="0004576F">
        <w:t>Voir Voltaire,</w:t>
      </w:r>
      <w:r w:rsidRPr="0004576F">
        <w:rPr>
          <w:i/>
        </w:rPr>
        <w:t xml:space="preserve"> </w:t>
      </w:r>
      <w:hyperlink r:id="rId80" w:history="1">
        <w:r w:rsidRPr="005E2A3E">
          <w:rPr>
            <w:rStyle w:val="Hyperlien"/>
            <w:i/>
          </w:rPr>
          <w:t>Essai sur les mœurs et l'esprit des nations</w:t>
        </w:r>
      </w:hyperlink>
      <w:r w:rsidRPr="0004576F">
        <w:t>, version chinoise, tome II, p. 461.</w:t>
      </w:r>
    </w:p>
  </w:footnote>
  <w:footnote w:id="1703">
    <w:p w14:paraId="3E30EB9B" w14:textId="77777777" w:rsidR="00B01930" w:rsidRDefault="00B01930">
      <w:pPr>
        <w:pStyle w:val="Notedebasdepage"/>
      </w:pPr>
      <w:r>
        <w:rPr>
          <w:rStyle w:val="Appelnotedebasdep"/>
        </w:rPr>
        <w:footnoteRef/>
      </w:r>
      <w:r>
        <w:t xml:space="preserve"> </w:t>
      </w:r>
      <w:r>
        <w:tab/>
      </w:r>
      <w:r w:rsidRPr="0004576F">
        <w:t xml:space="preserve">Lin Yutang, </w:t>
      </w:r>
      <w:r w:rsidRPr="0004576F">
        <w:rPr>
          <w:i/>
        </w:rPr>
        <w:t>Notre pays et notre peuple</w:t>
      </w:r>
      <w:r w:rsidRPr="0004576F">
        <w:t>, p. 91.</w:t>
      </w:r>
    </w:p>
  </w:footnote>
  <w:footnote w:id="1704">
    <w:p w14:paraId="75CB72B2" w14:textId="77777777" w:rsidR="00B01930" w:rsidRDefault="00B01930">
      <w:pPr>
        <w:pStyle w:val="Notedebasdepage"/>
      </w:pPr>
      <w:r>
        <w:rPr>
          <w:rStyle w:val="Appelnotedebasdep"/>
        </w:rPr>
        <w:footnoteRef/>
      </w:r>
      <w:r>
        <w:t xml:space="preserve"> </w:t>
      </w:r>
      <w:r>
        <w:tab/>
      </w:r>
      <w:r w:rsidRPr="005E2A3E">
        <w:t>Yuan Zhongdao (</w:t>
      </w:r>
      <w:r w:rsidRPr="005E2A3E">
        <w:rPr>
          <w:rFonts w:ascii="Lantinghei SC Extralight" w:eastAsia="ヒラギノ明朝 ProN W3" w:hAnsi="Lantinghei SC Extralight" w:cs="ヒラギノ明朝 ProN W3"/>
          <w:szCs w:val="20"/>
        </w:rPr>
        <w:t>袁中道</w:t>
      </w:r>
      <w:r w:rsidRPr="005E2A3E">
        <w:t xml:space="preserve">), </w:t>
      </w:r>
      <w:r w:rsidRPr="005E2A3E">
        <w:rPr>
          <w:i/>
        </w:rPr>
        <w:t>Récits d’une vie voyageuse</w:t>
      </w:r>
      <w:r w:rsidRPr="005E2A3E">
        <w:t xml:space="preserve"> (</w:t>
      </w:r>
      <w:r w:rsidRPr="005E2A3E">
        <w:rPr>
          <w:rFonts w:ascii="Lantinghei SC Extralight" w:eastAsia="ヒラギノ明朝 ProN W3" w:hAnsi="Lantinghei SC Extralight" w:cs="ヒラギノ明朝 ProN W3"/>
          <w:szCs w:val="20"/>
        </w:rPr>
        <w:t>游居柿</w:t>
      </w:r>
      <w:r w:rsidRPr="0023261A">
        <w:rPr>
          <w:rFonts w:ascii="SONGTI SC BLACK" w:hAnsi="SONGTI SC BLACK" w:cs="SONGTI SC BLACK"/>
          <w:color w:val="000000"/>
        </w:rPr>
        <w:t>录</w:t>
      </w:r>
      <w:r w:rsidRPr="005E2A3E">
        <w:t>), Presse d’Extrême-Orient, Shanghai, 1997, p. 24, 29, 107.</w:t>
      </w:r>
    </w:p>
  </w:footnote>
  <w:footnote w:id="1705">
    <w:p w14:paraId="18FC0B41" w14:textId="77777777" w:rsidR="00B01930" w:rsidRDefault="00B01930">
      <w:pPr>
        <w:pStyle w:val="Notedebasdepage"/>
      </w:pPr>
      <w:r>
        <w:rPr>
          <w:rStyle w:val="Appelnotedebasdep"/>
        </w:rPr>
        <w:footnoteRef/>
      </w:r>
      <w:r>
        <w:t xml:space="preserve"> </w:t>
      </w:r>
      <w:r>
        <w:tab/>
      </w:r>
      <w:r w:rsidRPr="005E2A3E">
        <w:t>Zhang Dai (</w:t>
      </w:r>
      <w:r w:rsidRPr="00640D6B">
        <w:rPr>
          <w:rFonts w:ascii="SONGTI SC BLACK" w:hAnsi="SONGTI SC BLACK" w:cs="SONGTI SC BLACK"/>
          <w:color w:val="000000"/>
        </w:rPr>
        <w:t>张</w:t>
      </w:r>
      <w:r w:rsidRPr="005E2A3E">
        <w:rPr>
          <w:rFonts w:ascii="Lantinghei SC Extralight" w:eastAsia="ヒラギノ明朝 ProN W3" w:hAnsi="Lantinghei SC Extralight" w:cs="ヒラギノ明朝 ProN W3"/>
          <w:szCs w:val="20"/>
        </w:rPr>
        <w:t>岱</w:t>
      </w:r>
      <w:r w:rsidRPr="005E2A3E">
        <w:t xml:space="preserve">), </w:t>
      </w:r>
      <w:r w:rsidRPr="005E2A3E">
        <w:rPr>
          <w:i/>
        </w:rPr>
        <w:t xml:space="preserve">Rêve au Lac d’Ouest </w:t>
      </w:r>
      <w:r w:rsidRPr="005E2A3E">
        <w:t>(</w:t>
      </w:r>
      <w:r w:rsidRPr="005E2A3E">
        <w:rPr>
          <w:rFonts w:ascii="Lantinghei SC Extralight" w:eastAsia="ヒラギノ明朝 ProN W3" w:hAnsi="Lantinghei SC Extralight" w:cs="ヒラギノ明朝 ProN W3"/>
          <w:szCs w:val="20"/>
        </w:rPr>
        <w:t>西湖梦</w:t>
      </w:r>
      <w:r w:rsidRPr="00310ECD">
        <w:rPr>
          <w:rFonts w:ascii="SONGTI SC BLACK" w:hAnsi="SONGTI SC BLACK" w:cs="SONGTI SC BLACK"/>
          <w:color w:val="000000"/>
        </w:rPr>
        <w:t>寻</w:t>
      </w:r>
      <w:r w:rsidRPr="005E2A3E">
        <w:rPr>
          <w:rFonts w:ascii="Lantinghei SC Extralight" w:eastAsia="ヒラギノ明朝 ProN W3" w:hAnsi="Lantinghei SC Extralight" w:cs="ヒラギノ明朝 ProN W3"/>
          <w:szCs w:val="20"/>
        </w:rPr>
        <w:t>),</w:t>
      </w:r>
      <w:r w:rsidRPr="005E2A3E">
        <w:t xml:space="preserve"> Éditions des écrivains, Be</w:t>
      </w:r>
      <w:r w:rsidRPr="005E2A3E">
        <w:t>i</w:t>
      </w:r>
      <w:r w:rsidRPr="005E2A3E">
        <w:t>jing, 1995, p. 73.</w:t>
      </w:r>
    </w:p>
  </w:footnote>
  <w:footnote w:id="1706">
    <w:p w14:paraId="1848885E" w14:textId="77777777" w:rsidR="00B01930" w:rsidRDefault="00B01930">
      <w:pPr>
        <w:pStyle w:val="Notedebasdepage"/>
      </w:pPr>
      <w:r>
        <w:rPr>
          <w:rStyle w:val="Appelnotedebasdep"/>
        </w:rPr>
        <w:footnoteRef/>
      </w:r>
      <w:r>
        <w:t xml:space="preserve"> </w:t>
      </w:r>
      <w:r>
        <w:tab/>
      </w:r>
      <w:r w:rsidRPr="005E2A3E">
        <w:t>Wu Jingzi (</w:t>
      </w:r>
      <w:r w:rsidRPr="005E2A3E">
        <w:rPr>
          <w:rFonts w:ascii="Lantinghei SC Extralight" w:eastAsia="ヒラギノ明朝 ProN W3" w:hAnsi="Lantinghei SC Extralight" w:cs="ヒラギノ明朝 ProN W3"/>
          <w:szCs w:val="20"/>
        </w:rPr>
        <w:t>吴敬梓</w:t>
      </w:r>
      <w:r w:rsidRPr="005E2A3E">
        <w:t xml:space="preserve">), </w:t>
      </w:r>
      <w:r w:rsidRPr="005E2A3E">
        <w:rPr>
          <w:i/>
        </w:rPr>
        <w:t>Contre Histoire des Intellectuels</w:t>
      </w:r>
      <w:r w:rsidRPr="005E2A3E">
        <w:t xml:space="preserve"> (</w:t>
      </w:r>
      <w:r w:rsidRPr="005E2A3E">
        <w:rPr>
          <w:rFonts w:ascii="Lantinghei SC Extralight" w:eastAsia="ヒラギノ明朝 ProN W3" w:hAnsi="Lantinghei SC Extralight" w:cs="ヒラギノ明朝 ProN W3"/>
          <w:szCs w:val="20"/>
        </w:rPr>
        <w:t>儒林外史</w:t>
      </w:r>
      <w:r w:rsidRPr="005E2A3E">
        <w:t>), Éditions de litt</w:t>
      </w:r>
      <w:r w:rsidRPr="005E2A3E">
        <w:t>é</w:t>
      </w:r>
      <w:r w:rsidRPr="005E2A3E">
        <w:t>rature du peuple, Beijing, 1991, p. 352.</w:t>
      </w:r>
    </w:p>
  </w:footnote>
  <w:footnote w:id="1707">
    <w:p w14:paraId="31A44A20" w14:textId="77777777" w:rsidR="00B01930" w:rsidRDefault="00B01930">
      <w:pPr>
        <w:pStyle w:val="Notedebasdepage"/>
      </w:pPr>
      <w:r>
        <w:rPr>
          <w:rStyle w:val="Appelnotedebasdep"/>
        </w:rPr>
        <w:footnoteRef/>
      </w:r>
      <w:r>
        <w:t xml:space="preserve"> </w:t>
      </w:r>
      <w:r>
        <w:tab/>
      </w:r>
      <w:r w:rsidRPr="0004576F">
        <w:t>Li Yu (</w:t>
      </w:r>
      <w:r>
        <w:rPr>
          <w:rFonts w:ascii="Lantinghei SC Extralight" w:eastAsia="ヒラギノ明朝 ProN W3" w:hAnsi="Lantinghei SC Extralight" w:cs="ヒラギノ明朝 ProN W3"/>
          <w:szCs w:val="20"/>
        </w:rPr>
        <w:t>李</w:t>
      </w:r>
      <w:r w:rsidRPr="00D62DB5">
        <w:rPr>
          <w:rFonts w:ascii="SONGTI SC BLACK" w:hAnsi="SONGTI SC BLACK" w:cs="SONGTI SC BLACK"/>
          <w:color w:val="000000"/>
        </w:rPr>
        <w:t>渔</w:t>
      </w:r>
      <w:r w:rsidRPr="0004576F">
        <w:t xml:space="preserve">), </w:t>
      </w:r>
      <w:r w:rsidRPr="0004576F">
        <w:rPr>
          <w:i/>
        </w:rPr>
        <w:t>Recueil d’une vie inoccupée</w:t>
      </w:r>
      <w:r w:rsidRPr="0004576F">
        <w:t xml:space="preserve"> (</w:t>
      </w:r>
      <w:r w:rsidRPr="00A365C0">
        <w:rPr>
          <w:rFonts w:ascii="SONGTI SC BLACK" w:hAnsi="SONGTI SC BLACK" w:cs="SONGTI SC BLACK"/>
          <w:color w:val="000000"/>
        </w:rPr>
        <w:t>闲</w:t>
      </w:r>
      <w:r w:rsidRPr="005E2A3E">
        <w:rPr>
          <w:rFonts w:ascii="Lantinghei SC Extralight" w:eastAsia="ヒラギノ明朝 ProN W3" w:hAnsi="Lantinghei SC Extralight" w:cs="ヒラギノ明朝 ProN W3"/>
          <w:szCs w:val="20"/>
        </w:rPr>
        <w:t>情偶寄</w:t>
      </w:r>
      <w:r w:rsidRPr="0004576F">
        <w:t>), Éditions des écrivains, Be</w:t>
      </w:r>
      <w:r w:rsidRPr="0004576F">
        <w:t>i</w:t>
      </w:r>
      <w:r w:rsidRPr="0004576F">
        <w:t>jing, 1995, p. 201.</w:t>
      </w:r>
    </w:p>
  </w:footnote>
  <w:footnote w:id="1708">
    <w:p w14:paraId="06BC8E83" w14:textId="77777777" w:rsidR="00B01930" w:rsidRDefault="00B01930">
      <w:pPr>
        <w:pStyle w:val="Notedebasdepage"/>
      </w:pPr>
      <w:r>
        <w:rPr>
          <w:rStyle w:val="Appelnotedebasdep"/>
        </w:rPr>
        <w:footnoteRef/>
      </w:r>
      <w:r>
        <w:t xml:space="preserve"> </w:t>
      </w:r>
      <w:r>
        <w:tab/>
      </w:r>
      <w:r w:rsidRPr="0004576F">
        <w:rPr>
          <w:i/>
        </w:rPr>
        <w:t>Op. cit</w:t>
      </w:r>
      <w:r w:rsidRPr="0004576F">
        <w:t>. p.183-184.</w:t>
      </w:r>
    </w:p>
  </w:footnote>
  <w:footnote w:id="1709">
    <w:p w14:paraId="0AB3E5C0" w14:textId="77777777" w:rsidR="00B01930" w:rsidRDefault="00B01930">
      <w:pPr>
        <w:pStyle w:val="Notedebasdepage"/>
      </w:pPr>
      <w:r>
        <w:rPr>
          <w:rStyle w:val="Appelnotedebasdep"/>
        </w:rPr>
        <w:footnoteRef/>
      </w:r>
      <w:r>
        <w:t xml:space="preserve"> </w:t>
      </w:r>
      <w:r>
        <w:tab/>
      </w:r>
      <w:r w:rsidRPr="005E2A3E">
        <w:t>Mao Pijiang (</w:t>
      </w:r>
      <w:r w:rsidRPr="005E2A3E">
        <w:rPr>
          <w:rFonts w:ascii="Lantinghei SC Extralight" w:eastAsia="ヒラギノ明朝 ProN W3" w:hAnsi="Lantinghei SC Extralight" w:cs="ヒラギノ明朝 ProN W3"/>
          <w:szCs w:val="20"/>
        </w:rPr>
        <w:t>冒辟疆</w:t>
      </w:r>
      <w:r w:rsidRPr="005E2A3E">
        <w:t xml:space="preserve">), </w:t>
      </w:r>
      <w:r w:rsidRPr="005E2A3E">
        <w:rPr>
          <w:i/>
        </w:rPr>
        <w:t>Mémoires de la maison de l’ombre d’abricotier du J</w:t>
      </w:r>
      <w:r w:rsidRPr="005E2A3E">
        <w:rPr>
          <w:i/>
        </w:rPr>
        <w:t>a</w:t>
      </w:r>
      <w:r w:rsidRPr="005E2A3E">
        <w:rPr>
          <w:i/>
        </w:rPr>
        <w:t>pon</w:t>
      </w:r>
      <w:r w:rsidRPr="005E2A3E">
        <w:t xml:space="preserve"> (</w:t>
      </w:r>
      <w:r w:rsidRPr="005E2A3E">
        <w:rPr>
          <w:rFonts w:ascii="Lantinghei SC Extralight" w:eastAsia="ヒラギノ明朝 ProN W3" w:hAnsi="Lantinghei SC Extralight" w:cs="ヒラギノ明朝 ProN W3"/>
          <w:szCs w:val="20"/>
        </w:rPr>
        <w:t>影梅庵</w:t>
      </w:r>
      <w:r w:rsidRPr="008666A8">
        <w:rPr>
          <w:rFonts w:ascii="SONGTI SC BLACK" w:hAnsi="SONGTI SC BLACK" w:cs="SONGTI SC BLACK"/>
          <w:color w:val="000000"/>
        </w:rPr>
        <w:t>忆语</w:t>
      </w:r>
      <w:r w:rsidRPr="005E2A3E">
        <w:rPr>
          <w:rFonts w:ascii="Lantinghei SC Extralight" w:eastAsia="ヒラギノ明朝 ProN W3" w:hAnsi="Lantinghei SC Extralight" w:cs="ヒラギノ明朝 ProN W3"/>
          <w:szCs w:val="20"/>
        </w:rPr>
        <w:t>),</w:t>
      </w:r>
      <w:r w:rsidRPr="005E2A3E">
        <w:t xml:space="preserve"> Presse nationale d’audio-visuel, Beijing, 1993, p. 14.</w:t>
      </w:r>
    </w:p>
  </w:footnote>
  <w:footnote w:id="1710">
    <w:p w14:paraId="3281A608" w14:textId="77777777" w:rsidR="00B01930" w:rsidRDefault="00B01930">
      <w:pPr>
        <w:pStyle w:val="Notedebasdepage"/>
      </w:pPr>
      <w:r>
        <w:rPr>
          <w:rStyle w:val="Appelnotedebasdep"/>
        </w:rPr>
        <w:footnoteRef/>
      </w:r>
      <w:r>
        <w:t xml:space="preserve"> </w:t>
      </w:r>
      <w:r>
        <w:tab/>
      </w:r>
      <w:r w:rsidRPr="0004576F">
        <w:t xml:space="preserve">Voir Li Yu, </w:t>
      </w:r>
      <w:r w:rsidRPr="0004576F">
        <w:rPr>
          <w:i/>
        </w:rPr>
        <w:t>Op. cit.</w:t>
      </w:r>
    </w:p>
  </w:footnote>
  <w:footnote w:id="1711">
    <w:p w14:paraId="32CB4BFC" w14:textId="77777777" w:rsidR="00B01930" w:rsidRDefault="00B01930">
      <w:pPr>
        <w:pStyle w:val="Notedebasdepage"/>
      </w:pPr>
      <w:r>
        <w:rPr>
          <w:rStyle w:val="Appelnotedebasdep"/>
        </w:rPr>
        <w:footnoteRef/>
      </w:r>
      <w:r>
        <w:t xml:space="preserve"> </w:t>
      </w:r>
      <w:r>
        <w:tab/>
      </w:r>
      <w:r w:rsidRPr="0004576F">
        <w:t xml:space="preserve">Voir Mao Pijiang, </w:t>
      </w:r>
      <w:r w:rsidRPr="0004576F">
        <w:rPr>
          <w:i/>
        </w:rPr>
        <w:t>op. cit</w:t>
      </w:r>
      <w:r w:rsidRPr="0004576F">
        <w:t>.</w:t>
      </w:r>
    </w:p>
  </w:footnote>
  <w:footnote w:id="1712">
    <w:p w14:paraId="3C2EDC89" w14:textId="77777777" w:rsidR="00B01930" w:rsidRDefault="00B01930">
      <w:pPr>
        <w:pStyle w:val="Notedebasdepage"/>
      </w:pPr>
      <w:r>
        <w:rPr>
          <w:rStyle w:val="Appelnotedebasdep"/>
        </w:rPr>
        <w:footnoteRef/>
      </w:r>
      <w:r>
        <w:t xml:space="preserve"> </w:t>
      </w:r>
      <w:r>
        <w:tab/>
      </w:r>
      <w:r w:rsidRPr="005E2A3E">
        <w:t>Chong Yi, (</w:t>
      </w:r>
      <w:r w:rsidRPr="005E2A3E">
        <w:rPr>
          <w:rFonts w:ascii="Lantinghei SC Extralight" w:eastAsia="ヒラギノ明朝 ProN W3" w:hAnsi="Lantinghei SC Extralight" w:cs="ヒラギノ明朝 ProN W3"/>
          <w:szCs w:val="20"/>
        </w:rPr>
        <w:t>崇彝</w:t>
      </w:r>
      <w:r w:rsidRPr="005E2A3E">
        <w:t xml:space="preserve">), </w:t>
      </w:r>
      <w:r w:rsidRPr="005E2A3E">
        <w:rPr>
          <w:i/>
        </w:rPr>
        <w:t>Notes divers des règnes de Daoguang et de Xianfeng</w:t>
      </w:r>
      <w:r w:rsidRPr="005E2A3E">
        <w:t xml:space="preserve"> (</w:t>
      </w:r>
      <w:r>
        <w:rPr>
          <w:rFonts w:ascii="Lantinghei SC Extralight" w:eastAsia="ヒラギノ明朝 ProN W3" w:hAnsi="Lantinghei SC Extralight" w:cs="ヒラギノ明朝 ProN W3"/>
          <w:szCs w:val="20"/>
        </w:rPr>
        <w:t>道咸以来朝野</w:t>
      </w:r>
      <w:r w:rsidRPr="00F36163">
        <w:rPr>
          <w:rFonts w:ascii="SONGTI SC BLACK" w:hAnsi="SONGTI SC BLACK" w:cs="SONGTI SC BLACK"/>
          <w:color w:val="000000"/>
        </w:rPr>
        <w:t>杂记</w:t>
      </w:r>
      <w:r w:rsidRPr="005E2A3E">
        <w:t>), Éditions docume</w:t>
      </w:r>
      <w:r w:rsidRPr="005E2A3E">
        <w:t>n</w:t>
      </w:r>
      <w:r w:rsidRPr="005E2A3E">
        <w:t>taires de Beijing, Beijing, 1982, p. 30. </w:t>
      </w:r>
    </w:p>
  </w:footnote>
  <w:footnote w:id="1713">
    <w:p w14:paraId="6CCF5360" w14:textId="77777777" w:rsidR="00B01930" w:rsidRDefault="00B01930">
      <w:pPr>
        <w:pStyle w:val="Notedebasdepage"/>
      </w:pPr>
      <w:r>
        <w:rPr>
          <w:rStyle w:val="Appelnotedebasdep"/>
        </w:rPr>
        <w:footnoteRef/>
      </w:r>
      <w:r>
        <w:t xml:space="preserve"> </w:t>
      </w:r>
      <w:r>
        <w:tab/>
      </w:r>
      <w:r w:rsidRPr="0004576F">
        <w:t>Dun Chong (</w:t>
      </w:r>
      <w:r w:rsidRPr="005E2A3E">
        <w:rPr>
          <w:rFonts w:ascii="Lantinghei SC Extralight" w:eastAsia="ヒラギノ明朝 ProN W3" w:hAnsi="Lantinghei SC Extralight" w:cs="ヒラギノ明朝 ProN W3"/>
          <w:szCs w:val="20"/>
        </w:rPr>
        <w:t>富察敦崇</w:t>
      </w:r>
      <w:r w:rsidRPr="0004576F">
        <w:t>),</w:t>
      </w:r>
      <w:r w:rsidRPr="0004576F">
        <w:rPr>
          <w:i/>
        </w:rPr>
        <w:t xml:space="preserve"> La Vie quoditienne à Pékin</w:t>
      </w:r>
      <w:r w:rsidRPr="0004576F">
        <w:t xml:space="preserve"> (</w:t>
      </w:r>
      <w:r>
        <w:rPr>
          <w:rFonts w:ascii="Lantinghei SC Extralight" w:eastAsia="ヒラギノ明朝 ProN W3" w:hAnsi="Lantinghei SC Extralight" w:cs="ヒラギノ明朝 ProN W3"/>
          <w:szCs w:val="20"/>
        </w:rPr>
        <w:t>燕京</w:t>
      </w:r>
      <w:r w:rsidRPr="000937B3">
        <w:rPr>
          <w:rFonts w:ascii="SONGTI SC BLACK" w:hAnsi="SONGTI SC BLACK" w:cs="SONGTI SC BLACK"/>
          <w:color w:val="000000"/>
        </w:rPr>
        <w:t>岁时记</w:t>
      </w:r>
      <w:r w:rsidRPr="0004576F">
        <w:t>), Éditions d</w:t>
      </w:r>
      <w:r w:rsidRPr="0004576F">
        <w:t>o</w:t>
      </w:r>
      <w:r w:rsidRPr="0004576F">
        <w:t>cumentaires de Be</w:t>
      </w:r>
      <w:r w:rsidRPr="0004576F">
        <w:t>i</w:t>
      </w:r>
      <w:r w:rsidRPr="0004576F">
        <w:t>jing, Beijing, 198</w:t>
      </w:r>
      <w:r w:rsidRPr="0004576F">
        <w:rPr>
          <w:rFonts w:hint="eastAsia"/>
        </w:rPr>
        <w:t>3</w:t>
      </w:r>
      <w:r w:rsidRPr="0004576F">
        <w:t xml:space="preserve">, p. </w:t>
      </w:r>
      <w:r w:rsidRPr="0004576F">
        <w:rPr>
          <w:rFonts w:hint="eastAsia"/>
        </w:rPr>
        <w:t>88</w:t>
      </w:r>
      <w:r w:rsidRPr="0004576F">
        <w:t>. </w:t>
      </w:r>
    </w:p>
  </w:footnote>
  <w:footnote w:id="1714">
    <w:p w14:paraId="68BE8162" w14:textId="77777777" w:rsidR="00B01930" w:rsidRDefault="00B01930">
      <w:pPr>
        <w:pStyle w:val="Notedebasdepage"/>
      </w:pPr>
      <w:r>
        <w:rPr>
          <w:rStyle w:val="Appelnotedebasdep"/>
        </w:rPr>
        <w:footnoteRef/>
      </w:r>
      <w:r>
        <w:t xml:space="preserve"> </w:t>
      </w:r>
      <w:r>
        <w:tab/>
      </w:r>
      <w:r w:rsidRPr="0004576F">
        <w:t>Voir Liu Tong et Yu Yizheng (</w:t>
      </w:r>
      <w:r w:rsidRPr="00291647">
        <w:rPr>
          <w:rFonts w:ascii="SONGTI SC BLACK" w:hAnsi="SONGTI SC BLACK" w:cs="SONGTI SC BLACK"/>
          <w:color w:val="000000"/>
        </w:rPr>
        <w:t>刘</w:t>
      </w:r>
      <w:r w:rsidRPr="005E2A3E">
        <w:rPr>
          <w:rFonts w:ascii="Lantinghei SC Extralight" w:eastAsia="ヒラギノ明朝 ProN W3" w:hAnsi="Lantinghei SC Extralight" w:cs="ヒラギノ明朝 ProN W3"/>
          <w:szCs w:val="20"/>
        </w:rPr>
        <w:t>侗，余奕正</w:t>
      </w:r>
      <w:r w:rsidRPr="0004576F">
        <w:t xml:space="preserve">), </w:t>
      </w:r>
      <w:r w:rsidRPr="0004576F">
        <w:rPr>
          <w:i/>
        </w:rPr>
        <w:t>La Capitale impériale</w:t>
      </w:r>
      <w:r w:rsidRPr="0004576F">
        <w:t xml:space="preserve"> (</w:t>
      </w:r>
      <w:r w:rsidRPr="005E2A3E">
        <w:rPr>
          <w:rFonts w:ascii="Lantinghei SC Extralight" w:eastAsia="ヒラギノ明朝 ProN W3" w:hAnsi="Lantinghei SC Extralight" w:cs="ヒラギノ明朝 ProN W3"/>
          <w:szCs w:val="20"/>
        </w:rPr>
        <w:t>帝京景物略</w:t>
      </w:r>
      <w:r w:rsidRPr="0004576F">
        <w:t>), Éditions doc</w:t>
      </w:r>
      <w:r w:rsidRPr="0004576F">
        <w:t>u</w:t>
      </w:r>
      <w:r w:rsidRPr="0004576F">
        <w:t>mentaires de Beijing, Beijing, 198</w:t>
      </w:r>
      <w:r w:rsidRPr="0004576F">
        <w:rPr>
          <w:rFonts w:hint="eastAsia"/>
        </w:rPr>
        <w:t>3</w:t>
      </w:r>
      <w:r w:rsidRPr="0004576F">
        <w:t>.</w:t>
      </w:r>
    </w:p>
  </w:footnote>
  <w:footnote w:id="1715">
    <w:p w14:paraId="6F768203" w14:textId="77777777" w:rsidR="00B01930" w:rsidRDefault="00B01930">
      <w:pPr>
        <w:pStyle w:val="Notedebasdepage"/>
      </w:pPr>
      <w:r>
        <w:rPr>
          <w:rStyle w:val="Appelnotedebasdep"/>
        </w:rPr>
        <w:footnoteRef/>
      </w:r>
      <w:r>
        <w:t xml:space="preserve"> </w:t>
      </w:r>
      <w:r>
        <w:tab/>
      </w:r>
      <w:r w:rsidRPr="0004576F">
        <w:t>Voir Pan Rongsheng (</w:t>
      </w:r>
      <w:r w:rsidRPr="005E2A3E">
        <w:rPr>
          <w:rFonts w:ascii="Lantinghei SC Extralight" w:eastAsia="ヒラギノ明朝 ProN W3" w:hAnsi="Lantinghei SC Extralight" w:cs="ヒラギノ明朝 ProN W3"/>
          <w:szCs w:val="20"/>
        </w:rPr>
        <w:t>潘荣陞</w:t>
      </w:r>
      <w:r w:rsidRPr="0004576F">
        <w:t xml:space="preserve">), </w:t>
      </w:r>
      <w:r w:rsidRPr="0004576F">
        <w:rPr>
          <w:i/>
        </w:rPr>
        <w:t>La Vie à la capitale</w:t>
      </w:r>
      <w:r w:rsidRPr="0004576F">
        <w:t xml:space="preserve"> (</w:t>
      </w:r>
      <w:r w:rsidRPr="005E2A3E">
        <w:rPr>
          <w:rFonts w:ascii="Lantinghei SC Extralight" w:eastAsia="ヒラギノ明朝 ProN W3" w:hAnsi="Lantinghei SC Extralight" w:cs="ヒラギノ明朝 ProN W3"/>
          <w:szCs w:val="20"/>
        </w:rPr>
        <w:t>帝京</w:t>
      </w:r>
      <w:r w:rsidRPr="0064436D">
        <w:rPr>
          <w:rFonts w:ascii="SONGTI SC BLACK" w:hAnsi="SONGTI SC BLACK" w:cs="SONGTI SC BLACK"/>
          <w:color w:val="000000"/>
        </w:rPr>
        <w:t>岁时纪胜</w:t>
      </w:r>
      <w:r w:rsidRPr="0004576F">
        <w:t>), Éditions d</w:t>
      </w:r>
      <w:r w:rsidRPr="0004576F">
        <w:t>o</w:t>
      </w:r>
      <w:r w:rsidRPr="0004576F">
        <w:t>cume</w:t>
      </w:r>
      <w:r w:rsidRPr="0004576F">
        <w:t>n</w:t>
      </w:r>
      <w:r w:rsidRPr="0004576F">
        <w:t>taires de Beijing, Beijing, 198</w:t>
      </w:r>
      <w:r w:rsidRPr="0004576F">
        <w:rPr>
          <w:rFonts w:hint="eastAsia"/>
        </w:rPr>
        <w:t>3</w:t>
      </w:r>
      <w:r w:rsidRPr="0004576F">
        <w:t>.</w:t>
      </w:r>
    </w:p>
  </w:footnote>
  <w:footnote w:id="1716">
    <w:p w14:paraId="30669F22" w14:textId="77777777" w:rsidR="00B01930" w:rsidRDefault="00B01930">
      <w:pPr>
        <w:pStyle w:val="Notedebasdepage"/>
      </w:pPr>
      <w:r>
        <w:rPr>
          <w:rStyle w:val="Appelnotedebasdep"/>
        </w:rPr>
        <w:footnoteRef/>
      </w:r>
      <w:r>
        <w:t xml:space="preserve"> </w:t>
      </w:r>
      <w:r>
        <w:tab/>
      </w:r>
      <w:r w:rsidRPr="0004576F">
        <w:t xml:space="preserve">Li Yu, </w:t>
      </w:r>
      <w:r w:rsidRPr="0004576F">
        <w:rPr>
          <w:i/>
        </w:rPr>
        <w:t>op. cit</w:t>
      </w:r>
      <w:r w:rsidRPr="0004576F">
        <w:t>, p. 221.</w:t>
      </w:r>
    </w:p>
  </w:footnote>
  <w:footnote w:id="1717">
    <w:p w14:paraId="6BF3A082" w14:textId="77777777" w:rsidR="00B01930" w:rsidRDefault="00B01930" w:rsidP="00B01930">
      <w:pPr>
        <w:pStyle w:val="Notedebasdepage"/>
      </w:pPr>
      <w:r>
        <w:rPr>
          <w:rStyle w:val="Appelnotedebasdep"/>
        </w:rPr>
        <w:footnoteRef/>
      </w:r>
      <w:r>
        <w:tab/>
      </w:r>
      <w:r w:rsidRPr="005F4FC2">
        <w:t>Voir Günther Roth, «</w:t>
      </w:r>
      <w:r>
        <w:t> </w:t>
      </w:r>
      <w:r w:rsidRPr="005F4FC2">
        <w:t>Socio-historical Model and Developmental Theory Ch</w:t>
      </w:r>
      <w:r w:rsidRPr="005F4FC2">
        <w:t>a</w:t>
      </w:r>
      <w:r w:rsidRPr="005F4FC2">
        <w:t>rismatic Community Charisma of</w:t>
      </w:r>
      <w:r>
        <w:t xml:space="preserve"> Reason and the Counterculture »,</w:t>
      </w:r>
      <w:r w:rsidRPr="005F4FC2">
        <w:t xml:space="preserve"> </w:t>
      </w:r>
      <w:r w:rsidRPr="005F4FC2">
        <w:rPr>
          <w:i/>
          <w:iCs/>
        </w:rPr>
        <w:t>American Sociological R</w:t>
      </w:r>
      <w:r w:rsidRPr="005F4FC2">
        <w:rPr>
          <w:i/>
          <w:iCs/>
        </w:rPr>
        <w:t>e</w:t>
      </w:r>
      <w:r w:rsidRPr="005F4FC2">
        <w:rPr>
          <w:i/>
          <w:iCs/>
        </w:rPr>
        <w:t xml:space="preserve">view, </w:t>
      </w:r>
      <w:r>
        <w:t>40, avril 1975,</w:t>
      </w:r>
      <w:r w:rsidRPr="005F4FC2">
        <w:t xml:space="preserve"> 148.</w:t>
      </w:r>
    </w:p>
  </w:footnote>
  <w:footnote w:id="1718">
    <w:p w14:paraId="7C618E2A" w14:textId="77777777" w:rsidR="00B01930" w:rsidRDefault="00B01930">
      <w:pPr>
        <w:pStyle w:val="Notedebasdepage"/>
      </w:pPr>
      <w:r>
        <w:rPr>
          <w:rStyle w:val="Appelnotedebasdep"/>
        </w:rPr>
        <w:footnoteRef/>
      </w:r>
      <w:r>
        <w:t xml:space="preserve"> </w:t>
      </w:r>
      <w:r>
        <w:tab/>
      </w:r>
      <w:r w:rsidRPr="005F4FC2">
        <w:t>Parmi les analyses les plus intéressantes, on verra David Apter</w:t>
      </w:r>
      <w:r>
        <w:t>,</w:t>
      </w:r>
      <w:r w:rsidRPr="005F4FC2">
        <w:t xml:space="preserve"> </w:t>
      </w:r>
      <w:r w:rsidRPr="005F4FC2">
        <w:rPr>
          <w:i/>
          <w:iCs/>
        </w:rPr>
        <w:t>Ghana in Tra</w:t>
      </w:r>
      <w:r w:rsidRPr="005F4FC2">
        <w:rPr>
          <w:i/>
          <w:iCs/>
        </w:rPr>
        <w:t>n</w:t>
      </w:r>
      <w:r w:rsidRPr="005F4FC2">
        <w:rPr>
          <w:i/>
          <w:iCs/>
        </w:rPr>
        <w:t xml:space="preserve">sition </w:t>
      </w:r>
      <w:r>
        <w:t>(New York, 1963) </w:t>
      </w:r>
      <w:r w:rsidRPr="005F4FC2">
        <w:t>; Ann Ruth Willner et Dorothy Willner, «</w:t>
      </w:r>
      <w:r>
        <w:t> </w:t>
      </w:r>
      <w:r w:rsidRPr="005F4FC2">
        <w:t>The Rise a</w:t>
      </w:r>
      <w:r>
        <w:t xml:space="preserve">nd Role of Charismatic Leaders », </w:t>
      </w:r>
      <w:r w:rsidRPr="005F4FC2">
        <w:rPr>
          <w:i/>
          <w:iCs/>
        </w:rPr>
        <w:t>The Anna</w:t>
      </w:r>
      <w:r>
        <w:rPr>
          <w:i/>
          <w:iCs/>
        </w:rPr>
        <w:t>ls of the American Acad</w:t>
      </w:r>
      <w:r>
        <w:rPr>
          <w:i/>
          <w:iCs/>
        </w:rPr>
        <w:t>e</w:t>
      </w:r>
      <w:r>
        <w:rPr>
          <w:i/>
          <w:iCs/>
        </w:rPr>
        <w:t>my of Po</w:t>
      </w:r>
      <w:r w:rsidRPr="005F4FC2">
        <w:rPr>
          <w:i/>
          <w:iCs/>
        </w:rPr>
        <w:t>litical Science</w:t>
      </w:r>
      <w:r>
        <w:rPr>
          <w:iCs/>
        </w:rPr>
        <w:t>,</w:t>
      </w:r>
      <w:r w:rsidRPr="005F4FC2">
        <w:rPr>
          <w:i/>
          <w:iCs/>
        </w:rPr>
        <w:t xml:space="preserve"> </w:t>
      </w:r>
      <w:r w:rsidRPr="005F4FC2">
        <w:t>358 (mars 1965) 77-78</w:t>
      </w:r>
      <w:r>
        <w:t> </w:t>
      </w:r>
      <w:r w:rsidRPr="005F4FC2">
        <w:t>; R.</w:t>
      </w:r>
      <w:r>
        <w:t> Fagen, « Ch</w:t>
      </w:r>
      <w:r w:rsidRPr="005F4FC2">
        <w:t>a</w:t>
      </w:r>
      <w:r>
        <w:t>rismatic A</w:t>
      </w:r>
      <w:r>
        <w:t>u</w:t>
      </w:r>
      <w:r>
        <w:t>thority and the Leadership of Fidel Castro »,</w:t>
      </w:r>
      <w:r w:rsidRPr="005F4FC2">
        <w:t xml:space="preserve"> </w:t>
      </w:r>
      <w:r w:rsidRPr="005F4FC2">
        <w:rPr>
          <w:i/>
          <w:iCs/>
        </w:rPr>
        <w:t>Western P</w:t>
      </w:r>
      <w:r w:rsidRPr="005F4FC2">
        <w:rPr>
          <w:i/>
          <w:iCs/>
        </w:rPr>
        <w:t>o</w:t>
      </w:r>
      <w:r w:rsidRPr="005F4FC2">
        <w:rPr>
          <w:i/>
          <w:iCs/>
        </w:rPr>
        <w:t xml:space="preserve">litical Quarterly </w:t>
      </w:r>
      <w:r w:rsidRPr="005F4FC2">
        <w:t xml:space="preserve">(juin 1965) </w:t>
      </w:r>
      <w:r>
        <w:t>p. 275-</w:t>
      </w:r>
      <w:r w:rsidRPr="005F4FC2">
        <w:t>284. Pour un effort notoire vers une application de la notion de chari</w:t>
      </w:r>
      <w:r w:rsidRPr="005F4FC2">
        <w:t>s</w:t>
      </w:r>
      <w:r w:rsidRPr="005F4FC2">
        <w:t>me dans la perspective de la construction institutionnelle, on lira l</w:t>
      </w:r>
      <w:r>
        <w:t>’</w:t>
      </w:r>
      <w:r w:rsidRPr="005F4FC2">
        <w:t xml:space="preserve">introduction de </w:t>
      </w:r>
      <w:r w:rsidRPr="005F4FC2">
        <w:rPr>
          <w:i/>
          <w:iCs/>
        </w:rPr>
        <w:t>Max Weber</w:t>
      </w:r>
      <w:r>
        <w:rPr>
          <w:i/>
          <w:iCs/>
        </w:rPr>
        <w:t> </w:t>
      </w:r>
      <w:r w:rsidRPr="005F4FC2">
        <w:rPr>
          <w:i/>
          <w:iCs/>
        </w:rPr>
        <w:t xml:space="preserve">: On Charisma and institution building </w:t>
      </w:r>
      <w:r w:rsidRPr="005F4FC2">
        <w:t>par S.</w:t>
      </w:r>
      <w:r>
        <w:t xml:space="preserve"> N Eisenstadt, </w:t>
      </w:r>
      <w:r w:rsidRPr="005F4FC2">
        <w:t>Chicago</w:t>
      </w:r>
      <w:r>
        <w:t> </w:t>
      </w:r>
      <w:r w:rsidRPr="005F4FC2">
        <w:t>: The Un</w:t>
      </w:r>
      <w:r>
        <w:t>iversity of Chicago Press, 1968, p</w:t>
      </w:r>
      <w:r w:rsidRPr="005F4FC2">
        <w:t>. IX-LVI.</w:t>
      </w:r>
    </w:p>
  </w:footnote>
  <w:footnote w:id="1719">
    <w:p w14:paraId="4597D3AC" w14:textId="77777777" w:rsidR="00B01930" w:rsidRDefault="00B01930">
      <w:pPr>
        <w:pStyle w:val="Notedebasdepage"/>
      </w:pPr>
      <w:r>
        <w:rPr>
          <w:rStyle w:val="Appelnotedebasdep"/>
        </w:rPr>
        <w:footnoteRef/>
      </w:r>
      <w:r>
        <w:t xml:space="preserve"> </w:t>
      </w:r>
      <w:r>
        <w:tab/>
      </w:r>
      <w:r w:rsidRPr="009124CE">
        <w:rPr>
          <w:rStyle w:val="NotedebasdepageCar"/>
        </w:rPr>
        <w:t xml:space="preserve">Carl J. Friedrich, « Political Leadership and Charismatic Power », </w:t>
      </w:r>
      <w:r w:rsidRPr="00B913EB">
        <w:rPr>
          <w:rStyle w:val="NotedebasdepageCar"/>
          <w:i/>
        </w:rPr>
        <w:t>The Journal of Pol</w:t>
      </w:r>
      <w:r w:rsidRPr="00B913EB">
        <w:rPr>
          <w:rStyle w:val="NotedebasdepageCar"/>
          <w:i/>
        </w:rPr>
        <w:t>i</w:t>
      </w:r>
      <w:r w:rsidRPr="00B913EB">
        <w:rPr>
          <w:rStyle w:val="NotedebasdepageCar"/>
          <w:i/>
        </w:rPr>
        <w:t>tics</w:t>
      </w:r>
      <w:r w:rsidRPr="009124CE">
        <w:rPr>
          <w:rStyle w:val="NotedebasdepageCar"/>
        </w:rPr>
        <w:t xml:space="preserve">, 23 (février 1961) ; Karl Lowenstein, </w:t>
      </w:r>
      <w:r w:rsidRPr="00B913EB">
        <w:rPr>
          <w:rStyle w:val="NotedebasdepageCar"/>
          <w:i/>
        </w:rPr>
        <w:t>Max Weber’s Political Ideas in the Perspective of Our T</w:t>
      </w:r>
      <w:r w:rsidRPr="00B913EB">
        <w:rPr>
          <w:rStyle w:val="NotedebasdepageCar"/>
          <w:i/>
        </w:rPr>
        <w:t>i</w:t>
      </w:r>
      <w:r w:rsidRPr="00B913EB">
        <w:rPr>
          <w:rStyle w:val="NotedebasdepageCar"/>
          <w:i/>
        </w:rPr>
        <w:t>me</w:t>
      </w:r>
      <w:r w:rsidRPr="009124CE">
        <w:rPr>
          <w:rStyle w:val="NotedebasdepageCar"/>
        </w:rPr>
        <w:t xml:space="preserve">, Amherst, 1966. </w:t>
      </w:r>
    </w:p>
  </w:footnote>
  <w:footnote w:id="1720">
    <w:p w14:paraId="6CA05568" w14:textId="77777777" w:rsidR="00B01930" w:rsidRDefault="00B01930">
      <w:pPr>
        <w:pStyle w:val="Notedebasdepage"/>
      </w:pPr>
      <w:r>
        <w:rPr>
          <w:rStyle w:val="Appelnotedebasdep"/>
        </w:rPr>
        <w:footnoteRef/>
      </w:r>
      <w:r>
        <w:t xml:space="preserve"> </w:t>
      </w:r>
      <w:r>
        <w:tab/>
      </w:r>
      <w:r w:rsidRPr="005300A3">
        <w:t xml:space="preserve">Voir l’excellent ouvrage de Norman Cohn, </w:t>
      </w:r>
      <w:r w:rsidRPr="005300A3">
        <w:rPr>
          <w:i/>
        </w:rPr>
        <w:t>The Pursuit of Millenium</w:t>
      </w:r>
      <w:r w:rsidRPr="005300A3">
        <w:t>, New York, Harper and Row, 1961 ; Anthony Wallace, Culture and Personality, New York Random House, 1962.</w:t>
      </w:r>
    </w:p>
  </w:footnote>
  <w:footnote w:id="1721">
    <w:p w14:paraId="5DF97482" w14:textId="77777777" w:rsidR="00B01930" w:rsidRDefault="00B01930">
      <w:pPr>
        <w:pStyle w:val="Notedebasdepage"/>
      </w:pPr>
      <w:r>
        <w:rPr>
          <w:rStyle w:val="Appelnotedebasdep"/>
        </w:rPr>
        <w:footnoteRef/>
      </w:r>
      <w:r>
        <w:t xml:space="preserve"> </w:t>
      </w:r>
      <w:r>
        <w:tab/>
      </w:r>
      <w:r w:rsidRPr="005300A3">
        <w:t xml:space="preserve">Edward Shils est </w:t>
      </w:r>
      <w:r w:rsidRPr="005300A3">
        <w:rPr>
          <w:i/>
          <w:iCs/>
        </w:rPr>
        <w:t xml:space="preserve">Distinguished Service Professor </w:t>
      </w:r>
      <w:r w:rsidRPr="005300A3">
        <w:rPr>
          <w:rFonts w:cs="Times"/>
        </w:rPr>
        <w:t xml:space="preserve">à </w:t>
      </w:r>
      <w:r w:rsidRPr="005300A3">
        <w:t xml:space="preserve">l’Université de Chicago et </w:t>
      </w:r>
      <w:r w:rsidRPr="005300A3">
        <w:rPr>
          <w:i/>
          <w:iCs/>
        </w:rPr>
        <w:t xml:space="preserve">Fellow </w:t>
      </w:r>
      <w:r w:rsidRPr="005300A3">
        <w:t xml:space="preserve">de Peterhouse </w:t>
      </w:r>
      <w:r w:rsidRPr="005300A3">
        <w:rPr>
          <w:rFonts w:cs="Times"/>
        </w:rPr>
        <w:t xml:space="preserve">à </w:t>
      </w:r>
      <w:r w:rsidRPr="005300A3">
        <w:t>l’Université de Cambridge. Il a occupé de prestigie</w:t>
      </w:r>
      <w:r w:rsidRPr="005300A3">
        <w:t>u</w:t>
      </w:r>
      <w:r w:rsidRPr="005300A3">
        <w:t>ses chaires d’enseignement aux Pays-Bas, en Suisse et en Inde notamment. Son œuvre qui, malheureusement, demeure encore inconnue en France, con</w:t>
      </w:r>
      <w:r w:rsidRPr="005300A3">
        <w:t>s</w:t>
      </w:r>
      <w:r w:rsidRPr="005300A3">
        <w:t>titue une contrib</w:t>
      </w:r>
      <w:r w:rsidRPr="005300A3">
        <w:t>u</w:t>
      </w:r>
      <w:r w:rsidRPr="005300A3">
        <w:t xml:space="preserve">tion théorique originale </w:t>
      </w:r>
      <w:r w:rsidRPr="005300A3">
        <w:rPr>
          <w:rFonts w:cs="Times"/>
        </w:rPr>
        <w:t xml:space="preserve">à </w:t>
      </w:r>
      <w:r w:rsidRPr="005300A3">
        <w:t>la connaissance dans des domaines aussi divers et aussi pertinents que le fonctionnement des sociétés, l’histoire des sciences s</w:t>
      </w:r>
      <w:r w:rsidRPr="005300A3">
        <w:t>o</w:t>
      </w:r>
      <w:r w:rsidRPr="005300A3">
        <w:t>ciales ou les mouvements du savoir. Cette œuvre immense s’appuie sur une démarche intellectuelle qui combine la tradition sociologique américaine, nota</w:t>
      </w:r>
      <w:r w:rsidRPr="005300A3">
        <w:t>m</w:t>
      </w:r>
      <w:r w:rsidRPr="005300A3">
        <w:t>ment celle de l’École de Chicago (Edward Shils, qui fut l’élève de Robert E. Park, a collaboré avec Louis Wirth et Harold D. Lasswell avec qui il était très lié) et l’apport européen, en particulier celui de Max W</w:t>
      </w:r>
      <w:r w:rsidRPr="005300A3">
        <w:t>e</w:t>
      </w:r>
      <w:r w:rsidRPr="005300A3">
        <w:t xml:space="preserve">ber dont il est l’un des plus éminents commentateurs (nous aurons toujours en mémoire les cours qu’il fit </w:t>
      </w:r>
      <w:r w:rsidRPr="005300A3">
        <w:rPr>
          <w:rFonts w:cs="Times"/>
        </w:rPr>
        <w:t xml:space="preserve">à </w:t>
      </w:r>
      <w:r w:rsidRPr="005300A3">
        <w:t>l’Université de Chicago sur le savant de Heide</w:t>
      </w:r>
      <w:r w:rsidRPr="005300A3">
        <w:t>l</w:t>
      </w:r>
      <w:r w:rsidRPr="005300A3">
        <w:t>berg).</w:t>
      </w:r>
    </w:p>
    <w:p w14:paraId="45F797A3" w14:textId="77777777" w:rsidR="00B01930" w:rsidRDefault="00B01930">
      <w:pPr>
        <w:pStyle w:val="Notedebasdepage"/>
      </w:pPr>
      <w:r>
        <w:tab/>
      </w:r>
      <w:r>
        <w:tab/>
      </w:r>
      <w:r w:rsidRPr="005300A3">
        <w:t xml:space="preserve">Mises </w:t>
      </w:r>
      <w:r w:rsidRPr="005300A3">
        <w:rPr>
          <w:rFonts w:cs="Times"/>
        </w:rPr>
        <w:t xml:space="preserve">à </w:t>
      </w:r>
      <w:r w:rsidRPr="005300A3">
        <w:t>part, les nombreuses traductions qu’Edward Shils fit de Max W</w:t>
      </w:r>
      <w:r w:rsidRPr="005300A3">
        <w:t>e</w:t>
      </w:r>
      <w:r w:rsidRPr="005300A3">
        <w:t>ber et de Karl Man</w:t>
      </w:r>
      <w:r w:rsidRPr="005300A3">
        <w:t>n</w:t>
      </w:r>
      <w:r w:rsidRPr="005300A3">
        <w:t xml:space="preserve">heim (qu’il a connu </w:t>
      </w:r>
      <w:r w:rsidRPr="005300A3">
        <w:rPr>
          <w:rFonts w:cs="Times"/>
        </w:rPr>
        <w:t xml:space="preserve">à </w:t>
      </w:r>
      <w:r w:rsidRPr="005300A3">
        <w:t xml:space="preserve">la </w:t>
      </w:r>
      <w:r w:rsidRPr="005300A3">
        <w:rPr>
          <w:i/>
        </w:rPr>
        <w:t>London School of Economies</w:t>
      </w:r>
      <w:r w:rsidRPr="005300A3">
        <w:t xml:space="preserve"> ou il enseigna en 1946), on peut citer parmi ses travaux deux importants ouvr</w:t>
      </w:r>
      <w:r w:rsidRPr="005300A3">
        <w:t>a</w:t>
      </w:r>
      <w:r w:rsidRPr="005300A3">
        <w:t xml:space="preserve">ges, </w:t>
      </w:r>
      <w:r w:rsidRPr="005300A3">
        <w:rPr>
          <w:i/>
          <w:iCs/>
        </w:rPr>
        <w:t xml:space="preserve">The Torment 01 Secrecy </w:t>
      </w:r>
      <w:r w:rsidRPr="005300A3">
        <w:t xml:space="preserve">(1963) et </w:t>
      </w:r>
      <w:r w:rsidRPr="005300A3">
        <w:rPr>
          <w:i/>
          <w:iCs/>
        </w:rPr>
        <w:t>Trad</w:t>
      </w:r>
      <w:r w:rsidRPr="005300A3">
        <w:rPr>
          <w:i/>
          <w:iCs/>
        </w:rPr>
        <w:t>i</w:t>
      </w:r>
      <w:r w:rsidRPr="005300A3">
        <w:rPr>
          <w:i/>
          <w:iCs/>
        </w:rPr>
        <w:t xml:space="preserve">tion </w:t>
      </w:r>
      <w:r w:rsidRPr="005300A3">
        <w:t xml:space="preserve">(1981) et les remarquables essais parus en quatre volumes, </w:t>
      </w:r>
      <w:r w:rsidRPr="005300A3">
        <w:rPr>
          <w:i/>
          <w:iCs/>
        </w:rPr>
        <w:t xml:space="preserve">The Intellectuals and the Powers </w:t>
      </w:r>
      <w:r w:rsidRPr="005300A3">
        <w:t xml:space="preserve">(1972), </w:t>
      </w:r>
      <w:r w:rsidRPr="005300A3">
        <w:rPr>
          <w:i/>
          <w:iCs/>
        </w:rPr>
        <w:t>Ce</w:t>
      </w:r>
      <w:r w:rsidRPr="005300A3">
        <w:rPr>
          <w:i/>
          <w:iCs/>
        </w:rPr>
        <w:t>n</w:t>
      </w:r>
      <w:r w:rsidRPr="005300A3">
        <w:rPr>
          <w:i/>
          <w:iCs/>
        </w:rPr>
        <w:t xml:space="preserve">ter and Periphery : Essays in Macrosociology </w:t>
      </w:r>
      <w:r w:rsidRPr="005300A3">
        <w:t xml:space="preserve">(1975), </w:t>
      </w:r>
      <w:r w:rsidRPr="005300A3">
        <w:rPr>
          <w:i/>
          <w:iCs/>
        </w:rPr>
        <w:t>The Calling of Sociol</w:t>
      </w:r>
      <w:r w:rsidRPr="005300A3">
        <w:rPr>
          <w:i/>
          <w:iCs/>
        </w:rPr>
        <w:t>o</w:t>
      </w:r>
      <w:r w:rsidRPr="005300A3">
        <w:rPr>
          <w:i/>
          <w:iCs/>
        </w:rPr>
        <w:t xml:space="preserve">gy Essays on the Pursuit of Learning </w:t>
      </w:r>
      <w:r w:rsidRPr="005300A3">
        <w:t xml:space="preserve">(1980), et </w:t>
      </w:r>
      <w:r w:rsidRPr="005300A3">
        <w:rPr>
          <w:i/>
          <w:iCs/>
        </w:rPr>
        <w:t xml:space="preserve">The Constitution of Society </w:t>
      </w:r>
      <w:r w:rsidRPr="005300A3">
        <w:t xml:space="preserve">(1982). Il a dirigé de nombreuses études dont </w:t>
      </w:r>
      <w:r w:rsidRPr="005300A3">
        <w:rPr>
          <w:i/>
          <w:iCs/>
        </w:rPr>
        <w:t xml:space="preserve">Toward </w:t>
      </w:r>
      <w:r w:rsidRPr="005300A3">
        <w:t xml:space="preserve">a </w:t>
      </w:r>
      <w:r w:rsidRPr="005300A3">
        <w:rPr>
          <w:i/>
          <w:iCs/>
        </w:rPr>
        <w:t xml:space="preserve">General Theory 01 Action </w:t>
      </w:r>
      <w:r w:rsidRPr="005300A3">
        <w:t>(1951) en collabor</w:t>
      </w:r>
      <w:r w:rsidRPr="005300A3">
        <w:t>a</w:t>
      </w:r>
      <w:r w:rsidRPr="005300A3">
        <w:t>tion avec Talcott Parsons. Edward Shils joua aussi un rôle important au sein de certains mo</w:t>
      </w:r>
      <w:r w:rsidRPr="005300A3">
        <w:t>u</w:t>
      </w:r>
      <w:r w:rsidRPr="005300A3">
        <w:t xml:space="preserve">vements intellectuels américains comme le </w:t>
      </w:r>
      <w:r w:rsidRPr="005300A3">
        <w:rPr>
          <w:i/>
        </w:rPr>
        <w:t>Congress for Cultural Freedom</w:t>
      </w:r>
      <w:r w:rsidRPr="005300A3">
        <w:t>, de séminaires sur le développ</w:t>
      </w:r>
      <w:r w:rsidRPr="005300A3">
        <w:t>e</w:t>
      </w:r>
      <w:r w:rsidRPr="005300A3">
        <w:t xml:space="preserve">ment économique et culturel dans les nouveaux </w:t>
      </w:r>
      <w:r>
        <w:t>État</w:t>
      </w:r>
      <w:r w:rsidRPr="005300A3">
        <w:t xml:space="preserve">s. Il participa avec des hommes comme Leo Szilard et Michael Polanyi au </w:t>
      </w:r>
      <w:r w:rsidRPr="005300A3">
        <w:rPr>
          <w:i/>
          <w:iCs/>
        </w:rPr>
        <w:t>Bulletin of Atomic Scie</w:t>
      </w:r>
      <w:r w:rsidRPr="005300A3">
        <w:rPr>
          <w:i/>
          <w:iCs/>
        </w:rPr>
        <w:t>n</w:t>
      </w:r>
      <w:r w:rsidRPr="005300A3">
        <w:rPr>
          <w:i/>
          <w:iCs/>
        </w:rPr>
        <w:t xml:space="preserve">tists </w:t>
      </w:r>
      <w:r w:rsidRPr="005300A3">
        <w:t xml:space="preserve">et fonda la </w:t>
      </w:r>
      <w:r w:rsidRPr="005300A3">
        <w:rPr>
          <w:i/>
          <w:iCs/>
        </w:rPr>
        <w:t xml:space="preserve">Revue Minerva : </w:t>
      </w:r>
      <w:r w:rsidRPr="005300A3">
        <w:rPr>
          <w:i/>
        </w:rPr>
        <w:t xml:space="preserve">A </w:t>
      </w:r>
      <w:r w:rsidRPr="005300A3">
        <w:rPr>
          <w:i/>
          <w:iCs/>
        </w:rPr>
        <w:t xml:space="preserve">Review of Science, Learning, and Policy </w:t>
      </w:r>
      <w:r w:rsidRPr="005300A3">
        <w:t>dont il est toujours le rédacteur en chef. Pour ce qui co</w:t>
      </w:r>
      <w:r w:rsidRPr="005300A3">
        <w:t>n</w:t>
      </w:r>
      <w:r w:rsidRPr="005300A3">
        <w:t>cerne les écrits d’Edward Shils sur la n</w:t>
      </w:r>
      <w:r w:rsidRPr="005300A3">
        <w:t>o</w:t>
      </w:r>
      <w:r w:rsidRPr="005300A3">
        <w:t xml:space="preserve">tion de charisme, on se reportera </w:t>
      </w:r>
      <w:r w:rsidRPr="005300A3">
        <w:rPr>
          <w:rFonts w:cs="Times"/>
        </w:rPr>
        <w:t xml:space="preserve">à </w:t>
      </w:r>
      <w:r>
        <w:t xml:space="preserve">sept notes </w:t>
      </w:r>
      <w:r w:rsidRPr="0032030F">
        <w:rPr>
          <w:i/>
        </w:rPr>
        <w:t>infra</w:t>
      </w:r>
      <w:r>
        <w:t>.</w:t>
      </w:r>
    </w:p>
  </w:footnote>
  <w:footnote w:id="1722">
    <w:p w14:paraId="46811E15" w14:textId="77777777" w:rsidR="00B01930" w:rsidRDefault="00B01930">
      <w:pPr>
        <w:pStyle w:val="Notedebasdepage"/>
      </w:pPr>
      <w:r>
        <w:rPr>
          <w:rStyle w:val="Appelnotedebasdep"/>
        </w:rPr>
        <w:footnoteRef/>
      </w:r>
      <w:r>
        <w:t xml:space="preserve"> </w:t>
      </w:r>
      <w:r>
        <w:tab/>
      </w:r>
      <w:r w:rsidRPr="005300A3">
        <w:t xml:space="preserve">Ernst Troeltsch, </w:t>
      </w:r>
      <w:r w:rsidRPr="005300A3">
        <w:rPr>
          <w:i/>
          <w:iCs/>
        </w:rPr>
        <w:t xml:space="preserve">Die Soziallehren der christlichen Kirchen und Gruppen, </w:t>
      </w:r>
      <w:r w:rsidRPr="005300A3">
        <w:t>v</w:t>
      </w:r>
      <w:r w:rsidRPr="005300A3">
        <w:t>o</w:t>
      </w:r>
      <w:r w:rsidRPr="005300A3">
        <w:t xml:space="preserve">lume premier des </w:t>
      </w:r>
      <w:r w:rsidRPr="005300A3">
        <w:rPr>
          <w:i/>
          <w:iCs/>
        </w:rPr>
        <w:t xml:space="preserve">Gesammelte Schriften, </w:t>
      </w:r>
      <w:r w:rsidRPr="005300A3">
        <w:t xml:space="preserve">Tübingen, P. Siebeck, 1912-1924, et Rudolf Sohm, </w:t>
      </w:r>
      <w:r w:rsidRPr="005300A3">
        <w:rPr>
          <w:i/>
          <w:iCs/>
        </w:rPr>
        <w:t xml:space="preserve">Kirchenrecht, </w:t>
      </w:r>
      <w:r w:rsidRPr="005300A3">
        <w:t>2 vols., Leipzig Duncker und Hu</w:t>
      </w:r>
      <w:r w:rsidRPr="005300A3">
        <w:t>m</w:t>
      </w:r>
      <w:r w:rsidRPr="005300A3">
        <w:t>blot, 1892-1923.</w:t>
      </w:r>
    </w:p>
  </w:footnote>
  <w:footnote w:id="1723">
    <w:p w14:paraId="626BEB9C" w14:textId="77777777" w:rsidR="00B01930" w:rsidRDefault="00B01930">
      <w:pPr>
        <w:pStyle w:val="Notedebasdepage"/>
      </w:pPr>
      <w:r>
        <w:rPr>
          <w:rStyle w:val="Appelnotedebasdep"/>
        </w:rPr>
        <w:footnoteRef/>
      </w:r>
      <w:r>
        <w:t xml:space="preserve"> </w:t>
      </w:r>
      <w:r>
        <w:tab/>
      </w:r>
      <w:r w:rsidRPr="005300A3">
        <w:rPr>
          <w:rStyle w:val="NotedebasdepageCar"/>
        </w:rPr>
        <w:t xml:space="preserve">Notamment dans </w:t>
      </w:r>
      <w:r w:rsidRPr="005300A3">
        <w:rPr>
          <w:rStyle w:val="NotedebasdepageCar"/>
          <w:i/>
        </w:rPr>
        <w:t>Wirstchaft und Gesellschalt Grundriss der verstehenden Sozi</w:t>
      </w:r>
      <w:r w:rsidRPr="005300A3">
        <w:rPr>
          <w:rStyle w:val="NotedebasdepageCar"/>
          <w:i/>
        </w:rPr>
        <w:t>o</w:t>
      </w:r>
      <w:r w:rsidRPr="005300A3">
        <w:rPr>
          <w:rStyle w:val="NotedebasdepageCar"/>
          <w:i/>
        </w:rPr>
        <w:t>logie</w:t>
      </w:r>
      <w:r w:rsidRPr="005300A3">
        <w:rPr>
          <w:rStyle w:val="NotedebasdepageCar"/>
        </w:rPr>
        <w:t xml:space="preserve">, 2 vols., Tübinhen, J.C.B. Mohr, 1922, dont le premier volume a été traduit en. Français sous le titre </w:t>
      </w:r>
      <w:r w:rsidRPr="005300A3">
        <w:rPr>
          <w:rStyle w:val="NotedebasdepageCar"/>
          <w:i/>
        </w:rPr>
        <w:t>Économie et société</w:t>
      </w:r>
      <w:r w:rsidRPr="005300A3">
        <w:rPr>
          <w:rStyle w:val="NotedebasdepageCar"/>
        </w:rPr>
        <w:t>, Paris Plon, 1971.</w:t>
      </w:r>
    </w:p>
  </w:footnote>
  <w:footnote w:id="1724">
    <w:p w14:paraId="613AB3A9" w14:textId="77777777" w:rsidR="00B01930" w:rsidRDefault="00B01930">
      <w:pPr>
        <w:pStyle w:val="Notedebasdepage"/>
      </w:pPr>
      <w:r>
        <w:rPr>
          <w:rStyle w:val="Appelnotedebasdep"/>
        </w:rPr>
        <w:footnoteRef/>
      </w:r>
      <w:r>
        <w:t xml:space="preserve"> </w:t>
      </w:r>
      <w:r>
        <w:tab/>
      </w:r>
      <w:r w:rsidRPr="005300A3">
        <w:rPr>
          <w:rFonts w:cs="Helvetica"/>
          <w:szCs w:val="22"/>
        </w:rPr>
        <w:t>Weber met en regard certains prophètes de l’Ancien Testament, des chefs mil</w:t>
      </w:r>
      <w:r w:rsidRPr="005300A3">
        <w:rPr>
          <w:rFonts w:cs="Helvetica"/>
          <w:szCs w:val="22"/>
        </w:rPr>
        <w:t>i</w:t>
      </w:r>
      <w:r w:rsidRPr="005300A3">
        <w:rPr>
          <w:rFonts w:cs="Helvetica"/>
          <w:szCs w:val="22"/>
        </w:rPr>
        <w:t xml:space="preserve">taires byzantins en proie </w:t>
      </w:r>
      <w:r w:rsidRPr="005300A3">
        <w:rPr>
          <w:rFonts w:cs="Times"/>
        </w:rPr>
        <w:t xml:space="preserve">à </w:t>
      </w:r>
      <w:r w:rsidRPr="005300A3">
        <w:rPr>
          <w:rFonts w:cs="Helvetica"/>
          <w:szCs w:val="22"/>
        </w:rPr>
        <w:t xml:space="preserve">des attaques maniaques </w:t>
      </w:r>
      <w:r w:rsidRPr="005300A3">
        <w:rPr>
          <w:rFonts w:cs="Helvetica"/>
          <w:i/>
          <w:iCs/>
          <w:szCs w:val="22"/>
        </w:rPr>
        <w:t xml:space="preserve">(Bezerker), </w:t>
      </w:r>
      <w:r w:rsidRPr="005300A3">
        <w:rPr>
          <w:rFonts w:cs="Helvetica"/>
          <w:szCs w:val="22"/>
        </w:rPr>
        <w:t>des mages extatiques ou épileptiques, des fondateurs religieux comme J</w:t>
      </w:r>
      <w:r w:rsidRPr="005300A3">
        <w:rPr>
          <w:rFonts w:cs="Helvetica"/>
          <w:szCs w:val="22"/>
        </w:rPr>
        <w:t>o</w:t>
      </w:r>
      <w:r w:rsidRPr="005300A3">
        <w:rPr>
          <w:rFonts w:cs="Helvetica"/>
          <w:szCs w:val="22"/>
        </w:rPr>
        <w:t>seph Smith (que Weber considère comme un type raffiné de charlatan), des politiciens dém</w:t>
      </w:r>
      <w:r w:rsidRPr="005300A3">
        <w:rPr>
          <w:rFonts w:cs="Helvetica"/>
          <w:szCs w:val="22"/>
        </w:rPr>
        <w:t>a</w:t>
      </w:r>
      <w:r w:rsidRPr="005300A3">
        <w:rPr>
          <w:rFonts w:cs="Helvetica"/>
          <w:szCs w:val="22"/>
        </w:rPr>
        <w:t>gogues comme Kurt Eisner le leader de la révolution comm</w:t>
      </w:r>
      <w:r w:rsidRPr="005300A3">
        <w:rPr>
          <w:rFonts w:cs="Helvetica"/>
          <w:szCs w:val="22"/>
        </w:rPr>
        <w:t>u</w:t>
      </w:r>
      <w:r w:rsidRPr="005300A3">
        <w:rPr>
          <w:rFonts w:cs="Helvetica"/>
          <w:szCs w:val="22"/>
        </w:rPr>
        <w:t xml:space="preserve">niste bavaroise, </w:t>
      </w:r>
      <w:r w:rsidRPr="005300A3">
        <w:rPr>
          <w:rFonts w:cs="Helvetica"/>
          <w:i/>
          <w:iCs/>
          <w:szCs w:val="22"/>
        </w:rPr>
        <w:t xml:space="preserve">Économie et Société, </w:t>
      </w:r>
      <w:r w:rsidRPr="005300A3">
        <w:rPr>
          <w:rFonts w:cs="Helvetica"/>
          <w:szCs w:val="22"/>
        </w:rPr>
        <w:t>p. 249.</w:t>
      </w:r>
    </w:p>
  </w:footnote>
  <w:footnote w:id="1725">
    <w:p w14:paraId="240B3B21" w14:textId="77777777" w:rsidR="00B01930" w:rsidRDefault="00B01930">
      <w:pPr>
        <w:pStyle w:val="Notedebasdepage"/>
      </w:pPr>
      <w:r>
        <w:rPr>
          <w:rStyle w:val="Appelnotedebasdep"/>
        </w:rPr>
        <w:footnoteRef/>
      </w:r>
      <w:r>
        <w:t xml:space="preserve"> </w:t>
      </w:r>
      <w:r>
        <w:tab/>
      </w:r>
      <w:r w:rsidRPr="005300A3">
        <w:rPr>
          <w:i/>
        </w:rPr>
        <w:t>Ibidem</w:t>
      </w:r>
      <w:r w:rsidRPr="005300A3">
        <w:t>, p. 249.</w:t>
      </w:r>
    </w:p>
  </w:footnote>
  <w:footnote w:id="1726">
    <w:p w14:paraId="5DE82792" w14:textId="77777777" w:rsidR="00B01930" w:rsidRDefault="00B01930">
      <w:pPr>
        <w:pStyle w:val="Notedebasdepage"/>
      </w:pPr>
      <w:r>
        <w:rPr>
          <w:rStyle w:val="Appelnotedebasdep"/>
        </w:rPr>
        <w:footnoteRef/>
      </w:r>
      <w:r>
        <w:t xml:space="preserve"> </w:t>
      </w:r>
      <w:r>
        <w:tab/>
      </w:r>
      <w:r w:rsidRPr="005300A3">
        <w:rPr>
          <w:i/>
        </w:rPr>
        <w:t>Ibidem</w:t>
      </w:r>
      <w:r w:rsidRPr="005300A3">
        <w:t>, p. 252.</w:t>
      </w:r>
    </w:p>
  </w:footnote>
  <w:footnote w:id="1727">
    <w:p w14:paraId="2E42E9ED" w14:textId="77777777" w:rsidR="00B01930" w:rsidRDefault="00B01930">
      <w:pPr>
        <w:pStyle w:val="Notedebasdepage"/>
      </w:pPr>
      <w:r>
        <w:rPr>
          <w:rStyle w:val="Appelnotedebasdep"/>
        </w:rPr>
        <w:footnoteRef/>
      </w:r>
      <w:r>
        <w:t xml:space="preserve"> </w:t>
      </w:r>
      <w:r>
        <w:tab/>
      </w:r>
      <w:r w:rsidRPr="005300A3">
        <w:t>Ce serait d’après Leah Greenfield dans cette seule perspective qu’il convie</w:t>
      </w:r>
      <w:r w:rsidRPr="005300A3">
        <w:t>n</w:t>
      </w:r>
      <w:r w:rsidRPr="005300A3">
        <w:t>drait de faire usage de l’idée de charisme, Weber ayant utilisé un même terme pour désigner deux catégories distinctes de phénomènes dont seule la premi</w:t>
      </w:r>
      <w:r w:rsidRPr="005300A3">
        <w:t>è</w:t>
      </w:r>
      <w:r w:rsidRPr="005300A3">
        <w:t xml:space="preserve">re, le charisme intense serait </w:t>
      </w:r>
      <w:r w:rsidRPr="005300A3">
        <w:rPr>
          <w:i/>
          <w:iCs/>
        </w:rPr>
        <w:t>sui generis</w:t>
      </w:r>
      <w:r w:rsidRPr="005300A3">
        <w:rPr>
          <w:iCs/>
        </w:rPr>
        <w:t> ;</w:t>
      </w:r>
      <w:r w:rsidRPr="005300A3">
        <w:rPr>
          <w:i/>
          <w:iCs/>
        </w:rPr>
        <w:t xml:space="preserve"> </w:t>
      </w:r>
      <w:r w:rsidRPr="005300A3">
        <w:t>cf. « </w:t>
      </w:r>
      <w:r w:rsidRPr="005300A3">
        <w:rPr>
          <w:i/>
        </w:rPr>
        <w:t>Reinterpretation of Chari</w:t>
      </w:r>
      <w:r w:rsidRPr="005300A3">
        <w:rPr>
          <w:i/>
        </w:rPr>
        <w:t>s</w:t>
      </w:r>
      <w:r w:rsidRPr="005300A3">
        <w:rPr>
          <w:i/>
        </w:rPr>
        <w:t>ma </w:t>
      </w:r>
      <w:r w:rsidRPr="005300A3">
        <w:t>», ét</w:t>
      </w:r>
      <w:r w:rsidRPr="005300A3">
        <w:t>u</w:t>
      </w:r>
      <w:r w:rsidRPr="005300A3">
        <w:t>de non encore publiée (1984).</w:t>
      </w:r>
    </w:p>
    <w:p w14:paraId="5814F36D" w14:textId="77777777" w:rsidR="00B01930" w:rsidRDefault="00B01930">
      <w:pPr>
        <w:pStyle w:val="Notedebasdepage"/>
      </w:pPr>
      <w:r>
        <w:tab/>
      </w:r>
      <w:r>
        <w:tab/>
      </w:r>
      <w:r w:rsidRPr="005300A3">
        <w:t xml:space="preserve">Ajoutons au passage ici </w:t>
      </w:r>
      <w:r w:rsidRPr="005300A3">
        <w:rPr>
          <w:rFonts w:cs="Times"/>
        </w:rPr>
        <w:t xml:space="preserve">à </w:t>
      </w:r>
      <w:r w:rsidRPr="005300A3">
        <w:t>propos du caractère « déraisonnable » du ch</w:t>
      </w:r>
      <w:r w:rsidRPr="005300A3">
        <w:t>a</w:t>
      </w:r>
      <w:r w:rsidRPr="005300A3">
        <w:t>risme pur que selon certains, Weber (cf. ses deux essais, « </w:t>
      </w:r>
      <w:r w:rsidRPr="005300A3">
        <w:rPr>
          <w:i/>
        </w:rPr>
        <w:t>Wissenschaft als Beruf </w:t>
      </w:r>
      <w:r w:rsidRPr="005300A3">
        <w:t>» et « </w:t>
      </w:r>
      <w:r w:rsidRPr="005300A3">
        <w:rPr>
          <w:i/>
        </w:rPr>
        <w:t>Politik als Beruf </w:t>
      </w:r>
      <w:r w:rsidRPr="005300A3">
        <w:t>») semble avoir atténué dans sa définition les a</w:t>
      </w:r>
      <w:r w:rsidRPr="005300A3">
        <w:t>s</w:t>
      </w:r>
      <w:r w:rsidRPr="005300A3">
        <w:t>pects irresponsables de la conviction chari</w:t>
      </w:r>
      <w:r w:rsidRPr="005300A3">
        <w:t>s</w:t>
      </w:r>
      <w:r w:rsidRPr="005300A3">
        <w:t xml:space="preserve">matique cf. sur ce point Thomas E. Dow, « An Analysis of Weber’s Work on Charisma » </w:t>
      </w:r>
      <w:r w:rsidRPr="005300A3">
        <w:rPr>
          <w:i/>
          <w:iCs/>
          <w:szCs w:val="18"/>
        </w:rPr>
        <w:t>British Journal of S</w:t>
      </w:r>
      <w:r w:rsidRPr="005300A3">
        <w:rPr>
          <w:i/>
          <w:iCs/>
          <w:szCs w:val="18"/>
        </w:rPr>
        <w:t>o</w:t>
      </w:r>
      <w:r w:rsidRPr="005300A3">
        <w:rPr>
          <w:i/>
          <w:iCs/>
          <w:szCs w:val="18"/>
        </w:rPr>
        <w:t>ciology</w:t>
      </w:r>
      <w:r w:rsidRPr="005300A3">
        <w:rPr>
          <w:iCs/>
          <w:szCs w:val="18"/>
        </w:rPr>
        <w:t>,</w:t>
      </w:r>
      <w:r w:rsidRPr="005300A3">
        <w:rPr>
          <w:i/>
          <w:iCs/>
          <w:szCs w:val="18"/>
        </w:rPr>
        <w:t xml:space="preserve"> </w:t>
      </w:r>
      <w:r w:rsidRPr="005300A3">
        <w:t xml:space="preserve">29 mars </w:t>
      </w:r>
      <w:r w:rsidRPr="005300A3">
        <w:rPr>
          <w:rFonts w:cs="Times"/>
          <w:szCs w:val="18"/>
        </w:rPr>
        <w:t>1978, p. 83-93.</w:t>
      </w:r>
    </w:p>
  </w:footnote>
  <w:footnote w:id="1728">
    <w:p w14:paraId="36CB7DA1" w14:textId="77777777" w:rsidR="00B01930" w:rsidRDefault="00B01930">
      <w:pPr>
        <w:pStyle w:val="Notedebasdepage"/>
      </w:pPr>
      <w:r>
        <w:rPr>
          <w:rStyle w:val="Appelnotedebasdep"/>
        </w:rPr>
        <w:footnoteRef/>
      </w:r>
      <w:r>
        <w:t xml:space="preserve"> </w:t>
      </w:r>
      <w:r>
        <w:tab/>
      </w:r>
      <w:r w:rsidRPr="005300A3">
        <w:rPr>
          <w:rStyle w:val="NotedebasdepageCar"/>
        </w:rPr>
        <w:t>La réflexion d’Edward Shils sur la question du charisme remonte aux années trente, mais c’est au cours des années cinquante que les possibilités d’extension de la formulation web</w:t>
      </w:r>
      <w:r w:rsidRPr="005300A3">
        <w:rPr>
          <w:rStyle w:val="NotedebasdepageCar"/>
        </w:rPr>
        <w:t>e</w:t>
      </w:r>
      <w:r w:rsidRPr="005300A3">
        <w:rPr>
          <w:rStyle w:val="NotedebasdepageCar"/>
        </w:rPr>
        <w:t>rienne lui sont apparues. C’est à partir de cette période qu’Edward Shils a intégré le ch</w:t>
      </w:r>
      <w:r w:rsidRPr="005300A3">
        <w:rPr>
          <w:rStyle w:val="NotedebasdepageCar"/>
        </w:rPr>
        <w:t>a</w:t>
      </w:r>
      <w:r w:rsidRPr="005300A3">
        <w:rPr>
          <w:rStyle w:val="NotedebasdepageCar"/>
        </w:rPr>
        <w:t>risme à son analyse de l’équation Centre-Périphérie dont il a fait l’axe de sa conception de la dyn</w:t>
      </w:r>
      <w:r w:rsidRPr="005300A3">
        <w:rPr>
          <w:rStyle w:val="NotedebasdepageCar"/>
        </w:rPr>
        <w:t>a</w:t>
      </w:r>
      <w:r w:rsidRPr="005300A3">
        <w:rPr>
          <w:rStyle w:val="NotedebasdepageCar"/>
        </w:rPr>
        <w:t>mique sociale. Parmi les écrits les plus importants portant directement sur le charisme, il faut citer à côté du présent article « The Concentration and Di</w:t>
      </w:r>
      <w:r w:rsidRPr="005300A3">
        <w:rPr>
          <w:rStyle w:val="NotedebasdepageCar"/>
        </w:rPr>
        <w:t>s</w:t>
      </w:r>
      <w:r w:rsidRPr="005300A3">
        <w:rPr>
          <w:rStyle w:val="NotedebasdepageCar"/>
        </w:rPr>
        <w:t xml:space="preserve">persion of Charisma Their Bearing on Economie Policy in Underdeveloped Countries », </w:t>
      </w:r>
      <w:r w:rsidRPr="005300A3">
        <w:rPr>
          <w:rStyle w:val="NotedebasdepageCar"/>
          <w:i/>
        </w:rPr>
        <w:t>World Politics</w:t>
      </w:r>
      <w:r w:rsidRPr="005300A3">
        <w:rPr>
          <w:rStyle w:val="NotedebasdepageCar"/>
        </w:rPr>
        <w:t>, 11 (octobre 1958), « Charisma, Order and St</w:t>
      </w:r>
      <w:r w:rsidRPr="005300A3">
        <w:rPr>
          <w:rStyle w:val="NotedebasdepageCar"/>
        </w:rPr>
        <w:t>a</w:t>
      </w:r>
      <w:r w:rsidRPr="005300A3">
        <w:rPr>
          <w:rStyle w:val="NotedebasdepageCar"/>
        </w:rPr>
        <w:t xml:space="preserve">tus », </w:t>
      </w:r>
      <w:r w:rsidRPr="005300A3">
        <w:rPr>
          <w:rStyle w:val="NotedebasdepageCar"/>
          <w:i/>
        </w:rPr>
        <w:t>American Sociological Review</w:t>
      </w:r>
      <w:r w:rsidRPr="005300A3">
        <w:rPr>
          <w:rStyle w:val="NotedebasdepageCar"/>
        </w:rPr>
        <w:t>, 30 (1965) « Deference in Social Stratif</w:t>
      </w:r>
      <w:r w:rsidRPr="005300A3">
        <w:rPr>
          <w:rStyle w:val="NotedebasdepageCar"/>
        </w:rPr>
        <w:t>i</w:t>
      </w:r>
      <w:r w:rsidRPr="005300A3">
        <w:rPr>
          <w:rStyle w:val="NotedebasdepageCar"/>
        </w:rPr>
        <w:t>cation », sous la direction de John A. Jackson (Cambridge Un</w:t>
      </w:r>
      <w:r w:rsidRPr="005300A3">
        <w:rPr>
          <w:rStyle w:val="NotedebasdepageCar"/>
        </w:rPr>
        <w:t>i</w:t>
      </w:r>
      <w:r w:rsidRPr="005300A3">
        <w:rPr>
          <w:rStyle w:val="NotedebasdepageCar"/>
        </w:rPr>
        <w:t xml:space="preserve">versity Press, 1968) et naturellement « Center and Periphery », in </w:t>
      </w:r>
      <w:r w:rsidRPr="005300A3">
        <w:rPr>
          <w:rStyle w:val="NotedebasdepageCar"/>
          <w:i/>
        </w:rPr>
        <w:t>The Logic of Personal Knowledge : E</w:t>
      </w:r>
      <w:r w:rsidRPr="005300A3">
        <w:rPr>
          <w:rStyle w:val="NotedebasdepageCar"/>
          <w:i/>
        </w:rPr>
        <w:t>s</w:t>
      </w:r>
      <w:r w:rsidRPr="005300A3">
        <w:rPr>
          <w:rStyle w:val="NotedebasdepageCar"/>
          <w:i/>
        </w:rPr>
        <w:t>says in Honor of Michael Polanyi</w:t>
      </w:r>
      <w:r w:rsidRPr="005300A3">
        <w:rPr>
          <w:rStyle w:val="NotedebasdepageCar"/>
        </w:rPr>
        <w:t>, The Free Press of Glencoe, 1961.</w:t>
      </w:r>
    </w:p>
  </w:footnote>
  <w:footnote w:id="1729">
    <w:p w14:paraId="379F6BF2" w14:textId="77777777" w:rsidR="00B01930" w:rsidRDefault="00B01930">
      <w:pPr>
        <w:pStyle w:val="Notedebasdepage"/>
      </w:pPr>
      <w:r>
        <w:rPr>
          <w:rStyle w:val="Appelnotedebasdep"/>
        </w:rPr>
        <w:footnoteRef/>
      </w:r>
      <w:r>
        <w:t xml:space="preserve"> </w:t>
      </w:r>
      <w:r>
        <w:tab/>
      </w:r>
      <w:r w:rsidRPr="005300A3">
        <w:t xml:space="preserve">Roger Caillois, </w:t>
      </w:r>
      <w:r w:rsidRPr="005300A3">
        <w:rPr>
          <w:i/>
          <w:iCs/>
        </w:rPr>
        <w:t xml:space="preserve">Quatre essais de sociologie contemporaine, </w:t>
      </w:r>
      <w:r w:rsidRPr="005300A3">
        <w:t>Paris, Perrin, 1951, p.52.</w:t>
      </w:r>
    </w:p>
  </w:footnote>
  <w:footnote w:id="1730">
    <w:p w14:paraId="79FCF050" w14:textId="77777777" w:rsidR="00B01930" w:rsidRDefault="00B01930">
      <w:pPr>
        <w:pStyle w:val="Notedebasdepage"/>
      </w:pPr>
      <w:r>
        <w:rPr>
          <w:rStyle w:val="Appelnotedebasdep"/>
        </w:rPr>
        <w:footnoteRef/>
      </w:r>
      <w:r>
        <w:t xml:space="preserve"> </w:t>
      </w:r>
      <w:r>
        <w:tab/>
      </w:r>
      <w:r w:rsidRPr="005F4FC2">
        <w:rPr>
          <w:rFonts w:cs="Helvetica"/>
          <w:szCs w:val="22"/>
        </w:rPr>
        <w:t xml:space="preserve">Pour Edward Shils le concept de </w:t>
      </w:r>
      <w:r>
        <w:rPr>
          <w:rFonts w:cs="Helvetica"/>
          <w:i/>
          <w:iCs/>
          <w:szCs w:val="22"/>
        </w:rPr>
        <w:t>def</w:t>
      </w:r>
      <w:r w:rsidRPr="005F4FC2">
        <w:rPr>
          <w:rFonts w:cs="Helvetica"/>
          <w:i/>
          <w:iCs/>
          <w:szCs w:val="22"/>
        </w:rPr>
        <w:t xml:space="preserve">erence </w:t>
      </w:r>
      <w:r w:rsidRPr="005F4FC2">
        <w:rPr>
          <w:rFonts w:cs="Helvetica"/>
          <w:szCs w:val="22"/>
        </w:rPr>
        <w:t xml:space="preserve">est parallèle </w:t>
      </w:r>
      <w:r w:rsidRPr="005F4FC2">
        <w:rPr>
          <w:rFonts w:cs="Times"/>
          <w:szCs w:val="22"/>
        </w:rPr>
        <w:t xml:space="preserve">à </w:t>
      </w:r>
      <w:r w:rsidRPr="005F4FC2">
        <w:rPr>
          <w:rFonts w:cs="Helvetica"/>
          <w:szCs w:val="22"/>
        </w:rPr>
        <w:t xml:space="preserve">celui de </w:t>
      </w:r>
      <w:r w:rsidRPr="005F4FC2">
        <w:rPr>
          <w:rFonts w:cs="Helvetica"/>
          <w:i/>
          <w:iCs/>
          <w:szCs w:val="22"/>
        </w:rPr>
        <w:t xml:space="preserve">status, </w:t>
      </w:r>
      <w:r w:rsidRPr="005F4FC2">
        <w:rPr>
          <w:rFonts w:cs="Helvetica"/>
          <w:szCs w:val="22"/>
        </w:rPr>
        <w:t>mais le dépasse aussi. Pour une définition on verra un</w:t>
      </w:r>
      <w:r>
        <w:rPr>
          <w:rFonts w:cs="Helvetica"/>
          <w:szCs w:val="22"/>
        </w:rPr>
        <w:t xml:space="preserve"> de ses articles intitulé « Defe</w:t>
      </w:r>
      <w:r w:rsidRPr="005F4FC2">
        <w:rPr>
          <w:rFonts w:cs="Helvetica"/>
          <w:szCs w:val="22"/>
        </w:rPr>
        <w:t>rence</w:t>
      </w:r>
      <w:r>
        <w:rPr>
          <w:rFonts w:cs="Helvetica"/>
          <w:szCs w:val="22"/>
        </w:rPr>
        <w:t> </w:t>
      </w:r>
      <w:r w:rsidRPr="005F4FC2">
        <w:rPr>
          <w:rFonts w:cs="Helvetica"/>
          <w:szCs w:val="22"/>
        </w:rPr>
        <w:t xml:space="preserve">», in </w:t>
      </w:r>
      <w:r w:rsidRPr="005F4FC2">
        <w:rPr>
          <w:rFonts w:cs="Helvetica"/>
          <w:i/>
          <w:iCs/>
          <w:szCs w:val="22"/>
        </w:rPr>
        <w:t xml:space="preserve">Social Stratification, </w:t>
      </w:r>
      <w:r w:rsidRPr="005F4FC2">
        <w:rPr>
          <w:rFonts w:cs="Helvetica"/>
          <w:szCs w:val="22"/>
        </w:rPr>
        <w:t>sous la d</w:t>
      </w:r>
      <w:r w:rsidRPr="005F4FC2">
        <w:rPr>
          <w:rFonts w:cs="Helvetica"/>
          <w:szCs w:val="22"/>
        </w:rPr>
        <w:t>i</w:t>
      </w:r>
      <w:r w:rsidRPr="005F4FC2">
        <w:rPr>
          <w:rFonts w:cs="Helvetica"/>
          <w:szCs w:val="22"/>
        </w:rPr>
        <w:t>rection de J</w:t>
      </w:r>
      <w:r>
        <w:rPr>
          <w:rFonts w:cs="Helvetica"/>
          <w:szCs w:val="22"/>
        </w:rPr>
        <w:t>ohn A. Jackson, p</w:t>
      </w:r>
      <w:r w:rsidRPr="005F4FC2">
        <w:rPr>
          <w:rFonts w:cs="Helvetica"/>
          <w:szCs w:val="22"/>
        </w:rPr>
        <w:t>.</w:t>
      </w:r>
      <w:r>
        <w:rPr>
          <w:rFonts w:cs="Helvetica"/>
          <w:szCs w:val="22"/>
        </w:rPr>
        <w:t> l04-132,</w:t>
      </w:r>
      <w:r w:rsidRPr="005F4FC2">
        <w:rPr>
          <w:rFonts w:cs="Helvetica"/>
          <w:szCs w:val="22"/>
        </w:rPr>
        <w:t xml:space="preserve"> C</w:t>
      </w:r>
      <w:r>
        <w:rPr>
          <w:rFonts w:cs="Helvetica"/>
          <w:szCs w:val="22"/>
        </w:rPr>
        <w:t>ambridge University Press, 1968</w:t>
      </w:r>
      <w:r w:rsidRPr="005F4FC2">
        <w:rPr>
          <w:rFonts w:cs="Helvetica"/>
          <w:szCs w:val="22"/>
        </w:rPr>
        <w:t xml:space="preserve"> </w:t>
      </w:r>
      <w:r w:rsidRPr="005F4FC2">
        <w:rPr>
          <w:rFonts w:cs="Helvetica"/>
          <w:i/>
          <w:iCs/>
          <w:szCs w:val="18"/>
        </w:rPr>
        <w:t>(N.d. T.)</w:t>
      </w:r>
      <w:r>
        <w:rPr>
          <w:rFonts w:cs="Helvetica"/>
          <w:iCs/>
          <w:szCs w:val="18"/>
        </w:rPr>
        <w:t>.</w:t>
      </w:r>
    </w:p>
  </w:footnote>
  <w:footnote w:id="1731">
    <w:p w14:paraId="779C1F40" w14:textId="77777777" w:rsidR="00B01930" w:rsidRDefault="00B01930">
      <w:pPr>
        <w:pStyle w:val="Notedebasdepage"/>
      </w:pPr>
      <w:r>
        <w:rPr>
          <w:rStyle w:val="Appelnotedebasdep"/>
        </w:rPr>
        <w:footnoteRef/>
      </w:r>
      <w:r>
        <w:t xml:space="preserve"> </w:t>
      </w:r>
      <w:r>
        <w:tab/>
      </w:r>
      <w:r w:rsidRPr="0032030F">
        <w:t>Rudolf Sohm, Kirchenrecht, 2 vols., Leipzig, Duncker und Humblot, 1892-1923.</w:t>
      </w:r>
    </w:p>
  </w:footnote>
  <w:footnote w:id="1732">
    <w:p w14:paraId="3B67D38F" w14:textId="77777777" w:rsidR="00B01930" w:rsidRDefault="00B01930">
      <w:pPr>
        <w:pStyle w:val="Notedebasdepage"/>
      </w:pPr>
      <w:r>
        <w:rPr>
          <w:rStyle w:val="Appelnotedebasdep"/>
        </w:rPr>
        <w:footnoteRef/>
      </w:r>
      <w:r>
        <w:t xml:space="preserve"> </w:t>
      </w:r>
      <w:r>
        <w:tab/>
      </w:r>
      <w:r w:rsidRPr="0032030F">
        <w:t xml:space="preserve">Max Weber </w:t>
      </w:r>
      <w:r w:rsidRPr="0032030F">
        <w:rPr>
          <w:i/>
          <w:iCs/>
        </w:rPr>
        <w:t>Wirtschaft und Gesellschaft : Grundiss der verstehenden Soziol</w:t>
      </w:r>
      <w:r w:rsidRPr="0032030F">
        <w:rPr>
          <w:i/>
          <w:iCs/>
        </w:rPr>
        <w:t>o</w:t>
      </w:r>
      <w:r w:rsidRPr="0032030F">
        <w:rPr>
          <w:i/>
          <w:iCs/>
        </w:rPr>
        <w:t xml:space="preserve">gie, </w:t>
      </w:r>
      <w:r w:rsidRPr="0032030F">
        <w:t>2 vols., 4</w:t>
      </w:r>
      <w:r w:rsidRPr="0032030F">
        <w:rPr>
          <w:vertAlign w:val="superscript"/>
        </w:rPr>
        <w:t>ème</w:t>
      </w:r>
      <w:r w:rsidRPr="0032030F">
        <w:t xml:space="preserve"> édition, Tübingen, Mohr, 1956, voir en particulier 2 p. 823-73 : « Die charismatic Herrschaft und ihre Umbildung ». Weber </w:t>
      </w:r>
      <w:r w:rsidRPr="0032030F">
        <w:rPr>
          <w:i/>
          <w:iCs/>
        </w:rPr>
        <w:t xml:space="preserve">The Theory </w:t>
      </w:r>
      <w:r w:rsidRPr="0032030F">
        <w:rPr>
          <w:rFonts w:cs="Times"/>
          <w:i/>
          <w:iCs/>
        </w:rPr>
        <w:t xml:space="preserve">of </w:t>
      </w:r>
      <w:r w:rsidRPr="0032030F">
        <w:rPr>
          <w:i/>
          <w:iCs/>
        </w:rPr>
        <w:t xml:space="preserve">Social and Economic Organization, </w:t>
      </w:r>
      <w:r w:rsidRPr="0032030F">
        <w:t>direct. Talcott Pa</w:t>
      </w:r>
      <w:r w:rsidRPr="0032030F">
        <w:t>r</w:t>
      </w:r>
      <w:r w:rsidRPr="0032030F">
        <w:t>sons, Glencoe, The Free Press, 1957, – en particulier p. 358-63 : « Charisrnatic Authority », p. 363-72 : « The Routinization of Charisma », et p. 386-92 « The transformation of Ch</w:t>
      </w:r>
      <w:r w:rsidRPr="0032030F">
        <w:t>a</w:t>
      </w:r>
      <w:r w:rsidRPr="0032030F">
        <w:t>risma in an Anti-authoritarian Direction » *.</w:t>
      </w:r>
    </w:p>
    <w:p w14:paraId="192BF1CA" w14:textId="77777777" w:rsidR="00B01930" w:rsidRDefault="00B01930">
      <w:pPr>
        <w:pStyle w:val="Notedebasdepage"/>
      </w:pPr>
      <w:r>
        <w:t>*</w:t>
      </w:r>
      <w:r>
        <w:tab/>
      </w:r>
      <w:r w:rsidRPr="0032030F">
        <w:t xml:space="preserve">On pourra se référer </w:t>
      </w:r>
      <w:r w:rsidRPr="0032030F">
        <w:rPr>
          <w:rFonts w:cs="Times"/>
        </w:rPr>
        <w:t xml:space="preserve">à </w:t>
      </w:r>
      <w:r w:rsidRPr="0032030F">
        <w:t xml:space="preserve">la traduction française du premier volume de </w:t>
      </w:r>
      <w:r w:rsidRPr="0032030F">
        <w:rPr>
          <w:i/>
          <w:iCs/>
        </w:rPr>
        <w:t xml:space="preserve">Wirtschaft und Gesellschaft ; Économie et Société </w:t>
      </w:r>
      <w:r w:rsidRPr="0032030F">
        <w:t>(Paris Plon, 196) ; on verra en partic</w:t>
      </w:r>
      <w:r w:rsidRPr="0032030F">
        <w:t>u</w:t>
      </w:r>
      <w:r w:rsidRPr="0032030F">
        <w:t>lier p.249-252 : « La domination charismatique », p.253-261 : « La routinis</w:t>
      </w:r>
      <w:r w:rsidRPr="0032030F">
        <w:t>a</w:t>
      </w:r>
      <w:r w:rsidRPr="0032030F">
        <w:t>tion du charisme », et p.275-78 : « Le charisme réintégré en dehors de toute relation de domination »</w:t>
      </w:r>
      <w:r w:rsidRPr="0032030F">
        <w:rPr>
          <w:rFonts w:cs="Times"/>
          <w:szCs w:val="16"/>
        </w:rPr>
        <w:t xml:space="preserve"> </w:t>
      </w:r>
      <w:r w:rsidRPr="0032030F">
        <w:rPr>
          <w:iCs/>
          <w:szCs w:val="18"/>
        </w:rPr>
        <w:t>(</w:t>
      </w:r>
      <w:r w:rsidRPr="0032030F">
        <w:rPr>
          <w:i/>
          <w:iCs/>
          <w:szCs w:val="18"/>
        </w:rPr>
        <w:t>NdT</w:t>
      </w:r>
      <w:r w:rsidRPr="0032030F">
        <w:rPr>
          <w:iCs/>
          <w:szCs w:val="18"/>
        </w:rPr>
        <w:t>).</w:t>
      </w:r>
    </w:p>
  </w:footnote>
  <w:footnote w:id="1733">
    <w:p w14:paraId="45E787E2" w14:textId="77777777" w:rsidR="00B01930" w:rsidRDefault="00B01930">
      <w:pPr>
        <w:pStyle w:val="Notedebasdepage"/>
      </w:pPr>
      <w:r>
        <w:rPr>
          <w:rStyle w:val="Appelnotedebasdep"/>
        </w:rPr>
        <w:footnoteRef/>
      </w:r>
      <w:r>
        <w:t xml:space="preserve"> </w:t>
      </w:r>
      <w:r>
        <w:tab/>
      </w:r>
      <w:r w:rsidRPr="0032030F">
        <w:t xml:space="preserve">Le lecteur voudra bien </w:t>
      </w:r>
      <w:r w:rsidRPr="0032030F">
        <w:rPr>
          <w:rFonts w:cs="Times"/>
        </w:rPr>
        <w:t xml:space="preserve">à </w:t>
      </w:r>
      <w:r w:rsidRPr="0032030F">
        <w:t xml:space="preserve">cet égard reprendre l’important article de l’auteur </w:t>
      </w:r>
      <w:r w:rsidRPr="0032030F">
        <w:rPr>
          <w:szCs w:val="16"/>
        </w:rPr>
        <w:t>« </w:t>
      </w:r>
      <w:r w:rsidRPr="0032030F">
        <w:t xml:space="preserve">Center and Periphery », paru dans </w:t>
      </w:r>
      <w:r w:rsidRPr="0032030F">
        <w:rPr>
          <w:i/>
          <w:iCs/>
        </w:rPr>
        <w:t>The Logic of Personal Knowledge : E</w:t>
      </w:r>
      <w:r w:rsidRPr="0032030F">
        <w:rPr>
          <w:i/>
          <w:iCs/>
        </w:rPr>
        <w:t>s</w:t>
      </w:r>
      <w:r w:rsidRPr="0032030F">
        <w:rPr>
          <w:i/>
          <w:iCs/>
        </w:rPr>
        <w:t xml:space="preserve">says in Honour of Michael Polanyi, </w:t>
      </w:r>
      <w:r w:rsidRPr="0032030F">
        <w:t>The Free Press of Glencoe, 1961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C930" w14:textId="77777777" w:rsidR="00B01930" w:rsidRDefault="00B01930" w:rsidP="00B01930">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Michel Bergès (dir.), Analyser les idées politiques. (2022)</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662</w:t>
    </w:r>
    <w:r>
      <w:rPr>
        <w:rStyle w:val="Numrodepage"/>
        <w:rFonts w:ascii="Times New Roman" w:hAnsi="Times New Roman"/>
      </w:rPr>
      <w:fldChar w:fldCharType="end"/>
    </w:r>
  </w:p>
  <w:p w14:paraId="17D22256" w14:textId="77777777" w:rsidR="00B01930" w:rsidRDefault="00B01930">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2478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4E610B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7CC0D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D08063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734149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480D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144696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2F8D2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8B64D6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67242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9243B0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D82615"/>
    <w:multiLevelType w:val="hybridMultilevel"/>
    <w:tmpl w:val="A83A567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EDC4858"/>
    <w:multiLevelType w:val="hybridMultilevel"/>
    <w:tmpl w:val="BC00D802"/>
    <w:lvl w:ilvl="0" w:tplc="D60AEEE8">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F376575"/>
    <w:multiLevelType w:val="hybridMultilevel"/>
    <w:tmpl w:val="DDDA7048"/>
    <w:lvl w:ilvl="0" w:tplc="EC32C09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648711B"/>
    <w:multiLevelType w:val="hybridMultilevel"/>
    <w:tmpl w:val="36724592"/>
    <w:lvl w:ilvl="0" w:tplc="AB627F9E">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9413E6"/>
    <w:multiLevelType w:val="multilevel"/>
    <w:tmpl w:val="D256BB88"/>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F4516C5"/>
    <w:multiLevelType w:val="singleLevel"/>
    <w:tmpl w:val="F580C436"/>
    <w:lvl w:ilvl="0">
      <w:start w:val="1"/>
      <w:numFmt w:val="bullet"/>
      <w:pStyle w:val="Titresimplegras"/>
      <w:lvlText w:val=""/>
      <w:lvlJc w:val="left"/>
      <w:pPr>
        <w:tabs>
          <w:tab w:val="num" w:pos="360"/>
        </w:tabs>
        <w:ind w:left="170" w:hanging="170"/>
      </w:pPr>
      <w:rPr>
        <w:rFonts w:ascii="Wingdings" w:hAnsi="Wingdings" w:hint="default"/>
        <w:sz w:val="12"/>
      </w:rPr>
    </w:lvl>
  </w:abstractNum>
  <w:abstractNum w:abstractNumId="17" w15:restartNumberingAfterBreak="0">
    <w:nsid w:val="2F976037"/>
    <w:multiLevelType w:val="hybridMultilevel"/>
    <w:tmpl w:val="8F48334A"/>
    <w:lvl w:ilvl="0" w:tplc="F1E440C0">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5FC4571"/>
    <w:multiLevelType w:val="multilevel"/>
    <w:tmpl w:val="93D04194"/>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C03FC4"/>
    <w:multiLevelType w:val="multilevel"/>
    <w:tmpl w:val="9E0CDBAC"/>
    <w:lvl w:ilvl="0">
      <w:start w:val="1"/>
      <w:numFmt w:val="none"/>
      <w:suff w:val="nothing"/>
      <w:lvlText w:val=""/>
      <w:lvlJc w:val="left"/>
      <w:pPr>
        <w:ind w:left="360" w:hanging="360"/>
      </w:pPr>
      <w:rPr>
        <w:rFonts w:hint="default"/>
      </w:rPr>
    </w:lvl>
    <w:lvl w:ilvl="1">
      <w:start w:val="1"/>
      <w:numFmt w:val="none"/>
      <w:suff w:val="nothing"/>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1C26384"/>
    <w:multiLevelType w:val="hybridMultilevel"/>
    <w:tmpl w:val="F4F04720"/>
    <w:lvl w:ilvl="0" w:tplc="06AC3AE6">
      <w:start w:val="1"/>
      <w:numFmt w:val="upperRoman"/>
      <w:lvlText w:val="%1)"/>
      <w:lvlJc w:val="left"/>
      <w:pPr>
        <w:ind w:left="1440" w:hanging="1080"/>
      </w:pPr>
      <w:rPr>
        <w:rFonts w:hint="default"/>
        <w:sz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2E4688E"/>
    <w:multiLevelType w:val="hybridMultilevel"/>
    <w:tmpl w:val="411E7A44"/>
    <w:lvl w:ilvl="0" w:tplc="0CE4F91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2E50496"/>
    <w:multiLevelType w:val="hybridMultilevel"/>
    <w:tmpl w:val="7034F2F2"/>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6416EE4"/>
    <w:multiLevelType w:val="multilevel"/>
    <w:tmpl w:val="81D8CA76"/>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02A1262"/>
    <w:multiLevelType w:val="hybridMultilevel"/>
    <w:tmpl w:val="3028C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4545782"/>
    <w:multiLevelType w:val="hybridMultilevel"/>
    <w:tmpl w:val="90AEDD20"/>
    <w:lvl w:ilvl="0" w:tplc="D4C40B08">
      <w:start w:val="1"/>
      <w:numFmt w:val="upperLetter"/>
      <w:lvlText w:val="%1)"/>
      <w:lvlJc w:val="left"/>
      <w:pPr>
        <w:ind w:left="644" w:hanging="36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688775A"/>
    <w:multiLevelType w:val="hybridMultilevel"/>
    <w:tmpl w:val="75CC8ECA"/>
    <w:lvl w:ilvl="0" w:tplc="A850B424">
      <w:numFmt w:val="bullet"/>
      <w:lvlText w:val="-"/>
      <w:lvlJc w:val="left"/>
      <w:pPr>
        <w:ind w:left="720" w:hanging="360"/>
      </w:pPr>
      <w:rPr>
        <w:rFonts w:ascii="Times New Roman" w:eastAsia="Calibri"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8" w15:restartNumberingAfterBreak="0">
    <w:nsid w:val="584D5C88"/>
    <w:multiLevelType w:val="hybridMultilevel"/>
    <w:tmpl w:val="1FFC8F42"/>
    <w:lvl w:ilvl="0" w:tplc="4474A69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Arial Narro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Narro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Narro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530A7F"/>
    <w:multiLevelType w:val="hybridMultilevel"/>
    <w:tmpl w:val="7BD6490E"/>
    <w:lvl w:ilvl="0" w:tplc="289C6080">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1FE1287"/>
    <w:multiLevelType w:val="multilevel"/>
    <w:tmpl w:val="05CA701C"/>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3130A04"/>
    <w:multiLevelType w:val="hybridMultilevel"/>
    <w:tmpl w:val="E4EAA5B0"/>
    <w:lvl w:ilvl="0" w:tplc="4ED0E9EA">
      <w:start w:val="1"/>
      <w:numFmt w:val="decimal"/>
      <w:lvlText w:val="%1)"/>
      <w:lvlJc w:val="left"/>
      <w:pPr>
        <w:tabs>
          <w:tab w:val="num" w:pos="644"/>
        </w:tabs>
        <w:ind w:left="644" w:hanging="360"/>
      </w:pPr>
      <w:rPr>
        <w:rFonts w:hint="default"/>
      </w:rPr>
    </w:lvl>
    <w:lvl w:ilvl="1" w:tplc="5F78FAF4" w:tentative="1">
      <w:start w:val="1"/>
      <w:numFmt w:val="lowerLetter"/>
      <w:lvlText w:val="%2."/>
      <w:lvlJc w:val="left"/>
      <w:pPr>
        <w:tabs>
          <w:tab w:val="num" w:pos="1364"/>
        </w:tabs>
        <w:ind w:left="1364" w:hanging="360"/>
      </w:pPr>
    </w:lvl>
    <w:lvl w:ilvl="2" w:tplc="EDF804CC" w:tentative="1">
      <w:start w:val="1"/>
      <w:numFmt w:val="lowerRoman"/>
      <w:lvlText w:val="%3."/>
      <w:lvlJc w:val="right"/>
      <w:pPr>
        <w:tabs>
          <w:tab w:val="num" w:pos="2084"/>
        </w:tabs>
        <w:ind w:left="2084" w:hanging="180"/>
      </w:pPr>
    </w:lvl>
    <w:lvl w:ilvl="3" w:tplc="4CB65FB0" w:tentative="1">
      <w:start w:val="1"/>
      <w:numFmt w:val="decimal"/>
      <w:lvlText w:val="%4."/>
      <w:lvlJc w:val="left"/>
      <w:pPr>
        <w:tabs>
          <w:tab w:val="num" w:pos="2804"/>
        </w:tabs>
        <w:ind w:left="2804" w:hanging="360"/>
      </w:pPr>
    </w:lvl>
    <w:lvl w:ilvl="4" w:tplc="4EF8EC9C" w:tentative="1">
      <w:start w:val="1"/>
      <w:numFmt w:val="lowerLetter"/>
      <w:lvlText w:val="%5."/>
      <w:lvlJc w:val="left"/>
      <w:pPr>
        <w:tabs>
          <w:tab w:val="num" w:pos="3524"/>
        </w:tabs>
        <w:ind w:left="3524" w:hanging="360"/>
      </w:pPr>
    </w:lvl>
    <w:lvl w:ilvl="5" w:tplc="B036AD38" w:tentative="1">
      <w:start w:val="1"/>
      <w:numFmt w:val="lowerRoman"/>
      <w:lvlText w:val="%6."/>
      <w:lvlJc w:val="right"/>
      <w:pPr>
        <w:tabs>
          <w:tab w:val="num" w:pos="4244"/>
        </w:tabs>
        <w:ind w:left="4244" w:hanging="180"/>
      </w:pPr>
    </w:lvl>
    <w:lvl w:ilvl="6" w:tplc="D92E3652" w:tentative="1">
      <w:start w:val="1"/>
      <w:numFmt w:val="decimal"/>
      <w:lvlText w:val="%7."/>
      <w:lvlJc w:val="left"/>
      <w:pPr>
        <w:tabs>
          <w:tab w:val="num" w:pos="4964"/>
        </w:tabs>
        <w:ind w:left="4964" w:hanging="360"/>
      </w:pPr>
    </w:lvl>
    <w:lvl w:ilvl="7" w:tplc="56B6052E" w:tentative="1">
      <w:start w:val="1"/>
      <w:numFmt w:val="lowerLetter"/>
      <w:lvlText w:val="%8."/>
      <w:lvlJc w:val="left"/>
      <w:pPr>
        <w:tabs>
          <w:tab w:val="num" w:pos="5684"/>
        </w:tabs>
        <w:ind w:left="5684" w:hanging="360"/>
      </w:pPr>
    </w:lvl>
    <w:lvl w:ilvl="8" w:tplc="397E0B6C" w:tentative="1">
      <w:start w:val="1"/>
      <w:numFmt w:val="lowerRoman"/>
      <w:lvlText w:val="%9."/>
      <w:lvlJc w:val="right"/>
      <w:pPr>
        <w:tabs>
          <w:tab w:val="num" w:pos="6404"/>
        </w:tabs>
        <w:ind w:left="6404" w:hanging="180"/>
      </w:pPr>
    </w:lvl>
  </w:abstractNum>
  <w:abstractNum w:abstractNumId="32" w15:restartNumberingAfterBreak="0">
    <w:nsid w:val="650255EE"/>
    <w:multiLevelType w:val="hybridMultilevel"/>
    <w:tmpl w:val="411E7A44"/>
    <w:lvl w:ilvl="0" w:tplc="0CE4F91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5FE0850"/>
    <w:multiLevelType w:val="hybridMultilevel"/>
    <w:tmpl w:val="1786BC8E"/>
    <w:lvl w:ilvl="0" w:tplc="B9EE6F80">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Arial Narro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Narro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Narro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7602D21"/>
    <w:multiLevelType w:val="multilevel"/>
    <w:tmpl w:val="7048057E"/>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D577ADD"/>
    <w:multiLevelType w:val="hybridMultilevel"/>
    <w:tmpl w:val="935CA51C"/>
    <w:lvl w:ilvl="0" w:tplc="7A56D218">
      <w:start w:val="3"/>
      <w:numFmt w:val="bullet"/>
      <w:lvlText w:val="-"/>
      <w:lvlJc w:val="left"/>
      <w:pPr>
        <w:ind w:left="720" w:hanging="360"/>
      </w:pPr>
      <w:rPr>
        <w:rFonts w:ascii="Times New Roman" w:eastAsia="Calibri" w:hAnsi="Times New Roman" w:cs="Times New Roman" w:hint="default"/>
        <w:sz w:val="22"/>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6" w15:restartNumberingAfterBreak="0">
    <w:nsid w:val="6FCE0202"/>
    <w:multiLevelType w:val="hybridMultilevel"/>
    <w:tmpl w:val="72360864"/>
    <w:lvl w:ilvl="0" w:tplc="DB76DAFC">
      <w:start w:val="2"/>
      <w:numFmt w:val="bullet"/>
      <w:lvlText w:val="-"/>
      <w:lvlJc w:val="left"/>
      <w:pPr>
        <w:ind w:left="2173" w:hanging="1180"/>
      </w:pPr>
      <w:rPr>
        <w:rFonts w:ascii="Times New Roman" w:eastAsia="MS Mincho" w:hAnsi="Times New Roman" w:cs="Times New Roman" w:hint="default"/>
      </w:rPr>
    </w:lvl>
    <w:lvl w:ilvl="1" w:tplc="040C0003" w:tentative="1">
      <w:start w:val="1"/>
      <w:numFmt w:val="bullet"/>
      <w:lvlText w:val="o"/>
      <w:lvlJc w:val="left"/>
      <w:pPr>
        <w:ind w:left="2073" w:hanging="360"/>
      </w:pPr>
      <w:rPr>
        <w:rFonts w:ascii="Courier New" w:hAnsi="Courier New" w:cs="Arial Narro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Arial Narro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Arial Narrow" w:hint="default"/>
      </w:rPr>
    </w:lvl>
    <w:lvl w:ilvl="8" w:tplc="040C0005" w:tentative="1">
      <w:start w:val="1"/>
      <w:numFmt w:val="bullet"/>
      <w:lvlText w:val=""/>
      <w:lvlJc w:val="left"/>
      <w:pPr>
        <w:ind w:left="7113" w:hanging="360"/>
      </w:pPr>
      <w:rPr>
        <w:rFonts w:ascii="Wingdings" w:hAnsi="Wingdings" w:hint="default"/>
      </w:rPr>
    </w:lvl>
  </w:abstractNum>
  <w:abstractNum w:abstractNumId="37" w15:restartNumberingAfterBreak="0">
    <w:nsid w:val="709F48CA"/>
    <w:multiLevelType w:val="hybridMultilevel"/>
    <w:tmpl w:val="28303A52"/>
    <w:lvl w:ilvl="0" w:tplc="AEB4D258">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1D42CBC"/>
    <w:multiLevelType w:val="hybridMultilevel"/>
    <w:tmpl w:val="411E7A44"/>
    <w:lvl w:ilvl="0" w:tplc="0CE4F91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2B66FB5"/>
    <w:multiLevelType w:val="multilevel"/>
    <w:tmpl w:val="925C599A"/>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3E45102"/>
    <w:multiLevelType w:val="hybridMultilevel"/>
    <w:tmpl w:val="411E7A44"/>
    <w:lvl w:ilvl="0" w:tplc="0CE4F91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8CF6ECA"/>
    <w:multiLevelType w:val="hybridMultilevel"/>
    <w:tmpl w:val="2BC2FE80"/>
    <w:lvl w:ilvl="0" w:tplc="17B27280">
      <w:start w:val="3"/>
      <w:numFmt w:val="upp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2" w15:restartNumberingAfterBreak="0">
    <w:nsid w:val="797C649C"/>
    <w:multiLevelType w:val="hybridMultilevel"/>
    <w:tmpl w:val="1B32B13E"/>
    <w:lvl w:ilvl="0" w:tplc="CC0A4810">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F251438"/>
    <w:multiLevelType w:val="singleLevel"/>
    <w:tmpl w:val="DF206B2E"/>
    <w:lvl w:ilvl="0">
      <w:start w:val="1"/>
      <w:numFmt w:val="decimal"/>
      <w:pStyle w:val="numration"/>
      <w:lvlText w:val="(%1) "/>
      <w:lvlJc w:val="left"/>
      <w:pPr>
        <w:tabs>
          <w:tab w:val="num" w:pos="1021"/>
        </w:tabs>
        <w:ind w:left="1021" w:hanging="454"/>
      </w:pPr>
      <w:rPr>
        <w:rFonts w:hint="default"/>
      </w:rPr>
    </w:lvl>
  </w:abstractNum>
  <w:num w:numId="1" w16cid:durableId="1146556699">
    <w:abstractNumId w:val="19"/>
  </w:num>
  <w:num w:numId="2" w16cid:durableId="1955822705">
    <w:abstractNumId w:val="31"/>
  </w:num>
  <w:num w:numId="3" w16cid:durableId="1479611003">
    <w:abstractNumId w:val="16"/>
  </w:num>
  <w:num w:numId="4" w16cid:durableId="469714882">
    <w:abstractNumId w:val="43"/>
  </w:num>
  <w:num w:numId="5" w16cid:durableId="518088717">
    <w:abstractNumId w:val="23"/>
  </w:num>
  <w:num w:numId="6" w16cid:durableId="21079207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08639235">
    <w:abstractNumId w:val="26"/>
  </w:num>
  <w:num w:numId="8" w16cid:durableId="112678136">
    <w:abstractNumId w:val="29"/>
  </w:num>
  <w:num w:numId="9" w16cid:durableId="124466111">
    <w:abstractNumId w:val="41"/>
  </w:num>
  <w:num w:numId="10" w16cid:durableId="1630938993">
    <w:abstractNumId w:val="37"/>
  </w:num>
  <w:num w:numId="11" w16cid:durableId="1442797803">
    <w:abstractNumId w:val="28"/>
  </w:num>
  <w:num w:numId="12" w16cid:durableId="1915361423">
    <w:abstractNumId w:val="22"/>
  </w:num>
  <w:num w:numId="13" w16cid:durableId="1467577227">
    <w:abstractNumId w:val="40"/>
  </w:num>
  <w:num w:numId="14" w16cid:durableId="2023822760">
    <w:abstractNumId w:val="11"/>
  </w:num>
  <w:num w:numId="15" w16cid:durableId="825319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982520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8706202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71002726">
    <w:abstractNumId w:val="12"/>
  </w:num>
  <w:num w:numId="19" w16cid:durableId="506332101">
    <w:abstractNumId w:val="21"/>
  </w:num>
  <w:num w:numId="20" w16cid:durableId="1230653108">
    <w:abstractNumId w:val="38"/>
  </w:num>
  <w:num w:numId="21" w16cid:durableId="817304557">
    <w:abstractNumId w:val="32"/>
  </w:num>
  <w:num w:numId="22" w16cid:durableId="389422930">
    <w:abstractNumId w:val="42"/>
  </w:num>
  <w:num w:numId="23" w16cid:durableId="1100224499">
    <w:abstractNumId w:val="25"/>
  </w:num>
  <w:num w:numId="24" w16cid:durableId="19533974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9925172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03914777">
    <w:abstractNumId w:val="17"/>
  </w:num>
  <w:num w:numId="27" w16cid:durableId="1910536635">
    <w:abstractNumId w:val="9"/>
  </w:num>
  <w:num w:numId="28" w16cid:durableId="1040865613">
    <w:abstractNumId w:val="4"/>
  </w:num>
  <w:num w:numId="29" w16cid:durableId="678314856">
    <w:abstractNumId w:val="3"/>
  </w:num>
  <w:num w:numId="30" w16cid:durableId="630791456">
    <w:abstractNumId w:val="2"/>
  </w:num>
  <w:num w:numId="31" w16cid:durableId="2070954084">
    <w:abstractNumId w:val="1"/>
  </w:num>
  <w:num w:numId="32" w16cid:durableId="1924139150">
    <w:abstractNumId w:val="10"/>
  </w:num>
  <w:num w:numId="33" w16cid:durableId="1464155232">
    <w:abstractNumId w:val="8"/>
  </w:num>
  <w:num w:numId="34" w16cid:durableId="1959531275">
    <w:abstractNumId w:val="7"/>
  </w:num>
  <w:num w:numId="35" w16cid:durableId="1379816475">
    <w:abstractNumId w:val="6"/>
  </w:num>
  <w:num w:numId="36" w16cid:durableId="1213157281">
    <w:abstractNumId w:val="5"/>
  </w:num>
  <w:num w:numId="37" w16cid:durableId="131868022">
    <w:abstractNumId w:val="0"/>
  </w:num>
  <w:num w:numId="38" w16cid:durableId="1551072311">
    <w:abstractNumId w:val="20"/>
  </w:num>
  <w:num w:numId="39" w16cid:durableId="408040244">
    <w:abstractNumId w:val="18"/>
  </w:num>
  <w:num w:numId="40" w16cid:durableId="509413005">
    <w:abstractNumId w:val="39"/>
  </w:num>
  <w:num w:numId="41" w16cid:durableId="2084177909">
    <w:abstractNumId w:val="34"/>
  </w:num>
  <w:num w:numId="42" w16cid:durableId="1986690909">
    <w:abstractNumId w:val="30"/>
  </w:num>
  <w:num w:numId="43" w16cid:durableId="1631546743">
    <w:abstractNumId w:val="15"/>
  </w:num>
  <w:num w:numId="44" w16cid:durableId="892741532">
    <w:abstractNumId w:val="24"/>
  </w:num>
  <w:num w:numId="45" w16cid:durableId="1201934227">
    <w:abstractNumId w:val="14"/>
  </w:num>
  <w:num w:numId="46" w16cid:durableId="545223205">
    <w:abstractNumId w:val="36"/>
  </w:num>
  <w:num w:numId="47" w16cid:durableId="123320141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8C39FA"/>
    <w:rsid w:val="008F3F89"/>
    <w:rsid w:val="00A07403"/>
    <w:rsid w:val="00B01930"/>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1A72E60"/>
  <w15:chartTrackingRefBased/>
  <w15:docId w15:val="{E3CD9105-7C86-BF45-935C-E0A22817B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3F3E"/>
    <w:pPr>
      <w:ind w:firstLine="360"/>
    </w:pPr>
    <w:rPr>
      <w:rFonts w:ascii="Times New Roman" w:eastAsia="Times New Roman" w:hAnsi="Times New Roman"/>
      <w:sz w:val="28"/>
      <w:lang w:eastAsia="en-US"/>
    </w:rPr>
  </w:style>
  <w:style w:type="paragraph" w:styleId="Titre1">
    <w:name w:val="heading 1"/>
    <w:aliases w:val="Titre de la section"/>
    <w:next w:val="Normal"/>
    <w:link w:val="Titre1Car"/>
    <w:uiPriority w:val="9"/>
    <w:qFormat/>
    <w:rsid w:val="0058603D"/>
    <w:pPr>
      <w:outlineLvl w:val="0"/>
    </w:pPr>
    <w:rPr>
      <w:rFonts w:eastAsia="Times New Roman"/>
      <w:noProof/>
      <w:lang w:eastAsia="en-US"/>
    </w:rPr>
  </w:style>
  <w:style w:type="paragraph" w:styleId="Titre2">
    <w:name w:val="heading 2"/>
    <w:aliases w:val="A,B"/>
    <w:next w:val="Normal"/>
    <w:link w:val="Titre2Car"/>
    <w:uiPriority w:val="99"/>
    <w:qFormat/>
    <w:rsid w:val="0058603D"/>
    <w:pPr>
      <w:outlineLvl w:val="1"/>
    </w:pPr>
    <w:rPr>
      <w:rFonts w:eastAsia="Times New Roman"/>
      <w:noProof/>
      <w:lang w:eastAsia="en-US"/>
    </w:rPr>
  </w:style>
  <w:style w:type="paragraph" w:styleId="Titre3">
    <w:name w:val="heading 3"/>
    <w:aliases w:val="Petit 1,2"/>
    <w:next w:val="Normal"/>
    <w:link w:val="Titre3Car"/>
    <w:uiPriority w:val="99"/>
    <w:qFormat/>
    <w:rsid w:val="0058603D"/>
    <w:pPr>
      <w:outlineLvl w:val="2"/>
    </w:pPr>
    <w:rPr>
      <w:rFonts w:eastAsia="Times New Roman"/>
      <w:noProof/>
      <w:lang w:eastAsia="en-US"/>
    </w:rPr>
  </w:style>
  <w:style w:type="paragraph" w:styleId="Titre4">
    <w:name w:val="heading 4"/>
    <w:next w:val="Normal"/>
    <w:link w:val="Titre4Car"/>
    <w:uiPriority w:val="99"/>
    <w:qFormat/>
    <w:rsid w:val="0058603D"/>
    <w:pPr>
      <w:outlineLvl w:val="3"/>
    </w:pPr>
    <w:rPr>
      <w:rFonts w:eastAsia="Times New Roman"/>
      <w:noProof/>
      <w:lang w:eastAsia="en-US"/>
    </w:rPr>
  </w:style>
  <w:style w:type="paragraph" w:styleId="Titre5">
    <w:name w:val="heading 5"/>
    <w:next w:val="Normal"/>
    <w:link w:val="Titre5Car"/>
    <w:uiPriority w:val="99"/>
    <w:qFormat/>
    <w:rsid w:val="0058603D"/>
    <w:pPr>
      <w:outlineLvl w:val="4"/>
    </w:pPr>
    <w:rPr>
      <w:rFonts w:eastAsia="Times New Roman"/>
      <w:noProof/>
      <w:lang w:eastAsia="en-US"/>
    </w:rPr>
  </w:style>
  <w:style w:type="paragraph" w:styleId="Titre6">
    <w:name w:val="heading 6"/>
    <w:next w:val="Normal"/>
    <w:link w:val="Titre6Car"/>
    <w:uiPriority w:val="9"/>
    <w:qFormat/>
    <w:rsid w:val="0058603D"/>
    <w:pPr>
      <w:outlineLvl w:val="5"/>
    </w:pPr>
    <w:rPr>
      <w:rFonts w:eastAsia="Times New Roman"/>
      <w:noProof/>
      <w:lang w:eastAsia="en-US"/>
    </w:rPr>
  </w:style>
  <w:style w:type="paragraph" w:styleId="Titre7">
    <w:name w:val="heading 7"/>
    <w:next w:val="Normal"/>
    <w:link w:val="Titre7Car"/>
    <w:qFormat/>
    <w:rsid w:val="0058603D"/>
    <w:pPr>
      <w:outlineLvl w:val="6"/>
    </w:pPr>
    <w:rPr>
      <w:rFonts w:eastAsia="Times New Roman"/>
      <w:noProof/>
      <w:lang w:eastAsia="en-US"/>
    </w:rPr>
  </w:style>
  <w:style w:type="paragraph" w:styleId="Titre8">
    <w:name w:val="heading 8"/>
    <w:next w:val="Normal"/>
    <w:link w:val="Titre8Car"/>
    <w:qFormat/>
    <w:rsid w:val="0058603D"/>
    <w:pPr>
      <w:outlineLvl w:val="7"/>
    </w:pPr>
    <w:rPr>
      <w:rFonts w:eastAsia="Times New Roman"/>
      <w:noProof/>
      <w:lang w:eastAsia="en-US"/>
    </w:rPr>
  </w:style>
  <w:style w:type="paragraph" w:styleId="Titre9">
    <w:name w:val="heading 9"/>
    <w:next w:val="Normal"/>
    <w:link w:val="Titre9Car"/>
    <w:qFormat/>
    <w:rsid w:val="0058603D"/>
    <w:pPr>
      <w:outlineLvl w:val="8"/>
    </w:pPr>
    <w:rPr>
      <w:rFonts w:eastAsia="Times New Roman"/>
      <w:noProof/>
      <w:lang w:eastAsia="en-US"/>
    </w:rPr>
  </w:style>
  <w:style w:type="character" w:default="1" w:styleId="Policepardfaut">
    <w:name w:val="Default Paragraph Font"/>
    <w:rsid w:val="0058603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58603D"/>
  </w:style>
  <w:style w:type="character" w:customStyle="1" w:styleId="Titre1Car">
    <w:name w:val="Titre 1 Car"/>
    <w:aliases w:val="Titre de la section Car"/>
    <w:basedOn w:val="Policepardfaut"/>
    <w:link w:val="Titre1"/>
    <w:uiPriority w:val="9"/>
    <w:rsid w:val="008D68FC"/>
    <w:rPr>
      <w:rFonts w:eastAsia="Times New Roman"/>
      <w:noProof/>
      <w:lang w:val="fr-CA" w:eastAsia="en-US" w:bidi="ar-SA"/>
    </w:rPr>
  </w:style>
  <w:style w:type="character" w:customStyle="1" w:styleId="Titre2Car">
    <w:name w:val="Titre 2 Car"/>
    <w:aliases w:val="A Car,B Car"/>
    <w:basedOn w:val="Policepardfaut"/>
    <w:link w:val="Titre2"/>
    <w:uiPriority w:val="99"/>
    <w:rsid w:val="008D68FC"/>
    <w:rPr>
      <w:rFonts w:eastAsia="Times New Roman"/>
      <w:noProof/>
      <w:lang w:val="fr-CA" w:eastAsia="en-US" w:bidi="ar-SA"/>
    </w:rPr>
  </w:style>
  <w:style w:type="character" w:customStyle="1" w:styleId="Titre3Car">
    <w:name w:val="Titre 3 Car"/>
    <w:aliases w:val="Petit 1 Car,2 Car"/>
    <w:basedOn w:val="Policepardfaut"/>
    <w:link w:val="Titre3"/>
    <w:uiPriority w:val="99"/>
    <w:rsid w:val="008D68FC"/>
    <w:rPr>
      <w:rFonts w:eastAsia="Times New Roman"/>
      <w:noProof/>
      <w:lang w:val="fr-CA" w:eastAsia="en-US" w:bidi="ar-SA"/>
    </w:rPr>
  </w:style>
  <w:style w:type="character" w:customStyle="1" w:styleId="Titre4Car">
    <w:name w:val="Titre 4 Car"/>
    <w:basedOn w:val="Policepardfaut"/>
    <w:link w:val="Titre4"/>
    <w:uiPriority w:val="99"/>
    <w:rsid w:val="008D68FC"/>
    <w:rPr>
      <w:rFonts w:eastAsia="Times New Roman"/>
      <w:noProof/>
      <w:lang w:val="fr-CA" w:eastAsia="en-US" w:bidi="ar-SA"/>
    </w:rPr>
  </w:style>
  <w:style w:type="character" w:customStyle="1" w:styleId="Titre5Car">
    <w:name w:val="Titre 5 Car"/>
    <w:basedOn w:val="Policepardfaut"/>
    <w:link w:val="Titre5"/>
    <w:uiPriority w:val="99"/>
    <w:rsid w:val="008D68FC"/>
    <w:rPr>
      <w:rFonts w:eastAsia="Times New Roman"/>
      <w:noProof/>
      <w:lang w:val="fr-CA" w:eastAsia="en-US" w:bidi="ar-SA"/>
    </w:rPr>
  </w:style>
  <w:style w:type="character" w:customStyle="1" w:styleId="Titre6Car">
    <w:name w:val="Titre 6 Car"/>
    <w:basedOn w:val="Policepardfaut"/>
    <w:link w:val="Titre6"/>
    <w:uiPriority w:val="9"/>
    <w:rsid w:val="008D68FC"/>
    <w:rPr>
      <w:rFonts w:eastAsia="Times New Roman"/>
      <w:noProof/>
      <w:lang w:val="fr-CA" w:eastAsia="en-US" w:bidi="ar-SA"/>
    </w:rPr>
  </w:style>
  <w:style w:type="character" w:customStyle="1" w:styleId="Titre7Car">
    <w:name w:val="Titre 7 Car"/>
    <w:basedOn w:val="Policepardfaut"/>
    <w:link w:val="Titre7"/>
    <w:rsid w:val="008D68FC"/>
    <w:rPr>
      <w:rFonts w:eastAsia="Times New Roman"/>
      <w:noProof/>
      <w:lang w:val="fr-CA" w:eastAsia="en-US" w:bidi="ar-SA"/>
    </w:rPr>
  </w:style>
  <w:style w:type="character" w:styleId="Appeldenotedefin">
    <w:name w:val="endnote reference"/>
    <w:basedOn w:val="Policepardfaut"/>
    <w:rsid w:val="0058603D"/>
    <w:rPr>
      <w:vertAlign w:val="superscript"/>
    </w:rPr>
  </w:style>
  <w:style w:type="character" w:styleId="Appelnotedebasdep">
    <w:name w:val="footnote reference"/>
    <w:aliases w:val="Appel note de bas de page"/>
    <w:basedOn w:val="Policepardfaut"/>
    <w:autoRedefine/>
    <w:rsid w:val="00395078"/>
    <w:rPr>
      <w:color w:val="FF0000"/>
      <w:position w:val="6"/>
      <w:sz w:val="20"/>
    </w:rPr>
  </w:style>
  <w:style w:type="paragraph" w:styleId="Grillecouleur-Accent1">
    <w:name w:val="Colorful Grid Accent 1"/>
    <w:basedOn w:val="Normal"/>
    <w:link w:val="Grillecouleur-Accent1Car"/>
    <w:autoRedefine/>
    <w:qFormat/>
    <w:rsid w:val="00CD7127"/>
    <w:pPr>
      <w:tabs>
        <w:tab w:val="left" w:pos="1080"/>
      </w:tabs>
      <w:ind w:firstLine="0"/>
      <w:jc w:val="both"/>
    </w:pPr>
    <w:rPr>
      <w:i/>
      <w:sz w:val="24"/>
      <w:vertAlign w:val="superscript"/>
    </w:rPr>
  </w:style>
  <w:style w:type="character" w:customStyle="1" w:styleId="Grillecouleur-Accent1Car">
    <w:name w:val="Grille couleur - Accent 1 Car"/>
    <w:basedOn w:val="Policepardfaut"/>
    <w:link w:val="Grillecouleur-Accent1"/>
    <w:rsid w:val="00CD7127"/>
    <w:rPr>
      <w:rFonts w:ascii="Times New Roman" w:eastAsia="Times New Roman" w:hAnsi="Times New Roman"/>
      <w:i/>
      <w:sz w:val="24"/>
      <w:vertAlign w:val="superscript"/>
      <w:lang w:val="fr-CA" w:eastAsia="en-US"/>
    </w:rPr>
  </w:style>
  <w:style w:type="paragraph" w:customStyle="1" w:styleId="Niveau1">
    <w:name w:val="Niveau 1"/>
    <w:basedOn w:val="Normal"/>
    <w:rsid w:val="0058603D"/>
    <w:pPr>
      <w:ind w:firstLine="0"/>
    </w:pPr>
    <w:rPr>
      <w:b/>
      <w:color w:val="FF0000"/>
      <w:sz w:val="72"/>
    </w:rPr>
  </w:style>
  <w:style w:type="paragraph" w:customStyle="1" w:styleId="Niveau11">
    <w:name w:val="Niveau 1.1"/>
    <w:basedOn w:val="Niveau1"/>
    <w:autoRedefine/>
    <w:rsid w:val="0058603D"/>
    <w:rPr>
      <w:color w:val="008000"/>
      <w:sz w:val="60"/>
    </w:rPr>
  </w:style>
  <w:style w:type="paragraph" w:customStyle="1" w:styleId="Niveau12">
    <w:name w:val="Niveau 1.2"/>
    <w:basedOn w:val="Niveau11"/>
    <w:autoRedefine/>
    <w:rsid w:val="00D041A4"/>
    <w:pPr>
      <w:jc w:val="center"/>
    </w:pPr>
    <w:rPr>
      <w:i/>
      <w:color w:val="000080"/>
      <w:sz w:val="32"/>
    </w:rPr>
  </w:style>
  <w:style w:type="paragraph" w:customStyle="1" w:styleId="Niveau2">
    <w:name w:val="Niveau 2"/>
    <w:basedOn w:val="Normal"/>
    <w:rsid w:val="0058603D"/>
    <w:rPr>
      <w:rFonts w:ascii="GillSans" w:hAnsi="GillSans"/>
      <w:sz w:val="20"/>
    </w:rPr>
  </w:style>
  <w:style w:type="paragraph" w:customStyle="1" w:styleId="Niveau3">
    <w:name w:val="Niveau 3"/>
    <w:basedOn w:val="Normal"/>
    <w:autoRedefine/>
    <w:rsid w:val="0058603D"/>
    <w:pPr>
      <w:ind w:left="1080" w:hanging="720"/>
    </w:pPr>
    <w:rPr>
      <w:b/>
    </w:rPr>
  </w:style>
  <w:style w:type="paragraph" w:customStyle="1" w:styleId="Titreniveau1">
    <w:name w:val="Titre niveau 1"/>
    <w:basedOn w:val="Niveau1"/>
    <w:autoRedefine/>
    <w:rsid w:val="00620264"/>
    <w:pPr>
      <w:pBdr>
        <w:bottom w:val="single" w:sz="4" w:space="1" w:color="auto"/>
      </w:pBdr>
      <w:ind w:left="1440" w:right="1440"/>
      <w:jc w:val="center"/>
    </w:pPr>
    <w:rPr>
      <w:b w:val="0"/>
      <w:sz w:val="60"/>
    </w:rPr>
  </w:style>
  <w:style w:type="paragraph" w:customStyle="1" w:styleId="Titreniveau2">
    <w:name w:val="Titre niveau 2"/>
    <w:basedOn w:val="Titreniveau1"/>
    <w:autoRedefine/>
    <w:rsid w:val="00CC3C16"/>
    <w:pPr>
      <w:widowControl w:val="0"/>
      <w:pBdr>
        <w:bottom w:val="none" w:sz="0" w:space="0" w:color="auto"/>
      </w:pBdr>
      <w:spacing w:before="120"/>
      <w:ind w:left="0" w:right="0"/>
    </w:pPr>
    <w:rPr>
      <w:color w:val="auto"/>
      <w:sz w:val="48"/>
      <w:szCs w:val="36"/>
    </w:rPr>
  </w:style>
  <w:style w:type="paragraph" w:styleId="Corpsdetexte">
    <w:name w:val="Body Text"/>
    <w:basedOn w:val="Normal"/>
    <w:link w:val="CorpsdetexteCar"/>
    <w:rsid w:val="0058603D"/>
    <w:pPr>
      <w:spacing w:before="360" w:after="240"/>
      <w:ind w:firstLine="0"/>
      <w:jc w:val="center"/>
    </w:pPr>
    <w:rPr>
      <w:sz w:val="72"/>
    </w:rPr>
  </w:style>
  <w:style w:type="character" w:customStyle="1" w:styleId="CorpsdetexteCar">
    <w:name w:val="Corps de texte Car"/>
    <w:basedOn w:val="Policepardfaut"/>
    <w:link w:val="Corpsdetexte"/>
    <w:rsid w:val="008D68FC"/>
    <w:rPr>
      <w:rFonts w:ascii="Times New Roman" w:eastAsia="Times New Roman" w:hAnsi="Times New Roman"/>
      <w:sz w:val="72"/>
      <w:lang w:val="fr-CA" w:eastAsia="en-US"/>
    </w:rPr>
  </w:style>
  <w:style w:type="paragraph" w:styleId="Corpsdetexte2">
    <w:name w:val="Body Text 2"/>
    <w:basedOn w:val="Normal"/>
    <w:link w:val="Corpsdetexte2Car"/>
    <w:rsid w:val="0058603D"/>
    <w:pPr>
      <w:ind w:firstLine="0"/>
      <w:jc w:val="both"/>
    </w:pPr>
    <w:rPr>
      <w:rFonts w:ascii="Arial" w:hAnsi="Arial"/>
    </w:rPr>
  </w:style>
  <w:style w:type="character" w:customStyle="1" w:styleId="Corpsdetexte2Car">
    <w:name w:val="Corps de texte 2 Car"/>
    <w:basedOn w:val="Policepardfaut"/>
    <w:link w:val="Corpsdetexte2"/>
    <w:rsid w:val="008D68FC"/>
    <w:rPr>
      <w:rFonts w:ascii="Arial" w:eastAsia="Times New Roman" w:hAnsi="Arial"/>
      <w:sz w:val="28"/>
      <w:lang w:val="fr-CA" w:eastAsia="en-US"/>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character" w:customStyle="1" w:styleId="Corpsdetexte3Car">
    <w:name w:val="Corps de texte 3 Car"/>
    <w:basedOn w:val="Policepardfaut"/>
    <w:link w:val="Corpsdetexte3"/>
    <w:rsid w:val="008D68FC"/>
    <w:rPr>
      <w:rFonts w:ascii="Arial" w:eastAsia="Times New Roman" w:hAnsi="Arial"/>
      <w:lang w:val="fr-CA" w:eastAsia="en-US"/>
    </w:rPr>
  </w:style>
  <w:style w:type="paragraph" w:styleId="En-tte">
    <w:name w:val="header"/>
    <w:basedOn w:val="Normal"/>
    <w:link w:val="En-tteCar"/>
    <w:uiPriority w:val="99"/>
    <w:rsid w:val="0058603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8D68FC"/>
    <w:rPr>
      <w:rFonts w:ascii="GillSans" w:eastAsia="Times New Roman" w:hAnsi="GillSans"/>
      <w:lang w:val="fr-CA" w:eastAsia="en-US"/>
    </w:rPr>
  </w:style>
  <w:style w:type="paragraph" w:customStyle="1" w:styleId="En-tteimpaire">
    <w:name w:val="En-tÍte impaire"/>
    <w:basedOn w:val="En-tte"/>
    <w:rsid w:val="0058603D"/>
    <w:pPr>
      <w:tabs>
        <w:tab w:val="right" w:pos="8280"/>
        <w:tab w:val="right" w:pos="9000"/>
      </w:tabs>
      <w:ind w:firstLine="0"/>
    </w:pPr>
  </w:style>
  <w:style w:type="paragraph" w:customStyle="1" w:styleId="En-ttepaire">
    <w:name w:val="En-tÍte paire"/>
    <w:basedOn w:val="En-tte"/>
    <w:rsid w:val="0058603D"/>
    <w:pPr>
      <w:tabs>
        <w:tab w:val="left" w:pos="720"/>
      </w:tabs>
      <w:ind w:firstLine="0"/>
    </w:pPr>
  </w:style>
  <w:style w:type="paragraph" w:styleId="Lgende">
    <w:name w:val="caption"/>
    <w:basedOn w:val="Normal"/>
    <w:next w:val="Normal"/>
    <w:qFormat/>
    <w:rsid w:val="0058603D"/>
    <w:pPr>
      <w:spacing w:before="120" w:after="120"/>
    </w:pPr>
    <w:rPr>
      <w:rFonts w:ascii="GillSans" w:hAnsi="GillSans"/>
      <w:b/>
      <w:sz w:val="20"/>
    </w:rPr>
  </w:style>
  <w:style w:type="character" w:styleId="Hyperlien">
    <w:name w:val="Hyperlink"/>
    <w:basedOn w:val="Policepardfaut"/>
    <w:uiPriority w:val="99"/>
    <w:rsid w:val="0058603D"/>
    <w:rPr>
      <w:color w:val="0000FF"/>
      <w:u w:val="single"/>
    </w:rPr>
  </w:style>
  <w:style w:type="character" w:styleId="Lienvisit">
    <w:name w:val="FollowedHyperlink"/>
    <w:basedOn w:val="Policepardfaut"/>
    <w:uiPriority w:val="99"/>
    <w:rsid w:val="0058603D"/>
    <w:rPr>
      <w:color w:val="800080"/>
      <w:u w:val="single"/>
    </w:rPr>
  </w:style>
  <w:style w:type="paragraph" w:customStyle="1" w:styleId="Niveau10">
    <w:name w:val="Niveau 1.0"/>
    <w:basedOn w:val="Niveau11"/>
    <w:autoRedefine/>
    <w:rsid w:val="0058603D"/>
    <w:pPr>
      <w:jc w:val="center"/>
    </w:pPr>
    <w:rPr>
      <w:b w:val="0"/>
      <w:sz w:val="48"/>
    </w:rPr>
  </w:style>
  <w:style w:type="paragraph" w:customStyle="1" w:styleId="Niveau13">
    <w:name w:val="Niveau 1.3"/>
    <w:basedOn w:val="Niveau12"/>
    <w:autoRedefine/>
    <w:rsid w:val="0058603D"/>
    <w:rPr>
      <w:b w:val="0"/>
      <w:i w:val="0"/>
      <w:color w:val="800080"/>
      <w:sz w:val="48"/>
    </w:rPr>
  </w:style>
  <w:style w:type="paragraph" w:styleId="Notedebasdepage">
    <w:name w:val="footnote text"/>
    <w:aliases w:val="Char,Texto de nota de rodapé Char Char Char Char Char Char Char Char,Footnote Text Char Char Char Char Char,Footnote Text Char Char Char Char,Footnote reference,FA Fu,Footnote Text Char Char Char,Text pozn. pod čarou Char"/>
    <w:basedOn w:val="Normal"/>
    <w:link w:val="NotedebasdepageCar"/>
    <w:autoRedefine/>
    <w:qFormat/>
    <w:rsid w:val="00FA5D3E"/>
    <w:pPr>
      <w:tabs>
        <w:tab w:val="left" w:pos="720"/>
      </w:tabs>
      <w:ind w:left="360" w:hanging="360"/>
      <w:jc w:val="both"/>
    </w:pPr>
    <w:rPr>
      <w:sz w:val="24"/>
      <w:szCs w:val="24"/>
    </w:rPr>
  </w:style>
  <w:style w:type="character" w:customStyle="1" w:styleId="NotedebasdepageCar">
    <w:name w:val="Note de bas de page Car"/>
    <w:aliases w:val="Char Car,Texto de nota de rodapé Char Char Char Char Char Char Char Char Car,Footnote Text Char Char Char Char Char Car,Footnote Text Char Char Char Char Car,Footnote reference Car,FA Fu Car,Footnote Text Char Char Char Car"/>
    <w:basedOn w:val="Policepardfaut"/>
    <w:link w:val="Notedebasdepage"/>
    <w:rsid w:val="00FA5D3E"/>
    <w:rPr>
      <w:rFonts w:ascii="Times New Roman" w:eastAsia="Times New Roman" w:hAnsi="Times New Roman"/>
      <w:sz w:val="24"/>
      <w:szCs w:val="24"/>
      <w:lang w:val="fr-CA" w:eastAsia="en-US"/>
    </w:rPr>
  </w:style>
  <w:style w:type="character" w:styleId="Numrodepage">
    <w:name w:val="page number"/>
    <w:basedOn w:val="Policepardfaut"/>
    <w:uiPriority w:val="99"/>
    <w:rsid w:val="0058603D"/>
  </w:style>
  <w:style w:type="paragraph" w:styleId="Pieddepage">
    <w:name w:val="footer"/>
    <w:basedOn w:val="Normal"/>
    <w:link w:val="PieddepageCar"/>
    <w:uiPriority w:val="99"/>
    <w:rsid w:val="0058603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8D68FC"/>
    <w:rPr>
      <w:rFonts w:ascii="GillSans" w:eastAsia="Times New Roman" w:hAnsi="GillSans"/>
      <w:lang w:val="fr-CA" w:eastAsia="en-US"/>
    </w:rPr>
  </w:style>
  <w:style w:type="paragraph" w:styleId="Retraitcorpsdetexte">
    <w:name w:val="Body Text Indent"/>
    <w:basedOn w:val="Normal"/>
    <w:link w:val="RetraitcorpsdetexteCar"/>
    <w:uiPriority w:val="99"/>
    <w:rsid w:val="0058603D"/>
    <w:pPr>
      <w:ind w:left="20" w:firstLine="400"/>
    </w:pPr>
    <w:rPr>
      <w:rFonts w:ascii="Arial" w:hAnsi="Arial"/>
    </w:rPr>
  </w:style>
  <w:style w:type="character" w:customStyle="1" w:styleId="RetraitcorpsdetexteCar">
    <w:name w:val="Retrait corps de texte Car"/>
    <w:basedOn w:val="Policepardfaut"/>
    <w:link w:val="Retraitcorpsdetexte"/>
    <w:uiPriority w:val="99"/>
    <w:rsid w:val="008D68FC"/>
    <w:rPr>
      <w:rFonts w:ascii="Arial" w:eastAsia="Times New Roman" w:hAnsi="Arial"/>
      <w:sz w:val="28"/>
      <w:lang w:val="fr-CA" w:eastAsia="en-US"/>
    </w:rPr>
  </w:style>
  <w:style w:type="paragraph" w:styleId="Retraitcorpsdetexte2">
    <w:name w:val="Body Text Indent 2"/>
    <w:basedOn w:val="Normal"/>
    <w:link w:val="Retraitcorpsdetexte2Car"/>
    <w:rsid w:val="0058603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8D68FC"/>
    <w:rPr>
      <w:rFonts w:ascii="Arial" w:eastAsia="Times New Roman" w:hAnsi="Arial"/>
      <w:sz w:val="28"/>
      <w:lang w:val="fr-CA" w:eastAsia="en-US"/>
    </w:rPr>
  </w:style>
  <w:style w:type="paragraph" w:styleId="Retraitcorpsdetexte3">
    <w:name w:val="Body Text Indent 3"/>
    <w:basedOn w:val="Normal"/>
    <w:link w:val="Retraitcorpsdetexte3Car"/>
    <w:rsid w:val="0058603D"/>
    <w:pPr>
      <w:ind w:left="20" w:firstLine="380"/>
      <w:jc w:val="both"/>
    </w:pPr>
    <w:rPr>
      <w:rFonts w:ascii="Arial" w:hAnsi="Arial"/>
    </w:rPr>
  </w:style>
  <w:style w:type="character" w:customStyle="1" w:styleId="Retraitcorpsdetexte3Car">
    <w:name w:val="Retrait corps de texte 3 Car"/>
    <w:basedOn w:val="Policepardfaut"/>
    <w:link w:val="Retraitcorpsdetexte3"/>
    <w:rsid w:val="008D68FC"/>
    <w:rPr>
      <w:rFonts w:ascii="Arial" w:eastAsia="Times New Roman" w:hAnsi="Arial"/>
      <w:sz w:val="28"/>
      <w:lang w:val="fr-CA" w:eastAsia="en-US"/>
    </w:rPr>
  </w:style>
  <w:style w:type="paragraph" w:customStyle="1" w:styleId="texteenvidence">
    <w:name w:val="texte en évidence"/>
    <w:basedOn w:val="Normal"/>
    <w:rsid w:val="0058603D"/>
    <w:pPr>
      <w:widowControl w:val="0"/>
      <w:jc w:val="both"/>
    </w:pPr>
    <w:rPr>
      <w:rFonts w:ascii="Arial" w:hAnsi="Arial"/>
      <w:b/>
      <w:color w:val="FF0000"/>
    </w:rPr>
  </w:style>
  <w:style w:type="paragraph" w:styleId="Titre">
    <w:name w:val="Title"/>
    <w:basedOn w:val="Normal"/>
    <w:link w:val="TitreCar"/>
    <w:autoRedefine/>
    <w:qFormat/>
    <w:rsid w:val="0058603D"/>
    <w:pPr>
      <w:ind w:firstLine="0"/>
      <w:jc w:val="center"/>
    </w:pPr>
    <w:rPr>
      <w:b/>
      <w:sz w:val="48"/>
    </w:rPr>
  </w:style>
  <w:style w:type="character" w:customStyle="1" w:styleId="TitreCar">
    <w:name w:val="Titre Car"/>
    <w:basedOn w:val="Policepardfaut"/>
    <w:link w:val="Titre"/>
    <w:rsid w:val="008D68FC"/>
    <w:rPr>
      <w:rFonts w:ascii="Times New Roman" w:eastAsia="Times New Roman" w:hAnsi="Times New Roman"/>
      <w:b/>
      <w:sz w:val="48"/>
      <w:lang w:val="fr-CA" w:eastAsia="en-US"/>
    </w:rPr>
  </w:style>
  <w:style w:type="paragraph" w:customStyle="1" w:styleId="livre">
    <w:name w:val="livre"/>
    <w:basedOn w:val="Normal"/>
    <w:rsid w:val="0058603D"/>
    <w:pPr>
      <w:tabs>
        <w:tab w:val="right" w:pos="9360"/>
      </w:tabs>
      <w:ind w:firstLine="0"/>
    </w:pPr>
    <w:rPr>
      <w:b/>
      <w:color w:val="000080"/>
      <w:sz w:val="144"/>
    </w:rPr>
  </w:style>
  <w:style w:type="paragraph" w:customStyle="1" w:styleId="livrest">
    <w:name w:val="livre_st"/>
    <w:basedOn w:val="Normal"/>
    <w:rsid w:val="0058603D"/>
    <w:pPr>
      <w:tabs>
        <w:tab w:val="right" w:pos="9360"/>
      </w:tabs>
      <w:ind w:firstLine="0"/>
    </w:pPr>
    <w:rPr>
      <w:b/>
      <w:color w:val="FF0000"/>
      <w:sz w:val="72"/>
    </w:rPr>
  </w:style>
  <w:style w:type="paragraph" w:customStyle="1" w:styleId="tableautitre">
    <w:name w:val="tableau_titre"/>
    <w:basedOn w:val="Normal"/>
    <w:rsid w:val="0058603D"/>
    <w:pPr>
      <w:ind w:firstLine="0"/>
      <w:jc w:val="center"/>
    </w:pPr>
    <w:rPr>
      <w:rFonts w:ascii="Times" w:hAnsi="Times"/>
      <w:b/>
    </w:rPr>
  </w:style>
  <w:style w:type="paragraph" w:customStyle="1" w:styleId="planche">
    <w:name w:val="planche"/>
    <w:basedOn w:val="tableautitre"/>
    <w:autoRedefine/>
    <w:rsid w:val="00B832D9"/>
    <w:pPr>
      <w:widowControl w:val="0"/>
    </w:pPr>
    <w:rPr>
      <w:rFonts w:ascii="Times New Roman" w:hAnsi="Times New Roman"/>
      <w:b w:val="0"/>
      <w:color w:val="000080"/>
      <w:sz w:val="36"/>
    </w:rPr>
  </w:style>
  <w:style w:type="paragraph" w:customStyle="1" w:styleId="tableaust">
    <w:name w:val="tableau_st"/>
    <w:basedOn w:val="Normal"/>
    <w:autoRedefine/>
    <w:rsid w:val="00E93E46"/>
    <w:pPr>
      <w:ind w:firstLine="0"/>
      <w:jc w:val="center"/>
    </w:pPr>
    <w:rPr>
      <w:i/>
      <w:color w:val="FF0000"/>
    </w:rPr>
  </w:style>
  <w:style w:type="paragraph" w:customStyle="1" w:styleId="planchest">
    <w:name w:val="planche_st"/>
    <w:basedOn w:val="tableaust"/>
    <w:autoRedefine/>
    <w:rsid w:val="0058603D"/>
    <w:pPr>
      <w:spacing w:before="60"/>
    </w:pPr>
    <w:rPr>
      <w:i w:val="0"/>
      <w:sz w:val="36"/>
    </w:rPr>
  </w:style>
  <w:style w:type="paragraph" w:customStyle="1" w:styleId="section">
    <w:name w:val="section"/>
    <w:basedOn w:val="Normal"/>
    <w:rsid w:val="0058603D"/>
    <w:pPr>
      <w:ind w:firstLine="0"/>
      <w:jc w:val="center"/>
    </w:pPr>
    <w:rPr>
      <w:rFonts w:ascii="Times" w:hAnsi="Times"/>
      <w:b/>
      <w:sz w:val="48"/>
    </w:rPr>
  </w:style>
  <w:style w:type="paragraph" w:customStyle="1" w:styleId="suite">
    <w:name w:val="suite"/>
    <w:basedOn w:val="Normal"/>
    <w:autoRedefine/>
    <w:rsid w:val="00E10719"/>
    <w:pPr>
      <w:tabs>
        <w:tab w:val="right" w:pos="9360"/>
      </w:tabs>
      <w:ind w:firstLine="0"/>
      <w:jc w:val="center"/>
    </w:pPr>
    <w:rPr>
      <w:b/>
      <w:color w:val="008000"/>
      <w:sz w:val="32"/>
    </w:rPr>
  </w:style>
  <w:style w:type="paragraph" w:customStyle="1" w:styleId="tdmchap">
    <w:name w:val="tdm_chap"/>
    <w:basedOn w:val="Normal"/>
    <w:rsid w:val="0058603D"/>
    <w:pPr>
      <w:tabs>
        <w:tab w:val="left" w:pos="1980"/>
      </w:tabs>
      <w:ind w:firstLine="0"/>
    </w:pPr>
    <w:rPr>
      <w:rFonts w:ascii="Times" w:hAnsi="Times"/>
      <w:b/>
    </w:rPr>
  </w:style>
  <w:style w:type="paragraph" w:customStyle="1" w:styleId="partie">
    <w:name w:val="partie"/>
    <w:basedOn w:val="Normal"/>
    <w:rsid w:val="0058603D"/>
    <w:pPr>
      <w:ind w:firstLine="0"/>
      <w:jc w:val="right"/>
    </w:pPr>
    <w:rPr>
      <w:b/>
      <w:sz w:val="120"/>
    </w:rPr>
  </w:style>
  <w:style w:type="paragraph" w:styleId="Normalcentr">
    <w:name w:val="Block Text"/>
    <w:basedOn w:val="Normal"/>
    <w:rsid w:val="0058603D"/>
    <w:pPr>
      <w:ind w:left="180" w:right="180"/>
      <w:jc w:val="both"/>
    </w:pPr>
  </w:style>
  <w:style w:type="paragraph" w:customStyle="1" w:styleId="Titlest">
    <w:name w:val="Title_st"/>
    <w:basedOn w:val="Titre"/>
    <w:autoRedefine/>
    <w:rsid w:val="003A696C"/>
    <w:rPr>
      <w:b w:val="0"/>
      <w:sz w:val="64"/>
    </w:rPr>
  </w:style>
  <w:style w:type="paragraph" w:styleId="TableauGrille2">
    <w:name w:val="Grid Table 2"/>
    <w:basedOn w:val="Normal"/>
    <w:rsid w:val="0058603D"/>
    <w:pPr>
      <w:ind w:left="360" w:hanging="360"/>
    </w:pPr>
    <w:rPr>
      <w:sz w:val="20"/>
      <w:lang w:val="fr-FR"/>
    </w:rPr>
  </w:style>
  <w:style w:type="paragraph" w:styleId="Notedefin">
    <w:name w:val="endnote text"/>
    <w:basedOn w:val="Normal"/>
    <w:link w:val="NotedefinCar"/>
    <w:uiPriority w:val="99"/>
    <w:rsid w:val="0058603D"/>
    <w:pPr>
      <w:spacing w:before="240"/>
    </w:pPr>
    <w:rPr>
      <w:sz w:val="20"/>
      <w:lang w:val="fr-FR"/>
    </w:rPr>
  </w:style>
  <w:style w:type="character" w:customStyle="1" w:styleId="NotedefinCar">
    <w:name w:val="Note de fin Car"/>
    <w:basedOn w:val="Policepardfaut"/>
    <w:link w:val="Notedefin"/>
    <w:uiPriority w:val="99"/>
    <w:rsid w:val="008D68FC"/>
    <w:rPr>
      <w:rFonts w:ascii="Times New Roman" w:eastAsia="Times New Roman" w:hAnsi="Times New Roman"/>
      <w:lang w:eastAsia="en-US"/>
    </w:rPr>
  </w:style>
  <w:style w:type="paragraph" w:customStyle="1" w:styleId="niveau14">
    <w:name w:val="niveau 1"/>
    <w:basedOn w:val="Normal"/>
    <w:rsid w:val="0058603D"/>
    <w:pPr>
      <w:spacing w:before="240"/>
      <w:ind w:firstLine="0"/>
    </w:pPr>
    <w:rPr>
      <w:rFonts w:ascii="B Times Bold" w:hAnsi="B Times Bold"/>
      <w:lang w:val="fr-FR"/>
    </w:rPr>
  </w:style>
  <w:style w:type="paragraph" w:customStyle="1" w:styleId="Titlest2">
    <w:name w:val="Title_st2"/>
    <w:basedOn w:val="Titlest"/>
    <w:rsid w:val="0058603D"/>
  </w:style>
  <w:style w:type="paragraph" w:styleId="NormalWeb">
    <w:name w:val="Normal (Web)"/>
    <w:basedOn w:val="Normal"/>
    <w:uiPriority w:val="99"/>
    <w:rsid w:val="00283FCC"/>
    <w:pPr>
      <w:spacing w:beforeLines="1" w:afterLines="1"/>
      <w:ind w:firstLine="0"/>
    </w:pPr>
    <w:rPr>
      <w:rFonts w:ascii="Times" w:eastAsia="Times" w:hAnsi="Times"/>
      <w:sz w:val="20"/>
      <w:lang w:val="fr-FR" w:eastAsia="fr-FR"/>
    </w:rPr>
  </w:style>
  <w:style w:type="paragraph" w:customStyle="1" w:styleId="p">
    <w:name w:val="p"/>
    <w:basedOn w:val="Normal"/>
    <w:autoRedefine/>
    <w:rsid w:val="00283FCC"/>
    <w:pPr>
      <w:ind w:firstLine="0"/>
    </w:pPr>
  </w:style>
  <w:style w:type="paragraph" w:customStyle="1" w:styleId="Titlesti">
    <w:name w:val="Title_st i"/>
    <w:basedOn w:val="Titlest"/>
    <w:rsid w:val="003A696C"/>
    <w:rPr>
      <w:i/>
    </w:rPr>
  </w:style>
  <w:style w:type="paragraph" w:customStyle="1" w:styleId="titrechap">
    <w:name w:val="titre chap"/>
    <w:basedOn w:val="Normal"/>
    <w:rsid w:val="00713C39"/>
    <w:pPr>
      <w:ind w:firstLine="0"/>
      <w:jc w:val="center"/>
    </w:pPr>
    <w:rPr>
      <w:sz w:val="48"/>
    </w:rPr>
  </w:style>
  <w:style w:type="paragraph" w:styleId="Textedebulles">
    <w:name w:val="Balloon Text"/>
    <w:basedOn w:val="Normal"/>
    <w:link w:val="TextedebullesCar1"/>
    <w:uiPriority w:val="99"/>
    <w:unhideWhenUsed/>
    <w:rsid w:val="008D68FC"/>
    <w:pPr>
      <w:spacing w:after="200"/>
      <w:ind w:firstLine="284"/>
      <w:jc w:val="both"/>
    </w:pPr>
    <w:rPr>
      <w:rFonts w:ascii="Lucida Grande" w:eastAsia="Times" w:hAnsi="Lucida Grande"/>
      <w:sz w:val="18"/>
      <w:szCs w:val="18"/>
      <w:lang w:val="fr-FR" w:eastAsia="fr-FR"/>
    </w:rPr>
  </w:style>
  <w:style w:type="character" w:customStyle="1" w:styleId="TextedebullesCar1">
    <w:name w:val="Texte de bulles Car1"/>
    <w:basedOn w:val="Policepardfaut"/>
    <w:link w:val="Textedebulles"/>
    <w:uiPriority w:val="99"/>
    <w:rsid w:val="008D68FC"/>
    <w:rPr>
      <w:rFonts w:ascii="Lucida Grande" w:hAnsi="Lucida Grande"/>
      <w:sz w:val="18"/>
      <w:szCs w:val="18"/>
    </w:rPr>
  </w:style>
  <w:style w:type="character" w:customStyle="1" w:styleId="TextedebullesCar">
    <w:name w:val="Texte de bulles Car"/>
    <w:basedOn w:val="Policepardfaut"/>
    <w:link w:val="Textedebulles"/>
    <w:uiPriority w:val="99"/>
    <w:rsid w:val="008D68FC"/>
    <w:rPr>
      <w:rFonts w:ascii="Lucida Grande" w:eastAsia="Times New Roman" w:hAnsi="Lucida Grande"/>
      <w:sz w:val="18"/>
      <w:szCs w:val="18"/>
      <w:lang w:val="fr-CA" w:eastAsia="en-US"/>
    </w:rPr>
  </w:style>
  <w:style w:type="paragraph" w:styleId="Retraitnormal">
    <w:name w:val="Normal Indent"/>
    <w:basedOn w:val="Normal"/>
    <w:uiPriority w:val="99"/>
    <w:rsid w:val="008D68FC"/>
    <w:pPr>
      <w:spacing w:after="200"/>
      <w:ind w:firstLine="284"/>
      <w:jc w:val="both"/>
    </w:pPr>
    <w:rPr>
      <w:rFonts w:eastAsia="Calibri"/>
      <w:noProof/>
      <w:sz w:val="24"/>
      <w:szCs w:val="22"/>
      <w:lang w:val="fr-FR" w:eastAsia="fr-FR"/>
    </w:rPr>
  </w:style>
  <w:style w:type="paragraph" w:customStyle="1" w:styleId="Notesdebasdepage">
    <w:name w:val="Notes de bas de page"/>
    <w:basedOn w:val="Normal"/>
    <w:qFormat/>
    <w:rsid w:val="008D68FC"/>
    <w:pPr>
      <w:spacing w:after="80"/>
      <w:ind w:firstLine="0"/>
      <w:jc w:val="both"/>
    </w:pPr>
    <w:rPr>
      <w:rFonts w:ascii="Times" w:hAnsi="Times"/>
      <w:color w:val="000000"/>
      <w:sz w:val="20"/>
      <w:szCs w:val="24"/>
      <w:lang w:val="en-US" w:eastAsia="fr-FR"/>
    </w:rPr>
  </w:style>
  <w:style w:type="paragraph" w:customStyle="1" w:styleId="citation">
    <w:name w:val="citation"/>
    <w:basedOn w:val="Normal"/>
    <w:autoRedefine/>
    <w:qFormat/>
    <w:rsid w:val="00F60FF0"/>
    <w:pPr>
      <w:spacing w:before="120" w:after="120"/>
      <w:ind w:left="720"/>
      <w:jc w:val="both"/>
    </w:pPr>
    <w:rPr>
      <w:snapToGrid w:val="0"/>
      <w:color w:val="000090"/>
      <w:sz w:val="24"/>
      <w:szCs w:val="24"/>
      <w:lang w:val="fr-FR" w:eastAsia="fr-FR"/>
    </w:rPr>
  </w:style>
  <w:style w:type="character" w:customStyle="1" w:styleId="Appelnotedebasdep1">
    <w:name w:val="Appel note de bas de p.1"/>
    <w:basedOn w:val="Policepardfaut"/>
    <w:rsid w:val="008D68FC"/>
    <w:rPr>
      <w:sz w:val="22"/>
      <w:vertAlign w:val="superscript"/>
    </w:rPr>
  </w:style>
  <w:style w:type="paragraph" w:styleId="Listecouleur-Accent1">
    <w:name w:val="Colorful List Accent 1"/>
    <w:basedOn w:val="Normal"/>
    <w:uiPriority w:val="34"/>
    <w:qFormat/>
    <w:rsid w:val="008D68FC"/>
    <w:pPr>
      <w:spacing w:after="200"/>
      <w:ind w:left="720" w:firstLine="284"/>
      <w:contextualSpacing/>
      <w:jc w:val="both"/>
    </w:pPr>
    <w:rPr>
      <w:rFonts w:eastAsia="Times"/>
      <w:sz w:val="24"/>
      <w:szCs w:val="24"/>
      <w:lang w:val="fr-FR" w:eastAsia="fr-FR"/>
    </w:rPr>
  </w:style>
  <w:style w:type="paragraph" w:customStyle="1" w:styleId="citationliste">
    <w:name w:val="citation liste"/>
    <w:basedOn w:val="Normal"/>
    <w:autoRedefine/>
    <w:rsid w:val="00B06243"/>
    <w:pPr>
      <w:spacing w:before="120" w:after="120"/>
      <w:ind w:left="1080" w:hanging="360"/>
      <w:jc w:val="both"/>
    </w:pPr>
    <w:rPr>
      <w:color w:val="000090"/>
      <w:sz w:val="24"/>
    </w:rPr>
  </w:style>
  <w:style w:type="paragraph" w:customStyle="1" w:styleId="Style">
    <w:name w:val="Style"/>
    <w:rsid w:val="008D68FC"/>
    <w:pPr>
      <w:widowControl w:val="0"/>
      <w:autoSpaceDE w:val="0"/>
      <w:autoSpaceDN w:val="0"/>
      <w:adjustRightInd w:val="0"/>
    </w:pPr>
    <w:rPr>
      <w:rFonts w:ascii="Arial" w:eastAsia="Calibri" w:hAnsi="Arial" w:cs="Arial"/>
      <w:sz w:val="24"/>
      <w:szCs w:val="24"/>
      <w:lang w:val="fr-FR" w:eastAsia="fr-FR"/>
    </w:rPr>
  </w:style>
  <w:style w:type="character" w:customStyle="1" w:styleId="collectivework1">
    <w:name w:val="collective_work1"/>
    <w:basedOn w:val="Policepardfaut"/>
    <w:rsid w:val="008D68FC"/>
  </w:style>
  <w:style w:type="character" w:customStyle="1" w:styleId="CommentaireCar">
    <w:name w:val="Commentaire Car"/>
    <w:link w:val="Commentaire"/>
    <w:uiPriority w:val="99"/>
    <w:rsid w:val="008D68FC"/>
    <w:rPr>
      <w:rFonts w:eastAsia="Cambria"/>
    </w:rPr>
  </w:style>
  <w:style w:type="paragraph" w:styleId="Commentaire">
    <w:name w:val="annotation text"/>
    <w:basedOn w:val="Normal"/>
    <w:link w:val="CommentaireCar"/>
    <w:uiPriority w:val="99"/>
    <w:unhideWhenUsed/>
    <w:rsid w:val="008D68FC"/>
    <w:pPr>
      <w:spacing w:after="200"/>
      <w:ind w:firstLine="284"/>
      <w:jc w:val="both"/>
    </w:pPr>
    <w:rPr>
      <w:rFonts w:ascii="Times" w:eastAsia="Cambria" w:hAnsi="Times"/>
      <w:sz w:val="20"/>
      <w:lang w:val="x-none" w:eastAsia="x-none"/>
    </w:rPr>
  </w:style>
  <w:style w:type="character" w:customStyle="1" w:styleId="CommentaireCar1">
    <w:name w:val="Commentaire Car1"/>
    <w:basedOn w:val="Policepardfaut"/>
    <w:link w:val="Commentaire"/>
    <w:uiPriority w:val="99"/>
    <w:rsid w:val="008D68FC"/>
    <w:rPr>
      <w:rFonts w:ascii="Times New Roman" w:eastAsia="Times New Roman" w:hAnsi="Times New Roman"/>
      <w:sz w:val="24"/>
      <w:szCs w:val="24"/>
      <w:lang w:val="fr-CA" w:eastAsia="en-US"/>
    </w:rPr>
  </w:style>
  <w:style w:type="character" w:customStyle="1" w:styleId="ObjetducommentaireCar">
    <w:name w:val="Objet du commentaire Car"/>
    <w:link w:val="Objetducommentaire"/>
    <w:uiPriority w:val="99"/>
    <w:rsid w:val="008D68FC"/>
    <w:rPr>
      <w:rFonts w:eastAsia="Cambria"/>
      <w:b/>
      <w:bCs/>
    </w:rPr>
  </w:style>
  <w:style w:type="paragraph" w:styleId="Objetducommentaire">
    <w:name w:val="annotation subject"/>
    <w:basedOn w:val="Commentaire"/>
    <w:next w:val="Commentaire"/>
    <w:link w:val="ObjetducommentaireCar"/>
    <w:uiPriority w:val="99"/>
    <w:unhideWhenUsed/>
    <w:rsid w:val="008D68FC"/>
    <w:rPr>
      <w:b/>
      <w:bCs/>
    </w:rPr>
  </w:style>
  <w:style w:type="character" w:customStyle="1" w:styleId="ObjetducommentaireCar1">
    <w:name w:val="Objet du commentaire Car1"/>
    <w:basedOn w:val="CommentaireCar1"/>
    <w:link w:val="Objetducommentaire"/>
    <w:uiPriority w:val="99"/>
    <w:rsid w:val="008D68FC"/>
    <w:rPr>
      <w:rFonts w:ascii="Times New Roman" w:eastAsia="Times New Roman" w:hAnsi="Times New Roman"/>
      <w:b/>
      <w:bCs/>
      <w:sz w:val="24"/>
      <w:szCs w:val="24"/>
      <w:lang w:val="fr-CA" w:eastAsia="en-US"/>
    </w:rPr>
  </w:style>
  <w:style w:type="character" w:styleId="Marquedecommentaire">
    <w:name w:val="annotation reference"/>
    <w:uiPriority w:val="99"/>
    <w:unhideWhenUsed/>
    <w:rsid w:val="008D68FC"/>
    <w:rPr>
      <w:sz w:val="18"/>
      <w:szCs w:val="18"/>
    </w:rPr>
  </w:style>
  <w:style w:type="paragraph" w:customStyle="1" w:styleId="Corpsdetexte21">
    <w:name w:val="Corps de texte 21"/>
    <w:basedOn w:val="Normal"/>
    <w:rsid w:val="008D68FC"/>
    <w:pPr>
      <w:spacing w:after="200" w:line="300" w:lineRule="exact"/>
      <w:ind w:left="284" w:firstLine="284"/>
      <w:jc w:val="both"/>
    </w:pPr>
    <w:rPr>
      <w:sz w:val="24"/>
      <w:lang w:val="fr-FR" w:eastAsia="fr-FR"/>
    </w:rPr>
  </w:style>
  <w:style w:type="paragraph" w:customStyle="1" w:styleId="Brouillon">
    <w:name w:val="Brouillon"/>
    <w:basedOn w:val="Normal"/>
    <w:rsid w:val="008D68FC"/>
    <w:pPr>
      <w:spacing w:after="200"/>
      <w:ind w:firstLine="284"/>
      <w:jc w:val="both"/>
    </w:pPr>
    <w:rPr>
      <w:rFonts w:eastAsia="Calibri"/>
      <w:noProof/>
      <w:color w:val="000080"/>
      <w:sz w:val="24"/>
      <w:szCs w:val="22"/>
      <w:lang w:val="fr-FR" w:eastAsia="fr-FR"/>
    </w:rPr>
  </w:style>
  <w:style w:type="paragraph" w:customStyle="1" w:styleId="Rebut">
    <w:name w:val="Rebut"/>
    <w:basedOn w:val="Normal"/>
    <w:rsid w:val="008D68FC"/>
    <w:pPr>
      <w:spacing w:after="200"/>
      <w:ind w:firstLine="284"/>
      <w:jc w:val="both"/>
    </w:pPr>
    <w:rPr>
      <w:rFonts w:eastAsia="Calibri"/>
      <w:noProof/>
      <w:color w:val="FF0000"/>
      <w:sz w:val="24"/>
      <w:szCs w:val="22"/>
      <w:lang w:val="fr-FR" w:eastAsia="fr-FR"/>
    </w:rPr>
  </w:style>
  <w:style w:type="paragraph" w:customStyle="1" w:styleId="Rsum">
    <w:name w:val="Résumé"/>
    <w:basedOn w:val="Normal"/>
    <w:rsid w:val="008D68FC"/>
    <w:pPr>
      <w:spacing w:after="200"/>
      <w:ind w:firstLine="284"/>
      <w:jc w:val="both"/>
    </w:pPr>
    <w:rPr>
      <w:rFonts w:eastAsia="Calibri"/>
      <w:noProof/>
      <w:color w:val="0000FF"/>
      <w:sz w:val="24"/>
      <w:szCs w:val="22"/>
      <w:lang w:val="fr-FR" w:eastAsia="fr-FR"/>
    </w:rPr>
  </w:style>
  <w:style w:type="paragraph" w:customStyle="1" w:styleId="Rdactiondoubleinterligne">
    <w:name w:val="Rédaction double interligne"/>
    <w:basedOn w:val="Retraitnormal"/>
    <w:rsid w:val="008D68FC"/>
    <w:pPr>
      <w:spacing w:line="480" w:lineRule="auto"/>
    </w:pPr>
  </w:style>
  <w:style w:type="paragraph" w:customStyle="1" w:styleId="Citations">
    <w:name w:val="Citations"/>
    <w:basedOn w:val="Retraitnormal"/>
    <w:next w:val="Retraitnormal"/>
    <w:uiPriority w:val="99"/>
    <w:rsid w:val="008D68FC"/>
    <w:pPr>
      <w:spacing w:after="40"/>
      <w:ind w:left="567"/>
    </w:pPr>
    <w:rPr>
      <w:i/>
      <w:sz w:val="20"/>
    </w:rPr>
  </w:style>
  <w:style w:type="paragraph" w:customStyle="1" w:styleId="Paragraphes">
    <w:name w:val="Paragraphes"/>
    <w:basedOn w:val="Normal"/>
    <w:rsid w:val="008D68FC"/>
    <w:pPr>
      <w:spacing w:after="200"/>
      <w:ind w:firstLine="284"/>
      <w:jc w:val="both"/>
    </w:pPr>
    <w:rPr>
      <w:rFonts w:eastAsia="Batang"/>
      <w:noProof/>
      <w:sz w:val="24"/>
      <w:szCs w:val="28"/>
      <w:lang w:val="fr-FR" w:eastAsia="ko-KR"/>
    </w:rPr>
  </w:style>
  <w:style w:type="paragraph" w:customStyle="1" w:styleId="rsums">
    <w:name w:val="résumés"/>
    <w:basedOn w:val="Retraitnormal"/>
    <w:rsid w:val="008D68FC"/>
    <w:rPr>
      <w:bCs/>
      <w:color w:val="000090"/>
    </w:rPr>
  </w:style>
  <w:style w:type="paragraph" w:customStyle="1" w:styleId="titredelarticle">
    <w:name w:val="titre de l'article"/>
    <w:basedOn w:val="Titre4"/>
    <w:rsid w:val="008D68FC"/>
    <w:pPr>
      <w:keepNext/>
      <w:keepLines/>
      <w:numPr>
        <w:ilvl w:val="3"/>
      </w:numPr>
      <w:spacing w:before="240" w:after="120"/>
      <w:jc w:val="both"/>
    </w:pPr>
    <w:rPr>
      <w:rFonts w:ascii="Times New Roman" w:eastAsia="Calibri" w:hAnsi="Times New Roman"/>
      <w:b/>
      <w:sz w:val="28"/>
      <w:szCs w:val="22"/>
      <w:lang w:val="fr-FR" w:eastAsia="fr-FR"/>
    </w:rPr>
  </w:style>
  <w:style w:type="paragraph" w:customStyle="1" w:styleId="noms">
    <w:name w:val="noms"/>
    <w:basedOn w:val="Normal"/>
    <w:rsid w:val="008D68FC"/>
    <w:pPr>
      <w:spacing w:after="200"/>
      <w:ind w:firstLine="284"/>
      <w:jc w:val="center"/>
    </w:pPr>
    <w:rPr>
      <w:rFonts w:eastAsia="Calibri"/>
      <w:noProof/>
      <w:sz w:val="24"/>
      <w:szCs w:val="22"/>
      <w:lang w:val="fr-FR" w:eastAsia="fr-FR"/>
    </w:rPr>
  </w:style>
  <w:style w:type="character" w:customStyle="1" w:styleId="Policepardfaut1">
    <w:name w:val="Police par défaut1"/>
    <w:rsid w:val="008D68FC"/>
    <w:rPr>
      <w:rFonts w:ascii="Times New Roman" w:eastAsia="Times New Roman" w:hAnsi="Times New Roman" w:cs="Times New Roman"/>
    </w:rPr>
  </w:style>
  <w:style w:type="character" w:customStyle="1" w:styleId="Caractresdenotedebasdepage">
    <w:name w:val="Caractères de note de bas de page"/>
    <w:rsid w:val="008D68FC"/>
  </w:style>
  <w:style w:type="character" w:customStyle="1" w:styleId="Caractresdenotedefin">
    <w:name w:val="Caractères de note de fin"/>
    <w:rsid w:val="008D68FC"/>
    <w:rPr>
      <w:rFonts w:ascii="Times New Roman" w:eastAsia="Times New Roman" w:hAnsi="Times New Roman" w:cs="Times New Roman"/>
      <w:vertAlign w:val="superscript"/>
    </w:rPr>
  </w:style>
  <w:style w:type="character" w:customStyle="1" w:styleId="WW-Caractresdenotedefin">
    <w:name w:val="WW-Caractères de note de fin"/>
    <w:rsid w:val="008D68FC"/>
    <w:rPr>
      <w:rFonts w:ascii="Times New Roman" w:eastAsia="Times New Roman" w:hAnsi="Times New Roman" w:cs="Times New Roman"/>
    </w:rPr>
  </w:style>
  <w:style w:type="paragraph" w:styleId="Liste">
    <w:name w:val="List"/>
    <w:basedOn w:val="Corpsdetexte"/>
    <w:rsid w:val="008D68FC"/>
    <w:pPr>
      <w:widowControl w:val="0"/>
      <w:suppressAutoHyphens/>
      <w:autoSpaceDE w:val="0"/>
      <w:spacing w:before="0" w:after="120"/>
      <w:ind w:firstLine="284"/>
      <w:jc w:val="both"/>
    </w:pPr>
    <w:rPr>
      <w:rFonts w:cs="Mangal"/>
      <w:kern w:val="1"/>
      <w:sz w:val="24"/>
      <w:lang w:val="en-US" w:eastAsia="ko-KR"/>
    </w:rPr>
  </w:style>
  <w:style w:type="paragraph" w:customStyle="1" w:styleId="Index">
    <w:name w:val="Index"/>
    <w:basedOn w:val="Normal"/>
    <w:rsid w:val="008D68FC"/>
    <w:pPr>
      <w:widowControl w:val="0"/>
      <w:suppressLineNumbers/>
      <w:suppressAutoHyphens/>
      <w:autoSpaceDE w:val="0"/>
      <w:spacing w:after="200"/>
      <w:ind w:firstLine="284"/>
      <w:jc w:val="both"/>
    </w:pPr>
    <w:rPr>
      <w:rFonts w:cs="Mangal"/>
      <w:kern w:val="1"/>
      <w:sz w:val="24"/>
      <w:szCs w:val="24"/>
      <w:lang w:val="en-US" w:eastAsia="ko-KR"/>
    </w:rPr>
  </w:style>
  <w:style w:type="paragraph" w:customStyle="1" w:styleId="Quotations">
    <w:name w:val="Quotations"/>
    <w:basedOn w:val="Normal"/>
    <w:rsid w:val="008D68FC"/>
    <w:pPr>
      <w:widowControl w:val="0"/>
      <w:suppressAutoHyphens/>
      <w:autoSpaceDE w:val="0"/>
      <w:spacing w:after="283"/>
      <w:ind w:left="567" w:right="567" w:firstLine="0"/>
      <w:jc w:val="both"/>
    </w:pPr>
    <w:rPr>
      <w:rFonts w:eastAsia="Byington"/>
      <w:kern w:val="1"/>
      <w:sz w:val="24"/>
      <w:szCs w:val="24"/>
      <w:lang w:val="en-US" w:eastAsia="ko-KR"/>
    </w:rPr>
  </w:style>
  <w:style w:type="paragraph" w:styleId="Sous-titre">
    <w:name w:val="Subtitle"/>
    <w:basedOn w:val="Titre"/>
    <w:next w:val="Corpsdetexte"/>
    <w:link w:val="Sous-titreCar"/>
    <w:qFormat/>
    <w:rsid w:val="008D68FC"/>
    <w:pPr>
      <w:keepNext/>
      <w:widowControl w:val="0"/>
      <w:suppressAutoHyphens/>
      <w:autoSpaceDE w:val="0"/>
      <w:spacing w:before="60" w:after="120"/>
      <w:ind w:firstLine="284"/>
    </w:pPr>
    <w:rPr>
      <w:rFonts w:ascii="Arial" w:eastAsia="Microsoft YaHei" w:hAnsi="Arial"/>
      <w:b w:val="0"/>
      <w:kern w:val="1"/>
      <w:sz w:val="36"/>
      <w:szCs w:val="36"/>
      <w:lang w:val="en-US" w:eastAsia="ko-KR"/>
    </w:rPr>
  </w:style>
  <w:style w:type="character" w:customStyle="1" w:styleId="Sous-titreCar">
    <w:name w:val="Sous-titre Car"/>
    <w:basedOn w:val="Policepardfaut"/>
    <w:link w:val="Sous-titre"/>
    <w:rsid w:val="008D68FC"/>
    <w:rPr>
      <w:rFonts w:ascii="Arial" w:eastAsia="Microsoft YaHei" w:hAnsi="Arial"/>
      <w:kern w:val="1"/>
      <w:sz w:val="36"/>
      <w:szCs w:val="36"/>
      <w:lang w:val="en-US" w:eastAsia="ko-KR"/>
    </w:rPr>
  </w:style>
  <w:style w:type="paragraph" w:customStyle="1" w:styleId="Pieddepagedroit">
    <w:name w:val="Pied de page droit"/>
    <w:basedOn w:val="Normal"/>
    <w:rsid w:val="008D68FC"/>
    <w:pPr>
      <w:widowControl w:val="0"/>
      <w:suppressLineNumbers/>
      <w:tabs>
        <w:tab w:val="center" w:pos="4536"/>
        <w:tab w:val="right" w:pos="9072"/>
      </w:tabs>
      <w:suppressAutoHyphens/>
      <w:autoSpaceDE w:val="0"/>
      <w:ind w:firstLine="0"/>
      <w:jc w:val="both"/>
    </w:pPr>
    <w:rPr>
      <w:rFonts w:ascii="Byington" w:eastAsia="Byington" w:hAnsi="Byington"/>
      <w:kern w:val="1"/>
      <w:sz w:val="20"/>
      <w:szCs w:val="24"/>
      <w:lang w:val="en-US" w:eastAsia="ko-KR"/>
    </w:rPr>
  </w:style>
  <w:style w:type="character" w:customStyle="1" w:styleId="WW8Num1z0">
    <w:name w:val="WW8Num1z0"/>
    <w:rsid w:val="008D68FC"/>
  </w:style>
  <w:style w:type="character" w:customStyle="1" w:styleId="WW8Num1z1">
    <w:name w:val="WW8Num1z1"/>
    <w:rsid w:val="008D68FC"/>
  </w:style>
  <w:style w:type="character" w:customStyle="1" w:styleId="WW8Num1z2">
    <w:name w:val="WW8Num1z2"/>
    <w:rsid w:val="008D68FC"/>
  </w:style>
  <w:style w:type="character" w:customStyle="1" w:styleId="WW8Num1z3">
    <w:name w:val="WW8Num1z3"/>
    <w:rsid w:val="008D68FC"/>
  </w:style>
  <w:style w:type="character" w:customStyle="1" w:styleId="WW8Num1z4">
    <w:name w:val="WW8Num1z4"/>
    <w:rsid w:val="008D68FC"/>
  </w:style>
  <w:style w:type="character" w:customStyle="1" w:styleId="WW8Num1z5">
    <w:name w:val="WW8Num1z5"/>
    <w:rsid w:val="008D68FC"/>
  </w:style>
  <w:style w:type="character" w:customStyle="1" w:styleId="WW8Num1z6">
    <w:name w:val="WW8Num1z6"/>
    <w:rsid w:val="008D68FC"/>
  </w:style>
  <w:style w:type="character" w:customStyle="1" w:styleId="WW8Num1z7">
    <w:name w:val="WW8Num1z7"/>
    <w:rsid w:val="008D68FC"/>
  </w:style>
  <w:style w:type="character" w:customStyle="1" w:styleId="WW8Num1z8">
    <w:name w:val="WW8Num1z8"/>
    <w:rsid w:val="008D68FC"/>
  </w:style>
  <w:style w:type="character" w:customStyle="1" w:styleId="Policepardfaut2">
    <w:name w:val="Police par défaut2"/>
    <w:rsid w:val="008D68FC"/>
    <w:rPr>
      <w:rFonts w:ascii="Times New Roman" w:eastAsia="Times New Roman" w:hAnsi="Times New Roman" w:cs="Times New Roman"/>
    </w:rPr>
  </w:style>
  <w:style w:type="character" w:customStyle="1" w:styleId="Caractresdenumrotation">
    <w:name w:val="Caractères de numérotation"/>
    <w:rsid w:val="008D68FC"/>
  </w:style>
  <w:style w:type="paragraph" w:customStyle="1" w:styleId="Sansinterligne1">
    <w:name w:val="Sans interligne1"/>
    <w:link w:val="NoSpacingChar"/>
    <w:uiPriority w:val="1"/>
    <w:qFormat/>
    <w:rsid w:val="008D68FC"/>
    <w:rPr>
      <w:rFonts w:ascii="Calibri" w:eastAsia="Times New Roman" w:hAnsi="Calibri"/>
      <w:sz w:val="22"/>
      <w:szCs w:val="22"/>
    </w:rPr>
  </w:style>
  <w:style w:type="character" w:customStyle="1" w:styleId="NoSpacingChar">
    <w:name w:val="No Spacing Char"/>
    <w:link w:val="Sansinterligne1"/>
    <w:uiPriority w:val="1"/>
    <w:rsid w:val="008D68FC"/>
    <w:rPr>
      <w:rFonts w:ascii="Calibri" w:eastAsia="Times New Roman" w:hAnsi="Calibri"/>
      <w:sz w:val="22"/>
      <w:szCs w:val="22"/>
      <w:lang w:bidi="ar-SA"/>
    </w:rPr>
  </w:style>
  <w:style w:type="character" w:styleId="Accentuation">
    <w:name w:val="Emphasis"/>
    <w:uiPriority w:val="20"/>
    <w:qFormat/>
    <w:rsid w:val="008D68FC"/>
    <w:rPr>
      <w:i/>
      <w:iCs/>
    </w:rPr>
  </w:style>
  <w:style w:type="character" w:customStyle="1" w:styleId="apple-converted-space">
    <w:name w:val="apple-converted-space"/>
    <w:basedOn w:val="Policepardfaut"/>
    <w:rsid w:val="008D68FC"/>
  </w:style>
  <w:style w:type="paragraph" w:customStyle="1" w:styleId="Titresimpleitalique">
    <w:name w:val="Titre simple italique"/>
    <w:basedOn w:val="Corpsdetexte2"/>
    <w:rsid w:val="008D68FC"/>
    <w:pPr>
      <w:widowControl w:val="0"/>
      <w:spacing w:after="200" w:line="360" w:lineRule="auto"/>
    </w:pPr>
    <w:rPr>
      <w:rFonts w:ascii="Times New Roman" w:hAnsi="Times New Roman"/>
      <w:i/>
      <w:sz w:val="24"/>
      <w:lang w:val="fr-FR" w:eastAsia="fr-FR"/>
    </w:rPr>
  </w:style>
  <w:style w:type="paragraph" w:customStyle="1" w:styleId="Titresimplegras">
    <w:name w:val="Titre simple gras"/>
    <w:basedOn w:val="Corpsdetexte2"/>
    <w:rsid w:val="008D68FC"/>
    <w:pPr>
      <w:widowControl w:val="0"/>
      <w:numPr>
        <w:numId w:val="3"/>
      </w:numPr>
      <w:tabs>
        <w:tab w:val="clear" w:pos="360"/>
      </w:tabs>
      <w:spacing w:after="200" w:line="360" w:lineRule="auto"/>
      <w:ind w:left="0" w:firstLine="0"/>
    </w:pPr>
    <w:rPr>
      <w:rFonts w:ascii="Times New Roman" w:hAnsi="Times New Roman"/>
      <w:b/>
      <w:sz w:val="24"/>
      <w:lang w:val="fr-FR" w:eastAsia="fr-FR"/>
    </w:rPr>
  </w:style>
  <w:style w:type="paragraph" w:customStyle="1" w:styleId="numration">
    <w:name w:val="énumération"/>
    <w:basedOn w:val="Normal"/>
    <w:rsid w:val="008D68FC"/>
    <w:pPr>
      <w:numPr>
        <w:numId w:val="4"/>
      </w:numPr>
      <w:tabs>
        <w:tab w:val="clear" w:pos="1021"/>
        <w:tab w:val="num" w:pos="360"/>
      </w:tabs>
      <w:spacing w:after="200" w:line="360" w:lineRule="auto"/>
      <w:ind w:left="170" w:hanging="170"/>
      <w:jc w:val="both"/>
    </w:pPr>
    <w:rPr>
      <w:sz w:val="24"/>
      <w:lang w:val="fr-FR" w:eastAsia="fr-FR"/>
    </w:rPr>
  </w:style>
  <w:style w:type="paragraph" w:customStyle="1" w:styleId="exemple">
    <w:name w:val="exemple"/>
    <w:basedOn w:val="citation"/>
    <w:autoRedefine/>
    <w:rsid w:val="008D68FC"/>
    <w:pPr>
      <w:tabs>
        <w:tab w:val="num" w:pos="1021"/>
      </w:tabs>
      <w:spacing w:after="0"/>
      <w:ind w:left="1021" w:right="284" w:hanging="454"/>
    </w:pPr>
    <w:rPr>
      <w:i/>
      <w:snapToGrid/>
      <w:szCs w:val="20"/>
    </w:rPr>
  </w:style>
  <w:style w:type="paragraph" w:styleId="Listepuces">
    <w:name w:val="List Bullet"/>
    <w:basedOn w:val="Normal"/>
    <w:autoRedefine/>
    <w:rsid w:val="008D68FC"/>
    <w:pPr>
      <w:widowControl w:val="0"/>
      <w:tabs>
        <w:tab w:val="num" w:pos="360"/>
      </w:tabs>
      <w:spacing w:after="200" w:line="360" w:lineRule="auto"/>
      <w:ind w:left="360" w:hanging="360"/>
      <w:jc w:val="both"/>
    </w:pPr>
    <w:rPr>
      <w:sz w:val="24"/>
      <w:lang w:val="fr-FR" w:eastAsia="fr-FR"/>
    </w:rPr>
  </w:style>
  <w:style w:type="paragraph" w:styleId="Listepuces2">
    <w:name w:val="List Bullet 2"/>
    <w:basedOn w:val="Normal"/>
    <w:autoRedefine/>
    <w:rsid w:val="008D68FC"/>
    <w:pPr>
      <w:widowControl w:val="0"/>
      <w:tabs>
        <w:tab w:val="num" w:pos="643"/>
      </w:tabs>
      <w:spacing w:after="200" w:line="360" w:lineRule="auto"/>
      <w:ind w:left="643" w:hanging="360"/>
      <w:jc w:val="both"/>
    </w:pPr>
    <w:rPr>
      <w:sz w:val="24"/>
      <w:lang w:val="fr-FR" w:eastAsia="fr-FR"/>
    </w:rPr>
  </w:style>
  <w:style w:type="paragraph" w:styleId="Listepuces3">
    <w:name w:val="List Bullet 3"/>
    <w:basedOn w:val="Normal"/>
    <w:autoRedefine/>
    <w:rsid w:val="008D68FC"/>
    <w:pPr>
      <w:widowControl w:val="0"/>
      <w:tabs>
        <w:tab w:val="num" w:pos="926"/>
      </w:tabs>
      <w:spacing w:after="200" w:line="360" w:lineRule="auto"/>
      <w:ind w:left="926" w:hanging="360"/>
      <w:jc w:val="both"/>
    </w:pPr>
    <w:rPr>
      <w:sz w:val="24"/>
      <w:lang w:val="fr-FR" w:eastAsia="fr-FR"/>
    </w:rPr>
  </w:style>
  <w:style w:type="paragraph" w:styleId="Listepuces4">
    <w:name w:val="List Bullet 4"/>
    <w:basedOn w:val="Normal"/>
    <w:autoRedefine/>
    <w:rsid w:val="008D68FC"/>
    <w:pPr>
      <w:widowControl w:val="0"/>
      <w:numPr>
        <w:numId w:val="1"/>
      </w:numPr>
      <w:spacing w:after="200" w:line="360" w:lineRule="auto"/>
      <w:jc w:val="both"/>
    </w:pPr>
    <w:rPr>
      <w:sz w:val="24"/>
      <w:lang w:val="fr-FR" w:eastAsia="fr-FR"/>
    </w:rPr>
  </w:style>
  <w:style w:type="paragraph" w:customStyle="1" w:styleId="Fi-le">
    <w:name w:val="Fi-le"/>
    <w:basedOn w:val="Normal"/>
    <w:rsid w:val="008D68FC"/>
    <w:pPr>
      <w:spacing w:after="200"/>
      <w:ind w:firstLine="284"/>
      <w:jc w:val="both"/>
    </w:pPr>
    <w:rPr>
      <w:sz w:val="24"/>
      <w:lang w:val="fr-FR" w:eastAsia="fr-FR"/>
    </w:rPr>
  </w:style>
  <w:style w:type="paragraph" w:styleId="Grillemoyenne2">
    <w:name w:val="Medium Grid 2"/>
    <w:rsid w:val="008D68FC"/>
    <w:pPr>
      <w:ind w:firstLine="284"/>
      <w:jc w:val="both"/>
    </w:pPr>
    <w:rPr>
      <w:rFonts w:ascii="Times New Roman" w:eastAsia="Times New Roman" w:hAnsi="Times New Roman"/>
      <w:sz w:val="28"/>
      <w:lang w:val="fr-FR" w:eastAsia="fr-FR"/>
    </w:rPr>
  </w:style>
  <w:style w:type="character" w:customStyle="1" w:styleId="toctoggle">
    <w:name w:val="toctoggle"/>
    <w:basedOn w:val="Policepardfaut"/>
    <w:rsid w:val="008D68FC"/>
  </w:style>
  <w:style w:type="character" w:customStyle="1" w:styleId="tocnumber">
    <w:name w:val="tocnumber"/>
    <w:basedOn w:val="Policepardfaut"/>
    <w:rsid w:val="008D68FC"/>
  </w:style>
  <w:style w:type="character" w:customStyle="1" w:styleId="toctext">
    <w:name w:val="toctext"/>
    <w:basedOn w:val="Policepardfaut"/>
    <w:rsid w:val="008D68FC"/>
  </w:style>
  <w:style w:type="character" w:customStyle="1" w:styleId="mw-headline">
    <w:name w:val="mw-headline"/>
    <w:basedOn w:val="Policepardfaut"/>
    <w:rsid w:val="008D68FC"/>
  </w:style>
  <w:style w:type="character" w:customStyle="1" w:styleId="mw-editsection">
    <w:name w:val="mw-editsection"/>
    <w:basedOn w:val="Policepardfaut"/>
    <w:rsid w:val="008D68FC"/>
  </w:style>
  <w:style w:type="character" w:customStyle="1" w:styleId="mw-editsection-bracket">
    <w:name w:val="mw-editsection-bracket"/>
    <w:basedOn w:val="Policepardfaut"/>
    <w:rsid w:val="008D68FC"/>
  </w:style>
  <w:style w:type="character" w:customStyle="1" w:styleId="mw-editsection-divider">
    <w:name w:val="mw-editsection-divider"/>
    <w:basedOn w:val="Policepardfaut"/>
    <w:rsid w:val="008D68FC"/>
  </w:style>
  <w:style w:type="character" w:customStyle="1" w:styleId="romain">
    <w:name w:val="romain"/>
    <w:basedOn w:val="Policepardfaut"/>
    <w:rsid w:val="008D68FC"/>
  </w:style>
  <w:style w:type="character" w:customStyle="1" w:styleId="mw-collapsible-toggle">
    <w:name w:val="mw-collapsible-toggle"/>
    <w:basedOn w:val="Policepardfaut"/>
    <w:rsid w:val="008D68FC"/>
  </w:style>
  <w:style w:type="character" w:customStyle="1" w:styleId="mw-collapsible-bracket">
    <w:name w:val="mw-collapsible-bracket"/>
    <w:basedOn w:val="Policepardfaut"/>
    <w:rsid w:val="008D68FC"/>
  </w:style>
  <w:style w:type="character" w:customStyle="1" w:styleId="noprint">
    <w:name w:val="noprint"/>
    <w:basedOn w:val="Policepardfaut"/>
    <w:rsid w:val="008D68FC"/>
  </w:style>
  <w:style w:type="character" w:customStyle="1" w:styleId="reference-text">
    <w:name w:val="reference-text"/>
    <w:basedOn w:val="Policepardfaut"/>
    <w:rsid w:val="008D68FC"/>
  </w:style>
  <w:style w:type="character" w:customStyle="1" w:styleId="indicateur-langue">
    <w:name w:val="indicateur-langue"/>
    <w:basedOn w:val="Policepardfaut"/>
    <w:rsid w:val="008D68FC"/>
  </w:style>
  <w:style w:type="paragraph" w:customStyle="1" w:styleId="titre0">
    <w:name w:val="titre"/>
    <w:basedOn w:val="Normal"/>
    <w:rsid w:val="008D68FC"/>
    <w:pPr>
      <w:spacing w:before="100" w:beforeAutospacing="1" w:after="100" w:afterAutospacing="1"/>
      <w:ind w:firstLine="284"/>
      <w:jc w:val="both"/>
    </w:pPr>
    <w:rPr>
      <w:sz w:val="24"/>
      <w:szCs w:val="24"/>
      <w:lang w:val="fr-FR" w:eastAsia="fr-FR"/>
    </w:rPr>
  </w:style>
  <w:style w:type="character" w:customStyle="1" w:styleId="project">
    <w:name w:val="project"/>
    <w:basedOn w:val="Policepardfaut"/>
    <w:rsid w:val="008D68FC"/>
  </w:style>
  <w:style w:type="character" w:customStyle="1" w:styleId="nowrap">
    <w:name w:val="nowrap"/>
    <w:basedOn w:val="Policepardfaut"/>
    <w:rsid w:val="008D68FC"/>
  </w:style>
  <w:style w:type="character" w:customStyle="1" w:styleId="ouvrage">
    <w:name w:val="ouvrage"/>
    <w:basedOn w:val="Policepardfaut"/>
    <w:rsid w:val="008D68FC"/>
  </w:style>
  <w:style w:type="character" w:customStyle="1" w:styleId="nomauteur">
    <w:name w:val="nom_auteur"/>
    <w:basedOn w:val="Policepardfaut"/>
    <w:rsid w:val="008D68FC"/>
  </w:style>
  <w:style w:type="character" w:styleId="CitationHTML">
    <w:name w:val="HTML Cite"/>
    <w:uiPriority w:val="99"/>
    <w:unhideWhenUsed/>
    <w:rsid w:val="008D68FC"/>
    <w:rPr>
      <w:i/>
      <w:iCs/>
    </w:rPr>
  </w:style>
  <w:style w:type="character" w:customStyle="1" w:styleId="z3988">
    <w:name w:val="z3988"/>
    <w:basedOn w:val="Policepardfaut"/>
    <w:rsid w:val="008D68FC"/>
  </w:style>
  <w:style w:type="character" w:customStyle="1" w:styleId="italique">
    <w:name w:val="italique"/>
    <w:rsid w:val="008D68FC"/>
  </w:style>
  <w:style w:type="character" w:customStyle="1" w:styleId="plainlinks">
    <w:name w:val="plainlinks"/>
    <w:rsid w:val="008D68FC"/>
  </w:style>
  <w:style w:type="character" w:styleId="lev">
    <w:name w:val="Strong"/>
    <w:uiPriority w:val="22"/>
    <w:qFormat/>
    <w:rsid w:val="008D68FC"/>
    <w:rPr>
      <w:b/>
      <w:bCs/>
    </w:rPr>
  </w:style>
  <w:style w:type="character" w:styleId="CodeHTML">
    <w:name w:val="HTML Code"/>
    <w:uiPriority w:val="99"/>
    <w:unhideWhenUsed/>
    <w:rsid w:val="008D68FC"/>
    <w:rPr>
      <w:rFonts w:ascii="Courier New" w:eastAsia="Times New Roman" w:hAnsi="Courier New" w:cs="Courier New"/>
      <w:sz w:val="20"/>
      <w:szCs w:val="20"/>
    </w:rPr>
  </w:style>
  <w:style w:type="character" w:customStyle="1" w:styleId="noarchive">
    <w:name w:val="noarchive"/>
    <w:rsid w:val="008D68FC"/>
  </w:style>
  <w:style w:type="character" w:customStyle="1" w:styleId="lang-en">
    <w:name w:val="lang-en"/>
    <w:rsid w:val="008D68FC"/>
  </w:style>
  <w:style w:type="character" w:customStyle="1" w:styleId="pageh">
    <w:name w:val="page_h"/>
    <w:rsid w:val="008D68FC"/>
  </w:style>
  <w:style w:type="character" w:customStyle="1" w:styleId="lang-grc">
    <w:name w:val="lang-grc"/>
    <w:rsid w:val="008D68FC"/>
  </w:style>
  <w:style w:type="character" w:customStyle="1" w:styleId="needref">
    <w:name w:val="need_ref"/>
    <w:rsid w:val="008D68FC"/>
  </w:style>
  <w:style w:type="paragraph" w:customStyle="1" w:styleId="Titredelarticle0">
    <w:name w:val="Titre de l'article"/>
    <w:basedOn w:val="Normal"/>
    <w:rsid w:val="008D68FC"/>
    <w:pPr>
      <w:autoSpaceDE w:val="0"/>
      <w:autoSpaceDN w:val="0"/>
      <w:adjustRightInd w:val="0"/>
      <w:spacing w:after="200"/>
      <w:ind w:firstLine="284"/>
      <w:jc w:val="center"/>
    </w:pPr>
    <w:rPr>
      <w:rFonts w:eastAsia="Calibri"/>
      <w:smallCaps/>
      <w:sz w:val="32"/>
      <w:szCs w:val="22"/>
      <w:lang w:val="en-US"/>
    </w:rPr>
  </w:style>
  <w:style w:type="paragraph" w:customStyle="1" w:styleId="Noms0">
    <w:name w:val="Noms"/>
    <w:basedOn w:val="Titredelarticle0"/>
    <w:rsid w:val="008D68FC"/>
    <w:pPr>
      <w:spacing w:before="480"/>
    </w:pPr>
    <w:rPr>
      <w:b/>
      <w:smallCaps w:val="0"/>
      <w:sz w:val="28"/>
    </w:rPr>
  </w:style>
  <w:style w:type="paragraph" w:customStyle="1" w:styleId="ATER">
    <w:name w:val="ATER"/>
    <w:basedOn w:val="Titredelarticle0"/>
    <w:rsid w:val="008D68FC"/>
    <w:pPr>
      <w:spacing w:before="240" w:after="480"/>
    </w:pPr>
    <w:rPr>
      <w:i/>
      <w:smallCaps w:val="0"/>
      <w:sz w:val="22"/>
    </w:rPr>
  </w:style>
  <w:style w:type="paragraph" w:customStyle="1" w:styleId="citations0">
    <w:name w:val="citations"/>
    <w:basedOn w:val="Normal"/>
    <w:qFormat/>
    <w:rsid w:val="008D68FC"/>
    <w:pPr>
      <w:spacing w:after="120"/>
      <w:ind w:left="567" w:firstLine="284"/>
      <w:jc w:val="both"/>
    </w:pPr>
    <w:rPr>
      <w:rFonts w:eastAsia="Calibri"/>
      <w:i/>
      <w:sz w:val="20"/>
      <w:szCs w:val="24"/>
      <w:lang w:val="fr-FR"/>
    </w:rPr>
  </w:style>
  <w:style w:type="character" w:customStyle="1" w:styleId="Appeldenotes">
    <w:name w:val="Appel de notes"/>
    <w:basedOn w:val="Policepardfaut"/>
    <w:rsid w:val="008D68FC"/>
    <w:rPr>
      <w:rFonts w:ascii="Times New Roman" w:hAnsi="Times New Roman"/>
      <w:sz w:val="24"/>
      <w:vertAlign w:val="superscript"/>
    </w:rPr>
  </w:style>
  <w:style w:type="table" w:styleId="Grilledutableau">
    <w:name w:val="Table Grid"/>
    <w:basedOn w:val="TableauNormal"/>
    <w:rsid w:val="00C17062"/>
    <w:rPr>
      <w:rFonts w:ascii="Cambria" w:eastAsia="Times New Roman" w:hAnsi="Cambria"/>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itation0">
    <w:name w:val="citation 0"/>
    <w:basedOn w:val="citation"/>
    <w:autoRedefine/>
    <w:rsid w:val="00662F2B"/>
    <w:pPr>
      <w:spacing w:before="0" w:after="0"/>
    </w:pPr>
  </w:style>
  <w:style w:type="paragraph" w:customStyle="1" w:styleId="a">
    <w:name w:val="a"/>
    <w:basedOn w:val="Normal"/>
    <w:autoRedefine/>
    <w:rsid w:val="008F3D20"/>
    <w:pPr>
      <w:spacing w:before="120" w:after="120"/>
      <w:ind w:firstLine="0"/>
    </w:pPr>
    <w:rPr>
      <w:b/>
      <w:i/>
      <w:color w:val="FF0000"/>
    </w:rPr>
  </w:style>
  <w:style w:type="paragraph" w:customStyle="1" w:styleId="b">
    <w:name w:val="b"/>
    <w:basedOn w:val="a"/>
    <w:autoRedefine/>
    <w:rsid w:val="00337B2C"/>
    <w:pPr>
      <w:ind w:left="1080"/>
    </w:pPr>
    <w:rPr>
      <w:b w:val="0"/>
      <w:color w:val="000090"/>
    </w:rPr>
  </w:style>
  <w:style w:type="paragraph" w:customStyle="1" w:styleId="Normal0">
    <w:name w:val="Normal +"/>
    <w:basedOn w:val="Normal"/>
    <w:rsid w:val="00D43693"/>
    <w:pPr>
      <w:spacing w:before="120" w:after="120"/>
      <w:jc w:val="both"/>
    </w:pPr>
  </w:style>
  <w:style w:type="paragraph" w:customStyle="1" w:styleId="c">
    <w:name w:val="c"/>
    <w:basedOn w:val="Normal0"/>
    <w:rsid w:val="00D43693"/>
    <w:pPr>
      <w:keepLines/>
      <w:ind w:firstLine="0"/>
      <w:jc w:val="center"/>
    </w:pPr>
    <w:rPr>
      <w:color w:val="FF0000"/>
    </w:rPr>
  </w:style>
  <w:style w:type="paragraph" w:customStyle="1" w:styleId="Citation00">
    <w:name w:val="Citation 0"/>
    <w:basedOn w:val="Grillecouleur-Accent1"/>
    <w:autoRedefine/>
    <w:rsid w:val="001C7895"/>
    <w:pPr>
      <w:tabs>
        <w:tab w:val="clear" w:pos="1080"/>
      </w:tabs>
      <w:spacing w:before="120" w:after="120"/>
      <w:ind w:left="720"/>
    </w:pPr>
    <w:rPr>
      <w:i w:val="0"/>
      <w:color w:val="000080"/>
      <w:vertAlign w:val="baseline"/>
    </w:rPr>
  </w:style>
  <w:style w:type="paragraph" w:customStyle="1" w:styleId="fig">
    <w:name w:val="fig"/>
    <w:basedOn w:val="Normal0"/>
    <w:autoRedefine/>
    <w:rsid w:val="00D43693"/>
    <w:pPr>
      <w:ind w:firstLine="0"/>
      <w:jc w:val="center"/>
    </w:pPr>
  </w:style>
  <w:style w:type="paragraph" w:customStyle="1" w:styleId="figtexte">
    <w:name w:val="fig texte"/>
    <w:basedOn w:val="Normal0"/>
    <w:autoRedefine/>
    <w:rsid w:val="00D43693"/>
    <w:rPr>
      <w:color w:val="000090"/>
      <w:sz w:val="24"/>
    </w:rPr>
  </w:style>
  <w:style w:type="paragraph" w:customStyle="1" w:styleId="figtextec">
    <w:name w:val="fig texte c"/>
    <w:basedOn w:val="figtexte"/>
    <w:autoRedefine/>
    <w:rsid w:val="00D43693"/>
    <w:pPr>
      <w:ind w:firstLine="0"/>
      <w:jc w:val="center"/>
    </w:pPr>
  </w:style>
  <w:style w:type="paragraph" w:customStyle="1" w:styleId="Heading1">
    <w:name w:val="Heading #1"/>
    <w:basedOn w:val="Normal"/>
    <w:rsid w:val="00D43693"/>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D43693"/>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D43693"/>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D43693"/>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D43693"/>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D43693"/>
  </w:style>
  <w:style w:type="character" w:customStyle="1" w:styleId="peb">
    <w:name w:val="_pe_b"/>
    <w:basedOn w:val="Policepardfaut"/>
    <w:rsid w:val="00D43693"/>
  </w:style>
  <w:style w:type="character" w:customStyle="1" w:styleId="bidiallowtextselection">
    <w:name w:val="bidi allowtextselection"/>
    <w:basedOn w:val="Policepardfaut"/>
    <w:rsid w:val="00D43693"/>
  </w:style>
  <w:style w:type="paragraph" w:customStyle="1" w:styleId="aa">
    <w:name w:val="aa"/>
    <w:basedOn w:val="Normal"/>
    <w:autoRedefine/>
    <w:rsid w:val="00D43693"/>
    <w:pPr>
      <w:spacing w:before="120" w:after="120"/>
    </w:pPr>
    <w:rPr>
      <w:b/>
      <w:i/>
      <w:color w:val="FF0000"/>
      <w:sz w:val="32"/>
      <w:lang w:bidi="fr-FR"/>
    </w:rPr>
  </w:style>
  <w:style w:type="paragraph" w:customStyle="1" w:styleId="bb">
    <w:name w:val="bb"/>
    <w:basedOn w:val="Normal"/>
    <w:rsid w:val="00D43693"/>
    <w:pPr>
      <w:spacing w:before="120" w:after="120"/>
      <w:ind w:left="540"/>
    </w:pPr>
    <w:rPr>
      <w:i/>
      <w:color w:val="0000FF"/>
      <w:lang w:bidi="fr-FR"/>
    </w:rPr>
  </w:style>
  <w:style w:type="paragraph" w:customStyle="1" w:styleId="dd">
    <w:name w:val="dd"/>
    <w:basedOn w:val="Normal"/>
    <w:autoRedefine/>
    <w:rsid w:val="00D43693"/>
    <w:pPr>
      <w:spacing w:before="120" w:after="120"/>
      <w:ind w:left="1080"/>
    </w:pPr>
    <w:rPr>
      <w:i/>
      <w:color w:val="008000"/>
      <w:lang w:bidi="fr-FR"/>
    </w:rPr>
  </w:style>
  <w:style w:type="paragraph" w:customStyle="1" w:styleId="figlgende">
    <w:name w:val="fig légende"/>
    <w:basedOn w:val="Normal0"/>
    <w:rsid w:val="00D43693"/>
    <w:pPr>
      <w:jc w:val="left"/>
    </w:pPr>
    <w:rPr>
      <w:color w:val="000090"/>
      <w:sz w:val="24"/>
      <w:szCs w:val="16"/>
      <w:lang w:eastAsia="fr-FR"/>
    </w:rPr>
  </w:style>
  <w:style w:type="paragraph" w:customStyle="1" w:styleId="figst">
    <w:name w:val="fig st"/>
    <w:basedOn w:val="Normal"/>
    <w:autoRedefine/>
    <w:rsid w:val="00D43693"/>
    <w:pPr>
      <w:spacing w:before="120" w:after="120"/>
      <w:jc w:val="center"/>
    </w:pPr>
    <w:rPr>
      <w:rFonts w:cs="Arial"/>
      <w:color w:val="000090"/>
      <w:szCs w:val="16"/>
    </w:rPr>
  </w:style>
  <w:style w:type="paragraph" w:customStyle="1" w:styleId="figtitre">
    <w:name w:val="fig titre"/>
    <w:basedOn w:val="Normal"/>
    <w:autoRedefine/>
    <w:rsid w:val="00D43693"/>
    <w:pPr>
      <w:spacing w:before="120" w:after="120"/>
      <w:jc w:val="center"/>
    </w:pPr>
    <w:rPr>
      <w:rFonts w:cs="Arial"/>
      <w:b/>
      <w:bCs/>
      <w:color w:val="000000"/>
      <w:sz w:val="24"/>
      <w:szCs w:val="12"/>
    </w:rPr>
  </w:style>
  <w:style w:type="paragraph" w:customStyle="1" w:styleId="figtitrest">
    <w:name w:val="fig titre st"/>
    <w:basedOn w:val="figtitre"/>
    <w:autoRedefine/>
    <w:rsid w:val="00D43693"/>
    <w:rPr>
      <w:b w:val="0"/>
      <w:color w:val="000090"/>
      <w:lang w:eastAsia="fr-FR" w:bidi="fr-FR"/>
    </w:rPr>
  </w:style>
  <w:style w:type="character" w:customStyle="1" w:styleId="Titre8Car">
    <w:name w:val="Titre 8 Car"/>
    <w:basedOn w:val="Policepardfaut"/>
    <w:link w:val="Titre8"/>
    <w:rsid w:val="00D43693"/>
    <w:rPr>
      <w:rFonts w:eastAsia="Times New Roman"/>
      <w:noProof/>
      <w:lang w:val="fr-CA" w:eastAsia="en-US" w:bidi="ar-SA"/>
    </w:rPr>
  </w:style>
  <w:style w:type="character" w:customStyle="1" w:styleId="Titre9Car">
    <w:name w:val="Titre 9 Car"/>
    <w:basedOn w:val="Policepardfaut"/>
    <w:link w:val="Titre9"/>
    <w:rsid w:val="00D43693"/>
    <w:rPr>
      <w:rFonts w:eastAsia="Times New Roman"/>
      <w:noProof/>
      <w:lang w:val="fr-CA" w:eastAsia="en-US" w:bidi="ar-SA"/>
    </w:rPr>
  </w:style>
  <w:style w:type="character" w:styleId="MachinecrireHTML">
    <w:name w:val="HTML Typewriter"/>
    <w:basedOn w:val="Policepardfaut"/>
    <w:rsid w:val="00CC3C16"/>
    <w:rPr>
      <w:rFonts w:ascii="Courier New" w:eastAsia="Times New Roman" w:hAnsi="Courier New" w:cs="Courier New"/>
      <w:sz w:val="20"/>
      <w:szCs w:val="20"/>
    </w:rPr>
  </w:style>
  <w:style w:type="paragraph" w:customStyle="1" w:styleId="Soustitre">
    <w:name w:val="Sous titre"/>
    <w:basedOn w:val="Normal"/>
    <w:rsid w:val="00CC3C16"/>
    <w:pPr>
      <w:spacing w:before="240" w:after="240"/>
      <w:ind w:firstLine="0"/>
      <w:jc w:val="center"/>
    </w:pPr>
    <w:rPr>
      <w:rFonts w:eastAsia="MS Mincho"/>
      <w:i/>
      <w:sz w:val="22"/>
      <w:szCs w:val="24"/>
      <w:lang w:val="fr-FR" w:eastAsia="fr-FR"/>
    </w:rPr>
  </w:style>
  <w:style w:type="paragraph" w:customStyle="1" w:styleId="Dfinitif">
    <w:name w:val="Définitif"/>
    <w:basedOn w:val="Paragraphes"/>
    <w:rsid w:val="00CC3C16"/>
    <w:pPr>
      <w:spacing w:after="0"/>
    </w:pPr>
    <w:rPr>
      <w:rFonts w:eastAsia="MS Mincho"/>
      <w:color w:val="0000FF"/>
      <w:sz w:val="22"/>
      <w:szCs w:val="24"/>
      <w:lang w:eastAsia="fr-FR"/>
    </w:rPr>
  </w:style>
  <w:style w:type="paragraph" w:styleId="TM1">
    <w:name w:val="toc 1"/>
    <w:basedOn w:val="Normal"/>
    <w:next w:val="Normal"/>
    <w:autoRedefine/>
    <w:uiPriority w:val="39"/>
    <w:unhideWhenUsed/>
    <w:rsid w:val="00CC3C16"/>
    <w:pPr>
      <w:shd w:val="clear" w:color="auto" w:fill="CCFFCC"/>
      <w:tabs>
        <w:tab w:val="right" w:leader="dot" w:pos="7910"/>
      </w:tabs>
      <w:spacing w:before="120"/>
      <w:ind w:firstLine="0"/>
    </w:pPr>
    <w:rPr>
      <w:rFonts w:eastAsia="MS Mincho"/>
      <w:sz w:val="22"/>
      <w:szCs w:val="24"/>
      <w:lang w:val="fr-FR" w:eastAsia="fr-FR"/>
    </w:rPr>
  </w:style>
  <w:style w:type="paragraph" w:styleId="TM2">
    <w:name w:val="toc 2"/>
    <w:basedOn w:val="Normal"/>
    <w:next w:val="Normal"/>
    <w:autoRedefine/>
    <w:uiPriority w:val="39"/>
    <w:unhideWhenUsed/>
    <w:rsid w:val="00CC3C16"/>
    <w:pPr>
      <w:shd w:val="clear" w:color="auto" w:fill="CCFFCC"/>
      <w:tabs>
        <w:tab w:val="right" w:leader="dot" w:pos="7910"/>
      </w:tabs>
      <w:ind w:left="220" w:firstLine="0"/>
      <w:jc w:val="center"/>
    </w:pPr>
    <w:rPr>
      <w:rFonts w:eastAsia="MS Mincho"/>
      <w:sz w:val="20"/>
      <w:szCs w:val="22"/>
      <w:lang w:val="fr-FR" w:eastAsia="fr-FR"/>
    </w:rPr>
  </w:style>
  <w:style w:type="paragraph" w:styleId="TM3">
    <w:name w:val="toc 3"/>
    <w:basedOn w:val="Normal"/>
    <w:next w:val="Normal"/>
    <w:autoRedefine/>
    <w:uiPriority w:val="39"/>
    <w:unhideWhenUsed/>
    <w:rsid w:val="00CC3C16"/>
    <w:pPr>
      <w:ind w:left="480" w:firstLine="0"/>
    </w:pPr>
    <w:rPr>
      <w:rFonts w:eastAsia="MS Mincho"/>
      <w:sz w:val="18"/>
      <w:szCs w:val="22"/>
      <w:lang w:val="fr-FR" w:eastAsia="fr-FR"/>
    </w:rPr>
  </w:style>
  <w:style w:type="paragraph" w:styleId="TM4">
    <w:name w:val="toc 4"/>
    <w:basedOn w:val="Normal"/>
    <w:next w:val="Normal"/>
    <w:autoRedefine/>
    <w:uiPriority w:val="39"/>
    <w:unhideWhenUsed/>
    <w:rsid w:val="00CC3C16"/>
    <w:pPr>
      <w:ind w:left="720" w:firstLine="0"/>
    </w:pPr>
    <w:rPr>
      <w:rFonts w:eastAsia="MS Mincho"/>
      <w:sz w:val="18"/>
      <w:szCs w:val="24"/>
      <w:lang w:val="fr-FR" w:eastAsia="fr-FR"/>
    </w:rPr>
  </w:style>
  <w:style w:type="paragraph" w:customStyle="1" w:styleId="rebut0">
    <w:name w:val="rebut"/>
    <w:basedOn w:val="Normal"/>
    <w:rsid w:val="00CC3C16"/>
    <w:pPr>
      <w:widowControl w:val="0"/>
      <w:autoSpaceDE w:val="0"/>
      <w:autoSpaceDN w:val="0"/>
      <w:adjustRightInd w:val="0"/>
      <w:spacing w:after="240"/>
      <w:ind w:firstLine="0"/>
      <w:jc w:val="both"/>
    </w:pPr>
    <w:rPr>
      <w:rFonts w:eastAsia="MS Mincho" w:cs="Times"/>
      <w:color w:val="FF0000"/>
      <w:sz w:val="22"/>
      <w:szCs w:val="22"/>
      <w:lang w:val="fr-FR" w:eastAsia="fr-FR"/>
    </w:rPr>
  </w:style>
  <w:style w:type="paragraph" w:styleId="TM5">
    <w:name w:val="toc 5"/>
    <w:basedOn w:val="Normal"/>
    <w:next w:val="Normal"/>
    <w:autoRedefine/>
    <w:uiPriority w:val="39"/>
    <w:unhideWhenUsed/>
    <w:rsid w:val="00CC3C16"/>
    <w:pPr>
      <w:ind w:left="880" w:firstLine="0"/>
      <w:jc w:val="both"/>
    </w:pPr>
    <w:rPr>
      <w:rFonts w:eastAsia="MS Mincho"/>
      <w:sz w:val="18"/>
      <w:szCs w:val="24"/>
      <w:lang w:val="fr-FR" w:eastAsia="es-ES"/>
    </w:rPr>
  </w:style>
  <w:style w:type="paragraph" w:customStyle="1" w:styleId="Titreduchapitre">
    <w:name w:val="Titre du chapitre"/>
    <w:basedOn w:val="Normal"/>
    <w:rsid w:val="00CC3C16"/>
    <w:pPr>
      <w:widowControl w:val="0"/>
      <w:autoSpaceDE w:val="0"/>
      <w:autoSpaceDN w:val="0"/>
      <w:adjustRightInd w:val="0"/>
      <w:ind w:firstLine="0"/>
      <w:jc w:val="center"/>
      <w:outlineLvl w:val="0"/>
    </w:pPr>
    <w:rPr>
      <w:rFonts w:eastAsia="MS Mincho"/>
      <w:smallCaps/>
      <w:szCs w:val="24"/>
      <w:lang w:val="en-US" w:eastAsia="fr-FR"/>
    </w:rPr>
  </w:style>
  <w:style w:type="paragraph" w:customStyle="1" w:styleId="Titre00">
    <w:name w:val="Titre 0"/>
    <w:aliases w:val="chapitre"/>
    <w:basedOn w:val="Normal"/>
    <w:rsid w:val="00CC3C16"/>
    <w:pPr>
      <w:widowControl w:val="0"/>
      <w:autoSpaceDE w:val="0"/>
      <w:autoSpaceDN w:val="0"/>
      <w:adjustRightInd w:val="0"/>
      <w:ind w:firstLine="0"/>
      <w:jc w:val="center"/>
      <w:outlineLvl w:val="0"/>
    </w:pPr>
    <w:rPr>
      <w:rFonts w:eastAsia="MS Mincho"/>
      <w:smallCaps/>
      <w:szCs w:val="24"/>
      <w:lang w:val="en-US" w:eastAsia="fr-FR"/>
    </w:rPr>
  </w:style>
  <w:style w:type="paragraph" w:customStyle="1" w:styleId="LHarmattan-titreouvrage">
    <w:name w:val="L'Harmattan - titre ouvrage"/>
    <w:basedOn w:val="Retraitnormal"/>
    <w:qFormat/>
    <w:rsid w:val="00CC3C16"/>
    <w:pPr>
      <w:spacing w:after="0"/>
    </w:pPr>
    <w:rPr>
      <w:rFonts w:eastAsia="MS Mincho"/>
      <w:noProof w:val="0"/>
      <w:sz w:val="22"/>
      <w:szCs w:val="24"/>
      <w:lang w:eastAsia="es-ES"/>
    </w:rPr>
  </w:style>
  <w:style w:type="paragraph" w:customStyle="1" w:styleId="LHarmattan-normal">
    <w:name w:val="L'Harmattan - normal"/>
    <w:qFormat/>
    <w:rsid w:val="00CC3C16"/>
    <w:pPr>
      <w:jc w:val="both"/>
    </w:pPr>
    <w:rPr>
      <w:rFonts w:ascii="Times New Roman" w:eastAsia="Times New Roman" w:hAnsi="Times New Roman"/>
      <w:sz w:val="22"/>
      <w:lang w:val="fr-FR" w:eastAsia="en-US"/>
    </w:rPr>
  </w:style>
  <w:style w:type="paragraph" w:customStyle="1" w:styleId="Harmattannormal">
    <w:name w:val="Harmattan normal"/>
    <w:link w:val="HarmattannormalCar"/>
    <w:qFormat/>
    <w:rsid w:val="00CC3C16"/>
    <w:pPr>
      <w:jc w:val="both"/>
    </w:pPr>
    <w:rPr>
      <w:rFonts w:ascii="Times New Roman" w:eastAsia="Times New Roman" w:hAnsi="Times New Roman"/>
      <w:sz w:val="22"/>
      <w:lang w:val="fr-FR" w:eastAsia="en-US"/>
    </w:rPr>
  </w:style>
  <w:style w:type="character" w:customStyle="1" w:styleId="HarmattannormalCar">
    <w:name w:val="Harmattan normal Car"/>
    <w:basedOn w:val="Policepardfaut"/>
    <w:link w:val="Harmattannormal"/>
    <w:rsid w:val="00CC3C16"/>
    <w:rPr>
      <w:rFonts w:ascii="Times New Roman" w:eastAsia="Times New Roman" w:hAnsi="Times New Roman"/>
      <w:sz w:val="22"/>
      <w:lang w:val="fr-FR" w:eastAsia="en-US" w:bidi="ar-SA"/>
    </w:rPr>
  </w:style>
  <w:style w:type="paragraph" w:customStyle="1" w:styleId="LHarmattan-titredulivre">
    <w:name w:val="L'Harmattan - titre du livre"/>
    <w:basedOn w:val="Titre5"/>
    <w:qFormat/>
    <w:rsid w:val="00CC3C16"/>
    <w:pPr>
      <w:keepNext/>
      <w:keepLines/>
      <w:spacing w:before="240" w:after="120"/>
      <w:ind w:firstLine="284"/>
      <w:jc w:val="both"/>
    </w:pPr>
    <w:rPr>
      <w:rFonts w:ascii="Times New Roman" w:eastAsia="MS Mincho" w:hAnsi="Times New Roman"/>
      <w:noProof w:val="0"/>
      <w:sz w:val="22"/>
      <w:szCs w:val="24"/>
      <w:lang w:val="fr-FR" w:eastAsia="fr-FR"/>
    </w:rPr>
  </w:style>
  <w:style w:type="paragraph" w:customStyle="1" w:styleId="LHarmattan-titre5">
    <w:name w:val="L'Harmattan - titre 5"/>
    <w:basedOn w:val="Titre5"/>
    <w:qFormat/>
    <w:rsid w:val="00CC3C16"/>
    <w:pPr>
      <w:keepNext/>
      <w:keepLines/>
      <w:spacing w:before="240" w:after="120"/>
      <w:ind w:firstLine="284"/>
      <w:jc w:val="both"/>
    </w:pPr>
    <w:rPr>
      <w:rFonts w:ascii="Times New Roman" w:eastAsia="MS Mincho" w:hAnsi="Times New Roman"/>
      <w:noProof w:val="0"/>
      <w:sz w:val="22"/>
      <w:szCs w:val="24"/>
      <w:lang w:val="fr-FR" w:eastAsia="fr-FR"/>
    </w:rPr>
  </w:style>
  <w:style w:type="paragraph" w:customStyle="1" w:styleId="Harmattantitre5">
    <w:name w:val="Harmattan titre 5"/>
    <w:basedOn w:val="Harmattannormal"/>
    <w:next w:val="Harmattanparagraphes"/>
    <w:qFormat/>
    <w:rsid w:val="00CC3C16"/>
    <w:pPr>
      <w:keepNext/>
      <w:keepLines/>
      <w:spacing w:before="240" w:after="120"/>
      <w:ind w:firstLine="284"/>
      <w:outlineLvl w:val="6"/>
    </w:pPr>
  </w:style>
  <w:style w:type="paragraph" w:customStyle="1" w:styleId="Harmattanlivre">
    <w:name w:val="Harmattan livre"/>
    <w:basedOn w:val="Harmattannormal"/>
    <w:qFormat/>
    <w:rsid w:val="00CC3C16"/>
    <w:pPr>
      <w:jc w:val="center"/>
    </w:pPr>
    <w:rPr>
      <w:sz w:val="32"/>
      <w:szCs w:val="32"/>
    </w:rPr>
  </w:style>
  <w:style w:type="paragraph" w:customStyle="1" w:styleId="Harmattanchapitre">
    <w:name w:val="Harmattan chapitre"/>
    <w:basedOn w:val="Harmattannormal"/>
    <w:next w:val="Harmattanparagraphes"/>
    <w:qFormat/>
    <w:rsid w:val="00CC3C16"/>
    <w:pPr>
      <w:jc w:val="center"/>
      <w:outlineLvl w:val="1"/>
    </w:pPr>
    <w:rPr>
      <w:smallCaps/>
      <w:sz w:val="28"/>
      <w:szCs w:val="28"/>
    </w:rPr>
  </w:style>
  <w:style w:type="paragraph" w:customStyle="1" w:styleId="Harmattantitre1">
    <w:name w:val="Harmattan titre 1"/>
    <w:basedOn w:val="Harmattannormal"/>
    <w:next w:val="Harmattanparagraphes"/>
    <w:qFormat/>
    <w:rsid w:val="00CC3C16"/>
    <w:pPr>
      <w:keepNext/>
      <w:keepLines/>
      <w:spacing w:before="240" w:after="120"/>
      <w:outlineLvl w:val="2"/>
    </w:pPr>
    <w:rPr>
      <w:b/>
    </w:rPr>
  </w:style>
  <w:style w:type="paragraph" w:customStyle="1" w:styleId="Harmattantitre2">
    <w:name w:val="Harmattan titre 2"/>
    <w:basedOn w:val="Harmattannormal"/>
    <w:next w:val="Harmattanparagraphes"/>
    <w:qFormat/>
    <w:rsid w:val="00CC3C16"/>
    <w:pPr>
      <w:keepNext/>
      <w:keepLines/>
      <w:spacing w:before="240" w:after="120"/>
      <w:outlineLvl w:val="3"/>
    </w:pPr>
    <w:rPr>
      <w:b/>
      <w:i/>
    </w:rPr>
  </w:style>
  <w:style w:type="paragraph" w:customStyle="1" w:styleId="Harmattantitre3">
    <w:name w:val="Harmattan titre 3"/>
    <w:basedOn w:val="Harmattannormal"/>
    <w:next w:val="Harmattanparagraphes"/>
    <w:qFormat/>
    <w:rsid w:val="00CC3C16"/>
    <w:pPr>
      <w:keepNext/>
      <w:keepLines/>
      <w:spacing w:before="240" w:after="120"/>
      <w:outlineLvl w:val="4"/>
    </w:pPr>
    <w:rPr>
      <w:i/>
    </w:rPr>
  </w:style>
  <w:style w:type="paragraph" w:customStyle="1" w:styleId="Harmattantitre4">
    <w:name w:val="Harmattan titre 4"/>
    <w:basedOn w:val="Harmattannormal"/>
    <w:next w:val="Harmattanparagraphes"/>
    <w:qFormat/>
    <w:rsid w:val="00CC3C16"/>
    <w:pPr>
      <w:keepNext/>
      <w:keepLines/>
      <w:spacing w:before="240" w:after="120"/>
      <w:outlineLvl w:val="5"/>
    </w:pPr>
  </w:style>
  <w:style w:type="paragraph" w:customStyle="1" w:styleId="Harmattanparagraphes">
    <w:name w:val="Harmattan paragraphes"/>
    <w:basedOn w:val="Harmattannormal"/>
    <w:qFormat/>
    <w:rsid w:val="00CC3C16"/>
    <w:pPr>
      <w:ind w:firstLine="284"/>
    </w:pPr>
  </w:style>
  <w:style w:type="paragraph" w:customStyle="1" w:styleId="Harmattanpartie">
    <w:name w:val="Harmattan partie"/>
    <w:basedOn w:val="Harmattannormal"/>
    <w:next w:val="Harmattanparagraphes"/>
    <w:qFormat/>
    <w:rsid w:val="00CC3C16"/>
    <w:pPr>
      <w:keepLines/>
      <w:jc w:val="center"/>
      <w:outlineLvl w:val="0"/>
    </w:pPr>
    <w:rPr>
      <w:b/>
      <w:bCs/>
      <w:caps/>
      <w:sz w:val="28"/>
      <w:szCs w:val="28"/>
    </w:rPr>
  </w:style>
  <w:style w:type="paragraph" w:customStyle="1" w:styleId="Harmattancitation">
    <w:name w:val="Harmattan citation"/>
    <w:basedOn w:val="Harmattannormal"/>
    <w:next w:val="Harmattanparagraphes"/>
    <w:qFormat/>
    <w:rsid w:val="00CC3C16"/>
    <w:pPr>
      <w:ind w:left="284" w:right="284"/>
    </w:pPr>
    <w:rPr>
      <w:sz w:val="20"/>
    </w:rPr>
  </w:style>
  <w:style w:type="paragraph" w:styleId="TM6">
    <w:name w:val="toc 6"/>
    <w:basedOn w:val="Normal"/>
    <w:next w:val="Normal"/>
    <w:autoRedefine/>
    <w:uiPriority w:val="39"/>
    <w:unhideWhenUsed/>
    <w:rsid w:val="00CC3C16"/>
    <w:pPr>
      <w:ind w:left="960" w:firstLine="0"/>
    </w:pPr>
    <w:rPr>
      <w:rFonts w:eastAsia="MS Mincho" w:cs="Calibri"/>
      <w:sz w:val="18"/>
      <w:szCs w:val="24"/>
      <w:lang w:val="fr-FR" w:eastAsia="fr-FR"/>
    </w:rPr>
  </w:style>
  <w:style w:type="paragraph" w:customStyle="1" w:styleId="Default">
    <w:name w:val="Default"/>
    <w:rsid w:val="00CC3C16"/>
    <w:pPr>
      <w:widowControl w:val="0"/>
      <w:autoSpaceDE w:val="0"/>
      <w:autoSpaceDN w:val="0"/>
      <w:adjustRightInd w:val="0"/>
    </w:pPr>
    <w:rPr>
      <w:rFonts w:ascii="Times New Roman" w:eastAsia="Times New Roman" w:hAnsi="Times New Roman"/>
      <w:color w:val="000000"/>
      <w:sz w:val="24"/>
      <w:szCs w:val="24"/>
      <w:lang w:val="fr-FR" w:eastAsia="fr-FR"/>
    </w:rPr>
  </w:style>
  <w:style w:type="paragraph" w:customStyle="1" w:styleId="Style1">
    <w:name w:val="Style1"/>
    <w:basedOn w:val="Normal"/>
    <w:qFormat/>
    <w:rsid w:val="00CC3C16"/>
    <w:pPr>
      <w:spacing w:after="120"/>
      <w:ind w:firstLine="567"/>
      <w:jc w:val="both"/>
    </w:pPr>
    <w:rPr>
      <w:rFonts w:eastAsia="MS Mincho"/>
      <w:sz w:val="22"/>
      <w:szCs w:val="24"/>
      <w:lang w:val="fr-FR" w:eastAsia="fr-FR"/>
    </w:rPr>
  </w:style>
  <w:style w:type="paragraph" w:styleId="TM7">
    <w:name w:val="toc 7"/>
    <w:basedOn w:val="Normal"/>
    <w:next w:val="Normal"/>
    <w:autoRedefine/>
    <w:uiPriority w:val="39"/>
    <w:unhideWhenUsed/>
    <w:rsid w:val="00CC3C16"/>
    <w:pPr>
      <w:ind w:left="1320" w:firstLine="0"/>
      <w:jc w:val="both"/>
    </w:pPr>
    <w:rPr>
      <w:rFonts w:eastAsia="MS Mincho"/>
      <w:sz w:val="22"/>
      <w:szCs w:val="24"/>
      <w:lang w:val="fr-FR" w:eastAsia="fr-FR"/>
    </w:rPr>
  </w:style>
  <w:style w:type="paragraph" w:styleId="TM8">
    <w:name w:val="toc 8"/>
    <w:basedOn w:val="Normal"/>
    <w:next w:val="Normal"/>
    <w:autoRedefine/>
    <w:uiPriority w:val="39"/>
    <w:unhideWhenUsed/>
    <w:rsid w:val="00CC3C16"/>
    <w:pPr>
      <w:ind w:left="1540" w:firstLine="0"/>
      <w:jc w:val="both"/>
    </w:pPr>
    <w:rPr>
      <w:rFonts w:eastAsia="MS Mincho"/>
      <w:sz w:val="22"/>
      <w:szCs w:val="24"/>
      <w:lang w:val="fr-FR" w:eastAsia="fr-FR"/>
    </w:rPr>
  </w:style>
  <w:style w:type="paragraph" w:styleId="TM9">
    <w:name w:val="toc 9"/>
    <w:basedOn w:val="Normal"/>
    <w:next w:val="Normal"/>
    <w:autoRedefine/>
    <w:uiPriority w:val="39"/>
    <w:unhideWhenUsed/>
    <w:rsid w:val="00CC3C16"/>
    <w:pPr>
      <w:ind w:left="1760" w:firstLine="0"/>
      <w:jc w:val="both"/>
    </w:pPr>
    <w:rPr>
      <w:rFonts w:eastAsia="MS Mincho"/>
      <w:sz w:val="22"/>
      <w:szCs w:val="24"/>
      <w:lang w:val="fr-FR" w:eastAsia="fr-FR"/>
    </w:rPr>
  </w:style>
  <w:style w:type="character" w:styleId="Grillemoyenne1">
    <w:name w:val="Medium Grid 1"/>
    <w:basedOn w:val="Policepardfaut"/>
    <w:uiPriority w:val="99"/>
    <w:rsid w:val="00CC3C16"/>
    <w:rPr>
      <w:color w:val="808080"/>
    </w:rPr>
  </w:style>
  <w:style w:type="paragraph" w:styleId="Tramecouleur-Accent1">
    <w:name w:val="Colorful Shading Accent 1"/>
    <w:hidden/>
    <w:uiPriority w:val="99"/>
    <w:rsid w:val="00CC3C16"/>
    <w:rPr>
      <w:rFonts w:ascii="Times New Roman" w:eastAsia="MS Mincho" w:hAnsi="Times New Roman"/>
      <w:sz w:val="22"/>
      <w:szCs w:val="24"/>
      <w:lang w:val="fr-FR" w:eastAsia="fr-FR"/>
    </w:rPr>
  </w:style>
  <w:style w:type="character" w:customStyle="1" w:styleId="UnresolvedMention">
    <w:name w:val="Unresolved Mention"/>
    <w:basedOn w:val="Policepardfaut"/>
    <w:uiPriority w:val="99"/>
    <w:rsid w:val="00CC3C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hyperlink" Target="http://classiques.uqac.ca/contemporains/Xu_Zhen_Zhou/politique_chez_legistes_chinois/legistes_chinois.html" TargetMode="External"/><Relationship Id="rId26" Type="http://schemas.openxmlformats.org/officeDocument/2006/relationships/hyperlink" Target="http://cairn.info/revue-mouvements-2005-1-page72" TargetMode="External"/><Relationship Id="rId3" Type="http://schemas.openxmlformats.org/officeDocument/2006/relationships/settings" Target="settings.xml"/><Relationship Id="rId21" Type="http://schemas.openxmlformats.org/officeDocument/2006/relationships/hyperlink" Target="http://www.croire.com/Themes/Etapes-de-la-vie/Mariage" TargetMode="External"/><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hyperlink" Target="http://russeeurope.hypotheses.org/799"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classiques.uqac.ca/contemporains/berges_michel/Analyser_les_idees_politiques/Analyser_les_idees_politiques.html" TargetMode="External"/><Relationship Id="rId5" Type="http://schemas.openxmlformats.org/officeDocument/2006/relationships/footnotes" Target="footnotes.xml"/><Relationship Id="rId15" Type="http://schemas.openxmlformats.org/officeDocument/2006/relationships/hyperlink" Target="mailto:michel.berges@free.fr"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futura-sciences.com/sciences/dossiers/anthropologie-hommes-nom-famille-homo-711/page/7/"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yperlink" Target="http://adlc.hypotheses.org" TargetMode="External"/><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26" Type="http://schemas.openxmlformats.org/officeDocument/2006/relationships/hyperlink" Target="http://dx.doi.org/doi:10.1522/030151508" TargetMode="External"/><Relationship Id="rId21" Type="http://schemas.openxmlformats.org/officeDocument/2006/relationships/hyperlink" Target="https://journals.openedition.org/dossiersgrihl/5748" TargetMode="External"/><Relationship Id="rId42" Type="http://schemas.openxmlformats.org/officeDocument/2006/relationships/hyperlink" Target="https://www.nature.com/news/2011/110627/full/news.2011.385.html" TargetMode="External"/><Relationship Id="rId47" Type="http://schemas.openxmlformats.org/officeDocument/2006/relationships/hyperlink" Target="http://dx.doi.org/doi:10.1522/cla.tep.phe" TargetMode="External"/><Relationship Id="rId63" Type="http://schemas.openxmlformats.org/officeDocument/2006/relationships/hyperlink" Target="http://www.assemblee-nationale.fr/histoire/Chaban1969.asp" TargetMode="External"/><Relationship Id="rId68" Type="http://schemas.openxmlformats.org/officeDocument/2006/relationships/hyperlink" Target="http://www.lexpress.fr/education/la-finlande-eldorado-de-l-education_1295649.html" TargetMode="External"/><Relationship Id="rId16" Type="http://schemas.openxmlformats.org/officeDocument/2006/relationships/hyperlink" Target="http://dx.doi.org/doi:10.1522/cla.grm.pen" TargetMode="External"/><Relationship Id="rId11" Type="http://schemas.openxmlformats.org/officeDocument/2006/relationships/hyperlink" Target="https://chine.in/fichiers/petit-livre-rouge.pdf" TargetMode="External"/><Relationship Id="rId24" Type="http://schemas.openxmlformats.org/officeDocument/2006/relationships/hyperlink" Target="http://classiques.uqac.ca/classiques/lenine/maladie_infantile_du_communisme/maladie_infantile.html" TargetMode="External"/><Relationship Id="rId32" Type="http://schemas.openxmlformats.org/officeDocument/2006/relationships/hyperlink" Target="http://www.pilefacelis.com/sollers/img" TargetMode="External"/><Relationship Id="rId37" Type="http://schemas.openxmlformats.org/officeDocument/2006/relationships/hyperlink" Target="http://www.metezulle.fr" TargetMode="External"/><Relationship Id="rId40" Type="http://schemas.openxmlformats.org/officeDocument/2006/relationships/hyperlink" Target="file://localhost/euillez%20utiliser%20cette%20adresse%20(DOI)%20pour%20citer%20ce%20document/%20http/::dx.doi.org:doi/10.1522:030178992" TargetMode="External"/><Relationship Id="rId45" Type="http://schemas.openxmlformats.org/officeDocument/2006/relationships/hyperlink" Target="http://dx.doi.org/doi:10.1522/cla.tep.phe" TargetMode="External"/><Relationship Id="rId53" Type="http://schemas.openxmlformats.org/officeDocument/2006/relationships/hyperlink" Target="https://laportelatine.org/" TargetMode="External"/><Relationship Id="rId58" Type="http://schemas.openxmlformats.org/officeDocument/2006/relationships/hyperlink" Target="https://www.lemonde.fr/idees/article/2014/05/20/le-modele-des-pays-nordiques-est-une-vraie-alternative-a-l-economie-de-l-offre_4421802_3232.html" TargetMode="External"/><Relationship Id="rId66" Type="http://schemas.openxmlformats.org/officeDocument/2006/relationships/hyperlink" Target="http://www.atlantico.fr/decryptage/faut-que-inspirions-davantage-modele-nordique-francois-charles-mougel-630911.html" TargetMode="External"/><Relationship Id="rId74" Type="http://schemas.openxmlformats.org/officeDocument/2006/relationships/hyperlink" Target="http://liberaletsocial.free.fr/?144/Le_miracle_danois_un_modele_pour_la_France" TargetMode="External"/><Relationship Id="rId79" Type="http://schemas.openxmlformats.org/officeDocument/2006/relationships/hyperlink" Target="http://dx.doi.org/doi:10.1522/cla.wem.eth" TargetMode="External"/><Relationship Id="rId5" Type="http://schemas.openxmlformats.org/officeDocument/2006/relationships/hyperlink" Target="http://dx.doi.org/doi:10.1522/030145294" TargetMode="External"/><Relationship Id="rId61" Type="http://schemas.openxmlformats.org/officeDocument/2006/relationships/hyperlink" Target="http://dx.doi.org/doi:10.1522/cla.moc.del8" TargetMode="External"/><Relationship Id="rId19" Type="http://schemas.openxmlformats.org/officeDocument/2006/relationships/hyperlink" Target="http://dx.doi.org/doi:10.1522/030145294" TargetMode="External"/><Relationship Id="rId14" Type="http://schemas.openxmlformats.org/officeDocument/2006/relationships/hyperlink" Target="https://fr.wikipedia.org/wiki/Morale" TargetMode="External"/><Relationship Id="rId22" Type="http://schemas.openxmlformats.org/officeDocument/2006/relationships/hyperlink" Target="http://ccrh.revues.org/2535" TargetMode="External"/><Relationship Id="rId27" Type="http://schemas.openxmlformats.org/officeDocument/2006/relationships/hyperlink" Target="http://juspoliticum.com/article/Jean-Francois-Kervegan-Que-faire-de-Carl-Schmitt-Paris-Gallimard-2011-552.html" TargetMode="External"/><Relationship Id="rId30" Type="http://schemas.openxmlformats.org/officeDocument/2006/relationships/hyperlink" Target="http://www.actu-philosophia.com" TargetMode="External"/><Relationship Id="rId35" Type="http://schemas.openxmlformats.org/officeDocument/2006/relationships/hyperlink" Target="http://www.parolesdesjours.fr" TargetMode="External"/><Relationship Id="rId43" Type="http://schemas.openxmlformats.org/officeDocument/2006/relationships/hyperlink" Target="http://hubblesite.org/pubinfo/pdf/2011/36/pdf.pdf" TargetMode="External"/><Relationship Id="rId48" Type="http://schemas.openxmlformats.org/officeDocument/2006/relationships/hyperlink" Target="http://dx.doi.org/doi:10.1522/cla.tep.phe" TargetMode="External"/><Relationship Id="rId56" Type="http://schemas.openxmlformats.org/officeDocument/2006/relationships/hyperlink" Target="http://www.nouvelobs.com/tag/afp" TargetMode="External"/><Relationship Id="rId64" Type="http://schemas.openxmlformats.org/officeDocument/2006/relationships/hyperlink" Target="https://www.marianne.net/monde/le-modele-suedois-bout-de-souffle" TargetMode="External"/><Relationship Id="rId69" Type="http://schemas.openxmlformats.org/officeDocument/2006/relationships/hyperlink" Target="https://www.youtube.com/watch?v=g0dTKLvqIdo" TargetMode="External"/><Relationship Id="rId77" Type="http://schemas.openxmlformats.org/officeDocument/2006/relationships/hyperlink" Target="http://sharingsweden.se/wp-content/uploads/2015/06/Sverigefoldern-engelska-i-A5-format.pdf" TargetMode="External"/><Relationship Id="rId8" Type="http://schemas.openxmlformats.org/officeDocument/2006/relationships/hyperlink" Target="http://www.persee.fr/doc/bec_03736237_1980" TargetMode="External"/><Relationship Id="rId51" Type="http://schemas.openxmlformats.org/officeDocument/2006/relationships/hyperlink" Target="http://classiques.uqac.ca/classiques/chardin_teilhard_de/activation_de_energie/activation_de_energie.html" TargetMode="External"/><Relationship Id="rId72" Type="http://schemas.openxmlformats.org/officeDocument/2006/relationships/hyperlink" Target="https://www.nouvelobs.com/education/20131030.OBS3283/ecole-les-bonnes-recettes-de-la-finlande.html" TargetMode="External"/><Relationship Id="rId80" Type="http://schemas.openxmlformats.org/officeDocument/2006/relationships/hyperlink" Target="http://dx.doi.org/doi:10.1522/030174907" TargetMode="External"/><Relationship Id="rId3" Type="http://schemas.openxmlformats.org/officeDocument/2006/relationships/hyperlink" Target="http://dx.doi.org/doi:10.1522/030298431" TargetMode="External"/><Relationship Id="rId12" Type="http://schemas.openxmlformats.org/officeDocument/2006/relationships/hyperlink" Target="https://fr.wikipedia.org/wiki/Affiche" TargetMode="External"/><Relationship Id="rId17" Type="http://schemas.openxmlformats.org/officeDocument/2006/relationships/hyperlink" Target="http://dx.doi.org/doi:10.1522/cla.grm.civ" TargetMode="External"/><Relationship Id="rId25" Type="http://schemas.openxmlformats.org/officeDocument/2006/relationships/hyperlink" Target="http://classiques.uqac.ca/classiques/Lukacs_gyorgy/histoire_conscience/Histoire_conscience.doc" TargetMode="External"/><Relationship Id="rId33" Type="http://schemas.openxmlformats.org/officeDocument/2006/relationships/hyperlink" Target="http://www.skildy.blog.lemonde.fr" TargetMode="External"/><Relationship Id="rId38" Type="http://schemas.openxmlformats.org/officeDocument/2006/relationships/hyperlink" Target="http://www.slate.fr" TargetMode="External"/><Relationship Id="rId46" Type="http://schemas.openxmlformats.org/officeDocument/2006/relationships/hyperlink" Target="http://dx.doi.org/doi:10.1522/cla.tep.phe" TargetMode="External"/><Relationship Id="rId59" Type="http://schemas.openxmlformats.org/officeDocument/2006/relationships/hyperlink" Target="http://archives.lesechos.fr/archives/cercle/2014/06/17/cercle_99951.htm" TargetMode="External"/><Relationship Id="rId67" Type="http://schemas.openxmlformats.org/officeDocument/2006/relationships/hyperlink" Target="http://www.lejdd.fr/Politique/Emploi-Valls-vante-le-modele-danois-703220" TargetMode="External"/><Relationship Id="rId20" Type="http://schemas.openxmlformats.org/officeDocument/2006/relationships/hyperlink" Target="http://www.musimem.com/Symbolique_systemes_musicaux.pdf" TargetMode="External"/><Relationship Id="rId41" Type="http://schemas.openxmlformats.org/officeDocument/2006/relationships/hyperlink" Target="http://dx.doi.org/doi:10.1522/030431012" TargetMode="External"/><Relationship Id="rId54" Type="http://schemas.openxmlformats.org/officeDocument/2006/relationships/hyperlink" Target="http://dx.doi.org/doi:10.1522/030269801" TargetMode="External"/><Relationship Id="rId62" Type="http://schemas.openxmlformats.org/officeDocument/2006/relationships/hyperlink" Target="http://dx.doi.org/doi:10.1522/030174904" TargetMode="External"/><Relationship Id="rId70" Type="http://schemas.openxmlformats.org/officeDocument/2006/relationships/hyperlink" Target="http://www.lereel.fr/2013/06/15/la-suede-un-modele-pour-les-sympathisants-lgbt/" TargetMode="External"/><Relationship Id="rId75" Type="http://schemas.openxmlformats.org/officeDocument/2006/relationships/hyperlink" Target="http://www.lepoint.fr/politique/valls-loue-le-modele-danois-contre-le-chomage-28-11-2014-1885167_20.php" TargetMode="External"/><Relationship Id="rId1" Type="http://schemas.openxmlformats.org/officeDocument/2006/relationships/hyperlink" Target="http://classiques.uqac.ca/contemporains/Xu_Zhen_Zhou/politique_chez_legistes_chinois/legistes_chinois.html" TargetMode="External"/><Relationship Id="rId6" Type="http://schemas.openxmlformats.org/officeDocument/2006/relationships/hyperlink" Target="http://dx.doi.org/doi:10.1522/cla.roj.duc" TargetMode="External"/><Relationship Id="rId15" Type="http://schemas.openxmlformats.org/officeDocument/2006/relationships/hyperlink" Target="http://www.saintbrieuc-treguier.catholique.fr/" TargetMode="External"/><Relationship Id="rId23" Type="http://schemas.openxmlformats.org/officeDocument/2006/relationships/hyperlink" Target="http://dx.doi.org/doi:10.1522/030174837" TargetMode="External"/><Relationship Id="rId28" Type="http://schemas.openxmlformats.org/officeDocument/2006/relationships/hyperlink" Target="http://labyrinthe.revues.org" TargetMode="External"/><Relationship Id="rId36" Type="http://schemas.openxmlformats.org/officeDocument/2006/relationships/hyperlink" Target="http://www.actu-philosophia.com" TargetMode="External"/><Relationship Id="rId49" Type="http://schemas.openxmlformats.org/officeDocument/2006/relationships/hyperlink" Target="http://www.associationlyonnaise-teilhard.com/archives/2011/02" TargetMode="External"/><Relationship Id="rId57" Type="http://schemas.openxmlformats.org/officeDocument/2006/relationships/hyperlink" Target="https://www.20minutes.fr/monde/1490295-20141128-manuel-valls-danemark-pays-flexisecurite" TargetMode="External"/><Relationship Id="rId10" Type="http://schemas.openxmlformats.org/officeDocument/2006/relationships/hyperlink" Target="http://www.universalis.fr/encyclopedie/chine-politique-religieuse/" TargetMode="External"/><Relationship Id="rId31" Type="http://schemas.openxmlformats.org/officeDocument/2006/relationships/hyperlink" Target="http://lherbentrelepaves.fr" TargetMode="External"/><Relationship Id="rId44" Type="http://schemas.openxmlformats.org/officeDocument/2006/relationships/hyperlink" Target="http://dx.doi.org/doi:10.1522/cla.beh.pen" TargetMode="External"/><Relationship Id="rId52" Type="http://schemas.openxmlformats.org/officeDocument/2006/relationships/hyperlink" Target="http://dx.doi.org/doi:10.1522/cla.tep.phe" TargetMode="External"/><Relationship Id="rId60" Type="http://schemas.openxmlformats.org/officeDocument/2006/relationships/hyperlink" Target="http://racines.traditions.free.fr/hyperbor%20/mytpolno.pdf" TargetMode="External"/><Relationship Id="rId65" Type="http://schemas.openxmlformats.org/officeDocument/2006/relationships/hyperlink" Target="https://www.la-croix.com/Actualite/Monde/Parite-en-politique-le-modele-suedois-_NG_-2012-05-17-807552" TargetMode="External"/><Relationship Id="rId73" Type="http://schemas.openxmlformats.org/officeDocument/2006/relationships/hyperlink" Target="http://www.ina.fr/video/CAA7600539701" TargetMode="External"/><Relationship Id="rId78" Type="http://schemas.openxmlformats.org/officeDocument/2006/relationships/hyperlink" Target="http://dx.doi.org/doi:10.1522/cla.toa.dem2" TargetMode="External"/><Relationship Id="rId4" Type="http://schemas.openxmlformats.org/officeDocument/2006/relationships/hyperlink" Target="http://ugo.bratelli.free.fr/Platon/PlatonRepublique.pdf" TargetMode="External"/><Relationship Id="rId9" Type="http://schemas.openxmlformats.org/officeDocument/2006/relationships/hyperlink" Target="http://dx.doi.org/doi:10.1522/cla.lan.cla" TargetMode="External"/><Relationship Id="rId13" Type="http://schemas.openxmlformats.org/officeDocument/2006/relationships/hyperlink" Target="https://fr.wikipedia.org/wiki/Politique" TargetMode="External"/><Relationship Id="rId18" Type="http://schemas.openxmlformats.org/officeDocument/2006/relationships/hyperlink" Target="http://classiques.uqac.ca/contemporains/Xu_Zhen_Zhou/politique_chez_legistes_chinois/legistes_chinois.html" TargetMode="External"/><Relationship Id="rId39" Type="http://schemas.openxmlformats.org/officeDocument/2006/relationships/hyperlink" Target="http://www.samizdat.qc.ca/arts/lit/Pascal/Pensees_brunschvicg.pdf" TargetMode="External"/><Relationship Id="rId34" Type="http://schemas.openxmlformats.org/officeDocument/2006/relationships/hyperlink" Target="http://www.slate.fr" TargetMode="External"/><Relationship Id="rId50" Type="http://schemas.openxmlformats.org/officeDocument/2006/relationships/hyperlink" Target="http://ugo.bratelli.free.fr/Platon/PlatonRepublique.pdf" TargetMode="External"/><Relationship Id="rId55" Type="http://schemas.openxmlformats.org/officeDocument/2006/relationships/hyperlink" Target="https://rmc.bfmtv.com/emission/apres-les-attentats-de-copenhague-la-deradicalisation-made-in-danemark-en-question-864149.html" TargetMode="External"/><Relationship Id="rId76" Type="http://schemas.openxmlformats.org/officeDocument/2006/relationships/hyperlink" Target="http://www.leparisien.fr/politique/royal-admire-le-modele-suedois-04-07-2006-2007133650.php" TargetMode="External"/><Relationship Id="rId7" Type="http://schemas.openxmlformats.org/officeDocument/2006/relationships/hyperlink" Target="http://classiques.uqac.ca/classiques/mauss_marcel/socio_et_anthropo/0_introduction/intro_texte.html" TargetMode="External"/><Relationship Id="rId71" Type="http://schemas.openxmlformats.org/officeDocument/2006/relationships/hyperlink" Target="https://www.lemonde.fr/economie/article/2014/03/28/au-danemark-pays-de-la-flexisecurite-le-chomage-est-au-plus-bas_4391367_3234.html" TargetMode="External"/><Relationship Id="rId2" Type="http://schemas.openxmlformats.org/officeDocument/2006/relationships/hyperlink" Target="http://dx.doi.org/doi:10.1522/030155174" TargetMode="External"/><Relationship Id="rId29" Type="http://schemas.openxmlformats.org/officeDocument/2006/relationships/hyperlink" Target="http://www.cjg.be"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179894</Words>
  <Characters>989420</Characters>
  <Application>Microsoft Office Word</Application>
  <DocSecurity>0</DocSecurity>
  <Lines>8245</Lines>
  <Paragraphs>2333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Analyser les idées politiques</vt:lpstr>
      <vt:lpstr>Analyser les idées politiques</vt:lpstr>
    </vt:vector>
  </TitlesOfParts>
  <Manager>Jean marie Tremblay, sociologue, bénévole, 2022</Manager>
  <Company>Les Classiques des sciences sociales</Company>
  <LinksUpToDate>false</LinksUpToDate>
  <CharactersWithSpaces>1166981</CharactersWithSpaces>
  <SharedDoc>false</SharedDoc>
  <HyperlinkBase/>
  <HLinks>
    <vt:vector size="1638" baseType="variant">
      <vt:variant>
        <vt:i4>6553716</vt:i4>
      </vt:variant>
      <vt:variant>
        <vt:i4>573</vt:i4>
      </vt:variant>
      <vt:variant>
        <vt:i4>0</vt:i4>
      </vt:variant>
      <vt:variant>
        <vt:i4>5</vt:i4>
      </vt:variant>
      <vt:variant>
        <vt:lpwstr/>
      </vt:variant>
      <vt:variant>
        <vt:lpwstr>tdm</vt:lpwstr>
      </vt:variant>
      <vt:variant>
        <vt:i4>6553716</vt:i4>
      </vt:variant>
      <vt:variant>
        <vt:i4>570</vt:i4>
      </vt:variant>
      <vt:variant>
        <vt:i4>0</vt:i4>
      </vt:variant>
      <vt:variant>
        <vt:i4>5</vt:i4>
      </vt:variant>
      <vt:variant>
        <vt:lpwstr/>
      </vt:variant>
      <vt:variant>
        <vt:lpwstr>tdm</vt:lpwstr>
      </vt:variant>
      <vt:variant>
        <vt:i4>6553716</vt:i4>
      </vt:variant>
      <vt:variant>
        <vt:i4>567</vt:i4>
      </vt:variant>
      <vt:variant>
        <vt:i4>0</vt:i4>
      </vt:variant>
      <vt:variant>
        <vt:i4>5</vt:i4>
      </vt:variant>
      <vt:variant>
        <vt:lpwstr/>
      </vt:variant>
      <vt:variant>
        <vt:lpwstr>tdm</vt:lpwstr>
      </vt:variant>
      <vt:variant>
        <vt:i4>6553716</vt:i4>
      </vt:variant>
      <vt:variant>
        <vt:i4>564</vt:i4>
      </vt:variant>
      <vt:variant>
        <vt:i4>0</vt:i4>
      </vt:variant>
      <vt:variant>
        <vt:i4>5</vt:i4>
      </vt:variant>
      <vt:variant>
        <vt:lpwstr/>
      </vt:variant>
      <vt:variant>
        <vt:lpwstr>tdm</vt:lpwstr>
      </vt:variant>
      <vt:variant>
        <vt:i4>6553716</vt:i4>
      </vt:variant>
      <vt:variant>
        <vt:i4>561</vt:i4>
      </vt:variant>
      <vt:variant>
        <vt:i4>0</vt:i4>
      </vt:variant>
      <vt:variant>
        <vt:i4>5</vt:i4>
      </vt:variant>
      <vt:variant>
        <vt:lpwstr/>
      </vt:variant>
      <vt:variant>
        <vt:lpwstr>tdm</vt:lpwstr>
      </vt:variant>
      <vt:variant>
        <vt:i4>6553716</vt:i4>
      </vt:variant>
      <vt:variant>
        <vt:i4>558</vt:i4>
      </vt:variant>
      <vt:variant>
        <vt:i4>0</vt:i4>
      </vt:variant>
      <vt:variant>
        <vt:i4>5</vt:i4>
      </vt:variant>
      <vt:variant>
        <vt:lpwstr/>
      </vt:variant>
      <vt:variant>
        <vt:lpwstr>tdm</vt:lpwstr>
      </vt:variant>
      <vt:variant>
        <vt:i4>6553716</vt:i4>
      </vt:variant>
      <vt:variant>
        <vt:i4>555</vt:i4>
      </vt:variant>
      <vt:variant>
        <vt:i4>0</vt:i4>
      </vt:variant>
      <vt:variant>
        <vt:i4>5</vt:i4>
      </vt:variant>
      <vt:variant>
        <vt:lpwstr/>
      </vt:variant>
      <vt:variant>
        <vt:lpwstr>tdm</vt:lpwstr>
      </vt:variant>
      <vt:variant>
        <vt:i4>6553716</vt:i4>
      </vt:variant>
      <vt:variant>
        <vt:i4>552</vt:i4>
      </vt:variant>
      <vt:variant>
        <vt:i4>0</vt:i4>
      </vt:variant>
      <vt:variant>
        <vt:i4>5</vt:i4>
      </vt:variant>
      <vt:variant>
        <vt:lpwstr/>
      </vt:variant>
      <vt:variant>
        <vt:lpwstr>tdm</vt:lpwstr>
      </vt:variant>
      <vt:variant>
        <vt:i4>6553716</vt:i4>
      </vt:variant>
      <vt:variant>
        <vt:i4>549</vt:i4>
      </vt:variant>
      <vt:variant>
        <vt:i4>0</vt:i4>
      </vt:variant>
      <vt:variant>
        <vt:i4>5</vt:i4>
      </vt:variant>
      <vt:variant>
        <vt:lpwstr/>
      </vt:variant>
      <vt:variant>
        <vt:lpwstr>tdm</vt:lpwstr>
      </vt:variant>
      <vt:variant>
        <vt:i4>6553716</vt:i4>
      </vt:variant>
      <vt:variant>
        <vt:i4>546</vt:i4>
      </vt:variant>
      <vt:variant>
        <vt:i4>0</vt:i4>
      </vt:variant>
      <vt:variant>
        <vt:i4>5</vt:i4>
      </vt:variant>
      <vt:variant>
        <vt:lpwstr/>
      </vt:variant>
      <vt:variant>
        <vt:lpwstr>tdm</vt:lpwstr>
      </vt:variant>
      <vt:variant>
        <vt:i4>6553716</vt:i4>
      </vt:variant>
      <vt:variant>
        <vt:i4>543</vt:i4>
      </vt:variant>
      <vt:variant>
        <vt:i4>0</vt:i4>
      </vt:variant>
      <vt:variant>
        <vt:i4>5</vt:i4>
      </vt:variant>
      <vt:variant>
        <vt:lpwstr/>
      </vt:variant>
      <vt:variant>
        <vt:lpwstr>tdm</vt:lpwstr>
      </vt:variant>
      <vt:variant>
        <vt:i4>6553716</vt:i4>
      </vt:variant>
      <vt:variant>
        <vt:i4>540</vt:i4>
      </vt:variant>
      <vt:variant>
        <vt:i4>0</vt:i4>
      </vt:variant>
      <vt:variant>
        <vt:i4>5</vt:i4>
      </vt:variant>
      <vt:variant>
        <vt:lpwstr/>
      </vt:variant>
      <vt:variant>
        <vt:lpwstr>tdm</vt:lpwstr>
      </vt:variant>
      <vt:variant>
        <vt:i4>6553716</vt:i4>
      </vt:variant>
      <vt:variant>
        <vt:i4>537</vt:i4>
      </vt:variant>
      <vt:variant>
        <vt:i4>0</vt:i4>
      </vt:variant>
      <vt:variant>
        <vt:i4>5</vt:i4>
      </vt:variant>
      <vt:variant>
        <vt:lpwstr/>
      </vt:variant>
      <vt:variant>
        <vt:lpwstr>tdm</vt:lpwstr>
      </vt:variant>
      <vt:variant>
        <vt:i4>6553716</vt:i4>
      </vt:variant>
      <vt:variant>
        <vt:i4>534</vt:i4>
      </vt:variant>
      <vt:variant>
        <vt:i4>0</vt:i4>
      </vt:variant>
      <vt:variant>
        <vt:i4>5</vt:i4>
      </vt:variant>
      <vt:variant>
        <vt:lpwstr/>
      </vt:variant>
      <vt:variant>
        <vt:lpwstr>tdm</vt:lpwstr>
      </vt:variant>
      <vt:variant>
        <vt:i4>6553716</vt:i4>
      </vt:variant>
      <vt:variant>
        <vt:i4>531</vt:i4>
      </vt:variant>
      <vt:variant>
        <vt:i4>0</vt:i4>
      </vt:variant>
      <vt:variant>
        <vt:i4>5</vt:i4>
      </vt:variant>
      <vt:variant>
        <vt:lpwstr/>
      </vt:variant>
      <vt:variant>
        <vt:lpwstr>tdm</vt:lpwstr>
      </vt:variant>
      <vt:variant>
        <vt:i4>6553716</vt:i4>
      </vt:variant>
      <vt:variant>
        <vt:i4>528</vt:i4>
      </vt:variant>
      <vt:variant>
        <vt:i4>0</vt:i4>
      </vt:variant>
      <vt:variant>
        <vt:i4>5</vt:i4>
      </vt:variant>
      <vt:variant>
        <vt:lpwstr/>
      </vt:variant>
      <vt:variant>
        <vt:lpwstr>tdm</vt:lpwstr>
      </vt:variant>
      <vt:variant>
        <vt:i4>6553716</vt:i4>
      </vt:variant>
      <vt:variant>
        <vt:i4>525</vt:i4>
      </vt:variant>
      <vt:variant>
        <vt:i4>0</vt:i4>
      </vt:variant>
      <vt:variant>
        <vt:i4>5</vt:i4>
      </vt:variant>
      <vt:variant>
        <vt:lpwstr/>
      </vt:variant>
      <vt:variant>
        <vt:lpwstr>tdm</vt:lpwstr>
      </vt:variant>
      <vt:variant>
        <vt:i4>6553716</vt:i4>
      </vt:variant>
      <vt:variant>
        <vt:i4>522</vt:i4>
      </vt:variant>
      <vt:variant>
        <vt:i4>0</vt:i4>
      </vt:variant>
      <vt:variant>
        <vt:i4>5</vt:i4>
      </vt:variant>
      <vt:variant>
        <vt:lpwstr/>
      </vt:variant>
      <vt:variant>
        <vt:lpwstr>tdm</vt:lpwstr>
      </vt:variant>
      <vt:variant>
        <vt:i4>6553716</vt:i4>
      </vt:variant>
      <vt:variant>
        <vt:i4>519</vt:i4>
      </vt:variant>
      <vt:variant>
        <vt:i4>0</vt:i4>
      </vt:variant>
      <vt:variant>
        <vt:i4>5</vt:i4>
      </vt:variant>
      <vt:variant>
        <vt:lpwstr/>
      </vt:variant>
      <vt:variant>
        <vt:lpwstr>tdm</vt:lpwstr>
      </vt:variant>
      <vt:variant>
        <vt:i4>6553716</vt:i4>
      </vt:variant>
      <vt:variant>
        <vt:i4>516</vt:i4>
      </vt:variant>
      <vt:variant>
        <vt:i4>0</vt:i4>
      </vt:variant>
      <vt:variant>
        <vt:i4>5</vt:i4>
      </vt:variant>
      <vt:variant>
        <vt:lpwstr/>
      </vt:variant>
      <vt:variant>
        <vt:lpwstr>tdm</vt:lpwstr>
      </vt:variant>
      <vt:variant>
        <vt:i4>6553716</vt:i4>
      </vt:variant>
      <vt:variant>
        <vt:i4>513</vt:i4>
      </vt:variant>
      <vt:variant>
        <vt:i4>0</vt:i4>
      </vt:variant>
      <vt:variant>
        <vt:i4>5</vt:i4>
      </vt:variant>
      <vt:variant>
        <vt:lpwstr/>
      </vt:variant>
      <vt:variant>
        <vt:lpwstr>tdm</vt:lpwstr>
      </vt:variant>
      <vt:variant>
        <vt:i4>6553716</vt:i4>
      </vt:variant>
      <vt:variant>
        <vt:i4>510</vt:i4>
      </vt:variant>
      <vt:variant>
        <vt:i4>0</vt:i4>
      </vt:variant>
      <vt:variant>
        <vt:i4>5</vt:i4>
      </vt:variant>
      <vt:variant>
        <vt:lpwstr/>
      </vt:variant>
      <vt:variant>
        <vt:lpwstr>tdm</vt:lpwstr>
      </vt:variant>
      <vt:variant>
        <vt:i4>6553716</vt:i4>
      </vt:variant>
      <vt:variant>
        <vt:i4>507</vt:i4>
      </vt:variant>
      <vt:variant>
        <vt:i4>0</vt:i4>
      </vt:variant>
      <vt:variant>
        <vt:i4>5</vt:i4>
      </vt:variant>
      <vt:variant>
        <vt:lpwstr/>
      </vt:variant>
      <vt:variant>
        <vt:lpwstr>tdm</vt:lpwstr>
      </vt:variant>
      <vt:variant>
        <vt:i4>6553716</vt:i4>
      </vt:variant>
      <vt:variant>
        <vt:i4>504</vt:i4>
      </vt:variant>
      <vt:variant>
        <vt:i4>0</vt:i4>
      </vt:variant>
      <vt:variant>
        <vt:i4>5</vt:i4>
      </vt:variant>
      <vt:variant>
        <vt:lpwstr/>
      </vt:variant>
      <vt:variant>
        <vt:lpwstr>tdm</vt:lpwstr>
      </vt:variant>
      <vt:variant>
        <vt:i4>6553716</vt:i4>
      </vt:variant>
      <vt:variant>
        <vt:i4>501</vt:i4>
      </vt:variant>
      <vt:variant>
        <vt:i4>0</vt:i4>
      </vt:variant>
      <vt:variant>
        <vt:i4>5</vt:i4>
      </vt:variant>
      <vt:variant>
        <vt:lpwstr/>
      </vt:variant>
      <vt:variant>
        <vt:lpwstr>tdm</vt:lpwstr>
      </vt:variant>
      <vt:variant>
        <vt:i4>6553716</vt:i4>
      </vt:variant>
      <vt:variant>
        <vt:i4>498</vt:i4>
      </vt:variant>
      <vt:variant>
        <vt:i4>0</vt:i4>
      </vt:variant>
      <vt:variant>
        <vt:i4>5</vt:i4>
      </vt:variant>
      <vt:variant>
        <vt:lpwstr/>
      </vt:variant>
      <vt:variant>
        <vt:lpwstr>tdm</vt:lpwstr>
      </vt:variant>
      <vt:variant>
        <vt:i4>6553716</vt:i4>
      </vt:variant>
      <vt:variant>
        <vt:i4>495</vt:i4>
      </vt:variant>
      <vt:variant>
        <vt:i4>0</vt:i4>
      </vt:variant>
      <vt:variant>
        <vt:i4>5</vt:i4>
      </vt:variant>
      <vt:variant>
        <vt:lpwstr/>
      </vt:variant>
      <vt:variant>
        <vt:lpwstr>tdm</vt:lpwstr>
      </vt:variant>
      <vt:variant>
        <vt:i4>6553716</vt:i4>
      </vt:variant>
      <vt:variant>
        <vt:i4>492</vt:i4>
      </vt:variant>
      <vt:variant>
        <vt:i4>0</vt:i4>
      </vt:variant>
      <vt:variant>
        <vt:i4>5</vt:i4>
      </vt:variant>
      <vt:variant>
        <vt:lpwstr/>
      </vt:variant>
      <vt:variant>
        <vt:lpwstr>tdm</vt:lpwstr>
      </vt:variant>
      <vt:variant>
        <vt:i4>6553716</vt:i4>
      </vt:variant>
      <vt:variant>
        <vt:i4>489</vt:i4>
      </vt:variant>
      <vt:variant>
        <vt:i4>0</vt:i4>
      </vt:variant>
      <vt:variant>
        <vt:i4>5</vt:i4>
      </vt:variant>
      <vt:variant>
        <vt:lpwstr/>
      </vt:variant>
      <vt:variant>
        <vt:lpwstr>tdm</vt:lpwstr>
      </vt:variant>
      <vt:variant>
        <vt:i4>6553716</vt:i4>
      </vt:variant>
      <vt:variant>
        <vt:i4>486</vt:i4>
      </vt:variant>
      <vt:variant>
        <vt:i4>0</vt:i4>
      </vt:variant>
      <vt:variant>
        <vt:i4>5</vt:i4>
      </vt:variant>
      <vt:variant>
        <vt:lpwstr/>
      </vt:variant>
      <vt:variant>
        <vt:lpwstr>tdm</vt:lpwstr>
      </vt:variant>
      <vt:variant>
        <vt:i4>6553716</vt:i4>
      </vt:variant>
      <vt:variant>
        <vt:i4>483</vt:i4>
      </vt:variant>
      <vt:variant>
        <vt:i4>0</vt:i4>
      </vt:variant>
      <vt:variant>
        <vt:i4>5</vt:i4>
      </vt:variant>
      <vt:variant>
        <vt:lpwstr/>
      </vt:variant>
      <vt:variant>
        <vt:lpwstr>tdm</vt:lpwstr>
      </vt:variant>
      <vt:variant>
        <vt:i4>6553716</vt:i4>
      </vt:variant>
      <vt:variant>
        <vt:i4>480</vt:i4>
      </vt:variant>
      <vt:variant>
        <vt:i4>0</vt:i4>
      </vt:variant>
      <vt:variant>
        <vt:i4>5</vt:i4>
      </vt:variant>
      <vt:variant>
        <vt:lpwstr/>
      </vt:variant>
      <vt:variant>
        <vt:lpwstr>tdm</vt:lpwstr>
      </vt:variant>
      <vt:variant>
        <vt:i4>6553716</vt:i4>
      </vt:variant>
      <vt:variant>
        <vt:i4>477</vt:i4>
      </vt:variant>
      <vt:variant>
        <vt:i4>0</vt:i4>
      </vt:variant>
      <vt:variant>
        <vt:i4>5</vt:i4>
      </vt:variant>
      <vt:variant>
        <vt:lpwstr/>
      </vt:variant>
      <vt:variant>
        <vt:lpwstr>tdm</vt:lpwstr>
      </vt:variant>
      <vt:variant>
        <vt:i4>6553716</vt:i4>
      </vt:variant>
      <vt:variant>
        <vt:i4>474</vt:i4>
      </vt:variant>
      <vt:variant>
        <vt:i4>0</vt:i4>
      </vt:variant>
      <vt:variant>
        <vt:i4>5</vt:i4>
      </vt:variant>
      <vt:variant>
        <vt:lpwstr/>
      </vt:variant>
      <vt:variant>
        <vt:lpwstr>tdm</vt:lpwstr>
      </vt:variant>
      <vt:variant>
        <vt:i4>6553716</vt:i4>
      </vt:variant>
      <vt:variant>
        <vt:i4>471</vt:i4>
      </vt:variant>
      <vt:variant>
        <vt:i4>0</vt:i4>
      </vt:variant>
      <vt:variant>
        <vt:i4>5</vt:i4>
      </vt:variant>
      <vt:variant>
        <vt:lpwstr/>
      </vt:variant>
      <vt:variant>
        <vt:lpwstr>tdm</vt:lpwstr>
      </vt:variant>
      <vt:variant>
        <vt:i4>6553716</vt:i4>
      </vt:variant>
      <vt:variant>
        <vt:i4>468</vt:i4>
      </vt:variant>
      <vt:variant>
        <vt:i4>0</vt:i4>
      </vt:variant>
      <vt:variant>
        <vt:i4>5</vt:i4>
      </vt:variant>
      <vt:variant>
        <vt:lpwstr/>
      </vt:variant>
      <vt:variant>
        <vt:lpwstr>tdm</vt:lpwstr>
      </vt:variant>
      <vt:variant>
        <vt:i4>6553716</vt:i4>
      </vt:variant>
      <vt:variant>
        <vt:i4>465</vt:i4>
      </vt:variant>
      <vt:variant>
        <vt:i4>0</vt:i4>
      </vt:variant>
      <vt:variant>
        <vt:i4>5</vt:i4>
      </vt:variant>
      <vt:variant>
        <vt:lpwstr/>
      </vt:variant>
      <vt:variant>
        <vt:lpwstr>tdm</vt:lpwstr>
      </vt:variant>
      <vt:variant>
        <vt:i4>6553716</vt:i4>
      </vt:variant>
      <vt:variant>
        <vt:i4>462</vt:i4>
      </vt:variant>
      <vt:variant>
        <vt:i4>0</vt:i4>
      </vt:variant>
      <vt:variant>
        <vt:i4>5</vt:i4>
      </vt:variant>
      <vt:variant>
        <vt:lpwstr/>
      </vt:variant>
      <vt:variant>
        <vt:lpwstr>tdm</vt:lpwstr>
      </vt:variant>
      <vt:variant>
        <vt:i4>6553716</vt:i4>
      </vt:variant>
      <vt:variant>
        <vt:i4>459</vt:i4>
      </vt:variant>
      <vt:variant>
        <vt:i4>0</vt:i4>
      </vt:variant>
      <vt:variant>
        <vt:i4>5</vt:i4>
      </vt:variant>
      <vt:variant>
        <vt:lpwstr/>
      </vt:variant>
      <vt:variant>
        <vt:lpwstr>tdm</vt:lpwstr>
      </vt:variant>
      <vt:variant>
        <vt:i4>6553716</vt:i4>
      </vt:variant>
      <vt:variant>
        <vt:i4>456</vt:i4>
      </vt:variant>
      <vt:variant>
        <vt:i4>0</vt:i4>
      </vt:variant>
      <vt:variant>
        <vt:i4>5</vt:i4>
      </vt:variant>
      <vt:variant>
        <vt:lpwstr/>
      </vt:variant>
      <vt:variant>
        <vt:lpwstr>tdm</vt:lpwstr>
      </vt:variant>
      <vt:variant>
        <vt:i4>983041</vt:i4>
      </vt:variant>
      <vt:variant>
        <vt:i4>453</vt:i4>
      </vt:variant>
      <vt:variant>
        <vt:i4>0</vt:i4>
      </vt:variant>
      <vt:variant>
        <vt:i4>5</vt:i4>
      </vt:variant>
      <vt:variant>
        <vt:lpwstr>http://cairn.info/revue-mouvements-2005-1-page72</vt:lpwstr>
      </vt:variant>
      <vt:variant>
        <vt:lpwstr/>
      </vt:variant>
      <vt:variant>
        <vt:i4>1441799</vt:i4>
      </vt:variant>
      <vt:variant>
        <vt:i4>450</vt:i4>
      </vt:variant>
      <vt:variant>
        <vt:i4>0</vt:i4>
      </vt:variant>
      <vt:variant>
        <vt:i4>5</vt:i4>
      </vt:variant>
      <vt:variant>
        <vt:lpwstr>http://russeeurope.hypotheses.org/799</vt:lpwstr>
      </vt:variant>
      <vt:variant>
        <vt:lpwstr/>
      </vt:variant>
      <vt:variant>
        <vt:i4>6553716</vt:i4>
      </vt:variant>
      <vt:variant>
        <vt:i4>447</vt:i4>
      </vt:variant>
      <vt:variant>
        <vt:i4>0</vt:i4>
      </vt:variant>
      <vt:variant>
        <vt:i4>5</vt:i4>
      </vt:variant>
      <vt:variant>
        <vt:lpwstr/>
      </vt:variant>
      <vt:variant>
        <vt:lpwstr>tdm</vt:lpwstr>
      </vt:variant>
      <vt:variant>
        <vt:i4>6553716</vt:i4>
      </vt:variant>
      <vt:variant>
        <vt:i4>444</vt:i4>
      </vt:variant>
      <vt:variant>
        <vt:i4>0</vt:i4>
      </vt:variant>
      <vt:variant>
        <vt:i4>5</vt:i4>
      </vt:variant>
      <vt:variant>
        <vt:lpwstr/>
      </vt:variant>
      <vt:variant>
        <vt:lpwstr>tdm</vt:lpwstr>
      </vt:variant>
      <vt:variant>
        <vt:i4>6553716</vt:i4>
      </vt:variant>
      <vt:variant>
        <vt:i4>441</vt:i4>
      </vt:variant>
      <vt:variant>
        <vt:i4>0</vt:i4>
      </vt:variant>
      <vt:variant>
        <vt:i4>5</vt:i4>
      </vt:variant>
      <vt:variant>
        <vt:lpwstr/>
      </vt:variant>
      <vt:variant>
        <vt:lpwstr>tdm</vt:lpwstr>
      </vt:variant>
      <vt:variant>
        <vt:i4>6553716</vt:i4>
      </vt:variant>
      <vt:variant>
        <vt:i4>438</vt:i4>
      </vt:variant>
      <vt:variant>
        <vt:i4>0</vt:i4>
      </vt:variant>
      <vt:variant>
        <vt:i4>5</vt:i4>
      </vt:variant>
      <vt:variant>
        <vt:lpwstr/>
      </vt:variant>
      <vt:variant>
        <vt:lpwstr>tdm</vt:lpwstr>
      </vt:variant>
      <vt:variant>
        <vt:i4>6553716</vt:i4>
      </vt:variant>
      <vt:variant>
        <vt:i4>435</vt:i4>
      </vt:variant>
      <vt:variant>
        <vt:i4>0</vt:i4>
      </vt:variant>
      <vt:variant>
        <vt:i4>5</vt:i4>
      </vt:variant>
      <vt:variant>
        <vt:lpwstr/>
      </vt:variant>
      <vt:variant>
        <vt:lpwstr>tdm</vt:lpwstr>
      </vt:variant>
      <vt:variant>
        <vt:i4>6553716</vt:i4>
      </vt:variant>
      <vt:variant>
        <vt:i4>432</vt:i4>
      </vt:variant>
      <vt:variant>
        <vt:i4>0</vt:i4>
      </vt:variant>
      <vt:variant>
        <vt:i4>5</vt:i4>
      </vt:variant>
      <vt:variant>
        <vt:lpwstr/>
      </vt:variant>
      <vt:variant>
        <vt:lpwstr>tdm</vt:lpwstr>
      </vt:variant>
      <vt:variant>
        <vt:i4>6553716</vt:i4>
      </vt:variant>
      <vt:variant>
        <vt:i4>429</vt:i4>
      </vt:variant>
      <vt:variant>
        <vt:i4>0</vt:i4>
      </vt:variant>
      <vt:variant>
        <vt:i4>5</vt:i4>
      </vt:variant>
      <vt:variant>
        <vt:lpwstr/>
      </vt:variant>
      <vt:variant>
        <vt:lpwstr>tdm</vt:lpwstr>
      </vt:variant>
      <vt:variant>
        <vt:i4>6553716</vt:i4>
      </vt:variant>
      <vt:variant>
        <vt:i4>426</vt:i4>
      </vt:variant>
      <vt:variant>
        <vt:i4>0</vt:i4>
      </vt:variant>
      <vt:variant>
        <vt:i4>5</vt:i4>
      </vt:variant>
      <vt:variant>
        <vt:lpwstr/>
      </vt:variant>
      <vt:variant>
        <vt:lpwstr>tdm</vt:lpwstr>
      </vt:variant>
      <vt:variant>
        <vt:i4>6553716</vt:i4>
      </vt:variant>
      <vt:variant>
        <vt:i4>423</vt:i4>
      </vt:variant>
      <vt:variant>
        <vt:i4>0</vt:i4>
      </vt:variant>
      <vt:variant>
        <vt:i4>5</vt:i4>
      </vt:variant>
      <vt:variant>
        <vt:lpwstr/>
      </vt:variant>
      <vt:variant>
        <vt:lpwstr>tdm</vt:lpwstr>
      </vt:variant>
      <vt:variant>
        <vt:i4>6553716</vt:i4>
      </vt:variant>
      <vt:variant>
        <vt:i4>420</vt:i4>
      </vt:variant>
      <vt:variant>
        <vt:i4>0</vt:i4>
      </vt:variant>
      <vt:variant>
        <vt:i4>5</vt:i4>
      </vt:variant>
      <vt:variant>
        <vt:lpwstr/>
      </vt:variant>
      <vt:variant>
        <vt:lpwstr>tdm</vt:lpwstr>
      </vt:variant>
      <vt:variant>
        <vt:i4>6553716</vt:i4>
      </vt:variant>
      <vt:variant>
        <vt:i4>417</vt:i4>
      </vt:variant>
      <vt:variant>
        <vt:i4>0</vt:i4>
      </vt:variant>
      <vt:variant>
        <vt:i4>5</vt:i4>
      </vt:variant>
      <vt:variant>
        <vt:lpwstr/>
      </vt:variant>
      <vt:variant>
        <vt:lpwstr>tdm</vt:lpwstr>
      </vt:variant>
      <vt:variant>
        <vt:i4>6553716</vt:i4>
      </vt:variant>
      <vt:variant>
        <vt:i4>414</vt:i4>
      </vt:variant>
      <vt:variant>
        <vt:i4>0</vt:i4>
      </vt:variant>
      <vt:variant>
        <vt:i4>5</vt:i4>
      </vt:variant>
      <vt:variant>
        <vt:lpwstr/>
      </vt:variant>
      <vt:variant>
        <vt:lpwstr>tdm</vt:lpwstr>
      </vt:variant>
      <vt:variant>
        <vt:i4>6553716</vt:i4>
      </vt:variant>
      <vt:variant>
        <vt:i4>411</vt:i4>
      </vt:variant>
      <vt:variant>
        <vt:i4>0</vt:i4>
      </vt:variant>
      <vt:variant>
        <vt:i4>5</vt:i4>
      </vt:variant>
      <vt:variant>
        <vt:lpwstr/>
      </vt:variant>
      <vt:variant>
        <vt:lpwstr>tdm</vt:lpwstr>
      </vt:variant>
      <vt:variant>
        <vt:i4>6553716</vt:i4>
      </vt:variant>
      <vt:variant>
        <vt:i4>408</vt:i4>
      </vt:variant>
      <vt:variant>
        <vt:i4>0</vt:i4>
      </vt:variant>
      <vt:variant>
        <vt:i4>5</vt:i4>
      </vt:variant>
      <vt:variant>
        <vt:lpwstr/>
      </vt:variant>
      <vt:variant>
        <vt:lpwstr>tdm</vt:lpwstr>
      </vt:variant>
      <vt:variant>
        <vt:i4>6553716</vt:i4>
      </vt:variant>
      <vt:variant>
        <vt:i4>405</vt:i4>
      </vt:variant>
      <vt:variant>
        <vt:i4>0</vt:i4>
      </vt:variant>
      <vt:variant>
        <vt:i4>5</vt:i4>
      </vt:variant>
      <vt:variant>
        <vt:lpwstr/>
      </vt:variant>
      <vt:variant>
        <vt:lpwstr>tdm</vt:lpwstr>
      </vt:variant>
      <vt:variant>
        <vt:i4>6553716</vt:i4>
      </vt:variant>
      <vt:variant>
        <vt:i4>402</vt:i4>
      </vt:variant>
      <vt:variant>
        <vt:i4>0</vt:i4>
      </vt:variant>
      <vt:variant>
        <vt:i4>5</vt:i4>
      </vt:variant>
      <vt:variant>
        <vt:lpwstr/>
      </vt:variant>
      <vt:variant>
        <vt:lpwstr>tdm</vt:lpwstr>
      </vt:variant>
      <vt:variant>
        <vt:i4>6553716</vt:i4>
      </vt:variant>
      <vt:variant>
        <vt:i4>399</vt:i4>
      </vt:variant>
      <vt:variant>
        <vt:i4>0</vt:i4>
      </vt:variant>
      <vt:variant>
        <vt:i4>5</vt:i4>
      </vt:variant>
      <vt:variant>
        <vt:lpwstr/>
      </vt:variant>
      <vt:variant>
        <vt:lpwstr>tdm</vt:lpwstr>
      </vt:variant>
      <vt:variant>
        <vt:i4>6553716</vt:i4>
      </vt:variant>
      <vt:variant>
        <vt:i4>396</vt:i4>
      </vt:variant>
      <vt:variant>
        <vt:i4>0</vt:i4>
      </vt:variant>
      <vt:variant>
        <vt:i4>5</vt:i4>
      </vt:variant>
      <vt:variant>
        <vt:lpwstr/>
      </vt:variant>
      <vt:variant>
        <vt:lpwstr>tdm</vt:lpwstr>
      </vt:variant>
      <vt:variant>
        <vt:i4>6553716</vt:i4>
      </vt:variant>
      <vt:variant>
        <vt:i4>393</vt:i4>
      </vt:variant>
      <vt:variant>
        <vt:i4>0</vt:i4>
      </vt:variant>
      <vt:variant>
        <vt:i4>5</vt:i4>
      </vt:variant>
      <vt:variant>
        <vt:lpwstr/>
      </vt:variant>
      <vt:variant>
        <vt:lpwstr>tdm</vt:lpwstr>
      </vt:variant>
      <vt:variant>
        <vt:i4>6553716</vt:i4>
      </vt:variant>
      <vt:variant>
        <vt:i4>390</vt:i4>
      </vt:variant>
      <vt:variant>
        <vt:i4>0</vt:i4>
      </vt:variant>
      <vt:variant>
        <vt:i4>5</vt:i4>
      </vt:variant>
      <vt:variant>
        <vt:lpwstr/>
      </vt:variant>
      <vt:variant>
        <vt:lpwstr>tdm</vt:lpwstr>
      </vt:variant>
      <vt:variant>
        <vt:i4>6553716</vt:i4>
      </vt:variant>
      <vt:variant>
        <vt:i4>387</vt:i4>
      </vt:variant>
      <vt:variant>
        <vt:i4>0</vt:i4>
      </vt:variant>
      <vt:variant>
        <vt:i4>5</vt:i4>
      </vt:variant>
      <vt:variant>
        <vt:lpwstr/>
      </vt:variant>
      <vt:variant>
        <vt:lpwstr>tdm</vt:lpwstr>
      </vt:variant>
      <vt:variant>
        <vt:i4>6553716</vt:i4>
      </vt:variant>
      <vt:variant>
        <vt:i4>384</vt:i4>
      </vt:variant>
      <vt:variant>
        <vt:i4>0</vt:i4>
      </vt:variant>
      <vt:variant>
        <vt:i4>5</vt:i4>
      </vt:variant>
      <vt:variant>
        <vt:lpwstr/>
      </vt:variant>
      <vt:variant>
        <vt:lpwstr>tdm</vt:lpwstr>
      </vt:variant>
      <vt:variant>
        <vt:i4>6553716</vt:i4>
      </vt:variant>
      <vt:variant>
        <vt:i4>381</vt:i4>
      </vt:variant>
      <vt:variant>
        <vt:i4>0</vt:i4>
      </vt:variant>
      <vt:variant>
        <vt:i4>5</vt:i4>
      </vt:variant>
      <vt:variant>
        <vt:lpwstr/>
      </vt:variant>
      <vt:variant>
        <vt:lpwstr>tdm</vt:lpwstr>
      </vt:variant>
      <vt:variant>
        <vt:i4>6553716</vt:i4>
      </vt:variant>
      <vt:variant>
        <vt:i4>378</vt:i4>
      </vt:variant>
      <vt:variant>
        <vt:i4>0</vt:i4>
      </vt:variant>
      <vt:variant>
        <vt:i4>5</vt:i4>
      </vt:variant>
      <vt:variant>
        <vt:lpwstr/>
      </vt:variant>
      <vt:variant>
        <vt:lpwstr>tdm</vt:lpwstr>
      </vt:variant>
      <vt:variant>
        <vt:i4>6553716</vt:i4>
      </vt:variant>
      <vt:variant>
        <vt:i4>375</vt:i4>
      </vt:variant>
      <vt:variant>
        <vt:i4>0</vt:i4>
      </vt:variant>
      <vt:variant>
        <vt:i4>5</vt:i4>
      </vt:variant>
      <vt:variant>
        <vt:lpwstr/>
      </vt:variant>
      <vt:variant>
        <vt:lpwstr>tdm</vt:lpwstr>
      </vt:variant>
      <vt:variant>
        <vt:i4>6553716</vt:i4>
      </vt:variant>
      <vt:variant>
        <vt:i4>372</vt:i4>
      </vt:variant>
      <vt:variant>
        <vt:i4>0</vt:i4>
      </vt:variant>
      <vt:variant>
        <vt:i4>5</vt:i4>
      </vt:variant>
      <vt:variant>
        <vt:lpwstr/>
      </vt:variant>
      <vt:variant>
        <vt:lpwstr>tdm</vt:lpwstr>
      </vt:variant>
      <vt:variant>
        <vt:i4>6553716</vt:i4>
      </vt:variant>
      <vt:variant>
        <vt:i4>369</vt:i4>
      </vt:variant>
      <vt:variant>
        <vt:i4>0</vt:i4>
      </vt:variant>
      <vt:variant>
        <vt:i4>5</vt:i4>
      </vt:variant>
      <vt:variant>
        <vt:lpwstr/>
      </vt:variant>
      <vt:variant>
        <vt:lpwstr>tdm</vt:lpwstr>
      </vt:variant>
      <vt:variant>
        <vt:i4>6553716</vt:i4>
      </vt:variant>
      <vt:variant>
        <vt:i4>366</vt:i4>
      </vt:variant>
      <vt:variant>
        <vt:i4>0</vt:i4>
      </vt:variant>
      <vt:variant>
        <vt:i4>5</vt:i4>
      </vt:variant>
      <vt:variant>
        <vt:lpwstr/>
      </vt:variant>
      <vt:variant>
        <vt:lpwstr>tdm</vt:lpwstr>
      </vt:variant>
      <vt:variant>
        <vt:i4>6553716</vt:i4>
      </vt:variant>
      <vt:variant>
        <vt:i4>363</vt:i4>
      </vt:variant>
      <vt:variant>
        <vt:i4>0</vt:i4>
      </vt:variant>
      <vt:variant>
        <vt:i4>5</vt:i4>
      </vt:variant>
      <vt:variant>
        <vt:lpwstr/>
      </vt:variant>
      <vt:variant>
        <vt:lpwstr>tdm</vt:lpwstr>
      </vt:variant>
      <vt:variant>
        <vt:i4>6553716</vt:i4>
      </vt:variant>
      <vt:variant>
        <vt:i4>360</vt:i4>
      </vt:variant>
      <vt:variant>
        <vt:i4>0</vt:i4>
      </vt:variant>
      <vt:variant>
        <vt:i4>5</vt:i4>
      </vt:variant>
      <vt:variant>
        <vt:lpwstr/>
      </vt:variant>
      <vt:variant>
        <vt:lpwstr>tdm</vt:lpwstr>
      </vt:variant>
      <vt:variant>
        <vt:i4>6553716</vt:i4>
      </vt:variant>
      <vt:variant>
        <vt:i4>357</vt:i4>
      </vt:variant>
      <vt:variant>
        <vt:i4>0</vt:i4>
      </vt:variant>
      <vt:variant>
        <vt:i4>5</vt:i4>
      </vt:variant>
      <vt:variant>
        <vt:lpwstr/>
      </vt:variant>
      <vt:variant>
        <vt:lpwstr>tdm</vt:lpwstr>
      </vt:variant>
      <vt:variant>
        <vt:i4>6553716</vt:i4>
      </vt:variant>
      <vt:variant>
        <vt:i4>354</vt:i4>
      </vt:variant>
      <vt:variant>
        <vt:i4>0</vt:i4>
      </vt:variant>
      <vt:variant>
        <vt:i4>5</vt:i4>
      </vt:variant>
      <vt:variant>
        <vt:lpwstr/>
      </vt:variant>
      <vt:variant>
        <vt:lpwstr>tdm</vt:lpwstr>
      </vt:variant>
      <vt:variant>
        <vt:i4>6553716</vt:i4>
      </vt:variant>
      <vt:variant>
        <vt:i4>351</vt:i4>
      </vt:variant>
      <vt:variant>
        <vt:i4>0</vt:i4>
      </vt:variant>
      <vt:variant>
        <vt:i4>5</vt:i4>
      </vt:variant>
      <vt:variant>
        <vt:lpwstr/>
      </vt:variant>
      <vt:variant>
        <vt:lpwstr>tdm</vt:lpwstr>
      </vt:variant>
      <vt:variant>
        <vt:i4>2818064</vt:i4>
      </vt:variant>
      <vt:variant>
        <vt:i4>348</vt:i4>
      </vt:variant>
      <vt:variant>
        <vt:i4>0</vt:i4>
      </vt:variant>
      <vt:variant>
        <vt:i4>5</vt:i4>
      </vt:variant>
      <vt:variant>
        <vt:lpwstr>http://classiques.uqac.ca/contemporains/berges_michel/Analyser_les_idees_politiques/Analyser_les_idees_politiques.html</vt:lpwstr>
      </vt:variant>
      <vt:variant>
        <vt:lpwstr/>
      </vt:variant>
      <vt:variant>
        <vt:i4>6553716</vt:i4>
      </vt:variant>
      <vt:variant>
        <vt:i4>345</vt:i4>
      </vt:variant>
      <vt:variant>
        <vt:i4>0</vt:i4>
      </vt:variant>
      <vt:variant>
        <vt:i4>5</vt:i4>
      </vt:variant>
      <vt:variant>
        <vt:lpwstr/>
      </vt:variant>
      <vt:variant>
        <vt:lpwstr>tdm</vt:lpwstr>
      </vt:variant>
      <vt:variant>
        <vt:i4>6553716</vt:i4>
      </vt:variant>
      <vt:variant>
        <vt:i4>342</vt:i4>
      </vt:variant>
      <vt:variant>
        <vt:i4>0</vt:i4>
      </vt:variant>
      <vt:variant>
        <vt:i4>5</vt:i4>
      </vt:variant>
      <vt:variant>
        <vt:lpwstr/>
      </vt:variant>
      <vt:variant>
        <vt:lpwstr>tdm</vt:lpwstr>
      </vt:variant>
      <vt:variant>
        <vt:i4>8257598</vt:i4>
      </vt:variant>
      <vt:variant>
        <vt:i4>339</vt:i4>
      </vt:variant>
      <vt:variant>
        <vt:i4>0</vt:i4>
      </vt:variant>
      <vt:variant>
        <vt:i4>5</vt:i4>
      </vt:variant>
      <vt:variant>
        <vt:lpwstr>http://adlc.hypotheses.org/</vt:lpwstr>
      </vt:variant>
      <vt:variant>
        <vt:lpwstr/>
      </vt:variant>
      <vt:variant>
        <vt:i4>6553716</vt:i4>
      </vt:variant>
      <vt:variant>
        <vt:i4>336</vt:i4>
      </vt:variant>
      <vt:variant>
        <vt:i4>0</vt:i4>
      </vt:variant>
      <vt:variant>
        <vt:i4>5</vt:i4>
      </vt:variant>
      <vt:variant>
        <vt:lpwstr/>
      </vt:variant>
      <vt:variant>
        <vt:lpwstr>tdm</vt:lpwstr>
      </vt:variant>
      <vt:variant>
        <vt:i4>6553716</vt:i4>
      </vt:variant>
      <vt:variant>
        <vt:i4>333</vt:i4>
      </vt:variant>
      <vt:variant>
        <vt:i4>0</vt:i4>
      </vt:variant>
      <vt:variant>
        <vt:i4>5</vt:i4>
      </vt:variant>
      <vt:variant>
        <vt:lpwstr/>
      </vt:variant>
      <vt:variant>
        <vt:lpwstr>tdm</vt:lpwstr>
      </vt:variant>
      <vt:variant>
        <vt:i4>786505</vt:i4>
      </vt:variant>
      <vt:variant>
        <vt:i4>330</vt:i4>
      </vt:variant>
      <vt:variant>
        <vt:i4>0</vt:i4>
      </vt:variant>
      <vt:variant>
        <vt:i4>5</vt:i4>
      </vt:variant>
      <vt:variant>
        <vt:lpwstr>http://www.croire.com/Themes/Etapes-de-la-vie/Mariage</vt:lpwstr>
      </vt:variant>
      <vt:variant>
        <vt:lpwstr/>
      </vt:variant>
      <vt:variant>
        <vt:i4>6553716</vt:i4>
      </vt:variant>
      <vt:variant>
        <vt:i4>327</vt:i4>
      </vt:variant>
      <vt:variant>
        <vt:i4>0</vt:i4>
      </vt:variant>
      <vt:variant>
        <vt:i4>5</vt:i4>
      </vt:variant>
      <vt:variant>
        <vt:lpwstr/>
      </vt:variant>
      <vt:variant>
        <vt:lpwstr>tdm</vt:lpwstr>
      </vt:variant>
      <vt:variant>
        <vt:i4>6553716</vt:i4>
      </vt:variant>
      <vt:variant>
        <vt:i4>324</vt:i4>
      </vt:variant>
      <vt:variant>
        <vt:i4>0</vt:i4>
      </vt:variant>
      <vt:variant>
        <vt:i4>5</vt:i4>
      </vt:variant>
      <vt:variant>
        <vt:lpwstr/>
      </vt:variant>
      <vt:variant>
        <vt:lpwstr>tdm</vt:lpwstr>
      </vt:variant>
      <vt:variant>
        <vt:i4>6553635</vt:i4>
      </vt:variant>
      <vt:variant>
        <vt:i4>321</vt:i4>
      </vt:variant>
      <vt:variant>
        <vt:i4>0</vt:i4>
      </vt:variant>
      <vt:variant>
        <vt:i4>5</vt:i4>
      </vt:variant>
      <vt:variant>
        <vt:lpwstr>http://www.futura-sciences.com/sciences/dossiers/anthropologie-hommes-nom-famille-homo-711/page/7/</vt:lpwstr>
      </vt:variant>
      <vt:variant>
        <vt:lpwstr/>
      </vt:variant>
      <vt:variant>
        <vt:i4>6553716</vt:i4>
      </vt:variant>
      <vt:variant>
        <vt:i4>318</vt:i4>
      </vt:variant>
      <vt:variant>
        <vt:i4>0</vt:i4>
      </vt:variant>
      <vt:variant>
        <vt:i4>5</vt:i4>
      </vt:variant>
      <vt:variant>
        <vt:lpwstr/>
      </vt:variant>
      <vt:variant>
        <vt:lpwstr>tdm</vt:lpwstr>
      </vt:variant>
      <vt:variant>
        <vt:i4>6553716</vt:i4>
      </vt:variant>
      <vt:variant>
        <vt:i4>315</vt:i4>
      </vt:variant>
      <vt:variant>
        <vt:i4>0</vt:i4>
      </vt:variant>
      <vt:variant>
        <vt:i4>5</vt:i4>
      </vt:variant>
      <vt:variant>
        <vt:lpwstr/>
      </vt:variant>
      <vt:variant>
        <vt:lpwstr>tdm</vt:lpwstr>
      </vt:variant>
      <vt:variant>
        <vt:i4>6553716</vt:i4>
      </vt:variant>
      <vt:variant>
        <vt:i4>312</vt:i4>
      </vt:variant>
      <vt:variant>
        <vt:i4>0</vt:i4>
      </vt:variant>
      <vt:variant>
        <vt:i4>5</vt:i4>
      </vt:variant>
      <vt:variant>
        <vt:lpwstr/>
      </vt:variant>
      <vt:variant>
        <vt:lpwstr>tdm</vt:lpwstr>
      </vt:variant>
      <vt:variant>
        <vt:i4>6553716</vt:i4>
      </vt:variant>
      <vt:variant>
        <vt:i4>309</vt:i4>
      </vt:variant>
      <vt:variant>
        <vt:i4>0</vt:i4>
      </vt:variant>
      <vt:variant>
        <vt:i4>5</vt:i4>
      </vt:variant>
      <vt:variant>
        <vt:lpwstr/>
      </vt:variant>
      <vt:variant>
        <vt:lpwstr>tdm</vt:lpwstr>
      </vt:variant>
      <vt:variant>
        <vt:i4>6553716</vt:i4>
      </vt:variant>
      <vt:variant>
        <vt:i4>306</vt:i4>
      </vt:variant>
      <vt:variant>
        <vt:i4>0</vt:i4>
      </vt:variant>
      <vt:variant>
        <vt:i4>5</vt:i4>
      </vt:variant>
      <vt:variant>
        <vt:lpwstr/>
      </vt:variant>
      <vt:variant>
        <vt:lpwstr>tdm</vt:lpwstr>
      </vt:variant>
      <vt:variant>
        <vt:i4>6553716</vt:i4>
      </vt:variant>
      <vt:variant>
        <vt:i4>303</vt:i4>
      </vt:variant>
      <vt:variant>
        <vt:i4>0</vt:i4>
      </vt:variant>
      <vt:variant>
        <vt:i4>5</vt:i4>
      </vt:variant>
      <vt:variant>
        <vt:lpwstr/>
      </vt:variant>
      <vt:variant>
        <vt:lpwstr>tdm</vt:lpwstr>
      </vt:variant>
      <vt:variant>
        <vt:i4>6553716</vt:i4>
      </vt:variant>
      <vt:variant>
        <vt:i4>300</vt:i4>
      </vt:variant>
      <vt:variant>
        <vt:i4>0</vt:i4>
      </vt:variant>
      <vt:variant>
        <vt:i4>5</vt:i4>
      </vt:variant>
      <vt:variant>
        <vt:lpwstr/>
      </vt:variant>
      <vt:variant>
        <vt:lpwstr>tdm</vt:lpwstr>
      </vt:variant>
      <vt:variant>
        <vt:i4>6553716</vt:i4>
      </vt:variant>
      <vt:variant>
        <vt:i4>297</vt:i4>
      </vt:variant>
      <vt:variant>
        <vt:i4>0</vt:i4>
      </vt:variant>
      <vt:variant>
        <vt:i4>5</vt:i4>
      </vt:variant>
      <vt:variant>
        <vt:lpwstr/>
      </vt:variant>
      <vt:variant>
        <vt:lpwstr>tdm</vt:lpwstr>
      </vt:variant>
      <vt:variant>
        <vt:i4>6553716</vt:i4>
      </vt:variant>
      <vt:variant>
        <vt:i4>294</vt:i4>
      </vt:variant>
      <vt:variant>
        <vt:i4>0</vt:i4>
      </vt:variant>
      <vt:variant>
        <vt:i4>5</vt:i4>
      </vt:variant>
      <vt:variant>
        <vt:lpwstr/>
      </vt:variant>
      <vt:variant>
        <vt:lpwstr>tdm</vt:lpwstr>
      </vt:variant>
      <vt:variant>
        <vt:i4>786436</vt:i4>
      </vt:variant>
      <vt:variant>
        <vt:i4>291</vt:i4>
      </vt:variant>
      <vt:variant>
        <vt:i4>0</vt:i4>
      </vt:variant>
      <vt:variant>
        <vt:i4>5</vt:i4>
      </vt:variant>
      <vt:variant>
        <vt:lpwstr>http://classiques.uqac.ca/contemporains/Xu_Zhen_Zhou/politique_chez_legistes_chinois/legistes_chinois.html</vt:lpwstr>
      </vt:variant>
      <vt:variant>
        <vt:lpwstr/>
      </vt:variant>
      <vt:variant>
        <vt:i4>6553716</vt:i4>
      </vt:variant>
      <vt:variant>
        <vt:i4>288</vt:i4>
      </vt:variant>
      <vt:variant>
        <vt:i4>0</vt:i4>
      </vt:variant>
      <vt:variant>
        <vt:i4>5</vt:i4>
      </vt:variant>
      <vt:variant>
        <vt:lpwstr/>
      </vt:variant>
      <vt:variant>
        <vt:lpwstr>tdm</vt:lpwstr>
      </vt:variant>
      <vt:variant>
        <vt:i4>6553716</vt:i4>
      </vt:variant>
      <vt:variant>
        <vt:i4>285</vt:i4>
      </vt:variant>
      <vt:variant>
        <vt:i4>0</vt:i4>
      </vt:variant>
      <vt:variant>
        <vt:i4>5</vt:i4>
      </vt:variant>
      <vt:variant>
        <vt:lpwstr/>
      </vt:variant>
      <vt:variant>
        <vt:lpwstr>tdm</vt:lpwstr>
      </vt:variant>
      <vt:variant>
        <vt:i4>6684725</vt:i4>
      </vt:variant>
      <vt:variant>
        <vt:i4>282</vt:i4>
      </vt:variant>
      <vt:variant>
        <vt:i4>0</vt:i4>
      </vt:variant>
      <vt:variant>
        <vt:i4>5</vt:i4>
      </vt:variant>
      <vt:variant>
        <vt:lpwstr/>
      </vt:variant>
      <vt:variant>
        <vt:lpwstr>Analyser_idees_pol_pt_4_texte_18</vt:lpwstr>
      </vt:variant>
      <vt:variant>
        <vt:i4>6881333</vt:i4>
      </vt:variant>
      <vt:variant>
        <vt:i4>279</vt:i4>
      </vt:variant>
      <vt:variant>
        <vt:i4>0</vt:i4>
      </vt:variant>
      <vt:variant>
        <vt:i4>5</vt:i4>
      </vt:variant>
      <vt:variant>
        <vt:lpwstr/>
      </vt:variant>
      <vt:variant>
        <vt:lpwstr>Analyser_idees_pol_pt_4_texte_17</vt:lpwstr>
      </vt:variant>
      <vt:variant>
        <vt:i4>6815747</vt:i4>
      </vt:variant>
      <vt:variant>
        <vt:i4>276</vt:i4>
      </vt:variant>
      <vt:variant>
        <vt:i4>0</vt:i4>
      </vt:variant>
      <vt:variant>
        <vt:i4>5</vt:i4>
      </vt:variant>
      <vt:variant>
        <vt:lpwstr/>
      </vt:variant>
      <vt:variant>
        <vt:lpwstr>Analyser_idees_pol_pt_4_texte_16_III</vt:lpwstr>
      </vt:variant>
      <vt:variant>
        <vt:i4>65642</vt:i4>
      </vt:variant>
      <vt:variant>
        <vt:i4>273</vt:i4>
      </vt:variant>
      <vt:variant>
        <vt:i4>0</vt:i4>
      </vt:variant>
      <vt:variant>
        <vt:i4>5</vt:i4>
      </vt:variant>
      <vt:variant>
        <vt:lpwstr/>
      </vt:variant>
      <vt:variant>
        <vt:lpwstr>Analyser_idees_pol_pt_4_texte_16_II</vt:lpwstr>
      </vt:variant>
      <vt:variant>
        <vt:i4>65642</vt:i4>
      </vt:variant>
      <vt:variant>
        <vt:i4>270</vt:i4>
      </vt:variant>
      <vt:variant>
        <vt:i4>0</vt:i4>
      </vt:variant>
      <vt:variant>
        <vt:i4>5</vt:i4>
      </vt:variant>
      <vt:variant>
        <vt:lpwstr/>
      </vt:variant>
      <vt:variant>
        <vt:lpwstr>Analyser_idees_pol_pt_4_texte_16_I</vt:lpwstr>
      </vt:variant>
      <vt:variant>
        <vt:i4>6815797</vt:i4>
      </vt:variant>
      <vt:variant>
        <vt:i4>267</vt:i4>
      </vt:variant>
      <vt:variant>
        <vt:i4>0</vt:i4>
      </vt:variant>
      <vt:variant>
        <vt:i4>5</vt:i4>
      </vt:variant>
      <vt:variant>
        <vt:lpwstr/>
      </vt:variant>
      <vt:variant>
        <vt:lpwstr>Analyser_idees_pol_pt_4_texte_16</vt:lpwstr>
      </vt:variant>
      <vt:variant>
        <vt:i4>131183</vt:i4>
      </vt:variant>
      <vt:variant>
        <vt:i4>264</vt:i4>
      </vt:variant>
      <vt:variant>
        <vt:i4>0</vt:i4>
      </vt:variant>
      <vt:variant>
        <vt:i4>5</vt:i4>
      </vt:variant>
      <vt:variant>
        <vt:lpwstr/>
      </vt:variant>
      <vt:variant>
        <vt:lpwstr>Analyser_idees_pol_pt_4_texte_15_biblio</vt:lpwstr>
      </vt:variant>
      <vt:variant>
        <vt:i4>655462</vt:i4>
      </vt:variant>
      <vt:variant>
        <vt:i4>261</vt:i4>
      </vt:variant>
      <vt:variant>
        <vt:i4>0</vt:i4>
      </vt:variant>
      <vt:variant>
        <vt:i4>5</vt:i4>
      </vt:variant>
      <vt:variant>
        <vt:lpwstr/>
      </vt:variant>
      <vt:variant>
        <vt:lpwstr>Analyser_idees_pol_pt_4_texte_15_concl</vt:lpwstr>
      </vt:variant>
      <vt:variant>
        <vt:i4>131178</vt:i4>
      </vt:variant>
      <vt:variant>
        <vt:i4>258</vt:i4>
      </vt:variant>
      <vt:variant>
        <vt:i4>0</vt:i4>
      </vt:variant>
      <vt:variant>
        <vt:i4>5</vt:i4>
      </vt:variant>
      <vt:variant>
        <vt:lpwstr/>
      </vt:variant>
      <vt:variant>
        <vt:lpwstr>Analyser_idees_pol_pt_4_texte_15_II</vt:lpwstr>
      </vt:variant>
      <vt:variant>
        <vt:i4>131178</vt:i4>
      </vt:variant>
      <vt:variant>
        <vt:i4>255</vt:i4>
      </vt:variant>
      <vt:variant>
        <vt:i4>0</vt:i4>
      </vt:variant>
      <vt:variant>
        <vt:i4>5</vt:i4>
      </vt:variant>
      <vt:variant>
        <vt:lpwstr/>
      </vt:variant>
      <vt:variant>
        <vt:lpwstr>Analyser_idees_pol_pt_4_texte_15_I</vt:lpwstr>
      </vt:variant>
      <vt:variant>
        <vt:i4>7012405</vt:i4>
      </vt:variant>
      <vt:variant>
        <vt:i4>252</vt:i4>
      </vt:variant>
      <vt:variant>
        <vt:i4>0</vt:i4>
      </vt:variant>
      <vt:variant>
        <vt:i4>5</vt:i4>
      </vt:variant>
      <vt:variant>
        <vt:lpwstr/>
      </vt:variant>
      <vt:variant>
        <vt:lpwstr>Analyser_idees_pol_pt_4_texte_15</vt:lpwstr>
      </vt:variant>
      <vt:variant>
        <vt:i4>196714</vt:i4>
      </vt:variant>
      <vt:variant>
        <vt:i4>249</vt:i4>
      </vt:variant>
      <vt:variant>
        <vt:i4>0</vt:i4>
      </vt:variant>
      <vt:variant>
        <vt:i4>5</vt:i4>
      </vt:variant>
      <vt:variant>
        <vt:lpwstr/>
      </vt:variant>
      <vt:variant>
        <vt:lpwstr>Analyser_idees_pol_pt_4_texte_14_II</vt:lpwstr>
      </vt:variant>
      <vt:variant>
        <vt:i4>196714</vt:i4>
      </vt:variant>
      <vt:variant>
        <vt:i4>246</vt:i4>
      </vt:variant>
      <vt:variant>
        <vt:i4>0</vt:i4>
      </vt:variant>
      <vt:variant>
        <vt:i4>5</vt:i4>
      </vt:variant>
      <vt:variant>
        <vt:lpwstr/>
      </vt:variant>
      <vt:variant>
        <vt:lpwstr>Analyser_idees_pol_pt_4_texte_14_I</vt:lpwstr>
      </vt:variant>
      <vt:variant>
        <vt:i4>6946869</vt:i4>
      </vt:variant>
      <vt:variant>
        <vt:i4>243</vt:i4>
      </vt:variant>
      <vt:variant>
        <vt:i4>0</vt:i4>
      </vt:variant>
      <vt:variant>
        <vt:i4>5</vt:i4>
      </vt:variant>
      <vt:variant>
        <vt:lpwstr/>
      </vt:variant>
      <vt:variant>
        <vt:lpwstr>Analyser_idees_pol_pt_4_texte_14</vt:lpwstr>
      </vt:variant>
      <vt:variant>
        <vt:i4>7143427</vt:i4>
      </vt:variant>
      <vt:variant>
        <vt:i4>240</vt:i4>
      </vt:variant>
      <vt:variant>
        <vt:i4>0</vt:i4>
      </vt:variant>
      <vt:variant>
        <vt:i4>5</vt:i4>
      </vt:variant>
      <vt:variant>
        <vt:lpwstr/>
      </vt:variant>
      <vt:variant>
        <vt:lpwstr>Analyser_idees_pol_pt_4_texte_13_III</vt:lpwstr>
      </vt:variant>
      <vt:variant>
        <vt:i4>262250</vt:i4>
      </vt:variant>
      <vt:variant>
        <vt:i4>237</vt:i4>
      </vt:variant>
      <vt:variant>
        <vt:i4>0</vt:i4>
      </vt:variant>
      <vt:variant>
        <vt:i4>5</vt:i4>
      </vt:variant>
      <vt:variant>
        <vt:lpwstr/>
      </vt:variant>
      <vt:variant>
        <vt:lpwstr>Analyser_idees_pol_pt_4_texte_13_II</vt:lpwstr>
      </vt:variant>
      <vt:variant>
        <vt:i4>262250</vt:i4>
      </vt:variant>
      <vt:variant>
        <vt:i4>234</vt:i4>
      </vt:variant>
      <vt:variant>
        <vt:i4>0</vt:i4>
      </vt:variant>
      <vt:variant>
        <vt:i4>5</vt:i4>
      </vt:variant>
      <vt:variant>
        <vt:lpwstr/>
      </vt:variant>
      <vt:variant>
        <vt:lpwstr>Analyser_idees_pol_pt_4_texte_13_I</vt:lpwstr>
      </vt:variant>
      <vt:variant>
        <vt:i4>7143477</vt:i4>
      </vt:variant>
      <vt:variant>
        <vt:i4>231</vt:i4>
      </vt:variant>
      <vt:variant>
        <vt:i4>0</vt:i4>
      </vt:variant>
      <vt:variant>
        <vt:i4>5</vt:i4>
      </vt:variant>
      <vt:variant>
        <vt:lpwstr/>
      </vt:variant>
      <vt:variant>
        <vt:lpwstr>Analyser_idees_pol_pt_4_texte_13</vt:lpwstr>
      </vt:variant>
      <vt:variant>
        <vt:i4>5177433</vt:i4>
      </vt:variant>
      <vt:variant>
        <vt:i4>228</vt:i4>
      </vt:variant>
      <vt:variant>
        <vt:i4>0</vt:i4>
      </vt:variant>
      <vt:variant>
        <vt:i4>5</vt:i4>
      </vt:variant>
      <vt:variant>
        <vt:lpwstr/>
      </vt:variant>
      <vt:variant>
        <vt:lpwstr>Analyser_idees_pol_pt_4</vt:lpwstr>
      </vt:variant>
      <vt:variant>
        <vt:i4>7077938</vt:i4>
      </vt:variant>
      <vt:variant>
        <vt:i4>225</vt:i4>
      </vt:variant>
      <vt:variant>
        <vt:i4>0</vt:i4>
      </vt:variant>
      <vt:variant>
        <vt:i4>5</vt:i4>
      </vt:variant>
      <vt:variant>
        <vt:lpwstr/>
      </vt:variant>
      <vt:variant>
        <vt:lpwstr>Analyser_idees_pol_pt_3_texte_12</vt:lpwstr>
      </vt:variant>
      <vt:variant>
        <vt:i4>7274500</vt:i4>
      </vt:variant>
      <vt:variant>
        <vt:i4>222</vt:i4>
      </vt:variant>
      <vt:variant>
        <vt:i4>0</vt:i4>
      </vt:variant>
      <vt:variant>
        <vt:i4>5</vt:i4>
      </vt:variant>
      <vt:variant>
        <vt:lpwstr/>
      </vt:variant>
      <vt:variant>
        <vt:lpwstr>Analyser_idees_pol_pt_3_texte_11_III</vt:lpwstr>
      </vt:variant>
      <vt:variant>
        <vt:i4>393325</vt:i4>
      </vt:variant>
      <vt:variant>
        <vt:i4>219</vt:i4>
      </vt:variant>
      <vt:variant>
        <vt:i4>0</vt:i4>
      </vt:variant>
      <vt:variant>
        <vt:i4>5</vt:i4>
      </vt:variant>
      <vt:variant>
        <vt:lpwstr/>
      </vt:variant>
      <vt:variant>
        <vt:lpwstr>Analyser_idees_pol_pt_3_texte_11_II</vt:lpwstr>
      </vt:variant>
      <vt:variant>
        <vt:i4>393325</vt:i4>
      </vt:variant>
      <vt:variant>
        <vt:i4>216</vt:i4>
      </vt:variant>
      <vt:variant>
        <vt:i4>0</vt:i4>
      </vt:variant>
      <vt:variant>
        <vt:i4>5</vt:i4>
      </vt:variant>
      <vt:variant>
        <vt:lpwstr/>
      </vt:variant>
      <vt:variant>
        <vt:lpwstr>Analyser_idees_pol_pt_3_texte_11_I</vt:lpwstr>
      </vt:variant>
      <vt:variant>
        <vt:i4>7274546</vt:i4>
      </vt:variant>
      <vt:variant>
        <vt:i4>213</vt:i4>
      </vt:variant>
      <vt:variant>
        <vt:i4>0</vt:i4>
      </vt:variant>
      <vt:variant>
        <vt:i4>5</vt:i4>
      </vt:variant>
      <vt:variant>
        <vt:lpwstr/>
      </vt:variant>
      <vt:variant>
        <vt:lpwstr>Analyser_idees_pol_pt_3_texte_11</vt:lpwstr>
      </vt:variant>
      <vt:variant>
        <vt:i4>7208964</vt:i4>
      </vt:variant>
      <vt:variant>
        <vt:i4>210</vt:i4>
      </vt:variant>
      <vt:variant>
        <vt:i4>0</vt:i4>
      </vt:variant>
      <vt:variant>
        <vt:i4>5</vt:i4>
      </vt:variant>
      <vt:variant>
        <vt:lpwstr/>
      </vt:variant>
      <vt:variant>
        <vt:lpwstr>Analyser_idees_pol_pt_3_texte_10_III</vt:lpwstr>
      </vt:variant>
      <vt:variant>
        <vt:i4>458861</vt:i4>
      </vt:variant>
      <vt:variant>
        <vt:i4>207</vt:i4>
      </vt:variant>
      <vt:variant>
        <vt:i4>0</vt:i4>
      </vt:variant>
      <vt:variant>
        <vt:i4>5</vt:i4>
      </vt:variant>
      <vt:variant>
        <vt:lpwstr/>
      </vt:variant>
      <vt:variant>
        <vt:lpwstr>Analyser_idees_pol_pt_3_texte_10_II</vt:lpwstr>
      </vt:variant>
      <vt:variant>
        <vt:i4>458861</vt:i4>
      </vt:variant>
      <vt:variant>
        <vt:i4>204</vt:i4>
      </vt:variant>
      <vt:variant>
        <vt:i4>0</vt:i4>
      </vt:variant>
      <vt:variant>
        <vt:i4>5</vt:i4>
      </vt:variant>
      <vt:variant>
        <vt:lpwstr/>
      </vt:variant>
      <vt:variant>
        <vt:lpwstr>Analyser_idees_pol_pt_3_texte_10_I</vt:lpwstr>
      </vt:variant>
      <vt:variant>
        <vt:i4>7209010</vt:i4>
      </vt:variant>
      <vt:variant>
        <vt:i4>201</vt:i4>
      </vt:variant>
      <vt:variant>
        <vt:i4>0</vt:i4>
      </vt:variant>
      <vt:variant>
        <vt:i4>5</vt:i4>
      </vt:variant>
      <vt:variant>
        <vt:lpwstr/>
      </vt:variant>
      <vt:variant>
        <vt:lpwstr>Analyser_idees_pol_pt_3_texte_10</vt:lpwstr>
      </vt:variant>
      <vt:variant>
        <vt:i4>393312</vt:i4>
      </vt:variant>
      <vt:variant>
        <vt:i4>198</vt:i4>
      </vt:variant>
      <vt:variant>
        <vt:i4>0</vt:i4>
      </vt:variant>
      <vt:variant>
        <vt:i4>5</vt:i4>
      </vt:variant>
      <vt:variant>
        <vt:lpwstr/>
      </vt:variant>
      <vt:variant>
        <vt:lpwstr>Analyser_idees_pol_pt_3_texte_09_concl</vt:lpwstr>
      </vt:variant>
      <vt:variant>
        <vt:i4>917612</vt:i4>
      </vt:variant>
      <vt:variant>
        <vt:i4>195</vt:i4>
      </vt:variant>
      <vt:variant>
        <vt:i4>0</vt:i4>
      </vt:variant>
      <vt:variant>
        <vt:i4>5</vt:i4>
      </vt:variant>
      <vt:variant>
        <vt:lpwstr/>
      </vt:variant>
      <vt:variant>
        <vt:lpwstr>Analyser_idees_pol_pt_3_texte_09_II</vt:lpwstr>
      </vt:variant>
      <vt:variant>
        <vt:i4>917612</vt:i4>
      </vt:variant>
      <vt:variant>
        <vt:i4>192</vt:i4>
      </vt:variant>
      <vt:variant>
        <vt:i4>0</vt:i4>
      </vt:variant>
      <vt:variant>
        <vt:i4>5</vt:i4>
      </vt:variant>
      <vt:variant>
        <vt:lpwstr/>
      </vt:variant>
      <vt:variant>
        <vt:lpwstr>Analyser_idees_pol_pt_3_texte_09_I</vt:lpwstr>
      </vt:variant>
      <vt:variant>
        <vt:i4>6750259</vt:i4>
      </vt:variant>
      <vt:variant>
        <vt:i4>189</vt:i4>
      </vt:variant>
      <vt:variant>
        <vt:i4>0</vt:i4>
      </vt:variant>
      <vt:variant>
        <vt:i4>5</vt:i4>
      </vt:variant>
      <vt:variant>
        <vt:lpwstr/>
      </vt:variant>
      <vt:variant>
        <vt:lpwstr>Analyser_idees_pol_pt_3_texte_09</vt:lpwstr>
      </vt:variant>
      <vt:variant>
        <vt:i4>5308475</vt:i4>
      </vt:variant>
      <vt:variant>
        <vt:i4>186</vt:i4>
      </vt:variant>
      <vt:variant>
        <vt:i4>0</vt:i4>
      </vt:variant>
      <vt:variant>
        <vt:i4>5</vt:i4>
      </vt:variant>
      <vt:variant>
        <vt:lpwstr/>
      </vt:variant>
      <vt:variant>
        <vt:lpwstr>Analyser_idees_pol_pt_3_texte_09A_II</vt:lpwstr>
      </vt:variant>
      <vt:variant>
        <vt:i4>3670098</vt:i4>
      </vt:variant>
      <vt:variant>
        <vt:i4>183</vt:i4>
      </vt:variant>
      <vt:variant>
        <vt:i4>0</vt:i4>
      </vt:variant>
      <vt:variant>
        <vt:i4>5</vt:i4>
      </vt:variant>
      <vt:variant>
        <vt:lpwstr/>
      </vt:variant>
      <vt:variant>
        <vt:lpwstr>Analyser_idees_pol_pt_3_texte_09A_I</vt:lpwstr>
      </vt:variant>
      <vt:variant>
        <vt:i4>6750259</vt:i4>
      </vt:variant>
      <vt:variant>
        <vt:i4>180</vt:i4>
      </vt:variant>
      <vt:variant>
        <vt:i4>0</vt:i4>
      </vt:variant>
      <vt:variant>
        <vt:i4>5</vt:i4>
      </vt:variant>
      <vt:variant>
        <vt:lpwstr/>
      </vt:variant>
      <vt:variant>
        <vt:lpwstr>Analyser_idees_pol_pt_3_texte_09A</vt:lpwstr>
      </vt:variant>
      <vt:variant>
        <vt:i4>6684677</vt:i4>
      </vt:variant>
      <vt:variant>
        <vt:i4>177</vt:i4>
      </vt:variant>
      <vt:variant>
        <vt:i4>0</vt:i4>
      </vt:variant>
      <vt:variant>
        <vt:i4>5</vt:i4>
      </vt:variant>
      <vt:variant>
        <vt:lpwstr/>
      </vt:variant>
      <vt:variant>
        <vt:lpwstr>Analyser_idees_pol_pt_3_texte_08_III</vt:lpwstr>
      </vt:variant>
      <vt:variant>
        <vt:i4>983148</vt:i4>
      </vt:variant>
      <vt:variant>
        <vt:i4>174</vt:i4>
      </vt:variant>
      <vt:variant>
        <vt:i4>0</vt:i4>
      </vt:variant>
      <vt:variant>
        <vt:i4>5</vt:i4>
      </vt:variant>
      <vt:variant>
        <vt:lpwstr/>
      </vt:variant>
      <vt:variant>
        <vt:lpwstr>Analyser_idees_pol_pt_3_texte_08_II</vt:lpwstr>
      </vt:variant>
      <vt:variant>
        <vt:i4>983148</vt:i4>
      </vt:variant>
      <vt:variant>
        <vt:i4>171</vt:i4>
      </vt:variant>
      <vt:variant>
        <vt:i4>0</vt:i4>
      </vt:variant>
      <vt:variant>
        <vt:i4>5</vt:i4>
      </vt:variant>
      <vt:variant>
        <vt:lpwstr/>
      </vt:variant>
      <vt:variant>
        <vt:lpwstr>Analyser_idees_pol_pt_3_texte_08_I</vt:lpwstr>
      </vt:variant>
      <vt:variant>
        <vt:i4>1310832</vt:i4>
      </vt:variant>
      <vt:variant>
        <vt:i4>168</vt:i4>
      </vt:variant>
      <vt:variant>
        <vt:i4>0</vt:i4>
      </vt:variant>
      <vt:variant>
        <vt:i4>5</vt:i4>
      </vt:variant>
      <vt:variant>
        <vt:lpwstr/>
      </vt:variant>
      <vt:variant>
        <vt:lpwstr>Analyser_idees_pol_pt_3_texte_08_intro</vt:lpwstr>
      </vt:variant>
      <vt:variant>
        <vt:i4>6684723</vt:i4>
      </vt:variant>
      <vt:variant>
        <vt:i4>165</vt:i4>
      </vt:variant>
      <vt:variant>
        <vt:i4>0</vt:i4>
      </vt:variant>
      <vt:variant>
        <vt:i4>5</vt:i4>
      </vt:variant>
      <vt:variant>
        <vt:lpwstr/>
      </vt:variant>
      <vt:variant>
        <vt:lpwstr>Analyser_idees_pol_pt_3_texte_08</vt:lpwstr>
      </vt:variant>
      <vt:variant>
        <vt:i4>6881331</vt:i4>
      </vt:variant>
      <vt:variant>
        <vt:i4>162</vt:i4>
      </vt:variant>
      <vt:variant>
        <vt:i4>0</vt:i4>
      </vt:variant>
      <vt:variant>
        <vt:i4>5</vt:i4>
      </vt:variant>
      <vt:variant>
        <vt:lpwstr/>
      </vt:variant>
      <vt:variant>
        <vt:lpwstr>Analyser_idees_pol_pt_3_texte_07</vt:lpwstr>
      </vt:variant>
      <vt:variant>
        <vt:i4>65641</vt:i4>
      </vt:variant>
      <vt:variant>
        <vt:i4>159</vt:i4>
      </vt:variant>
      <vt:variant>
        <vt:i4>0</vt:i4>
      </vt:variant>
      <vt:variant>
        <vt:i4>5</vt:i4>
      </vt:variant>
      <vt:variant>
        <vt:lpwstr/>
      </vt:variant>
      <vt:variant>
        <vt:lpwstr>Analyser_idees_pol_pt_3_texte_06_biblio</vt:lpwstr>
      </vt:variant>
      <vt:variant>
        <vt:i4>589920</vt:i4>
      </vt:variant>
      <vt:variant>
        <vt:i4>156</vt:i4>
      </vt:variant>
      <vt:variant>
        <vt:i4>0</vt:i4>
      </vt:variant>
      <vt:variant>
        <vt:i4>5</vt:i4>
      </vt:variant>
      <vt:variant>
        <vt:lpwstr/>
      </vt:variant>
      <vt:variant>
        <vt:lpwstr>Analyser_idees_pol_pt_3_texte_06_concl</vt:lpwstr>
      </vt:variant>
      <vt:variant>
        <vt:i4>65644</vt:i4>
      </vt:variant>
      <vt:variant>
        <vt:i4>153</vt:i4>
      </vt:variant>
      <vt:variant>
        <vt:i4>0</vt:i4>
      </vt:variant>
      <vt:variant>
        <vt:i4>5</vt:i4>
      </vt:variant>
      <vt:variant>
        <vt:lpwstr/>
      </vt:variant>
      <vt:variant>
        <vt:lpwstr>Analyser_idees_pol_pt_3_texte_06_II</vt:lpwstr>
      </vt:variant>
      <vt:variant>
        <vt:i4>65644</vt:i4>
      </vt:variant>
      <vt:variant>
        <vt:i4>150</vt:i4>
      </vt:variant>
      <vt:variant>
        <vt:i4>0</vt:i4>
      </vt:variant>
      <vt:variant>
        <vt:i4>5</vt:i4>
      </vt:variant>
      <vt:variant>
        <vt:lpwstr/>
      </vt:variant>
      <vt:variant>
        <vt:lpwstr>Analyser_idees_pol_pt_3_texte_06_I</vt:lpwstr>
      </vt:variant>
      <vt:variant>
        <vt:i4>6815795</vt:i4>
      </vt:variant>
      <vt:variant>
        <vt:i4>147</vt:i4>
      </vt:variant>
      <vt:variant>
        <vt:i4>0</vt:i4>
      </vt:variant>
      <vt:variant>
        <vt:i4>5</vt:i4>
      </vt:variant>
      <vt:variant>
        <vt:lpwstr/>
      </vt:variant>
      <vt:variant>
        <vt:lpwstr>Analyser_idees_pol_pt_3_texte_06</vt:lpwstr>
      </vt:variant>
      <vt:variant>
        <vt:i4>1900652</vt:i4>
      </vt:variant>
      <vt:variant>
        <vt:i4>144</vt:i4>
      </vt:variant>
      <vt:variant>
        <vt:i4>0</vt:i4>
      </vt:variant>
      <vt:variant>
        <vt:i4>5</vt:i4>
      </vt:variant>
      <vt:variant>
        <vt:lpwstr/>
      </vt:variant>
      <vt:variant>
        <vt:lpwstr>Analyser_idees_pol_pt_3_texte_05_VI</vt:lpwstr>
      </vt:variant>
      <vt:variant>
        <vt:i4>1900652</vt:i4>
      </vt:variant>
      <vt:variant>
        <vt:i4>141</vt:i4>
      </vt:variant>
      <vt:variant>
        <vt:i4>0</vt:i4>
      </vt:variant>
      <vt:variant>
        <vt:i4>5</vt:i4>
      </vt:variant>
      <vt:variant>
        <vt:lpwstr/>
      </vt:variant>
      <vt:variant>
        <vt:lpwstr>Analyser_idees_pol_pt_3_texte_05_V</vt:lpwstr>
      </vt:variant>
      <vt:variant>
        <vt:i4>131180</vt:i4>
      </vt:variant>
      <vt:variant>
        <vt:i4>138</vt:i4>
      </vt:variant>
      <vt:variant>
        <vt:i4>0</vt:i4>
      </vt:variant>
      <vt:variant>
        <vt:i4>5</vt:i4>
      </vt:variant>
      <vt:variant>
        <vt:lpwstr/>
      </vt:variant>
      <vt:variant>
        <vt:lpwstr>Analyser_idees_pol_pt_3_texte_05_IV</vt:lpwstr>
      </vt:variant>
      <vt:variant>
        <vt:i4>7012357</vt:i4>
      </vt:variant>
      <vt:variant>
        <vt:i4>135</vt:i4>
      </vt:variant>
      <vt:variant>
        <vt:i4>0</vt:i4>
      </vt:variant>
      <vt:variant>
        <vt:i4>5</vt:i4>
      </vt:variant>
      <vt:variant>
        <vt:lpwstr/>
      </vt:variant>
      <vt:variant>
        <vt:lpwstr>Analyser_idees_pol_pt_3_texte_05_III</vt:lpwstr>
      </vt:variant>
      <vt:variant>
        <vt:i4>131180</vt:i4>
      </vt:variant>
      <vt:variant>
        <vt:i4>132</vt:i4>
      </vt:variant>
      <vt:variant>
        <vt:i4>0</vt:i4>
      </vt:variant>
      <vt:variant>
        <vt:i4>5</vt:i4>
      </vt:variant>
      <vt:variant>
        <vt:lpwstr/>
      </vt:variant>
      <vt:variant>
        <vt:lpwstr>Analyser_idees_pol_pt_3_texte_05_II</vt:lpwstr>
      </vt:variant>
      <vt:variant>
        <vt:i4>131180</vt:i4>
      </vt:variant>
      <vt:variant>
        <vt:i4>129</vt:i4>
      </vt:variant>
      <vt:variant>
        <vt:i4>0</vt:i4>
      </vt:variant>
      <vt:variant>
        <vt:i4>5</vt:i4>
      </vt:variant>
      <vt:variant>
        <vt:lpwstr/>
      </vt:variant>
      <vt:variant>
        <vt:lpwstr>Analyser_idees_pol_pt_3_texte_05_I</vt:lpwstr>
      </vt:variant>
      <vt:variant>
        <vt:i4>7012403</vt:i4>
      </vt:variant>
      <vt:variant>
        <vt:i4>126</vt:i4>
      </vt:variant>
      <vt:variant>
        <vt:i4>0</vt:i4>
      </vt:variant>
      <vt:variant>
        <vt:i4>5</vt:i4>
      </vt:variant>
      <vt:variant>
        <vt:lpwstr/>
      </vt:variant>
      <vt:variant>
        <vt:lpwstr>Analyser_idees_pol_pt_3_texte_05</vt:lpwstr>
      </vt:variant>
      <vt:variant>
        <vt:i4>5177433</vt:i4>
      </vt:variant>
      <vt:variant>
        <vt:i4>123</vt:i4>
      </vt:variant>
      <vt:variant>
        <vt:i4>0</vt:i4>
      </vt:variant>
      <vt:variant>
        <vt:i4>5</vt:i4>
      </vt:variant>
      <vt:variant>
        <vt:lpwstr/>
      </vt:variant>
      <vt:variant>
        <vt:lpwstr>Analyser_idees_pol_pt_3</vt:lpwstr>
      </vt:variant>
      <vt:variant>
        <vt:i4>196717</vt:i4>
      </vt:variant>
      <vt:variant>
        <vt:i4>120</vt:i4>
      </vt:variant>
      <vt:variant>
        <vt:i4>0</vt:i4>
      </vt:variant>
      <vt:variant>
        <vt:i4>5</vt:i4>
      </vt:variant>
      <vt:variant>
        <vt:lpwstr/>
      </vt:variant>
      <vt:variant>
        <vt:lpwstr>Analyser_idees_pol_pt_2_texte_04_IV</vt:lpwstr>
      </vt:variant>
      <vt:variant>
        <vt:i4>6946820</vt:i4>
      </vt:variant>
      <vt:variant>
        <vt:i4>117</vt:i4>
      </vt:variant>
      <vt:variant>
        <vt:i4>0</vt:i4>
      </vt:variant>
      <vt:variant>
        <vt:i4>5</vt:i4>
      </vt:variant>
      <vt:variant>
        <vt:lpwstr/>
      </vt:variant>
      <vt:variant>
        <vt:lpwstr>Analyser_idees_pol_pt_2_texte_04_III</vt:lpwstr>
      </vt:variant>
      <vt:variant>
        <vt:i4>196717</vt:i4>
      </vt:variant>
      <vt:variant>
        <vt:i4>114</vt:i4>
      </vt:variant>
      <vt:variant>
        <vt:i4>0</vt:i4>
      </vt:variant>
      <vt:variant>
        <vt:i4>5</vt:i4>
      </vt:variant>
      <vt:variant>
        <vt:lpwstr/>
      </vt:variant>
      <vt:variant>
        <vt:lpwstr>Analyser_idees_pol_pt_2_texte_04_II</vt:lpwstr>
      </vt:variant>
      <vt:variant>
        <vt:i4>196717</vt:i4>
      </vt:variant>
      <vt:variant>
        <vt:i4>111</vt:i4>
      </vt:variant>
      <vt:variant>
        <vt:i4>0</vt:i4>
      </vt:variant>
      <vt:variant>
        <vt:i4>5</vt:i4>
      </vt:variant>
      <vt:variant>
        <vt:lpwstr/>
      </vt:variant>
      <vt:variant>
        <vt:lpwstr>Analyser_idees_pol_pt_2_texte_04_I</vt:lpwstr>
      </vt:variant>
      <vt:variant>
        <vt:i4>6946866</vt:i4>
      </vt:variant>
      <vt:variant>
        <vt:i4>108</vt:i4>
      </vt:variant>
      <vt:variant>
        <vt:i4>0</vt:i4>
      </vt:variant>
      <vt:variant>
        <vt:i4>5</vt:i4>
      </vt:variant>
      <vt:variant>
        <vt:lpwstr/>
      </vt:variant>
      <vt:variant>
        <vt:lpwstr>Analyser_idees_pol_pt_2_texte_04</vt:lpwstr>
      </vt:variant>
      <vt:variant>
        <vt:i4>786529</vt:i4>
      </vt:variant>
      <vt:variant>
        <vt:i4>105</vt:i4>
      </vt:variant>
      <vt:variant>
        <vt:i4>0</vt:i4>
      </vt:variant>
      <vt:variant>
        <vt:i4>5</vt:i4>
      </vt:variant>
      <vt:variant>
        <vt:lpwstr/>
      </vt:variant>
      <vt:variant>
        <vt:lpwstr>Analyser_idees_pol_pt_2_texte_03_concl</vt:lpwstr>
      </vt:variant>
      <vt:variant>
        <vt:i4>1376365</vt:i4>
      </vt:variant>
      <vt:variant>
        <vt:i4>102</vt:i4>
      </vt:variant>
      <vt:variant>
        <vt:i4>0</vt:i4>
      </vt:variant>
      <vt:variant>
        <vt:i4>5</vt:i4>
      </vt:variant>
      <vt:variant>
        <vt:lpwstr/>
      </vt:variant>
      <vt:variant>
        <vt:lpwstr>Analyser_idees_pol_pt_2_texte_03_XI</vt:lpwstr>
      </vt:variant>
      <vt:variant>
        <vt:i4>1376365</vt:i4>
      </vt:variant>
      <vt:variant>
        <vt:i4>99</vt:i4>
      </vt:variant>
      <vt:variant>
        <vt:i4>0</vt:i4>
      </vt:variant>
      <vt:variant>
        <vt:i4>5</vt:i4>
      </vt:variant>
      <vt:variant>
        <vt:lpwstr/>
      </vt:variant>
      <vt:variant>
        <vt:lpwstr>Analyser_idees_pol_pt_2_texte_03_X</vt:lpwstr>
      </vt:variant>
      <vt:variant>
        <vt:i4>262253</vt:i4>
      </vt:variant>
      <vt:variant>
        <vt:i4>96</vt:i4>
      </vt:variant>
      <vt:variant>
        <vt:i4>0</vt:i4>
      </vt:variant>
      <vt:variant>
        <vt:i4>5</vt:i4>
      </vt:variant>
      <vt:variant>
        <vt:lpwstr/>
      </vt:variant>
      <vt:variant>
        <vt:lpwstr>Analyser_idees_pol_pt_2_texte_03_IX</vt:lpwstr>
      </vt:variant>
      <vt:variant>
        <vt:i4>7471108</vt:i4>
      </vt:variant>
      <vt:variant>
        <vt:i4>93</vt:i4>
      </vt:variant>
      <vt:variant>
        <vt:i4>0</vt:i4>
      </vt:variant>
      <vt:variant>
        <vt:i4>5</vt:i4>
      </vt:variant>
      <vt:variant>
        <vt:lpwstr/>
      </vt:variant>
      <vt:variant>
        <vt:lpwstr>Analyser_idees_pol_pt_2_texte_03_VIII</vt:lpwstr>
      </vt:variant>
      <vt:variant>
        <vt:i4>7471108</vt:i4>
      </vt:variant>
      <vt:variant>
        <vt:i4>90</vt:i4>
      </vt:variant>
      <vt:variant>
        <vt:i4>0</vt:i4>
      </vt:variant>
      <vt:variant>
        <vt:i4>5</vt:i4>
      </vt:variant>
      <vt:variant>
        <vt:lpwstr/>
      </vt:variant>
      <vt:variant>
        <vt:lpwstr>Analyser_idees_pol_pt_2_texte_03_VII</vt:lpwstr>
      </vt:variant>
      <vt:variant>
        <vt:i4>1769581</vt:i4>
      </vt:variant>
      <vt:variant>
        <vt:i4>87</vt:i4>
      </vt:variant>
      <vt:variant>
        <vt:i4>0</vt:i4>
      </vt:variant>
      <vt:variant>
        <vt:i4>5</vt:i4>
      </vt:variant>
      <vt:variant>
        <vt:lpwstr/>
      </vt:variant>
      <vt:variant>
        <vt:lpwstr>Analyser_idees_pol_pt_2_texte_03_VI</vt:lpwstr>
      </vt:variant>
      <vt:variant>
        <vt:i4>1769581</vt:i4>
      </vt:variant>
      <vt:variant>
        <vt:i4>84</vt:i4>
      </vt:variant>
      <vt:variant>
        <vt:i4>0</vt:i4>
      </vt:variant>
      <vt:variant>
        <vt:i4>5</vt:i4>
      </vt:variant>
      <vt:variant>
        <vt:lpwstr/>
      </vt:variant>
      <vt:variant>
        <vt:lpwstr>Analyser_idees_pol_pt_2_texte_03_V</vt:lpwstr>
      </vt:variant>
      <vt:variant>
        <vt:i4>262253</vt:i4>
      </vt:variant>
      <vt:variant>
        <vt:i4>81</vt:i4>
      </vt:variant>
      <vt:variant>
        <vt:i4>0</vt:i4>
      </vt:variant>
      <vt:variant>
        <vt:i4>5</vt:i4>
      </vt:variant>
      <vt:variant>
        <vt:lpwstr/>
      </vt:variant>
      <vt:variant>
        <vt:lpwstr>Analyser_idees_pol_pt_2_texte_03_IV</vt:lpwstr>
      </vt:variant>
      <vt:variant>
        <vt:i4>7143428</vt:i4>
      </vt:variant>
      <vt:variant>
        <vt:i4>78</vt:i4>
      </vt:variant>
      <vt:variant>
        <vt:i4>0</vt:i4>
      </vt:variant>
      <vt:variant>
        <vt:i4>5</vt:i4>
      </vt:variant>
      <vt:variant>
        <vt:lpwstr/>
      </vt:variant>
      <vt:variant>
        <vt:lpwstr>Analyser_idees_pol_pt_2_texte_03_III</vt:lpwstr>
      </vt:variant>
      <vt:variant>
        <vt:i4>262253</vt:i4>
      </vt:variant>
      <vt:variant>
        <vt:i4>75</vt:i4>
      </vt:variant>
      <vt:variant>
        <vt:i4>0</vt:i4>
      </vt:variant>
      <vt:variant>
        <vt:i4>5</vt:i4>
      </vt:variant>
      <vt:variant>
        <vt:lpwstr/>
      </vt:variant>
      <vt:variant>
        <vt:lpwstr>Analyser_idees_pol_pt_2_texte_03_II</vt:lpwstr>
      </vt:variant>
      <vt:variant>
        <vt:i4>262253</vt:i4>
      </vt:variant>
      <vt:variant>
        <vt:i4>72</vt:i4>
      </vt:variant>
      <vt:variant>
        <vt:i4>0</vt:i4>
      </vt:variant>
      <vt:variant>
        <vt:i4>5</vt:i4>
      </vt:variant>
      <vt:variant>
        <vt:lpwstr/>
      </vt:variant>
      <vt:variant>
        <vt:lpwstr>Analyser_idees_pol_pt_2_texte_03_I</vt:lpwstr>
      </vt:variant>
      <vt:variant>
        <vt:i4>7143474</vt:i4>
      </vt:variant>
      <vt:variant>
        <vt:i4>69</vt:i4>
      </vt:variant>
      <vt:variant>
        <vt:i4>0</vt:i4>
      </vt:variant>
      <vt:variant>
        <vt:i4>5</vt:i4>
      </vt:variant>
      <vt:variant>
        <vt:lpwstr/>
      </vt:variant>
      <vt:variant>
        <vt:lpwstr>Analyser_idees_pol_pt_2_texte_03</vt:lpwstr>
      </vt:variant>
      <vt:variant>
        <vt:i4>7077938</vt:i4>
      </vt:variant>
      <vt:variant>
        <vt:i4>66</vt:i4>
      </vt:variant>
      <vt:variant>
        <vt:i4>0</vt:i4>
      </vt:variant>
      <vt:variant>
        <vt:i4>5</vt:i4>
      </vt:variant>
      <vt:variant>
        <vt:lpwstr/>
      </vt:variant>
      <vt:variant>
        <vt:lpwstr>Analyser_idees_pol_pt_2_texte_02</vt:lpwstr>
      </vt:variant>
      <vt:variant>
        <vt:i4>5177433</vt:i4>
      </vt:variant>
      <vt:variant>
        <vt:i4>63</vt:i4>
      </vt:variant>
      <vt:variant>
        <vt:i4>0</vt:i4>
      </vt:variant>
      <vt:variant>
        <vt:i4>5</vt:i4>
      </vt:variant>
      <vt:variant>
        <vt:lpwstr/>
      </vt:variant>
      <vt:variant>
        <vt:lpwstr>Analyser_idees_pol_pt_2</vt:lpwstr>
      </vt:variant>
      <vt:variant>
        <vt:i4>6160420</vt:i4>
      </vt:variant>
      <vt:variant>
        <vt:i4>60</vt:i4>
      </vt:variant>
      <vt:variant>
        <vt:i4>0</vt:i4>
      </vt:variant>
      <vt:variant>
        <vt:i4>5</vt:i4>
      </vt:variant>
      <vt:variant>
        <vt:lpwstr/>
      </vt:variant>
      <vt:variant>
        <vt:lpwstr>Analyser_idees_pol_pt_1_texte_01b_annexe</vt:lpwstr>
      </vt:variant>
      <vt:variant>
        <vt:i4>3932254</vt:i4>
      </vt:variant>
      <vt:variant>
        <vt:i4>57</vt:i4>
      </vt:variant>
      <vt:variant>
        <vt:i4>0</vt:i4>
      </vt:variant>
      <vt:variant>
        <vt:i4>5</vt:i4>
      </vt:variant>
      <vt:variant>
        <vt:lpwstr/>
      </vt:variant>
      <vt:variant>
        <vt:lpwstr>Analyser_idees_pol_pt_1_texte_01b_concl</vt:lpwstr>
      </vt:variant>
      <vt:variant>
        <vt:i4>5439585</vt:i4>
      </vt:variant>
      <vt:variant>
        <vt:i4>54</vt:i4>
      </vt:variant>
      <vt:variant>
        <vt:i4>0</vt:i4>
      </vt:variant>
      <vt:variant>
        <vt:i4>5</vt:i4>
      </vt:variant>
      <vt:variant>
        <vt:lpwstr/>
      </vt:variant>
      <vt:variant>
        <vt:lpwstr>Analyser_idees_pol_pt_1_texte_01b_2c</vt:lpwstr>
      </vt:variant>
      <vt:variant>
        <vt:i4>5374049</vt:i4>
      </vt:variant>
      <vt:variant>
        <vt:i4>51</vt:i4>
      </vt:variant>
      <vt:variant>
        <vt:i4>0</vt:i4>
      </vt:variant>
      <vt:variant>
        <vt:i4>5</vt:i4>
      </vt:variant>
      <vt:variant>
        <vt:lpwstr/>
      </vt:variant>
      <vt:variant>
        <vt:lpwstr>Analyser_idees_pol_pt_1_texte_01b_2b</vt:lpwstr>
      </vt:variant>
      <vt:variant>
        <vt:i4>5308513</vt:i4>
      </vt:variant>
      <vt:variant>
        <vt:i4>48</vt:i4>
      </vt:variant>
      <vt:variant>
        <vt:i4>0</vt:i4>
      </vt:variant>
      <vt:variant>
        <vt:i4>5</vt:i4>
      </vt:variant>
      <vt:variant>
        <vt:lpwstr/>
      </vt:variant>
      <vt:variant>
        <vt:lpwstr>Analyser_idees_pol_pt_1_texte_01b_2a</vt:lpwstr>
      </vt:variant>
      <vt:variant>
        <vt:i4>3145811</vt:i4>
      </vt:variant>
      <vt:variant>
        <vt:i4>45</vt:i4>
      </vt:variant>
      <vt:variant>
        <vt:i4>0</vt:i4>
      </vt:variant>
      <vt:variant>
        <vt:i4>5</vt:i4>
      </vt:variant>
      <vt:variant>
        <vt:lpwstr/>
      </vt:variant>
      <vt:variant>
        <vt:lpwstr>Analyser_idees_pol_pt_1_texte_01b_2</vt:lpwstr>
      </vt:variant>
      <vt:variant>
        <vt:i4>3145811</vt:i4>
      </vt:variant>
      <vt:variant>
        <vt:i4>42</vt:i4>
      </vt:variant>
      <vt:variant>
        <vt:i4>0</vt:i4>
      </vt:variant>
      <vt:variant>
        <vt:i4>5</vt:i4>
      </vt:variant>
      <vt:variant>
        <vt:lpwstr/>
      </vt:variant>
      <vt:variant>
        <vt:lpwstr>Analyser_idees_pol_pt_1_texte_01b_1</vt:lpwstr>
      </vt:variant>
      <vt:variant>
        <vt:i4>7274545</vt:i4>
      </vt:variant>
      <vt:variant>
        <vt:i4>39</vt:i4>
      </vt:variant>
      <vt:variant>
        <vt:i4>0</vt:i4>
      </vt:variant>
      <vt:variant>
        <vt:i4>5</vt:i4>
      </vt:variant>
      <vt:variant>
        <vt:lpwstr/>
      </vt:variant>
      <vt:variant>
        <vt:lpwstr>Analyser_idees_pol_pt_1_texte_01b</vt:lpwstr>
      </vt:variant>
      <vt:variant>
        <vt:i4>917602</vt:i4>
      </vt:variant>
      <vt:variant>
        <vt:i4>36</vt:i4>
      </vt:variant>
      <vt:variant>
        <vt:i4>0</vt:i4>
      </vt:variant>
      <vt:variant>
        <vt:i4>5</vt:i4>
      </vt:variant>
      <vt:variant>
        <vt:lpwstr/>
      </vt:variant>
      <vt:variant>
        <vt:lpwstr>Analyser_idees_pol_pt_1_texte_01_concl</vt:lpwstr>
      </vt:variant>
      <vt:variant>
        <vt:i4>393326</vt:i4>
      </vt:variant>
      <vt:variant>
        <vt:i4>33</vt:i4>
      </vt:variant>
      <vt:variant>
        <vt:i4>0</vt:i4>
      </vt:variant>
      <vt:variant>
        <vt:i4>5</vt:i4>
      </vt:variant>
      <vt:variant>
        <vt:lpwstr/>
      </vt:variant>
      <vt:variant>
        <vt:lpwstr>Analyser_idees_pol_pt_1_texte_01_II</vt:lpwstr>
      </vt:variant>
      <vt:variant>
        <vt:i4>393326</vt:i4>
      </vt:variant>
      <vt:variant>
        <vt:i4>30</vt:i4>
      </vt:variant>
      <vt:variant>
        <vt:i4>0</vt:i4>
      </vt:variant>
      <vt:variant>
        <vt:i4>5</vt:i4>
      </vt:variant>
      <vt:variant>
        <vt:lpwstr/>
      </vt:variant>
      <vt:variant>
        <vt:lpwstr>Analyser_idees_pol_pt_1_texte_01_I</vt:lpwstr>
      </vt:variant>
      <vt:variant>
        <vt:i4>7274545</vt:i4>
      </vt:variant>
      <vt:variant>
        <vt:i4>27</vt:i4>
      </vt:variant>
      <vt:variant>
        <vt:i4>0</vt:i4>
      </vt:variant>
      <vt:variant>
        <vt:i4>5</vt:i4>
      </vt:variant>
      <vt:variant>
        <vt:lpwstr/>
      </vt:variant>
      <vt:variant>
        <vt:lpwstr>Analyser_idees_pol_pt_1_texte_01</vt:lpwstr>
      </vt:variant>
      <vt:variant>
        <vt:i4>5177433</vt:i4>
      </vt:variant>
      <vt:variant>
        <vt:i4>24</vt:i4>
      </vt:variant>
      <vt:variant>
        <vt:i4>0</vt:i4>
      </vt:variant>
      <vt:variant>
        <vt:i4>5</vt:i4>
      </vt:variant>
      <vt:variant>
        <vt:lpwstr/>
      </vt:variant>
      <vt:variant>
        <vt:lpwstr>Analyser_idees_pol_pt_1</vt:lpwstr>
      </vt:variant>
      <vt:variant>
        <vt:i4>3735651</vt:i4>
      </vt:variant>
      <vt:variant>
        <vt:i4>21</vt:i4>
      </vt:variant>
      <vt:variant>
        <vt:i4>0</vt:i4>
      </vt:variant>
      <vt:variant>
        <vt:i4>5</vt:i4>
      </vt:variant>
      <vt:variant>
        <vt:lpwstr/>
      </vt:variant>
      <vt:variant>
        <vt:lpwstr>Analyser_idees_pol_texte_00</vt:lpwstr>
      </vt:variant>
      <vt:variant>
        <vt:i4>7536719</vt:i4>
      </vt:variant>
      <vt:variant>
        <vt:i4>18</vt:i4>
      </vt:variant>
      <vt:variant>
        <vt:i4>0</vt:i4>
      </vt:variant>
      <vt:variant>
        <vt:i4>5</vt:i4>
      </vt:variant>
      <vt:variant>
        <vt:lpwstr/>
      </vt:variant>
      <vt:variant>
        <vt:lpwstr>Analyser_idees_pol_auteurs</vt:lpwstr>
      </vt:variant>
      <vt:variant>
        <vt:i4>589923</vt:i4>
      </vt:variant>
      <vt:variant>
        <vt:i4>15</vt:i4>
      </vt:variant>
      <vt:variant>
        <vt:i4>0</vt:i4>
      </vt:variant>
      <vt:variant>
        <vt:i4>5</vt:i4>
      </vt:variant>
      <vt:variant>
        <vt:lpwstr>mailto:michel.berges@free.fr</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3276911</vt:i4>
      </vt:variant>
      <vt:variant>
        <vt:i4>240</vt:i4>
      </vt:variant>
      <vt:variant>
        <vt:i4>0</vt:i4>
      </vt:variant>
      <vt:variant>
        <vt:i4>5</vt:i4>
      </vt:variant>
      <vt:variant>
        <vt:lpwstr>http://dx.doi.org/doi:10.1522/030174907</vt:lpwstr>
      </vt:variant>
      <vt:variant>
        <vt:lpwstr/>
      </vt:variant>
      <vt:variant>
        <vt:i4>4784156</vt:i4>
      </vt:variant>
      <vt:variant>
        <vt:i4>237</vt:i4>
      </vt:variant>
      <vt:variant>
        <vt:i4>0</vt:i4>
      </vt:variant>
      <vt:variant>
        <vt:i4>5</vt:i4>
      </vt:variant>
      <vt:variant>
        <vt:lpwstr>http://dx.doi.org/doi:10.1522/cla.wem.eth</vt:lpwstr>
      </vt:variant>
      <vt:variant>
        <vt:lpwstr/>
      </vt:variant>
      <vt:variant>
        <vt:i4>6291583</vt:i4>
      </vt:variant>
      <vt:variant>
        <vt:i4>234</vt:i4>
      </vt:variant>
      <vt:variant>
        <vt:i4>0</vt:i4>
      </vt:variant>
      <vt:variant>
        <vt:i4>5</vt:i4>
      </vt:variant>
      <vt:variant>
        <vt:lpwstr>http://dx.doi.org/doi:10.1522/cla.toa.dem2</vt:lpwstr>
      </vt:variant>
      <vt:variant>
        <vt:lpwstr/>
      </vt:variant>
      <vt:variant>
        <vt:i4>7929958</vt:i4>
      </vt:variant>
      <vt:variant>
        <vt:i4>231</vt:i4>
      </vt:variant>
      <vt:variant>
        <vt:i4>0</vt:i4>
      </vt:variant>
      <vt:variant>
        <vt:i4>5</vt:i4>
      </vt:variant>
      <vt:variant>
        <vt:lpwstr>http://sharingsweden.se/wp-content/uploads/2015/06/Sverigefoldern-engelska-i-A5-format.pdf</vt:lpwstr>
      </vt:variant>
      <vt:variant>
        <vt:lpwstr/>
      </vt:variant>
      <vt:variant>
        <vt:i4>7274533</vt:i4>
      </vt:variant>
      <vt:variant>
        <vt:i4>228</vt:i4>
      </vt:variant>
      <vt:variant>
        <vt:i4>0</vt:i4>
      </vt:variant>
      <vt:variant>
        <vt:i4>5</vt:i4>
      </vt:variant>
      <vt:variant>
        <vt:lpwstr>http://www.leparisien.fr/politique/royal-admire-le-modele-suedois-04-07-2006-2007133650.php</vt:lpwstr>
      </vt:variant>
      <vt:variant>
        <vt:lpwstr>xtref=https%3A%2F%2Fwww.google.fr%2F</vt:lpwstr>
      </vt:variant>
      <vt:variant>
        <vt:i4>3604482</vt:i4>
      </vt:variant>
      <vt:variant>
        <vt:i4>225</vt:i4>
      </vt:variant>
      <vt:variant>
        <vt:i4>0</vt:i4>
      </vt:variant>
      <vt:variant>
        <vt:i4>5</vt:i4>
      </vt:variant>
      <vt:variant>
        <vt:lpwstr>http://www.lepoint.fr/politique/valls-loue-le-modele-danois-contre-le-chomage-28-11-2014-1885167_20.php</vt:lpwstr>
      </vt:variant>
      <vt:variant>
        <vt:lpwstr/>
      </vt:variant>
      <vt:variant>
        <vt:i4>1900650</vt:i4>
      </vt:variant>
      <vt:variant>
        <vt:i4>222</vt:i4>
      </vt:variant>
      <vt:variant>
        <vt:i4>0</vt:i4>
      </vt:variant>
      <vt:variant>
        <vt:i4>5</vt:i4>
      </vt:variant>
      <vt:variant>
        <vt:lpwstr>http://liberaletsocial.free.fr/?144/Le_miracle_danois_un_modele_pour_la_France</vt:lpwstr>
      </vt:variant>
      <vt:variant>
        <vt:lpwstr/>
      </vt:variant>
      <vt:variant>
        <vt:i4>1245215</vt:i4>
      </vt:variant>
      <vt:variant>
        <vt:i4>219</vt:i4>
      </vt:variant>
      <vt:variant>
        <vt:i4>0</vt:i4>
      </vt:variant>
      <vt:variant>
        <vt:i4>5</vt:i4>
      </vt:variant>
      <vt:variant>
        <vt:lpwstr>http://www.ina.fr/video/CAA7600539701</vt:lpwstr>
      </vt:variant>
      <vt:variant>
        <vt:lpwstr/>
      </vt:variant>
      <vt:variant>
        <vt:i4>3932201</vt:i4>
      </vt:variant>
      <vt:variant>
        <vt:i4>216</vt:i4>
      </vt:variant>
      <vt:variant>
        <vt:i4>0</vt:i4>
      </vt:variant>
      <vt:variant>
        <vt:i4>5</vt:i4>
      </vt:variant>
      <vt:variant>
        <vt:lpwstr>https://www.nouvelobs.com/education/20131030.OBS3283/ecole-les-bonnes-recettes-de-la-finlande.html</vt:lpwstr>
      </vt:variant>
      <vt:variant>
        <vt:lpwstr/>
      </vt:variant>
      <vt:variant>
        <vt:i4>5111885</vt:i4>
      </vt:variant>
      <vt:variant>
        <vt:i4>213</vt:i4>
      </vt:variant>
      <vt:variant>
        <vt:i4>0</vt:i4>
      </vt:variant>
      <vt:variant>
        <vt:i4>5</vt:i4>
      </vt:variant>
      <vt:variant>
        <vt:lpwstr>https://www.lemonde.fr/economie/article/2014/03/28/au-danemark-pays-de-la-flexisecurite-le-chomage-est-au-plus-bas_4391367_3234.html</vt:lpwstr>
      </vt:variant>
      <vt:variant>
        <vt:lpwstr/>
      </vt:variant>
      <vt:variant>
        <vt:i4>7471218</vt:i4>
      </vt:variant>
      <vt:variant>
        <vt:i4>210</vt:i4>
      </vt:variant>
      <vt:variant>
        <vt:i4>0</vt:i4>
      </vt:variant>
      <vt:variant>
        <vt:i4>5</vt:i4>
      </vt:variant>
      <vt:variant>
        <vt:lpwstr>http://www.lereel.fr/2013/06/15/la-suede-un-modele-pour-les-sympathisants-lgbt/</vt:lpwstr>
      </vt:variant>
      <vt:variant>
        <vt:lpwstr/>
      </vt:variant>
      <vt:variant>
        <vt:i4>6422584</vt:i4>
      </vt:variant>
      <vt:variant>
        <vt:i4>207</vt:i4>
      </vt:variant>
      <vt:variant>
        <vt:i4>0</vt:i4>
      </vt:variant>
      <vt:variant>
        <vt:i4>5</vt:i4>
      </vt:variant>
      <vt:variant>
        <vt:lpwstr>https://www.youtube.com/watch?v=g0dTKLvqIdo</vt:lpwstr>
      </vt:variant>
      <vt:variant>
        <vt:lpwstr/>
      </vt:variant>
      <vt:variant>
        <vt:i4>1835051</vt:i4>
      </vt:variant>
      <vt:variant>
        <vt:i4>204</vt:i4>
      </vt:variant>
      <vt:variant>
        <vt:i4>0</vt:i4>
      </vt:variant>
      <vt:variant>
        <vt:i4>5</vt:i4>
      </vt:variant>
      <vt:variant>
        <vt:lpwstr>http://www.lexpress.fr/education/la-finlande-eldorado-de-l-education_1295649.html</vt:lpwstr>
      </vt:variant>
      <vt:variant>
        <vt:lpwstr/>
      </vt:variant>
      <vt:variant>
        <vt:i4>1769560</vt:i4>
      </vt:variant>
      <vt:variant>
        <vt:i4>201</vt:i4>
      </vt:variant>
      <vt:variant>
        <vt:i4>0</vt:i4>
      </vt:variant>
      <vt:variant>
        <vt:i4>5</vt:i4>
      </vt:variant>
      <vt:variant>
        <vt:lpwstr>http://www.lejdd.fr/Politique/Emploi-Valls-vante-le-modele-danois-703220</vt:lpwstr>
      </vt:variant>
      <vt:variant>
        <vt:lpwstr/>
      </vt:variant>
      <vt:variant>
        <vt:i4>4849691</vt:i4>
      </vt:variant>
      <vt:variant>
        <vt:i4>198</vt:i4>
      </vt:variant>
      <vt:variant>
        <vt:i4>0</vt:i4>
      </vt:variant>
      <vt:variant>
        <vt:i4>5</vt:i4>
      </vt:variant>
      <vt:variant>
        <vt:lpwstr>http://www.atlantico.fr/decryptage/faut-que-inspirions-davantage-modele-nordique-francois-charles-mougel-630911.html</vt:lpwstr>
      </vt:variant>
      <vt:variant>
        <vt:lpwstr/>
      </vt:variant>
      <vt:variant>
        <vt:i4>2555944</vt:i4>
      </vt:variant>
      <vt:variant>
        <vt:i4>195</vt:i4>
      </vt:variant>
      <vt:variant>
        <vt:i4>0</vt:i4>
      </vt:variant>
      <vt:variant>
        <vt:i4>5</vt:i4>
      </vt:variant>
      <vt:variant>
        <vt:lpwstr>https://www.la-croix.com/Actualite/Monde/Parite-en-politique-le-modele-suedois-_NG_-2012-05-17-807552</vt:lpwstr>
      </vt:variant>
      <vt:variant>
        <vt:lpwstr/>
      </vt:variant>
      <vt:variant>
        <vt:i4>4784223</vt:i4>
      </vt:variant>
      <vt:variant>
        <vt:i4>192</vt:i4>
      </vt:variant>
      <vt:variant>
        <vt:i4>0</vt:i4>
      </vt:variant>
      <vt:variant>
        <vt:i4>5</vt:i4>
      </vt:variant>
      <vt:variant>
        <vt:lpwstr>https://www.marianne.net/monde/le-modele-suedois-bout-de-souffle</vt:lpwstr>
      </vt:variant>
      <vt:variant>
        <vt:lpwstr/>
      </vt:variant>
      <vt:variant>
        <vt:i4>5046294</vt:i4>
      </vt:variant>
      <vt:variant>
        <vt:i4>189</vt:i4>
      </vt:variant>
      <vt:variant>
        <vt:i4>0</vt:i4>
      </vt:variant>
      <vt:variant>
        <vt:i4>5</vt:i4>
      </vt:variant>
      <vt:variant>
        <vt:lpwstr>http://www.assemblee-nationale.fr/histoire/Chaban1969.asp</vt:lpwstr>
      </vt:variant>
      <vt:variant>
        <vt:lpwstr/>
      </vt:variant>
      <vt:variant>
        <vt:i4>3276911</vt:i4>
      </vt:variant>
      <vt:variant>
        <vt:i4>186</vt:i4>
      </vt:variant>
      <vt:variant>
        <vt:i4>0</vt:i4>
      </vt:variant>
      <vt:variant>
        <vt:i4>5</vt:i4>
      </vt:variant>
      <vt:variant>
        <vt:lpwstr>http://dx.doi.org/doi:10.1522/030174904</vt:lpwstr>
      </vt:variant>
      <vt:variant>
        <vt:lpwstr/>
      </vt:variant>
      <vt:variant>
        <vt:i4>6946917</vt:i4>
      </vt:variant>
      <vt:variant>
        <vt:i4>183</vt:i4>
      </vt:variant>
      <vt:variant>
        <vt:i4>0</vt:i4>
      </vt:variant>
      <vt:variant>
        <vt:i4>5</vt:i4>
      </vt:variant>
      <vt:variant>
        <vt:lpwstr>http://dx.doi.org/doi:10.1522/cla.moc.del8</vt:lpwstr>
      </vt:variant>
      <vt:variant>
        <vt:lpwstr/>
      </vt:variant>
      <vt:variant>
        <vt:i4>2162729</vt:i4>
      </vt:variant>
      <vt:variant>
        <vt:i4>180</vt:i4>
      </vt:variant>
      <vt:variant>
        <vt:i4>0</vt:i4>
      </vt:variant>
      <vt:variant>
        <vt:i4>5</vt:i4>
      </vt:variant>
      <vt:variant>
        <vt:lpwstr>http://racines.traditions.free.fr/hyperbor%20/mytpolno.pdf</vt:lpwstr>
      </vt:variant>
      <vt:variant>
        <vt:lpwstr/>
      </vt:variant>
      <vt:variant>
        <vt:i4>4980773</vt:i4>
      </vt:variant>
      <vt:variant>
        <vt:i4>177</vt:i4>
      </vt:variant>
      <vt:variant>
        <vt:i4>0</vt:i4>
      </vt:variant>
      <vt:variant>
        <vt:i4>5</vt:i4>
      </vt:variant>
      <vt:variant>
        <vt:lpwstr>http://archives.lesechos.fr/archives/cercle/2014/06/17/cercle_99951.htm</vt:lpwstr>
      </vt:variant>
      <vt:variant>
        <vt:lpwstr/>
      </vt:variant>
      <vt:variant>
        <vt:i4>1835095</vt:i4>
      </vt:variant>
      <vt:variant>
        <vt:i4>174</vt:i4>
      </vt:variant>
      <vt:variant>
        <vt:i4>0</vt:i4>
      </vt:variant>
      <vt:variant>
        <vt:i4>5</vt:i4>
      </vt:variant>
      <vt:variant>
        <vt:lpwstr>https://www.lemonde.fr/idees/article/2014/05/20/le-modele-des-pays-nordiques-est-une-vraie-alternative-a-l-economie-de-l-offre_4421802_3232.html</vt:lpwstr>
      </vt:variant>
      <vt:variant>
        <vt:lpwstr/>
      </vt:variant>
      <vt:variant>
        <vt:i4>5505093</vt:i4>
      </vt:variant>
      <vt:variant>
        <vt:i4>171</vt:i4>
      </vt:variant>
      <vt:variant>
        <vt:i4>0</vt:i4>
      </vt:variant>
      <vt:variant>
        <vt:i4>5</vt:i4>
      </vt:variant>
      <vt:variant>
        <vt:lpwstr>https://www.20minutes.fr/monde/1490295-20141128-manuel-valls-danemark-pays-flexisecurite</vt:lpwstr>
      </vt:variant>
      <vt:variant>
        <vt:lpwstr/>
      </vt:variant>
      <vt:variant>
        <vt:i4>4521985</vt:i4>
      </vt:variant>
      <vt:variant>
        <vt:i4>168</vt:i4>
      </vt:variant>
      <vt:variant>
        <vt:i4>0</vt:i4>
      </vt:variant>
      <vt:variant>
        <vt:i4>5</vt:i4>
      </vt:variant>
      <vt:variant>
        <vt:lpwstr>http://www.nouvelobs.com/tag/afp</vt:lpwstr>
      </vt:variant>
      <vt:variant>
        <vt:lpwstr/>
      </vt:variant>
      <vt:variant>
        <vt:i4>5177416</vt:i4>
      </vt:variant>
      <vt:variant>
        <vt:i4>165</vt:i4>
      </vt:variant>
      <vt:variant>
        <vt:i4>0</vt:i4>
      </vt:variant>
      <vt:variant>
        <vt:i4>5</vt:i4>
      </vt:variant>
      <vt:variant>
        <vt:lpwstr>https://rmc.bfmtv.com/emission/apres-les-attentats-de-copenhague-la-deradicalisation-made-in-danemark-en-question-864149.html</vt:lpwstr>
      </vt:variant>
      <vt:variant>
        <vt:lpwstr/>
      </vt:variant>
      <vt:variant>
        <vt:i4>3932271</vt:i4>
      </vt:variant>
      <vt:variant>
        <vt:i4>162</vt:i4>
      </vt:variant>
      <vt:variant>
        <vt:i4>0</vt:i4>
      </vt:variant>
      <vt:variant>
        <vt:i4>5</vt:i4>
      </vt:variant>
      <vt:variant>
        <vt:lpwstr>http://dx.doi.org/doi:10.1522/030269801</vt:lpwstr>
      </vt:variant>
      <vt:variant>
        <vt:lpwstr/>
      </vt:variant>
      <vt:variant>
        <vt:i4>7209006</vt:i4>
      </vt:variant>
      <vt:variant>
        <vt:i4>159</vt:i4>
      </vt:variant>
      <vt:variant>
        <vt:i4>0</vt:i4>
      </vt:variant>
      <vt:variant>
        <vt:i4>5</vt:i4>
      </vt:variant>
      <vt:variant>
        <vt:lpwstr>https://laportelatine.org/</vt:lpwstr>
      </vt:variant>
      <vt:variant>
        <vt:lpwstr/>
      </vt:variant>
      <vt:variant>
        <vt:i4>5570583</vt:i4>
      </vt:variant>
      <vt:variant>
        <vt:i4>156</vt:i4>
      </vt:variant>
      <vt:variant>
        <vt:i4>0</vt:i4>
      </vt:variant>
      <vt:variant>
        <vt:i4>5</vt:i4>
      </vt:variant>
      <vt:variant>
        <vt:lpwstr>http://dx.doi.org/doi:10.1522/cla.tep.phe</vt:lpwstr>
      </vt:variant>
      <vt:variant>
        <vt:lpwstr/>
      </vt:variant>
      <vt:variant>
        <vt:i4>8257654</vt:i4>
      </vt:variant>
      <vt:variant>
        <vt:i4>153</vt:i4>
      </vt:variant>
      <vt:variant>
        <vt:i4>0</vt:i4>
      </vt:variant>
      <vt:variant>
        <vt:i4>5</vt:i4>
      </vt:variant>
      <vt:variant>
        <vt:lpwstr>http://classiques.uqac.ca/classiques/chardin_teilhard_de/activation_de_energie/activation_de_energie.html</vt:lpwstr>
      </vt:variant>
      <vt:variant>
        <vt:lpwstr/>
      </vt:variant>
      <vt:variant>
        <vt:i4>7667747</vt:i4>
      </vt:variant>
      <vt:variant>
        <vt:i4>150</vt:i4>
      </vt:variant>
      <vt:variant>
        <vt:i4>0</vt:i4>
      </vt:variant>
      <vt:variant>
        <vt:i4>5</vt:i4>
      </vt:variant>
      <vt:variant>
        <vt:lpwstr>http://ugo.bratelli.free.fr/Platon/PlatonRepublique.pdf</vt:lpwstr>
      </vt:variant>
      <vt:variant>
        <vt:lpwstr/>
      </vt:variant>
      <vt:variant>
        <vt:i4>393221</vt:i4>
      </vt:variant>
      <vt:variant>
        <vt:i4>147</vt:i4>
      </vt:variant>
      <vt:variant>
        <vt:i4>0</vt:i4>
      </vt:variant>
      <vt:variant>
        <vt:i4>5</vt:i4>
      </vt:variant>
      <vt:variant>
        <vt:lpwstr>http://www.associationlyonnaise-teilhard.com/archives/2011/02</vt:lpwstr>
      </vt:variant>
      <vt:variant>
        <vt:lpwstr/>
      </vt:variant>
      <vt:variant>
        <vt:i4>5570583</vt:i4>
      </vt:variant>
      <vt:variant>
        <vt:i4>144</vt:i4>
      </vt:variant>
      <vt:variant>
        <vt:i4>0</vt:i4>
      </vt:variant>
      <vt:variant>
        <vt:i4>5</vt:i4>
      </vt:variant>
      <vt:variant>
        <vt:lpwstr>http://dx.doi.org/doi:10.1522/cla.tep.phe</vt:lpwstr>
      </vt:variant>
      <vt:variant>
        <vt:lpwstr/>
      </vt:variant>
      <vt:variant>
        <vt:i4>5570583</vt:i4>
      </vt:variant>
      <vt:variant>
        <vt:i4>141</vt:i4>
      </vt:variant>
      <vt:variant>
        <vt:i4>0</vt:i4>
      </vt:variant>
      <vt:variant>
        <vt:i4>5</vt:i4>
      </vt:variant>
      <vt:variant>
        <vt:lpwstr>http://dx.doi.org/doi:10.1522/cla.tep.phe</vt:lpwstr>
      </vt:variant>
      <vt:variant>
        <vt:lpwstr/>
      </vt:variant>
      <vt:variant>
        <vt:i4>5570583</vt:i4>
      </vt:variant>
      <vt:variant>
        <vt:i4>138</vt:i4>
      </vt:variant>
      <vt:variant>
        <vt:i4>0</vt:i4>
      </vt:variant>
      <vt:variant>
        <vt:i4>5</vt:i4>
      </vt:variant>
      <vt:variant>
        <vt:lpwstr>http://dx.doi.org/doi:10.1522/cla.tep.phe</vt:lpwstr>
      </vt:variant>
      <vt:variant>
        <vt:lpwstr/>
      </vt:variant>
      <vt:variant>
        <vt:i4>5570583</vt:i4>
      </vt:variant>
      <vt:variant>
        <vt:i4>135</vt:i4>
      </vt:variant>
      <vt:variant>
        <vt:i4>0</vt:i4>
      </vt:variant>
      <vt:variant>
        <vt:i4>5</vt:i4>
      </vt:variant>
      <vt:variant>
        <vt:lpwstr>http://dx.doi.org/doi:10.1522/cla.tep.phe</vt:lpwstr>
      </vt:variant>
      <vt:variant>
        <vt:lpwstr/>
      </vt:variant>
      <vt:variant>
        <vt:i4>5767193</vt:i4>
      </vt:variant>
      <vt:variant>
        <vt:i4>132</vt:i4>
      </vt:variant>
      <vt:variant>
        <vt:i4>0</vt:i4>
      </vt:variant>
      <vt:variant>
        <vt:i4>5</vt:i4>
      </vt:variant>
      <vt:variant>
        <vt:lpwstr>http://dx.doi.org/doi:10.1522/cla.beh.pen</vt:lpwstr>
      </vt:variant>
      <vt:variant>
        <vt:lpwstr/>
      </vt:variant>
      <vt:variant>
        <vt:i4>1310726</vt:i4>
      </vt:variant>
      <vt:variant>
        <vt:i4>129</vt:i4>
      </vt:variant>
      <vt:variant>
        <vt:i4>0</vt:i4>
      </vt:variant>
      <vt:variant>
        <vt:i4>5</vt:i4>
      </vt:variant>
      <vt:variant>
        <vt:lpwstr>http://hubblesite.org/pubinfo/pdf/2011/36/pdf.pdf</vt:lpwstr>
      </vt:variant>
      <vt:variant>
        <vt:lpwstr/>
      </vt:variant>
      <vt:variant>
        <vt:i4>3145776</vt:i4>
      </vt:variant>
      <vt:variant>
        <vt:i4>126</vt:i4>
      </vt:variant>
      <vt:variant>
        <vt:i4>0</vt:i4>
      </vt:variant>
      <vt:variant>
        <vt:i4>5</vt:i4>
      </vt:variant>
      <vt:variant>
        <vt:lpwstr>https://www.nature.com/news/2011/110627/full/news.2011.385.html</vt:lpwstr>
      </vt:variant>
      <vt:variant>
        <vt:lpwstr/>
      </vt:variant>
      <vt:variant>
        <vt:i4>3342434</vt:i4>
      </vt:variant>
      <vt:variant>
        <vt:i4>123</vt:i4>
      </vt:variant>
      <vt:variant>
        <vt:i4>0</vt:i4>
      </vt:variant>
      <vt:variant>
        <vt:i4>5</vt:i4>
      </vt:variant>
      <vt:variant>
        <vt:lpwstr>http://dx.doi.org/doi:10.1522/030431012</vt:lpwstr>
      </vt:variant>
      <vt:variant>
        <vt:lpwstr/>
      </vt:variant>
      <vt:variant>
        <vt:i4>8060989</vt:i4>
      </vt:variant>
      <vt:variant>
        <vt:i4>120</vt:i4>
      </vt:variant>
      <vt:variant>
        <vt:i4>0</vt:i4>
      </vt:variant>
      <vt:variant>
        <vt:i4>5</vt:i4>
      </vt:variant>
      <vt:variant>
        <vt:lpwstr>file:///Volumes/RAID Classiques/euillez utiliser cette adresse (DOI) pour citer ce document/ http/:..:dx.doi.org:doi/10.1522:030178992</vt:lpwstr>
      </vt:variant>
      <vt:variant>
        <vt:lpwstr/>
      </vt:variant>
      <vt:variant>
        <vt:i4>7798814</vt:i4>
      </vt:variant>
      <vt:variant>
        <vt:i4>117</vt:i4>
      </vt:variant>
      <vt:variant>
        <vt:i4>0</vt:i4>
      </vt:variant>
      <vt:variant>
        <vt:i4>5</vt:i4>
      </vt:variant>
      <vt:variant>
        <vt:lpwstr>http://www.samizdat.qc.ca/arts/lit/Pascal/Pensees_brunschvicg.pdf</vt:lpwstr>
      </vt:variant>
      <vt:variant>
        <vt:lpwstr/>
      </vt:variant>
      <vt:variant>
        <vt:i4>1376276</vt:i4>
      </vt:variant>
      <vt:variant>
        <vt:i4>114</vt:i4>
      </vt:variant>
      <vt:variant>
        <vt:i4>0</vt:i4>
      </vt:variant>
      <vt:variant>
        <vt:i4>5</vt:i4>
      </vt:variant>
      <vt:variant>
        <vt:lpwstr>http://www.slate.fr/</vt:lpwstr>
      </vt:variant>
      <vt:variant>
        <vt:lpwstr/>
      </vt:variant>
      <vt:variant>
        <vt:i4>524309</vt:i4>
      </vt:variant>
      <vt:variant>
        <vt:i4>111</vt:i4>
      </vt:variant>
      <vt:variant>
        <vt:i4>0</vt:i4>
      </vt:variant>
      <vt:variant>
        <vt:i4>5</vt:i4>
      </vt:variant>
      <vt:variant>
        <vt:lpwstr>http://www.metezulle.fr/</vt:lpwstr>
      </vt:variant>
      <vt:variant>
        <vt:lpwstr/>
      </vt:variant>
      <vt:variant>
        <vt:i4>1245272</vt:i4>
      </vt:variant>
      <vt:variant>
        <vt:i4>108</vt:i4>
      </vt:variant>
      <vt:variant>
        <vt:i4>0</vt:i4>
      </vt:variant>
      <vt:variant>
        <vt:i4>5</vt:i4>
      </vt:variant>
      <vt:variant>
        <vt:lpwstr>http://www.actu-philosophia.com/</vt:lpwstr>
      </vt:variant>
      <vt:variant>
        <vt:lpwstr/>
      </vt:variant>
      <vt:variant>
        <vt:i4>7733357</vt:i4>
      </vt:variant>
      <vt:variant>
        <vt:i4>105</vt:i4>
      </vt:variant>
      <vt:variant>
        <vt:i4>0</vt:i4>
      </vt:variant>
      <vt:variant>
        <vt:i4>5</vt:i4>
      </vt:variant>
      <vt:variant>
        <vt:lpwstr>http://www.parolesdesjours.fr/</vt:lpwstr>
      </vt:variant>
      <vt:variant>
        <vt:lpwstr/>
      </vt:variant>
      <vt:variant>
        <vt:i4>1376276</vt:i4>
      </vt:variant>
      <vt:variant>
        <vt:i4>102</vt:i4>
      </vt:variant>
      <vt:variant>
        <vt:i4>0</vt:i4>
      </vt:variant>
      <vt:variant>
        <vt:i4>5</vt:i4>
      </vt:variant>
      <vt:variant>
        <vt:lpwstr>http://www.slate.fr/</vt:lpwstr>
      </vt:variant>
      <vt:variant>
        <vt:lpwstr/>
      </vt:variant>
      <vt:variant>
        <vt:i4>3342399</vt:i4>
      </vt:variant>
      <vt:variant>
        <vt:i4>99</vt:i4>
      </vt:variant>
      <vt:variant>
        <vt:i4>0</vt:i4>
      </vt:variant>
      <vt:variant>
        <vt:i4>5</vt:i4>
      </vt:variant>
      <vt:variant>
        <vt:lpwstr>http://www.skildy.blog.lemonde.fr/</vt:lpwstr>
      </vt:variant>
      <vt:variant>
        <vt:lpwstr/>
      </vt:variant>
      <vt:variant>
        <vt:i4>2359404</vt:i4>
      </vt:variant>
      <vt:variant>
        <vt:i4>96</vt:i4>
      </vt:variant>
      <vt:variant>
        <vt:i4>0</vt:i4>
      </vt:variant>
      <vt:variant>
        <vt:i4>5</vt:i4>
      </vt:variant>
      <vt:variant>
        <vt:lpwstr>http://www.pilefacelis.com/sollers/img</vt:lpwstr>
      </vt:variant>
      <vt:variant>
        <vt:lpwstr/>
      </vt:variant>
      <vt:variant>
        <vt:i4>786522</vt:i4>
      </vt:variant>
      <vt:variant>
        <vt:i4>93</vt:i4>
      </vt:variant>
      <vt:variant>
        <vt:i4>0</vt:i4>
      </vt:variant>
      <vt:variant>
        <vt:i4>5</vt:i4>
      </vt:variant>
      <vt:variant>
        <vt:lpwstr>http://lherbentrelepaves.fr/</vt:lpwstr>
      </vt:variant>
      <vt:variant>
        <vt:lpwstr/>
      </vt:variant>
      <vt:variant>
        <vt:i4>1245272</vt:i4>
      </vt:variant>
      <vt:variant>
        <vt:i4>90</vt:i4>
      </vt:variant>
      <vt:variant>
        <vt:i4>0</vt:i4>
      </vt:variant>
      <vt:variant>
        <vt:i4>5</vt:i4>
      </vt:variant>
      <vt:variant>
        <vt:lpwstr>http://www.actu-philosophia.com/</vt:lpwstr>
      </vt:variant>
      <vt:variant>
        <vt:lpwstr/>
      </vt:variant>
      <vt:variant>
        <vt:i4>6422641</vt:i4>
      </vt:variant>
      <vt:variant>
        <vt:i4>87</vt:i4>
      </vt:variant>
      <vt:variant>
        <vt:i4>0</vt:i4>
      </vt:variant>
      <vt:variant>
        <vt:i4>5</vt:i4>
      </vt:variant>
      <vt:variant>
        <vt:lpwstr>http://www.cjg.be/</vt:lpwstr>
      </vt:variant>
      <vt:variant>
        <vt:lpwstr/>
      </vt:variant>
      <vt:variant>
        <vt:i4>1310804</vt:i4>
      </vt:variant>
      <vt:variant>
        <vt:i4>84</vt:i4>
      </vt:variant>
      <vt:variant>
        <vt:i4>0</vt:i4>
      </vt:variant>
      <vt:variant>
        <vt:i4>5</vt:i4>
      </vt:variant>
      <vt:variant>
        <vt:lpwstr>http://labyrinthe.revues.org/</vt:lpwstr>
      </vt:variant>
      <vt:variant>
        <vt:lpwstr/>
      </vt:variant>
      <vt:variant>
        <vt:i4>2621536</vt:i4>
      </vt:variant>
      <vt:variant>
        <vt:i4>81</vt:i4>
      </vt:variant>
      <vt:variant>
        <vt:i4>0</vt:i4>
      </vt:variant>
      <vt:variant>
        <vt:i4>5</vt:i4>
      </vt:variant>
      <vt:variant>
        <vt:lpwstr>http://juspoliticum.com/article/Jean-Francois-Kervegan-Que-faire-de-Carl-Schmitt-Paris-Gallimard-2011-552.html</vt:lpwstr>
      </vt:variant>
      <vt:variant>
        <vt:lpwstr/>
      </vt:variant>
      <vt:variant>
        <vt:i4>3604577</vt:i4>
      </vt:variant>
      <vt:variant>
        <vt:i4>78</vt:i4>
      </vt:variant>
      <vt:variant>
        <vt:i4>0</vt:i4>
      </vt:variant>
      <vt:variant>
        <vt:i4>5</vt:i4>
      </vt:variant>
      <vt:variant>
        <vt:lpwstr>http://dx.doi.org/doi:10.1522/030151508</vt:lpwstr>
      </vt:variant>
      <vt:variant>
        <vt:lpwstr/>
      </vt:variant>
      <vt:variant>
        <vt:i4>33</vt:i4>
      </vt:variant>
      <vt:variant>
        <vt:i4>75</vt:i4>
      </vt:variant>
      <vt:variant>
        <vt:i4>0</vt:i4>
      </vt:variant>
      <vt:variant>
        <vt:i4>5</vt:i4>
      </vt:variant>
      <vt:variant>
        <vt:lpwstr>http://classiques.uqac.ca/classiques/Lukacs_gyorgy/histoire_conscience/Histoire_conscience.doc</vt:lpwstr>
      </vt:variant>
      <vt:variant>
        <vt:lpwstr/>
      </vt:variant>
      <vt:variant>
        <vt:i4>4259909</vt:i4>
      </vt:variant>
      <vt:variant>
        <vt:i4>72</vt:i4>
      </vt:variant>
      <vt:variant>
        <vt:i4>0</vt:i4>
      </vt:variant>
      <vt:variant>
        <vt:i4>5</vt:i4>
      </vt:variant>
      <vt:variant>
        <vt:lpwstr>http://classiques.uqac.ca/classiques/lenine/maladie_infantile_du_communisme/maladie_infantile.html</vt:lpwstr>
      </vt:variant>
      <vt:variant>
        <vt:lpwstr/>
      </vt:variant>
      <vt:variant>
        <vt:i4>3211374</vt:i4>
      </vt:variant>
      <vt:variant>
        <vt:i4>69</vt:i4>
      </vt:variant>
      <vt:variant>
        <vt:i4>0</vt:i4>
      </vt:variant>
      <vt:variant>
        <vt:i4>5</vt:i4>
      </vt:variant>
      <vt:variant>
        <vt:lpwstr>http://dx.doi.org/doi:10.1522/030174837</vt:lpwstr>
      </vt:variant>
      <vt:variant>
        <vt:lpwstr/>
      </vt:variant>
      <vt:variant>
        <vt:i4>8257573</vt:i4>
      </vt:variant>
      <vt:variant>
        <vt:i4>66</vt:i4>
      </vt:variant>
      <vt:variant>
        <vt:i4>0</vt:i4>
      </vt:variant>
      <vt:variant>
        <vt:i4>5</vt:i4>
      </vt:variant>
      <vt:variant>
        <vt:lpwstr>http://ccrh.revues.org/2535</vt:lpwstr>
      </vt:variant>
      <vt:variant>
        <vt:lpwstr/>
      </vt:variant>
      <vt:variant>
        <vt:i4>7864425</vt:i4>
      </vt:variant>
      <vt:variant>
        <vt:i4>63</vt:i4>
      </vt:variant>
      <vt:variant>
        <vt:i4>0</vt:i4>
      </vt:variant>
      <vt:variant>
        <vt:i4>5</vt:i4>
      </vt:variant>
      <vt:variant>
        <vt:lpwstr>https://journals.openedition.org/dossiersgrihl/5748</vt:lpwstr>
      </vt:variant>
      <vt:variant>
        <vt:lpwstr/>
      </vt:variant>
      <vt:variant>
        <vt:i4>5767182</vt:i4>
      </vt:variant>
      <vt:variant>
        <vt:i4>60</vt:i4>
      </vt:variant>
      <vt:variant>
        <vt:i4>0</vt:i4>
      </vt:variant>
      <vt:variant>
        <vt:i4>5</vt:i4>
      </vt:variant>
      <vt:variant>
        <vt:lpwstr>http://www.musimem.com/Symbolique_systemes_musicaux.pdf</vt:lpwstr>
      </vt:variant>
      <vt:variant>
        <vt:lpwstr/>
      </vt:variant>
      <vt:variant>
        <vt:i4>3801191</vt:i4>
      </vt:variant>
      <vt:variant>
        <vt:i4>57</vt:i4>
      </vt:variant>
      <vt:variant>
        <vt:i4>0</vt:i4>
      </vt:variant>
      <vt:variant>
        <vt:i4>5</vt:i4>
      </vt:variant>
      <vt:variant>
        <vt:lpwstr>http://dx.doi.org/doi:10.1522/030145294</vt:lpwstr>
      </vt:variant>
      <vt:variant>
        <vt:lpwstr/>
      </vt:variant>
      <vt:variant>
        <vt:i4>786436</vt:i4>
      </vt:variant>
      <vt:variant>
        <vt:i4>54</vt:i4>
      </vt:variant>
      <vt:variant>
        <vt:i4>0</vt:i4>
      </vt:variant>
      <vt:variant>
        <vt:i4>5</vt:i4>
      </vt:variant>
      <vt:variant>
        <vt:lpwstr>http://classiques.uqac.ca/contemporains/Xu_Zhen_Zhou/politique_chez_legistes_chinois/legistes_chinois.html</vt:lpwstr>
      </vt:variant>
      <vt:variant>
        <vt:lpwstr/>
      </vt:variant>
      <vt:variant>
        <vt:i4>4390922</vt:i4>
      </vt:variant>
      <vt:variant>
        <vt:i4>51</vt:i4>
      </vt:variant>
      <vt:variant>
        <vt:i4>0</vt:i4>
      </vt:variant>
      <vt:variant>
        <vt:i4>5</vt:i4>
      </vt:variant>
      <vt:variant>
        <vt:lpwstr>http://dx.doi.org/doi:10.1522/cla.grm.civ</vt:lpwstr>
      </vt:variant>
      <vt:variant>
        <vt:lpwstr/>
      </vt:variant>
      <vt:variant>
        <vt:i4>5177369</vt:i4>
      </vt:variant>
      <vt:variant>
        <vt:i4>48</vt:i4>
      </vt:variant>
      <vt:variant>
        <vt:i4>0</vt:i4>
      </vt:variant>
      <vt:variant>
        <vt:i4>5</vt:i4>
      </vt:variant>
      <vt:variant>
        <vt:lpwstr>http://dx.doi.org/doi:10.1522/cla.grm.pen</vt:lpwstr>
      </vt:variant>
      <vt:variant>
        <vt:lpwstr/>
      </vt:variant>
      <vt:variant>
        <vt:i4>2490426</vt:i4>
      </vt:variant>
      <vt:variant>
        <vt:i4>45</vt:i4>
      </vt:variant>
      <vt:variant>
        <vt:i4>0</vt:i4>
      </vt:variant>
      <vt:variant>
        <vt:i4>5</vt:i4>
      </vt:variant>
      <vt:variant>
        <vt:lpwstr>http://www.saintbrieuc-treguier.catholique.fr/</vt:lpwstr>
      </vt:variant>
      <vt:variant>
        <vt:lpwstr/>
      </vt:variant>
      <vt:variant>
        <vt:i4>5898244</vt:i4>
      </vt:variant>
      <vt:variant>
        <vt:i4>42</vt:i4>
      </vt:variant>
      <vt:variant>
        <vt:i4>0</vt:i4>
      </vt:variant>
      <vt:variant>
        <vt:i4>5</vt:i4>
      </vt:variant>
      <vt:variant>
        <vt:lpwstr>https://fr.wikipedia.org/wiki/Morale</vt:lpwstr>
      </vt:variant>
      <vt:variant>
        <vt:lpwstr/>
      </vt:variant>
      <vt:variant>
        <vt:i4>2818158</vt:i4>
      </vt:variant>
      <vt:variant>
        <vt:i4>39</vt:i4>
      </vt:variant>
      <vt:variant>
        <vt:i4>0</vt:i4>
      </vt:variant>
      <vt:variant>
        <vt:i4>5</vt:i4>
      </vt:variant>
      <vt:variant>
        <vt:lpwstr>https://fr.wikipedia.org/wiki/Politique</vt:lpwstr>
      </vt:variant>
      <vt:variant>
        <vt:lpwstr/>
      </vt:variant>
      <vt:variant>
        <vt:i4>5636115</vt:i4>
      </vt:variant>
      <vt:variant>
        <vt:i4>36</vt:i4>
      </vt:variant>
      <vt:variant>
        <vt:i4>0</vt:i4>
      </vt:variant>
      <vt:variant>
        <vt:i4>5</vt:i4>
      </vt:variant>
      <vt:variant>
        <vt:lpwstr>https://fr.wikipedia.org/wiki/Affiche</vt:lpwstr>
      </vt:variant>
      <vt:variant>
        <vt:lpwstr/>
      </vt:variant>
      <vt:variant>
        <vt:i4>3342435</vt:i4>
      </vt:variant>
      <vt:variant>
        <vt:i4>33</vt:i4>
      </vt:variant>
      <vt:variant>
        <vt:i4>0</vt:i4>
      </vt:variant>
      <vt:variant>
        <vt:i4>5</vt:i4>
      </vt:variant>
      <vt:variant>
        <vt:lpwstr>https://chine.in/fichiers/petit-livre-rouge.pdf</vt:lpwstr>
      </vt:variant>
      <vt:variant>
        <vt:lpwstr/>
      </vt:variant>
      <vt:variant>
        <vt:i4>3014702</vt:i4>
      </vt:variant>
      <vt:variant>
        <vt:i4>30</vt:i4>
      </vt:variant>
      <vt:variant>
        <vt:i4>0</vt:i4>
      </vt:variant>
      <vt:variant>
        <vt:i4>5</vt:i4>
      </vt:variant>
      <vt:variant>
        <vt:lpwstr>http://www.universalis.fr/encyclopedie/chine-politique-religieuse/</vt:lpwstr>
      </vt:variant>
      <vt:variant>
        <vt:lpwstr/>
      </vt:variant>
      <vt:variant>
        <vt:i4>5570562</vt:i4>
      </vt:variant>
      <vt:variant>
        <vt:i4>27</vt:i4>
      </vt:variant>
      <vt:variant>
        <vt:i4>0</vt:i4>
      </vt:variant>
      <vt:variant>
        <vt:i4>5</vt:i4>
      </vt:variant>
      <vt:variant>
        <vt:lpwstr>http://dx.doi.org/doi:10.1522/cla.lan.cla</vt:lpwstr>
      </vt:variant>
      <vt:variant>
        <vt:lpwstr/>
      </vt:variant>
      <vt:variant>
        <vt:i4>4325404</vt:i4>
      </vt:variant>
      <vt:variant>
        <vt:i4>24</vt:i4>
      </vt:variant>
      <vt:variant>
        <vt:i4>0</vt:i4>
      </vt:variant>
      <vt:variant>
        <vt:i4>5</vt:i4>
      </vt:variant>
      <vt:variant>
        <vt:lpwstr>http://www.persee.fr/doc/bec_03736237_1980</vt:lpwstr>
      </vt:variant>
      <vt:variant>
        <vt:lpwstr/>
      </vt:variant>
      <vt:variant>
        <vt:i4>7864394</vt:i4>
      </vt:variant>
      <vt:variant>
        <vt:i4>21</vt:i4>
      </vt:variant>
      <vt:variant>
        <vt:i4>0</vt:i4>
      </vt:variant>
      <vt:variant>
        <vt:i4>5</vt:i4>
      </vt:variant>
      <vt:variant>
        <vt:lpwstr>http://classiques.uqac.ca/classiques/mauss_marcel/socio_et_anthropo/0_introduction/intro_texte.html</vt:lpwstr>
      </vt:variant>
      <vt:variant>
        <vt:lpwstr>Anchor-11481</vt:lpwstr>
      </vt:variant>
      <vt:variant>
        <vt:i4>4325407</vt:i4>
      </vt:variant>
      <vt:variant>
        <vt:i4>18</vt:i4>
      </vt:variant>
      <vt:variant>
        <vt:i4>0</vt:i4>
      </vt:variant>
      <vt:variant>
        <vt:i4>5</vt:i4>
      </vt:variant>
      <vt:variant>
        <vt:lpwstr>http://dx.doi.org/doi:10.1522/cla.roj.duc</vt:lpwstr>
      </vt:variant>
      <vt:variant>
        <vt:lpwstr/>
      </vt:variant>
      <vt:variant>
        <vt:i4>3801191</vt:i4>
      </vt:variant>
      <vt:variant>
        <vt:i4>15</vt:i4>
      </vt:variant>
      <vt:variant>
        <vt:i4>0</vt:i4>
      </vt:variant>
      <vt:variant>
        <vt:i4>5</vt:i4>
      </vt:variant>
      <vt:variant>
        <vt:lpwstr>http://dx.doi.org/doi:10.1522/030145294</vt:lpwstr>
      </vt:variant>
      <vt:variant>
        <vt:lpwstr/>
      </vt:variant>
      <vt:variant>
        <vt:i4>7667747</vt:i4>
      </vt:variant>
      <vt:variant>
        <vt:i4>12</vt:i4>
      </vt:variant>
      <vt:variant>
        <vt:i4>0</vt:i4>
      </vt:variant>
      <vt:variant>
        <vt:i4>5</vt:i4>
      </vt:variant>
      <vt:variant>
        <vt:lpwstr>http://ugo.bratelli.free.fr/Platon/PlatonRepublique.pdf</vt:lpwstr>
      </vt:variant>
      <vt:variant>
        <vt:lpwstr/>
      </vt:variant>
      <vt:variant>
        <vt:i4>4063340</vt:i4>
      </vt:variant>
      <vt:variant>
        <vt:i4>9</vt:i4>
      </vt:variant>
      <vt:variant>
        <vt:i4>0</vt:i4>
      </vt:variant>
      <vt:variant>
        <vt:i4>5</vt:i4>
      </vt:variant>
      <vt:variant>
        <vt:lpwstr>http://dx.doi.org/doi:10.1522/030298431</vt:lpwstr>
      </vt:variant>
      <vt:variant>
        <vt:lpwstr/>
      </vt:variant>
      <vt:variant>
        <vt:i4>393326</vt:i4>
      </vt:variant>
      <vt:variant>
        <vt:i4>6</vt:i4>
      </vt:variant>
      <vt:variant>
        <vt:i4>0</vt:i4>
      </vt:variant>
      <vt:variant>
        <vt:i4>5</vt:i4>
      </vt:variant>
      <vt:variant>
        <vt:lpwstr/>
      </vt:variant>
      <vt:variant>
        <vt:lpwstr>Analyser_idees_pol_pt_1_texte_01_I</vt:lpwstr>
      </vt:variant>
      <vt:variant>
        <vt:i4>3407973</vt:i4>
      </vt:variant>
      <vt:variant>
        <vt:i4>3</vt:i4>
      </vt:variant>
      <vt:variant>
        <vt:i4>0</vt:i4>
      </vt:variant>
      <vt:variant>
        <vt:i4>5</vt:i4>
      </vt:variant>
      <vt:variant>
        <vt:lpwstr>http://dx.doi.org/doi:10.1522/030155174</vt:lpwstr>
      </vt:variant>
      <vt:variant>
        <vt:lpwstr/>
      </vt:variant>
      <vt:variant>
        <vt:i4>786436</vt:i4>
      </vt:variant>
      <vt:variant>
        <vt:i4>0</vt:i4>
      </vt:variant>
      <vt:variant>
        <vt:i4>0</vt:i4>
      </vt:variant>
      <vt:variant>
        <vt:i4>5</vt:i4>
      </vt:variant>
      <vt:variant>
        <vt:lpwstr>http://classiques.uqac.ca/contemporains/Xu_Zhen_Zhou/politique_chez_legistes_chinois/legistes_chinois.html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Analyser les idées politiques</dc:title>
  <dc:subject/>
  <dc:creator>Michel Bergès, septembre 2022. Nouvelle édition revue et augmentée.</dc:creator>
  <cp:keywords>classiques.sc.soc@gmail.com</cp:keywords>
  <dc:description>http://classiques.uqac.ca/</dc:description>
  <cp:lastModifiedBy>jean-marie tremblay</cp:lastModifiedBy>
  <cp:revision>2</cp:revision>
  <cp:lastPrinted>2001-08-26T19:33:00Z</cp:lastPrinted>
  <dcterms:created xsi:type="dcterms:W3CDTF">2022-09-19T12:44:00Z</dcterms:created>
  <dcterms:modified xsi:type="dcterms:W3CDTF">2022-09-19T12:44:00Z</dcterms:modified>
  <cp:category>fondée par jean-marie tremblay, 1993</cp:category>
</cp:coreProperties>
</file>